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A844D">
      <w:pPr>
        <w:pStyle w:val="13"/>
        <w:spacing w:before="0" w:after="0"/>
        <w:rPr>
          <w:rFonts w:hint="default" w:ascii="Times New Roman" w:hAnsi="Times New Roman" w:eastAsia="黑体" w:cs="Times New Roman"/>
          <w:b w:val="0"/>
          <w:color w:val="auto"/>
          <w:szCs w:val="48"/>
          <w:highlight w:val="none"/>
        </w:rPr>
      </w:pPr>
      <w:bookmarkStart w:id="7" w:name="_GoBack"/>
      <w:r>
        <w:rPr>
          <w:rFonts w:hint="default" w:ascii="Times New Roman" w:hAnsi="Times New Roman" w:cs="Times New Roman"/>
          <w:color w:val="auto"/>
          <w:highlight w:val="none"/>
        </w:rPr>
        <w:t>新疆生态干旱时空演变特征及其对植被水分利用效率的影响</w:t>
      </w:r>
    </w:p>
    <w:bookmarkEnd w:id="7"/>
    <w:p w14:paraId="0AF84AF8">
      <w:pPr>
        <w:jc w:val="center"/>
        <w:rPr>
          <w:rFonts w:hint="default" w:ascii="Times New Roman" w:hAnsi="Times New Roman" w:eastAsia="楷体" w:cs="Times New Roman"/>
          <w:color w:val="auto"/>
          <w:sz w:val="28"/>
          <w:szCs w:val="28"/>
          <w:highlight w:val="none"/>
        </w:rPr>
      </w:pPr>
      <w:r>
        <w:rPr>
          <w:rFonts w:hint="default" w:ascii="Times New Roman" w:hAnsi="Times New Roman" w:eastAsia="楷体" w:cs="Times New Roman"/>
          <w:color w:val="auto"/>
          <w:sz w:val="28"/>
          <w:szCs w:val="28"/>
          <w:highlight w:val="none"/>
        </w:rPr>
        <w:t>宋志林</w:t>
      </w:r>
      <w:r>
        <w:rPr>
          <w:rFonts w:hint="default" w:ascii="Times New Roman" w:hAnsi="Times New Roman" w:eastAsia="楷体" w:cs="Times New Roman"/>
          <w:color w:val="auto"/>
          <w:sz w:val="28"/>
          <w:szCs w:val="28"/>
          <w:highlight w:val="none"/>
          <w:vertAlign w:val="superscript"/>
        </w:rPr>
        <w:footnoteReference w:id="0"/>
      </w:r>
      <w:r>
        <w:rPr>
          <w:rFonts w:hint="default" w:ascii="Times New Roman" w:hAnsi="Times New Roman" w:eastAsia="楷体" w:cs="Times New Roman"/>
          <w:color w:val="auto"/>
          <w:sz w:val="28"/>
          <w:szCs w:val="28"/>
          <w:highlight w:val="none"/>
          <w:vertAlign w:val="superscript"/>
        </w:rPr>
        <w:t>,2</w:t>
      </w:r>
      <w:r>
        <w:rPr>
          <w:rFonts w:hint="default" w:ascii="Times New Roman" w:hAnsi="Times New Roman" w:eastAsia="楷体" w:cs="Times New Roman"/>
          <w:color w:val="auto"/>
          <w:sz w:val="28"/>
          <w:szCs w:val="28"/>
          <w:highlight w:val="none"/>
        </w:rPr>
        <w:t>，穆振侠</w:t>
      </w:r>
      <w:r>
        <w:rPr>
          <w:rFonts w:hint="default" w:ascii="Times New Roman" w:hAnsi="Times New Roman" w:eastAsia="楷体" w:cs="Times New Roman"/>
          <w:color w:val="auto"/>
          <w:sz w:val="28"/>
          <w:szCs w:val="28"/>
          <w:highlight w:val="none"/>
          <w:vertAlign w:val="superscript"/>
        </w:rPr>
        <w:t>1,2</w:t>
      </w:r>
      <w:r>
        <w:rPr>
          <w:rFonts w:hint="default" w:ascii="Times New Roman" w:hAnsi="Times New Roman" w:eastAsia="楷体" w:cs="Times New Roman"/>
          <w:color w:val="auto"/>
          <w:sz w:val="28"/>
          <w:szCs w:val="28"/>
          <w:highlight w:val="none"/>
        </w:rPr>
        <w:t>，朱晓钰</w:t>
      </w:r>
      <w:r>
        <w:rPr>
          <w:rFonts w:hint="default" w:ascii="Times New Roman" w:hAnsi="Times New Roman" w:eastAsia="楷体" w:cs="Times New Roman"/>
          <w:color w:val="auto"/>
          <w:sz w:val="28"/>
          <w:szCs w:val="28"/>
          <w:highlight w:val="none"/>
          <w:vertAlign w:val="superscript"/>
        </w:rPr>
        <w:t>1,2</w:t>
      </w:r>
      <w:r>
        <w:rPr>
          <w:rFonts w:hint="default" w:ascii="Times New Roman" w:hAnsi="Times New Roman" w:eastAsia="楷体" w:cs="Times New Roman"/>
          <w:color w:val="auto"/>
          <w:sz w:val="28"/>
          <w:szCs w:val="28"/>
          <w:highlight w:val="none"/>
        </w:rPr>
        <w:t>，王腾</w:t>
      </w:r>
      <w:r>
        <w:rPr>
          <w:rFonts w:hint="default" w:ascii="Times New Roman" w:hAnsi="Times New Roman" w:eastAsia="楷体" w:cs="Times New Roman"/>
          <w:color w:val="auto"/>
          <w:sz w:val="28"/>
          <w:szCs w:val="28"/>
          <w:highlight w:val="none"/>
          <w:vertAlign w:val="superscript"/>
        </w:rPr>
        <w:t>1,2</w:t>
      </w:r>
      <w:r>
        <w:rPr>
          <w:rFonts w:hint="default" w:ascii="Times New Roman" w:hAnsi="Times New Roman" w:eastAsia="楷体" w:cs="Times New Roman"/>
          <w:color w:val="auto"/>
          <w:sz w:val="28"/>
          <w:szCs w:val="28"/>
          <w:highlight w:val="none"/>
        </w:rPr>
        <w:t>，陈龙瑶</w:t>
      </w:r>
      <w:r>
        <w:rPr>
          <w:rFonts w:hint="default" w:ascii="Times New Roman" w:hAnsi="Times New Roman" w:eastAsia="楷体" w:cs="Times New Roman"/>
          <w:color w:val="auto"/>
          <w:sz w:val="28"/>
          <w:szCs w:val="28"/>
          <w:highlight w:val="none"/>
          <w:vertAlign w:val="superscript"/>
        </w:rPr>
        <w:t>1,2</w:t>
      </w:r>
    </w:p>
    <w:p w14:paraId="1E704997">
      <w:pPr>
        <w:spacing w:after="312" w:afterLines="1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（1.新疆农业大学 水利与土木工程学院，乌鲁木齐 830052；2.新疆水利工程安全与水灾害防治重点实验室，乌鲁木齐 830052）</w:t>
      </w:r>
    </w:p>
    <w:p w14:paraId="2B68CDA5">
      <w:pPr>
        <w:widowControl/>
        <w:rPr>
          <w:rFonts w:hint="default" w:ascii="Times New Roman" w:hAnsi="Times New Roman" w:cs="Times New Roman"/>
          <w:color w:val="auto"/>
          <w:sz w:val="18"/>
          <w:szCs w:val="18"/>
          <w:highlight w:val="none"/>
        </w:rPr>
      </w:pPr>
      <w:r>
        <w:rPr>
          <w:rStyle w:val="17"/>
          <w:rFonts w:hint="default" w:ascii="Times New Roman" w:hAnsi="Times New Roman" w:eastAsia="黑体" w:cs="Times New Roman"/>
          <w:bCs/>
          <w:color w:val="auto"/>
          <w:szCs w:val="22"/>
          <w:highlight w:val="none"/>
        </w:rPr>
        <w:t>摘  要</w:t>
      </w:r>
      <w:bookmarkStart w:id="0" w:name="_Toc9086"/>
      <w:bookmarkStart w:id="1" w:name="_Toc18415"/>
      <w:bookmarkStart w:id="2" w:name="_Toc18981"/>
      <w:bookmarkStart w:id="3" w:name="_Toc11592"/>
      <w:r>
        <w:rPr>
          <w:rStyle w:val="17"/>
          <w:rFonts w:hint="default" w:ascii="Times New Roman" w:hAnsi="Times New Roman" w:eastAsia="黑体" w:cs="Times New Roman"/>
          <w:bCs/>
          <w:color w:val="auto"/>
          <w:szCs w:val="22"/>
          <w:highlight w:val="none"/>
        </w:rPr>
        <w:t>：</w:t>
      </w:r>
      <w:r>
        <w:rPr>
          <w:rFonts w:hint="default" w:ascii="Times New Roman" w:hAnsi="Times New Roman" w:eastAsia="楷体" w:cs="Times New Roman"/>
          <w:color w:val="auto"/>
          <w:szCs w:val="21"/>
          <w:highlight w:val="none"/>
        </w:rPr>
        <w:t>【目的】明确植被水分利用效率（</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）对生态干旱的响应，对干旱区生态系统保护具有重要意义。【方法】以新疆为研究区，基于2000—2022年遥感数据，</w:t>
      </w:r>
      <w:r>
        <w:rPr>
          <w:rFonts w:hint="default" w:ascii="Times New Roman" w:hAnsi="Times New Roman" w:eastAsia="楷体" w:cs="Times New Roman"/>
          <w:color w:val="auto"/>
          <w:szCs w:val="21"/>
          <w:highlight w:val="none"/>
        </w:rPr>
        <w:t>引入标准化叶绿素荧光指数（</w:t>
      </w:r>
      <w:r>
        <w:rPr>
          <w:rFonts w:hint="default" w:ascii="Times New Roman" w:hAnsi="Times New Roman" w:eastAsia="楷体" w:cs="Times New Roman"/>
          <w:i/>
          <w:iCs/>
          <w:color w:val="auto"/>
          <w:szCs w:val="21"/>
          <w:highlight w:val="none"/>
        </w:rPr>
        <w:t>SSIF</w:t>
      </w:r>
      <w:r>
        <w:rPr>
          <w:rFonts w:hint="default" w:ascii="Times New Roman" w:hAnsi="Times New Roman" w:eastAsia="楷体" w:cs="Times New Roman"/>
          <w:color w:val="auto"/>
          <w:szCs w:val="21"/>
          <w:highlight w:val="none"/>
        </w:rPr>
        <w:t>）和土壤湿度，对构建的</w:t>
      </w:r>
      <w:r>
        <w:rPr>
          <w:rFonts w:hint="default" w:ascii="Times New Roman" w:hAnsi="Times New Roman" w:eastAsia="楷体" w:cs="Times New Roman"/>
          <w:color w:val="auto"/>
          <w:szCs w:val="21"/>
          <w:highlight w:val="none"/>
        </w:rPr>
        <w:t>温度植被干旱指数（</w:t>
      </w:r>
      <w:r>
        <w:rPr>
          <w:rFonts w:hint="default" w:ascii="Times New Roman" w:hAnsi="Times New Roman" w:eastAsia="楷体" w:cs="Times New Roman"/>
          <w:i/>
          <w:iCs/>
          <w:color w:val="auto"/>
          <w:szCs w:val="21"/>
          <w:highlight w:val="none"/>
        </w:rPr>
        <w:t>TVDI</w:t>
      </w:r>
      <w:r>
        <w:rPr>
          <w:rFonts w:hint="default" w:ascii="Times New Roman" w:hAnsi="Times New Roman" w:eastAsia="楷体" w:cs="Times New Roman"/>
          <w:color w:val="auto"/>
          <w:szCs w:val="21"/>
          <w:highlight w:val="none"/>
        </w:rPr>
        <w:t>）与植被健康指数（</w:t>
      </w:r>
      <w:r>
        <w:rPr>
          <w:rFonts w:hint="default" w:ascii="Times New Roman" w:hAnsi="Times New Roman" w:eastAsia="楷体" w:cs="Times New Roman"/>
          <w:i/>
          <w:iCs/>
          <w:color w:val="auto"/>
          <w:szCs w:val="21"/>
          <w:highlight w:val="none"/>
        </w:rPr>
        <w:t>VHI</w:t>
      </w:r>
      <w:r>
        <w:rPr>
          <w:rFonts w:hint="default" w:ascii="Times New Roman" w:hAnsi="Times New Roman" w:eastAsia="楷体" w:cs="Times New Roman"/>
          <w:color w:val="auto"/>
          <w:szCs w:val="21"/>
          <w:highlight w:val="none"/>
        </w:rPr>
        <w:t>）适用性</w:t>
      </w:r>
      <w:r>
        <w:rPr>
          <w:rFonts w:hint="default" w:ascii="Times New Roman" w:hAnsi="Times New Roman" w:eastAsia="楷体" w:cs="Times New Roman"/>
          <w:color w:val="auto"/>
          <w:szCs w:val="21"/>
          <w:highlight w:val="none"/>
        </w:rPr>
        <w:t>筛选的基础上</w:t>
      </w:r>
      <w:r>
        <w:rPr>
          <w:rFonts w:hint="default" w:ascii="Times New Roman" w:hAnsi="Times New Roman" w:eastAsia="楷体" w:cs="Times New Roman"/>
          <w:color w:val="auto"/>
          <w:szCs w:val="21"/>
          <w:highlight w:val="none"/>
        </w:rPr>
        <w:t>，结合</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，揭示</w:t>
      </w:r>
      <w:r>
        <w:rPr>
          <w:rFonts w:hint="default" w:ascii="Times New Roman" w:hAnsi="Times New Roman" w:eastAsia="楷体" w:cs="Times New Roman"/>
          <w:color w:val="auto"/>
          <w:szCs w:val="21"/>
          <w:highlight w:val="none"/>
        </w:rPr>
        <w:t>了生态干旱变化规律及</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对生态干旱的时滞与累积响应机制。【结果】结果表明：（1）</w:t>
      </w:r>
      <w:r>
        <w:rPr>
          <w:rFonts w:hint="default" w:ascii="Times New Roman" w:hAnsi="Times New Roman" w:eastAsia="楷体" w:cs="Times New Roman"/>
          <w:i/>
          <w:iCs/>
          <w:color w:val="auto"/>
          <w:szCs w:val="21"/>
          <w:highlight w:val="none"/>
        </w:rPr>
        <w:t>TVDI</w:t>
      </w:r>
      <w:r>
        <w:rPr>
          <w:rFonts w:hint="default" w:ascii="Times New Roman" w:hAnsi="Times New Roman" w:eastAsia="楷体" w:cs="Times New Roman"/>
          <w:color w:val="auto"/>
          <w:szCs w:val="21"/>
          <w:highlight w:val="none"/>
        </w:rPr>
        <w:t>指数</w:t>
      </w:r>
      <w:r>
        <w:rPr>
          <w:rFonts w:hint="default" w:ascii="Times New Roman" w:hAnsi="Times New Roman" w:eastAsia="楷体" w:cs="Times New Roman"/>
          <w:color w:val="auto"/>
          <w:szCs w:val="21"/>
          <w:highlight w:val="none"/>
        </w:rPr>
        <w:t>在</w:t>
      </w:r>
      <w:r>
        <w:rPr>
          <w:rFonts w:hint="default" w:ascii="Times New Roman" w:hAnsi="Times New Roman" w:eastAsia="楷体" w:cs="Times New Roman"/>
          <w:color w:val="auto"/>
          <w:szCs w:val="21"/>
          <w:highlight w:val="none"/>
        </w:rPr>
        <w:t>气候分异的新疆对生态干旱的监测更具有优越性</w:t>
      </w:r>
      <w:r>
        <w:rPr>
          <w:rFonts w:hint="default" w:ascii="Times New Roman" w:hAnsi="Times New Roman" w:eastAsia="楷体" w:cs="Times New Roman"/>
          <w:color w:val="auto"/>
          <w:szCs w:val="21"/>
          <w:highlight w:val="none"/>
        </w:rPr>
        <w:t>，近23</w:t>
      </w:r>
      <w:r>
        <w:rPr>
          <w:rFonts w:hint="default" w:ascii="Times New Roman" w:hAnsi="Times New Roman" w:eastAsia="楷体" w:cs="Times New Roman"/>
          <w:color w:val="auto"/>
          <w:szCs w:val="21"/>
          <w:highlight w:val="none"/>
        </w:rPr>
        <w:t>a新疆</w:t>
      </w:r>
      <w:r>
        <w:rPr>
          <w:rFonts w:hint="default" w:ascii="Times New Roman" w:hAnsi="Times New Roman" w:eastAsia="楷体" w:cs="Times New Roman"/>
          <w:color w:val="auto"/>
          <w:szCs w:val="21"/>
          <w:highlight w:val="none"/>
        </w:rPr>
        <w:t>生态干旱呈“南高北低”格局且整体</w:t>
      </w:r>
      <w:r>
        <w:rPr>
          <w:rFonts w:hint="default" w:ascii="Times New Roman" w:hAnsi="Times New Roman" w:eastAsia="楷体" w:cs="Times New Roman"/>
          <w:color w:val="auto"/>
          <w:szCs w:val="21"/>
          <w:highlight w:val="none"/>
        </w:rPr>
        <w:t>呈</w:t>
      </w:r>
      <w:r>
        <w:rPr>
          <w:rFonts w:hint="default" w:ascii="Times New Roman" w:hAnsi="Times New Roman" w:eastAsia="楷体" w:cs="Times New Roman"/>
          <w:color w:val="auto"/>
          <w:szCs w:val="21"/>
          <w:highlight w:val="none"/>
        </w:rPr>
        <w:t>缓</w:t>
      </w:r>
      <w:r>
        <w:rPr>
          <w:rFonts w:hint="default" w:ascii="Times New Roman" w:hAnsi="Times New Roman" w:eastAsia="楷体" w:cs="Times New Roman"/>
          <w:color w:val="auto"/>
          <w:szCs w:val="21"/>
          <w:highlight w:val="none"/>
        </w:rPr>
        <w:t>解态势</w:t>
      </w:r>
      <w:r>
        <w:rPr>
          <w:rFonts w:hint="default" w:ascii="Times New Roman" w:hAnsi="Times New Roman" w:eastAsia="楷体" w:cs="Times New Roman"/>
          <w:color w:val="auto"/>
          <w:szCs w:val="21"/>
          <w:highlight w:val="none"/>
        </w:rPr>
        <w:t>。（2）</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整体呈下降趋势，</w:t>
      </w:r>
      <w:r>
        <w:rPr>
          <w:rFonts w:hint="default" w:ascii="Times New Roman" w:hAnsi="Times New Roman" w:eastAsia="楷体" w:cs="Times New Roman"/>
          <w:color w:val="auto"/>
          <w:szCs w:val="21"/>
          <w:highlight w:val="none"/>
        </w:rPr>
        <w:t>其分布与海拔有关；</w:t>
      </w:r>
      <w:r>
        <w:rPr>
          <w:rFonts w:hint="default" w:ascii="Times New Roman" w:hAnsi="Times New Roman" w:eastAsia="楷体" w:cs="Times New Roman"/>
          <w:color w:val="auto"/>
          <w:szCs w:val="21"/>
          <w:highlight w:val="none"/>
        </w:rPr>
        <w:t>89.38%的区域生态干旱与</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呈正相关。（</w:t>
      </w:r>
      <w:r>
        <w:rPr>
          <w:rFonts w:hint="default" w:ascii="Times New Roman" w:hAnsi="Times New Roman" w:eastAsia="楷体" w:cs="Times New Roman"/>
          <w:color w:val="auto"/>
          <w:szCs w:val="21"/>
          <w:highlight w:val="none"/>
        </w:rPr>
        <w:t>3</w:t>
      </w:r>
      <w:r>
        <w:rPr>
          <w:rFonts w:hint="default" w:ascii="Times New Roman" w:hAnsi="Times New Roman" w:eastAsia="楷体" w:cs="Times New Roman"/>
          <w:color w:val="auto"/>
          <w:szCs w:val="21"/>
          <w:highlight w:val="none"/>
        </w:rPr>
        <w:t>）生态干旱对</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的平均滞后与累积时间分别为4.26个月和4.51个月，耕地响应最敏感、林地最迟缓。【结论】本研究揭示了新疆生态干旱与植被水分利用效率的时空演变规律及响应机制，明确了不同植被类型对干旱</w:t>
      </w:r>
      <w:r>
        <w:rPr>
          <w:rFonts w:hint="default" w:ascii="Times New Roman" w:hAnsi="Times New Roman" w:eastAsia="楷体" w:cs="Times New Roman"/>
          <w:color w:val="auto"/>
          <w:szCs w:val="21"/>
          <w:highlight w:val="none"/>
        </w:rPr>
        <w:t>响应</w:t>
      </w:r>
      <w:r>
        <w:rPr>
          <w:rFonts w:hint="default" w:ascii="Times New Roman" w:hAnsi="Times New Roman" w:eastAsia="楷体" w:cs="Times New Roman"/>
          <w:color w:val="auto"/>
          <w:szCs w:val="21"/>
          <w:highlight w:val="none"/>
        </w:rPr>
        <w:t>的差异，可为干旱区生态安全屏障建设、水资源优化配置及生态风险管理提供科学依据</w:t>
      </w:r>
      <w:r>
        <w:rPr>
          <w:rFonts w:hint="default" w:ascii="Times New Roman" w:hAnsi="Times New Roman" w:eastAsia="楷体" w:cs="Times New Roman"/>
          <w:color w:val="auto"/>
          <w:szCs w:val="21"/>
          <w:highlight w:val="none"/>
        </w:rPr>
        <w:t>。</w:t>
      </w:r>
    </w:p>
    <w:p w14:paraId="08E43B2E">
      <w:pPr>
        <w:widowControl/>
        <w:rPr>
          <w:rFonts w:hint="default" w:ascii="Times New Roman" w:hAnsi="Times New Roman" w:eastAsia="楷体" w:cs="Times New Roman"/>
          <w:color w:val="auto"/>
          <w:szCs w:val="21"/>
          <w:highlight w:val="none"/>
          <w:lang w:val="en-US" w:eastAsia="zh-CN"/>
        </w:rPr>
      </w:pPr>
      <w:r>
        <w:rPr>
          <w:rStyle w:val="21"/>
          <w:rFonts w:hint="default" w:ascii="Times New Roman" w:hAnsi="Times New Roman" w:eastAsia="黑体" w:cs="Times New Roman"/>
          <w:bCs/>
          <w:color w:val="auto"/>
          <w:sz w:val="21"/>
          <w:szCs w:val="21"/>
          <w:highlight w:val="none"/>
        </w:rPr>
        <w:t>关键词</w:t>
      </w:r>
      <w:bookmarkEnd w:id="0"/>
      <w:bookmarkEnd w:id="1"/>
      <w:bookmarkEnd w:id="2"/>
      <w:bookmarkEnd w:id="3"/>
      <w:r>
        <w:rPr>
          <w:rStyle w:val="21"/>
          <w:rFonts w:hint="default" w:ascii="Times New Roman" w:hAnsi="Times New Roman" w:eastAsia="黑体" w:cs="Times New Roman"/>
          <w:bCs/>
          <w:color w:val="auto"/>
          <w:sz w:val="21"/>
          <w:szCs w:val="21"/>
          <w:highlight w:val="none"/>
        </w:rPr>
        <w:t>：</w:t>
      </w:r>
      <w:r>
        <w:rPr>
          <w:rFonts w:hint="default" w:ascii="Times New Roman" w:hAnsi="Times New Roman" w:eastAsia="楷体" w:cs="Times New Roman"/>
          <w:color w:val="auto"/>
          <w:szCs w:val="21"/>
          <w:highlight w:val="none"/>
        </w:rPr>
        <w:t>生态干旱；水分利用效率；时空分布；植被响应；新疆；时滞分析；累积效应</w:t>
      </w:r>
      <w:r>
        <w:rPr>
          <w:rFonts w:hint="default" w:ascii="Times New Roman" w:hAnsi="Times New Roman" w:eastAsia="楷体" w:cs="Times New Roman"/>
          <w:color w:val="auto"/>
          <w:szCs w:val="21"/>
          <w:highlight w:val="none"/>
          <w:lang w:eastAsia="zh-CN"/>
        </w:rPr>
        <w:t>；</w:t>
      </w:r>
      <w:r>
        <w:rPr>
          <w:rFonts w:hint="default" w:ascii="Times New Roman" w:hAnsi="Times New Roman" w:eastAsia="楷体" w:cs="Times New Roman"/>
          <w:color w:val="auto"/>
          <w:szCs w:val="21"/>
          <w:highlight w:val="none"/>
          <w:lang w:val="en-US" w:eastAsia="zh-CN"/>
        </w:rPr>
        <w:t>影响因素</w:t>
      </w:r>
    </w:p>
    <w:p w14:paraId="5F00C222">
      <w:pPr>
        <w:widowControl/>
        <w:ind w:right="420" w:rightChars="200"/>
        <w:rPr>
          <w:rFonts w:hint="default" w:ascii="Times New Roman" w:hAnsi="Times New Roman" w:eastAsia="楷体" w:cs="Times New Roman"/>
          <w:color w:val="auto"/>
          <w:szCs w:val="21"/>
          <w:highlight w:val="none"/>
        </w:rPr>
      </w:pPr>
      <w:r>
        <w:rPr>
          <w:rFonts w:hint="default" w:ascii="Times New Roman" w:hAnsi="Times New Roman" w:eastAsia="黑体" w:cs="Times New Roman"/>
          <w:b/>
          <w:bCs/>
          <w:color w:val="auto"/>
          <w:sz w:val="18"/>
          <w:szCs w:val="18"/>
          <w:highlight w:val="none"/>
        </w:rPr>
        <w:t>中图分类号</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rPr>
        <w:t>Q948.1；P426.616</w:t>
      </w:r>
      <w:r>
        <w:rPr>
          <w:rFonts w:hint="default" w:ascii="Times New Roman" w:hAnsi="Times New Roman" w:cs="Times New Roman"/>
          <w:color w:val="auto"/>
          <w:sz w:val="18"/>
          <w:szCs w:val="18"/>
          <w:highlight w:val="none"/>
        </w:rPr>
        <w:t xml:space="preserve">           </w:t>
      </w:r>
      <w:r>
        <w:rPr>
          <w:rFonts w:hint="default" w:ascii="Times New Roman" w:hAnsi="Times New Roman" w:eastAsia="黑体" w:cs="Times New Roman"/>
          <w:b/>
          <w:color w:val="auto"/>
          <w:sz w:val="18"/>
          <w:szCs w:val="18"/>
          <w:highlight w:val="none"/>
        </w:rPr>
        <w:t>文献标志码</w:t>
      </w:r>
      <w:r>
        <w:rPr>
          <w:rFonts w:hint="default" w:ascii="Times New Roman" w:hAnsi="Times New Roman" w:cs="Times New Roman"/>
          <w:b/>
          <w:color w:val="auto"/>
          <w:sz w:val="18"/>
          <w:szCs w:val="18"/>
          <w:highlight w:val="none"/>
        </w:rPr>
        <w:t>：A</w:t>
      </w:r>
      <w:r>
        <w:rPr>
          <w:rFonts w:hint="default" w:ascii="Times New Roman" w:hAnsi="Times New Roman" w:cs="Times New Roman"/>
          <w:color w:val="auto"/>
          <w:sz w:val="18"/>
          <w:szCs w:val="18"/>
          <w:highlight w:val="none"/>
        </w:rPr>
        <w:t xml:space="preserve">         </w:t>
      </w:r>
    </w:p>
    <w:p w14:paraId="19B54F50">
      <w:pPr>
        <w:pStyle w:val="12"/>
        <w:widowControl/>
        <w:spacing w:before="0" w:beforeAutospacing="0" w:after="0" w:afterAutospacing="0"/>
        <w:jc w:val="center"/>
        <w:rPr>
          <w:rFonts w:hint="default"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Spatiotemporal evolution characteristics of ecological drought in Xinjiang and its influence on vegetation water use efficiency</w:t>
      </w:r>
    </w:p>
    <w:p w14:paraId="205DCF09">
      <w:pPr>
        <w:jc w:val="center"/>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SONG Zhilin</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，MU Zhenxia</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，ZHU Xiaoyu</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，WANG Teng</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，CHEN Longyao</w:t>
      </w:r>
      <w:r>
        <w:rPr>
          <w:rFonts w:hint="default" w:ascii="Times New Roman" w:hAnsi="Times New Roman" w:cs="Times New Roman"/>
          <w:color w:val="auto"/>
          <w:szCs w:val="21"/>
          <w:highlight w:val="none"/>
          <w:vertAlign w:val="superscript"/>
        </w:rPr>
        <w:t>1,2</w:t>
      </w:r>
    </w:p>
    <w:p w14:paraId="425BF24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 College of Hydraulic and Civil Engineering, Xinjiang Agricultural University, Urumqi</w:t>
      </w:r>
      <w:r>
        <w:rPr>
          <w:rFonts w:hint="default" w:ascii="Times New Roman" w:hAnsi="Times New Roman" w:cs="Times New Roman"/>
          <w:color w:val="auto"/>
          <w:sz w:val="18"/>
          <w:szCs w:val="18"/>
          <w:highlight w:val="none"/>
        </w:rPr>
        <w:t xml:space="preserve"> </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830052</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Xinjiang，</w:t>
      </w:r>
      <w:r>
        <w:rPr>
          <w:rFonts w:hint="default" w:ascii="Times New Roman" w:hAnsi="Times New Roman" w:cs="Times New Roman"/>
          <w:color w:val="auto"/>
          <w:sz w:val="18"/>
          <w:szCs w:val="18"/>
          <w:highlight w:val="none"/>
        </w:rPr>
        <w:t>China; 2. Xinjiang Key Laboratory of Hydraulic Engineering Security and Water Disaster Prevention</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rPr>
        <w:t xml:space="preserve"> Urumqi</w:t>
      </w:r>
      <w:r>
        <w:rPr>
          <w:rFonts w:hint="default" w:ascii="Times New Roman" w:hAnsi="Times New Roman" w:cs="Times New Roman"/>
          <w:color w:val="auto"/>
          <w:sz w:val="18"/>
          <w:szCs w:val="18"/>
          <w:highlight w:val="none"/>
        </w:rPr>
        <w:t xml:space="preserve"> </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830052</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Xinjiang，</w:t>
      </w:r>
      <w:r>
        <w:rPr>
          <w:rFonts w:hint="default" w:ascii="Times New Roman" w:hAnsi="Times New Roman" w:cs="Times New Roman"/>
          <w:color w:val="auto"/>
          <w:sz w:val="18"/>
          <w:szCs w:val="18"/>
          <w:highlight w:val="none"/>
        </w:rPr>
        <w:t>China)</w:t>
      </w:r>
    </w:p>
    <w:p w14:paraId="17593780">
      <w:pPr>
        <w:pStyle w:val="12"/>
        <w:widowControl/>
        <w:shd w:val="clear" w:color="auto" w:fill="FFFFFF"/>
        <w:spacing w:before="192" w:beforeAutospacing="0" w:after="192" w:afterAutospacing="0"/>
        <w:jc w:val="both"/>
        <w:rPr>
          <w:rFonts w:hint="default" w:ascii="Times New Roman" w:hAnsi="Times New Roman" w:eastAsia="Segoe UI" w:cs="Times New Roman"/>
          <w:color w:val="auto"/>
          <w:sz w:val="21"/>
          <w:szCs w:val="21"/>
          <w:highlight w:val="none"/>
        </w:rPr>
      </w:pPr>
      <w:r>
        <w:rPr>
          <w:rFonts w:hint="default" w:ascii="Times New Roman" w:hAnsi="Times New Roman" w:cs="Times New Roman"/>
          <w:b/>
          <w:bCs/>
          <w:color w:val="auto"/>
          <w:kern w:val="2"/>
          <w:sz w:val="21"/>
          <w:szCs w:val="21"/>
          <w:highlight w:val="none"/>
        </w:rPr>
        <w:t>Abstract</w:t>
      </w:r>
      <w:r>
        <w:rPr>
          <w:rStyle w:val="17"/>
          <w:rFonts w:hint="default" w:ascii="Times New Roman" w:hAnsi="Times New Roman" w:eastAsia="Segoe UI" w:cs="Times New Roman"/>
          <w:bCs/>
          <w:color w:val="auto"/>
          <w:sz w:val="19"/>
          <w:szCs w:val="19"/>
          <w:highlight w:val="none"/>
          <w:shd w:val="clear" w:color="auto" w:fill="FFFFFF"/>
        </w:rPr>
        <w:t xml:space="preserve">: </w:t>
      </w:r>
      <w:r>
        <w:rPr>
          <w:rFonts w:hint="default" w:ascii="Times New Roman" w:hAnsi="Times New Roman" w:cs="Times New Roman"/>
          <w:color w:val="auto"/>
          <w:kern w:val="2"/>
          <w:sz w:val="21"/>
          <w:szCs w:val="21"/>
          <w:highlight w:val="none"/>
        </w:rPr>
        <w:t>[Objective] Clarifying the response of vegetation water use efficiency (</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 xml:space="preserve">) to ecological drought is of great significance for </w:t>
      </w:r>
      <w:r>
        <w:rPr>
          <w:rFonts w:hint="default" w:ascii="Times New Roman" w:hAnsi="Times New Roman" w:cs="Times New Roman"/>
          <w:color w:val="auto"/>
          <w:kern w:val="2"/>
          <w:sz w:val="21"/>
          <w:szCs w:val="21"/>
          <w:highlight w:val="none"/>
          <w:lang w:val="en-US" w:eastAsia="zh-CN"/>
        </w:rPr>
        <w:t xml:space="preserve">the </w:t>
      </w:r>
      <w:r>
        <w:rPr>
          <w:rFonts w:hint="default" w:ascii="Times New Roman" w:hAnsi="Times New Roman" w:cs="Times New Roman"/>
          <w:color w:val="auto"/>
          <w:kern w:val="2"/>
          <w:sz w:val="21"/>
          <w:szCs w:val="21"/>
          <w:highlight w:val="none"/>
        </w:rPr>
        <w:t xml:space="preserve">protection </w:t>
      </w:r>
      <w:r>
        <w:rPr>
          <w:rFonts w:hint="default" w:ascii="Times New Roman" w:hAnsi="Times New Roman" w:cs="Times New Roman"/>
          <w:color w:val="auto"/>
          <w:kern w:val="2"/>
          <w:sz w:val="21"/>
          <w:szCs w:val="21"/>
          <w:highlight w:val="none"/>
          <w:lang w:val="en-US" w:eastAsia="zh-CN"/>
        </w:rPr>
        <w:t xml:space="preserve">of </w:t>
      </w:r>
      <w:r>
        <w:rPr>
          <w:rFonts w:hint="default" w:ascii="Times New Roman" w:hAnsi="Times New Roman" w:cs="Times New Roman"/>
          <w:color w:val="auto"/>
          <w:kern w:val="2"/>
          <w:sz w:val="21"/>
          <w:szCs w:val="21"/>
          <w:highlight w:val="none"/>
        </w:rPr>
        <w:t>ecosystem</w:t>
      </w:r>
      <w:r>
        <w:rPr>
          <w:rFonts w:hint="default" w:ascii="Times New Roman" w:hAnsi="Times New Roman" w:cs="Times New Roman"/>
          <w:color w:val="auto"/>
          <w:kern w:val="2"/>
          <w:sz w:val="21"/>
          <w:szCs w:val="21"/>
          <w:highlight w:val="none"/>
          <w:lang w:val="en-US" w:eastAsia="zh-CN"/>
        </w:rPr>
        <w:t>s</w:t>
      </w:r>
      <w:r>
        <w:rPr>
          <w:rFonts w:hint="default" w:ascii="Times New Roman" w:hAnsi="Times New Roman" w:cs="Times New Roman"/>
          <w:color w:val="auto"/>
          <w:kern w:val="2"/>
          <w:sz w:val="21"/>
          <w:szCs w:val="21"/>
          <w:highlight w:val="none"/>
        </w:rPr>
        <w:t xml:space="preserve"> in arid </w:t>
      </w:r>
      <w:r>
        <w:rPr>
          <w:rFonts w:hint="default" w:ascii="Times New Roman" w:hAnsi="Times New Roman" w:cs="Times New Roman"/>
          <w:color w:val="auto"/>
          <w:kern w:val="2"/>
          <w:sz w:val="21"/>
          <w:szCs w:val="21"/>
          <w:highlight w:val="none"/>
          <w:lang w:val="en-US" w:eastAsia="zh-CN"/>
        </w:rPr>
        <w:t>regions</w:t>
      </w:r>
      <w:r>
        <w:rPr>
          <w:rFonts w:hint="default" w:ascii="Times New Roman" w:hAnsi="Times New Roman" w:cs="Times New Roman"/>
          <w:color w:val="auto"/>
          <w:kern w:val="2"/>
          <w:sz w:val="21"/>
          <w:szCs w:val="21"/>
          <w:highlight w:val="none"/>
        </w:rPr>
        <w:t xml:space="preserve">. [Methods] </w:t>
      </w:r>
      <w:r>
        <w:rPr>
          <w:rFonts w:hint="default" w:ascii="Times New Roman" w:hAnsi="Times New Roman" w:cs="Times New Roman"/>
          <w:color w:val="auto"/>
          <w:kern w:val="2"/>
          <w:sz w:val="21"/>
          <w:szCs w:val="21"/>
          <w:highlight w:val="none"/>
          <w:lang w:val="en-US" w:eastAsia="zh-CN"/>
        </w:rPr>
        <w:t>Taking</w:t>
      </w:r>
      <w:r>
        <w:rPr>
          <w:rFonts w:hint="default" w:ascii="Times New Roman" w:hAnsi="Times New Roman" w:cs="Times New Roman"/>
          <w:color w:val="auto"/>
          <w:kern w:val="2"/>
          <w:sz w:val="21"/>
          <w:szCs w:val="21"/>
          <w:highlight w:val="none"/>
        </w:rPr>
        <w:t xml:space="preserve"> Xinjiang as the study area and </w:t>
      </w:r>
      <w:r>
        <w:rPr>
          <w:rFonts w:hint="default" w:ascii="Times New Roman" w:hAnsi="Times New Roman" w:cs="Times New Roman"/>
          <w:color w:val="auto"/>
          <w:kern w:val="2"/>
          <w:sz w:val="21"/>
          <w:szCs w:val="21"/>
          <w:highlight w:val="none"/>
          <w:lang w:val="en-US" w:eastAsia="zh-CN"/>
        </w:rPr>
        <w:t>using</w:t>
      </w:r>
      <w:r>
        <w:rPr>
          <w:rFonts w:hint="default" w:ascii="Times New Roman" w:hAnsi="Times New Roman" w:cs="Times New Roman"/>
          <w:color w:val="auto"/>
          <w:kern w:val="2"/>
          <w:sz w:val="21"/>
          <w:szCs w:val="21"/>
          <w:highlight w:val="none"/>
        </w:rPr>
        <w:t xml:space="preserve"> remote sensing data from 2000 to 2022, the standardized chlorophyll fluorescence index (</w:t>
      </w:r>
      <w:r>
        <w:rPr>
          <w:rFonts w:hint="default" w:ascii="Times New Roman" w:hAnsi="Times New Roman" w:cs="Times New Roman"/>
          <w:i/>
          <w:iCs/>
          <w:color w:val="auto"/>
          <w:kern w:val="2"/>
          <w:sz w:val="21"/>
          <w:szCs w:val="21"/>
          <w:highlight w:val="none"/>
        </w:rPr>
        <w:t>SSIF</w:t>
      </w:r>
      <w:r>
        <w:rPr>
          <w:rFonts w:hint="default" w:ascii="Times New Roman" w:hAnsi="Times New Roman" w:cs="Times New Roman"/>
          <w:color w:val="auto"/>
          <w:kern w:val="2"/>
          <w:sz w:val="21"/>
          <w:szCs w:val="21"/>
          <w:highlight w:val="none"/>
        </w:rPr>
        <w:t xml:space="preserve">) and soil moisture were introduced. </w:t>
      </w:r>
      <w:r>
        <w:rPr>
          <w:rFonts w:hint="default" w:ascii="Times New Roman" w:hAnsi="Times New Roman" w:cs="Times New Roman"/>
          <w:color w:val="auto"/>
          <w:kern w:val="2"/>
          <w:sz w:val="21"/>
          <w:szCs w:val="21"/>
          <w:highlight w:val="none"/>
          <w:shd w:val="clear" w:color="auto" w:fill="auto"/>
        </w:rPr>
        <w:t>On the basis of screening</w:t>
      </w:r>
      <w:r>
        <w:rPr>
          <w:rFonts w:hint="default" w:ascii="Times New Roman" w:hAnsi="Times New Roman" w:cs="Times New Roman"/>
          <w:color w:val="auto"/>
          <w:kern w:val="2"/>
          <w:sz w:val="21"/>
          <w:szCs w:val="21"/>
          <w:highlight w:val="none"/>
        </w:rPr>
        <w:t xml:space="preserve"> the applicability of the constructed temperature vegetation drought index (</w:t>
      </w:r>
      <w:r>
        <w:rPr>
          <w:rFonts w:hint="default" w:ascii="Times New Roman" w:hAnsi="Times New Roman" w:cs="Times New Roman"/>
          <w:i/>
          <w:iCs/>
          <w:color w:val="auto"/>
          <w:kern w:val="2"/>
          <w:sz w:val="21"/>
          <w:szCs w:val="21"/>
          <w:highlight w:val="none"/>
        </w:rPr>
        <w:t>TVDI</w:t>
      </w:r>
      <w:r>
        <w:rPr>
          <w:rFonts w:hint="default" w:ascii="Times New Roman" w:hAnsi="Times New Roman" w:cs="Times New Roman"/>
          <w:color w:val="auto"/>
          <w:kern w:val="2"/>
          <w:sz w:val="21"/>
          <w:szCs w:val="21"/>
          <w:highlight w:val="none"/>
        </w:rPr>
        <w:t>) and vegetation health index (</w:t>
      </w:r>
      <w:r>
        <w:rPr>
          <w:rFonts w:hint="default" w:ascii="Times New Roman" w:hAnsi="Times New Roman" w:cs="Times New Roman"/>
          <w:i/>
          <w:iCs/>
          <w:color w:val="auto"/>
          <w:kern w:val="2"/>
          <w:sz w:val="21"/>
          <w:szCs w:val="21"/>
          <w:highlight w:val="none"/>
        </w:rPr>
        <w:t>VHI</w:t>
      </w:r>
      <w:r>
        <w:rPr>
          <w:rFonts w:hint="default" w:ascii="Times New Roman" w:hAnsi="Times New Roman" w:cs="Times New Roman"/>
          <w:color w:val="auto"/>
          <w:kern w:val="2"/>
          <w:sz w:val="21"/>
          <w:szCs w:val="21"/>
          <w:highlight w:val="none"/>
        </w:rPr>
        <w:t xml:space="preserve">), the spatiotemporal variation </w:t>
      </w:r>
      <w:r>
        <w:rPr>
          <w:rFonts w:hint="default" w:ascii="Times New Roman" w:hAnsi="Times New Roman" w:cs="Times New Roman"/>
          <w:color w:val="auto"/>
          <w:kern w:val="2"/>
          <w:sz w:val="21"/>
          <w:szCs w:val="21"/>
          <w:highlight w:val="none"/>
          <w:lang w:val="en-US" w:eastAsia="zh-CN"/>
        </w:rPr>
        <w:t xml:space="preserve">patterns </w:t>
      </w:r>
      <w:r>
        <w:rPr>
          <w:rFonts w:hint="default" w:ascii="Times New Roman" w:hAnsi="Times New Roman" w:cs="Times New Roman"/>
          <w:color w:val="auto"/>
          <w:kern w:val="2"/>
          <w:sz w:val="21"/>
          <w:szCs w:val="21"/>
          <w:highlight w:val="none"/>
        </w:rPr>
        <w:t>of ecological drought and the time</w:t>
      </w:r>
      <w:r>
        <w:rPr>
          <w:rFonts w:hint="default" w:ascii="Times New Roman" w:hAnsi="Times New Roman" w:cs="Times New Roman"/>
          <w:color w:val="auto"/>
          <w:kern w:val="2"/>
          <w:sz w:val="21"/>
          <w:szCs w:val="21"/>
          <w:highlight w:val="none"/>
          <w:lang w:val="en-US" w:eastAsia="zh-CN"/>
        </w:rPr>
        <w:t xml:space="preserve"> </w:t>
      </w:r>
      <w:r>
        <w:rPr>
          <w:rFonts w:hint="default" w:ascii="Times New Roman" w:hAnsi="Times New Roman" w:cs="Times New Roman"/>
          <w:color w:val="auto"/>
          <w:kern w:val="2"/>
          <w:sz w:val="21"/>
          <w:szCs w:val="21"/>
          <w:highlight w:val="none"/>
        </w:rPr>
        <w:t xml:space="preserve">lag and cumulative response mechanisms of </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 xml:space="preserve"> to ecological drought were revealed by combining </w:t>
      </w:r>
      <w:r>
        <w:rPr>
          <w:rFonts w:hint="default" w:ascii="Times New Roman" w:hAnsi="Times New Roman" w:cs="Times New Roman"/>
          <w:i/>
          <w:color w:val="auto"/>
          <w:kern w:val="2"/>
          <w:sz w:val="21"/>
          <w:szCs w:val="21"/>
          <w:highlight w:val="none"/>
        </w:rPr>
        <w:t>WUE</w:t>
      </w:r>
      <w:r>
        <w:rPr>
          <w:rFonts w:hint="default" w:ascii="Times New Roman" w:hAnsi="Times New Roman" w:cs="Times New Roman"/>
          <w:color w:val="auto"/>
          <w:kern w:val="2"/>
          <w:sz w:val="21"/>
          <w:szCs w:val="21"/>
          <w:highlight w:val="none"/>
        </w:rPr>
        <w:t xml:space="preserve">. [Results] The results showed that: (1) </w:t>
      </w:r>
      <w:r>
        <w:rPr>
          <w:rFonts w:hint="default" w:ascii="Times New Roman" w:hAnsi="Times New Roman" w:cs="Times New Roman"/>
          <w:color w:val="auto"/>
          <w:kern w:val="2"/>
          <w:sz w:val="21"/>
          <w:szCs w:val="21"/>
          <w:highlight w:val="none"/>
          <w:lang w:val="en-US" w:eastAsia="zh-CN"/>
        </w:rPr>
        <w:t>t</w:t>
      </w:r>
      <w:r>
        <w:rPr>
          <w:rFonts w:hint="default" w:ascii="Times New Roman" w:hAnsi="Times New Roman" w:cs="Times New Roman"/>
          <w:color w:val="auto"/>
          <w:kern w:val="2"/>
          <w:sz w:val="21"/>
          <w:szCs w:val="21"/>
          <w:highlight w:val="none"/>
        </w:rPr>
        <w:t xml:space="preserve">he </w:t>
      </w:r>
      <w:r>
        <w:rPr>
          <w:rFonts w:hint="default" w:ascii="Times New Roman" w:hAnsi="Times New Roman" w:cs="Times New Roman"/>
          <w:i/>
          <w:iCs/>
          <w:color w:val="auto"/>
          <w:kern w:val="2"/>
          <w:sz w:val="21"/>
          <w:szCs w:val="21"/>
          <w:highlight w:val="none"/>
        </w:rPr>
        <w:t>TVDI</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show</w:t>
      </w:r>
      <w:r>
        <w:rPr>
          <w:rFonts w:hint="default" w:ascii="Times New Roman" w:hAnsi="Times New Roman" w:cs="Times New Roman"/>
          <w:color w:val="auto"/>
          <w:kern w:val="2"/>
          <w:sz w:val="21"/>
          <w:szCs w:val="21"/>
          <w:highlight w:val="none"/>
          <w:lang w:val="en-US" w:eastAsia="zh-CN"/>
        </w:rPr>
        <w:t>ed</w:t>
      </w:r>
      <w:r>
        <w:rPr>
          <w:rFonts w:hint="default" w:ascii="Times New Roman" w:hAnsi="Times New Roman" w:cs="Times New Roman"/>
          <w:color w:val="auto"/>
          <w:kern w:val="2"/>
          <w:sz w:val="21"/>
          <w:szCs w:val="21"/>
          <w:highlight w:val="none"/>
        </w:rPr>
        <w:t xml:space="preserve"> superior performance</w:t>
      </w:r>
      <w:r>
        <w:rPr>
          <w:rFonts w:hint="default" w:ascii="Times New Roman" w:hAnsi="Times New Roman" w:cs="Times New Roman"/>
          <w:color w:val="auto"/>
          <w:kern w:val="2"/>
          <w:sz w:val="21"/>
          <w:szCs w:val="21"/>
          <w:highlight w:val="none"/>
        </w:rPr>
        <w:t xml:space="preserve"> in monitoring ecological drought in Xinjiang, </w:t>
      </w:r>
      <w:r>
        <w:rPr>
          <w:rFonts w:hint="default" w:ascii="Times New Roman" w:hAnsi="Times New Roman" w:cs="Times New Roman"/>
          <w:color w:val="auto"/>
          <w:kern w:val="2"/>
          <w:sz w:val="21"/>
          <w:szCs w:val="21"/>
          <w:highlight w:val="none"/>
          <w:shd w:val="clear" w:color="auto" w:fill="auto"/>
        </w:rPr>
        <w:t>characterized by</w:t>
      </w:r>
      <w:r>
        <w:rPr>
          <w:rFonts w:hint="default" w:ascii="Times New Roman" w:hAnsi="Times New Roman" w:cs="Times New Roman"/>
          <w:color w:val="auto"/>
          <w:kern w:val="2"/>
          <w:sz w:val="21"/>
          <w:szCs w:val="21"/>
          <w:highlight w:val="none"/>
        </w:rPr>
        <w:t xml:space="preserve"> climatic differentiation. Over the past 23 years, ecological drought in Xinjiang exhibited a pattern of “high in the south and low in the north”, with an overall alleviating trend. (2) </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 xml:space="preserve"> showed a</w:t>
      </w:r>
      <w:r>
        <w:rPr>
          <w:rFonts w:hint="default" w:ascii="Times New Roman" w:hAnsi="Times New Roman" w:cs="Times New Roman"/>
          <w:color w:val="auto"/>
          <w:kern w:val="2"/>
          <w:sz w:val="21"/>
          <w:szCs w:val="21"/>
          <w:highlight w:val="none"/>
          <w:lang w:val="en-US" w:eastAsia="zh-CN"/>
        </w:rPr>
        <w:t>n</w:t>
      </w:r>
      <w:r>
        <w:rPr>
          <w:rFonts w:hint="default" w:ascii="Times New Roman" w:hAnsi="Times New Roman" w:cs="Times New Roman"/>
          <w:color w:val="auto"/>
          <w:kern w:val="2"/>
          <w:sz w:val="21"/>
          <w:szCs w:val="21"/>
          <w:highlight w:val="none"/>
        </w:rPr>
        <w:t xml:space="preserve"> overall decreasing trend, and its distribution was related to altitude. In 89.38% of the study area, ecological drought was positively correlated with </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 xml:space="preserve">. (3) The average lag time and cumulative time of ecological drought on </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 xml:space="preserve"> were 4.26 months and 4.51 months, respectively. Cropland responded most sensitively, whereas forestland responded most slowly. [Conclusion] The</w:t>
      </w:r>
      <w:r>
        <w:rPr>
          <w:rFonts w:hint="default" w:ascii="Times New Roman" w:hAnsi="Times New Roman" w:cs="Times New Roman"/>
          <w:color w:val="auto"/>
          <w:kern w:val="2"/>
          <w:sz w:val="21"/>
          <w:szCs w:val="21"/>
          <w:highlight w:val="none"/>
          <w:lang w:val="en-US" w:eastAsia="zh-CN"/>
        </w:rPr>
        <w:t xml:space="preserve"> findings reveal the</w:t>
      </w:r>
      <w:r>
        <w:rPr>
          <w:rFonts w:hint="default" w:ascii="Times New Roman" w:hAnsi="Times New Roman" w:cs="Times New Roman"/>
          <w:color w:val="auto"/>
          <w:kern w:val="2"/>
          <w:sz w:val="21"/>
          <w:szCs w:val="21"/>
          <w:highlight w:val="none"/>
        </w:rPr>
        <w:t xml:space="preserve"> spatiotemporal evolution </w:t>
      </w:r>
      <w:r>
        <w:rPr>
          <w:rFonts w:hint="default" w:ascii="Times New Roman" w:hAnsi="Times New Roman" w:cs="Times New Roman"/>
          <w:color w:val="auto"/>
          <w:kern w:val="2"/>
          <w:sz w:val="21"/>
          <w:szCs w:val="21"/>
          <w:highlight w:val="none"/>
          <w:lang w:val="en-US" w:eastAsia="zh-CN"/>
        </w:rPr>
        <w:t xml:space="preserve">patterns </w:t>
      </w:r>
      <w:r>
        <w:rPr>
          <w:rFonts w:hint="default" w:ascii="Times New Roman" w:hAnsi="Times New Roman" w:cs="Times New Roman"/>
          <w:color w:val="auto"/>
          <w:kern w:val="2"/>
          <w:sz w:val="21"/>
          <w:szCs w:val="21"/>
          <w:highlight w:val="none"/>
        </w:rPr>
        <w:t xml:space="preserve">and response mechanisms of ecological drought and vegetation water use efficiency in Xinjiang, </w:t>
      </w:r>
      <w:r>
        <w:rPr>
          <w:rFonts w:hint="default" w:ascii="Times New Roman" w:hAnsi="Times New Roman" w:cs="Times New Roman"/>
          <w:color w:val="auto"/>
          <w:kern w:val="2"/>
          <w:sz w:val="21"/>
          <w:szCs w:val="21"/>
          <w:highlight w:val="none"/>
          <w:lang w:val="en-US" w:eastAsia="zh-CN"/>
        </w:rPr>
        <w:t xml:space="preserve">clarify </w:t>
      </w:r>
      <w:r>
        <w:rPr>
          <w:rFonts w:hint="default" w:ascii="Times New Roman" w:hAnsi="Times New Roman" w:cs="Times New Roman"/>
          <w:color w:val="auto"/>
          <w:kern w:val="2"/>
          <w:sz w:val="21"/>
          <w:szCs w:val="21"/>
          <w:highlight w:val="none"/>
        </w:rPr>
        <w:t>the differences in the response of different vegetation types to drought</w:t>
      </w:r>
      <w:r>
        <w:rPr>
          <w:rFonts w:hint="default" w:ascii="Times New Roman" w:hAnsi="Times New Roman" w:cs="Times New Roman"/>
          <w:color w:val="auto"/>
          <w:kern w:val="2"/>
          <w:sz w:val="21"/>
          <w:szCs w:val="21"/>
          <w:highlight w:val="none"/>
          <w:lang w:val="en-US" w:eastAsia="zh-CN"/>
        </w:rPr>
        <w:t xml:space="preserve">, and </w:t>
      </w:r>
      <w:r>
        <w:rPr>
          <w:rFonts w:hint="default" w:ascii="Times New Roman" w:hAnsi="Times New Roman" w:cs="Times New Roman"/>
          <w:color w:val="auto"/>
          <w:kern w:val="2"/>
          <w:sz w:val="21"/>
          <w:szCs w:val="21"/>
          <w:highlight w:val="none"/>
        </w:rPr>
        <w:t xml:space="preserve">provide a scientific basis for the construction of ecological security barriers, the optimal allocation of water resources, and ecological risk management in arid </w:t>
      </w:r>
      <w:r>
        <w:rPr>
          <w:rFonts w:hint="default" w:ascii="Times New Roman" w:hAnsi="Times New Roman" w:cs="Times New Roman"/>
          <w:color w:val="auto"/>
          <w:kern w:val="2"/>
          <w:sz w:val="21"/>
          <w:szCs w:val="21"/>
          <w:highlight w:val="none"/>
          <w:lang w:val="en-US" w:eastAsia="zh-CN"/>
        </w:rPr>
        <w:t>regions</w:t>
      </w:r>
      <w:r>
        <w:rPr>
          <w:rFonts w:hint="default" w:ascii="Times New Roman" w:hAnsi="Times New Roman" w:cs="Times New Roman"/>
          <w:color w:val="auto"/>
          <w:kern w:val="2"/>
          <w:sz w:val="21"/>
          <w:szCs w:val="21"/>
          <w:highlight w:val="none"/>
        </w:rPr>
        <w:t>.</w:t>
      </w:r>
    </w:p>
    <w:p w14:paraId="24DAEDDB">
      <w:pPr>
        <w:pStyle w:val="12"/>
        <w:widowControl/>
        <w:shd w:val="clear" w:color="auto" w:fill="FFFFFF"/>
        <w:spacing w:before="192" w:beforeAutospacing="0" w:after="192" w:afterAutospacing="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kern w:val="2"/>
          <w:sz w:val="21"/>
          <w:szCs w:val="21"/>
          <w:highlight w:val="none"/>
        </w:rPr>
        <w:t>Keywords</w:t>
      </w:r>
      <w:r>
        <w:rPr>
          <w:rFonts w:hint="default" w:ascii="Times New Roman" w:hAnsi="Times New Roman" w:cs="Times New Roman"/>
          <w:b/>
          <w:bCs/>
          <w:color w:val="auto"/>
          <w:kern w:val="2"/>
          <w:sz w:val="21"/>
          <w:szCs w:val="21"/>
          <w:highlight w:val="none"/>
        </w:rPr>
        <w:t>：</w:t>
      </w:r>
      <w:r>
        <w:rPr>
          <w:rFonts w:hint="default" w:ascii="Times New Roman" w:hAnsi="Times New Roman" w:cs="Times New Roman"/>
          <w:color w:val="auto"/>
          <w:kern w:val="2"/>
          <w:sz w:val="21"/>
          <w:szCs w:val="21"/>
          <w:highlight w:val="none"/>
        </w:rPr>
        <w:t>e</w:t>
      </w:r>
      <w:r>
        <w:rPr>
          <w:rFonts w:hint="default" w:ascii="Times New Roman" w:hAnsi="Times New Roman" w:cs="Times New Roman"/>
          <w:color w:val="auto"/>
          <w:kern w:val="2"/>
          <w:sz w:val="21"/>
          <w:szCs w:val="21"/>
          <w:highlight w:val="none"/>
        </w:rPr>
        <w:t xml:space="preserve">cological </w:t>
      </w:r>
      <w:r>
        <w:rPr>
          <w:rFonts w:hint="default" w:ascii="Times New Roman" w:hAnsi="Times New Roman" w:cs="Times New Roman"/>
          <w:color w:val="auto"/>
          <w:kern w:val="2"/>
          <w:sz w:val="21"/>
          <w:szCs w:val="21"/>
          <w:highlight w:val="none"/>
        </w:rPr>
        <w:t>d</w:t>
      </w:r>
      <w:r>
        <w:rPr>
          <w:rFonts w:hint="default" w:ascii="Times New Roman" w:hAnsi="Times New Roman" w:cs="Times New Roman"/>
          <w:color w:val="auto"/>
          <w:kern w:val="2"/>
          <w:sz w:val="21"/>
          <w:szCs w:val="21"/>
          <w:highlight w:val="none"/>
        </w:rPr>
        <w:t>rought</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w</w:t>
      </w:r>
      <w:r>
        <w:rPr>
          <w:rFonts w:hint="default" w:ascii="Times New Roman" w:hAnsi="Times New Roman" w:cs="Times New Roman"/>
          <w:color w:val="auto"/>
          <w:kern w:val="2"/>
          <w:sz w:val="21"/>
          <w:szCs w:val="21"/>
          <w:highlight w:val="none"/>
        </w:rPr>
        <w:t xml:space="preserve">ater </w:t>
      </w:r>
      <w:r>
        <w:rPr>
          <w:rFonts w:hint="default" w:ascii="Times New Roman" w:hAnsi="Times New Roman" w:cs="Times New Roman"/>
          <w:color w:val="auto"/>
          <w:kern w:val="2"/>
          <w:sz w:val="21"/>
          <w:szCs w:val="21"/>
          <w:highlight w:val="none"/>
        </w:rPr>
        <w:t>u</w:t>
      </w:r>
      <w:r>
        <w:rPr>
          <w:rFonts w:hint="default" w:ascii="Times New Roman" w:hAnsi="Times New Roman" w:cs="Times New Roman"/>
          <w:color w:val="auto"/>
          <w:kern w:val="2"/>
          <w:sz w:val="21"/>
          <w:szCs w:val="21"/>
          <w:highlight w:val="none"/>
        </w:rPr>
        <w:t xml:space="preserve">se </w:t>
      </w:r>
      <w:r>
        <w:rPr>
          <w:rFonts w:hint="default" w:ascii="Times New Roman" w:hAnsi="Times New Roman" w:cs="Times New Roman"/>
          <w:color w:val="auto"/>
          <w:kern w:val="2"/>
          <w:sz w:val="21"/>
          <w:szCs w:val="21"/>
          <w:highlight w:val="none"/>
        </w:rPr>
        <w:t>e</w:t>
      </w:r>
      <w:r>
        <w:rPr>
          <w:rFonts w:hint="default" w:ascii="Times New Roman" w:hAnsi="Times New Roman" w:cs="Times New Roman"/>
          <w:color w:val="auto"/>
          <w:kern w:val="2"/>
          <w:sz w:val="21"/>
          <w:szCs w:val="21"/>
          <w:highlight w:val="none"/>
        </w:rPr>
        <w:t xml:space="preserve">fficiency; </w:t>
      </w:r>
      <w:r>
        <w:rPr>
          <w:rFonts w:hint="default" w:ascii="Times New Roman" w:hAnsi="Times New Roman" w:cs="Times New Roman"/>
          <w:color w:val="auto"/>
          <w:kern w:val="2"/>
          <w:sz w:val="21"/>
          <w:szCs w:val="21"/>
          <w:highlight w:val="none"/>
        </w:rPr>
        <w:t xml:space="preserve">spatiotemporal </w:t>
      </w:r>
      <w:r>
        <w:rPr>
          <w:rFonts w:hint="default" w:ascii="Times New Roman" w:hAnsi="Times New Roman" w:cs="Times New Roman"/>
          <w:color w:val="auto"/>
          <w:kern w:val="2"/>
          <w:sz w:val="21"/>
          <w:szCs w:val="21"/>
          <w:highlight w:val="none"/>
        </w:rPr>
        <w:t>distribution</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vegetation response</w:t>
      </w:r>
      <w:r>
        <w:rPr>
          <w:rFonts w:hint="default" w:ascii="Times New Roman" w:hAnsi="Times New Roman" w:cs="Times New Roman"/>
          <w:color w:val="auto"/>
          <w:kern w:val="2"/>
          <w:sz w:val="21"/>
          <w:szCs w:val="21"/>
          <w:highlight w:val="none"/>
        </w:rPr>
        <w:t>; Xinjiang</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time lag analysis</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cumulative effect</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influencing factors</w:t>
      </w:r>
    </w:p>
    <w:p w14:paraId="519C4650">
      <w:pPr>
        <w:adjustRightInd w:val="0"/>
        <w:snapToGrid w:val="0"/>
        <w:jc w:val="left"/>
        <w:outlineLvl w:val="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0 引言</w:t>
      </w:r>
    </w:p>
    <w:p w14:paraId="7BBA0658">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生态系统通过物质循环与能量流动，为人类社会提供气候调节、水源涵养、土壤保育、生物多样性维持和食物供给等不可或缺的关键服务，是可持续发展的基石</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。其中，植被作为生态系统的核心组分，是能量流动的起点和物质循环的关键枢纽，其状态直接决定着生态系统的结构、功能与服务能力</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。然而，全球气候变化的加剧与人类活动强度的持续增长对生态系统的稳定性造成严重冲击。在诸多环境胁迫因子中，气候变化是生态系统扰动最广泛、最深远的驱动力</w:t>
      </w:r>
      <w:r>
        <w:rPr>
          <w:rFonts w:hint="default" w:ascii="Times New Roman" w:hAnsi="Times New Roman" w:cs="Times New Roman"/>
          <w:color w:val="auto"/>
          <w:szCs w:val="21"/>
          <w:highlight w:val="none"/>
          <w:vertAlign w:val="superscript"/>
        </w:rPr>
        <w:t>[4-5]</w:t>
      </w:r>
      <w:r>
        <w:rPr>
          <w:rFonts w:hint="default" w:ascii="Times New Roman" w:hAnsi="Times New Roman" w:cs="Times New Roman"/>
          <w:color w:val="auto"/>
          <w:szCs w:val="21"/>
          <w:highlight w:val="none"/>
        </w:rPr>
        <w:t>。 气候变化导致极端事件频现、频发，这些驱动要素对生态系统、植被等造成剧烈的干扰与损害</w:t>
      </w:r>
      <w:r>
        <w:rPr>
          <w:rFonts w:hint="default" w:ascii="Times New Roman" w:hAnsi="Times New Roman" w:cs="Times New Roman"/>
          <w:color w:val="auto"/>
          <w:szCs w:val="21"/>
          <w:highlight w:val="none"/>
          <w:vertAlign w:val="superscript"/>
        </w:rPr>
        <w:t>[6]</w:t>
      </w:r>
      <w:r>
        <w:rPr>
          <w:rFonts w:hint="default" w:ascii="Times New Roman" w:hAnsi="Times New Roman" w:cs="Times New Roman"/>
          <w:color w:val="auto"/>
          <w:szCs w:val="21"/>
          <w:highlight w:val="none"/>
        </w:rPr>
        <w:t>。在各类极端事件中，干旱对植被的胁迫最为直接且影响最为深远</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为科学评估区域生态风险、制定精准有效的干旱应对策略，提升生态系统韧性以保障其服务功能的可持续性，深入探究植被对干旱胁迫的响应及其适应机制，为精准、靶向干预植被的生长、生态环境的改善与生态文明建设成效的巩固等具有至关重要的意义。</w:t>
      </w:r>
    </w:p>
    <w:p w14:paraId="2DEE7E0E">
      <w:pPr>
        <w:ind w:firstLine="420" w:firstLineChars="20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rPr>
        <w:t>为合理评估干旱对生态系统的影响，更好地理清干旱胁迫下生态系统的异常机理，生态干旱的概念应运而生</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vertAlign w:val="superscript"/>
        </w:rPr>
        <w:t>-9]</w:t>
      </w:r>
      <w:r>
        <w:rPr>
          <w:rFonts w:hint="default" w:ascii="Times New Roman" w:hAnsi="Times New Roman" w:cs="Times New Roman"/>
          <w:color w:val="auto"/>
          <w:szCs w:val="21"/>
          <w:highlight w:val="none"/>
        </w:rPr>
        <w:t>。生态干旱指由水分短缺引起的生态系统结构与功能受损的状态，它不仅关注气象或水文意义上的缺水，更强调这种缺水对植被生长、生产力、物种组成及生态系统服务等造成的实质性影响</w:t>
      </w:r>
      <w:r>
        <w:rPr>
          <w:rFonts w:hint="default" w:ascii="Times New Roman" w:hAnsi="Times New Roman" w:cs="Times New Roman"/>
          <w:color w:val="auto"/>
          <w:szCs w:val="21"/>
          <w:highlight w:val="none"/>
          <w:vertAlign w:val="superscript"/>
        </w:rPr>
        <w:t>[9]</w:t>
      </w:r>
      <w:r>
        <w:rPr>
          <w:rFonts w:hint="default" w:ascii="Times New Roman" w:hAnsi="Times New Roman" w:cs="Times New Roman"/>
          <w:color w:val="auto"/>
          <w:szCs w:val="21"/>
          <w:highlight w:val="none"/>
        </w:rPr>
        <w:t>。为合理量化生态干旱的程度，不同学者综合多学科理论、多方法研发了不同多元化的生态干旱指数，其主要可分为单一类型干旱指数和综合干旱指数两大类。单一类型干旱指数主要是考虑影响生态的单一核心要素构建生态干旱指数，主要有归一化植被指数（</w:t>
      </w:r>
      <w:r>
        <w:rPr>
          <w:rFonts w:hint="default" w:ascii="Times New Roman" w:hAnsi="Times New Roman" w:eastAsia="Segoe UI" w:cs="Times New Roman"/>
          <w:color w:val="auto"/>
          <w:szCs w:val="21"/>
          <w:highlight w:val="none"/>
          <w:shd w:val="clear" w:color="auto" w:fill="FFFFFF"/>
        </w:rPr>
        <w:t>Normalized Difference Vegetation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[10]</w:t>
      </w:r>
      <w:r>
        <w:rPr>
          <w:rFonts w:hint="default" w:ascii="Times New Roman" w:hAnsi="Times New Roman" w:cs="Times New Roman"/>
          <w:color w:val="auto"/>
          <w:szCs w:val="21"/>
          <w:highlight w:val="none"/>
        </w:rPr>
        <w:t>、植被状况指数（</w:t>
      </w:r>
      <w:r>
        <w:rPr>
          <w:rFonts w:hint="default" w:ascii="Times New Roman" w:hAnsi="Times New Roman" w:eastAsia="Segoe UI" w:cs="Times New Roman"/>
          <w:color w:val="auto"/>
          <w:szCs w:val="21"/>
          <w:highlight w:val="none"/>
          <w:shd w:val="clear" w:color="auto" w:fill="FFFFFF"/>
        </w:rPr>
        <w:t>Vegetation Condition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VCI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[11]</w:t>
      </w:r>
      <w:r>
        <w:rPr>
          <w:rFonts w:hint="default" w:ascii="Times New Roman" w:hAnsi="Times New Roman" w:cs="Times New Roman"/>
          <w:color w:val="auto"/>
          <w:szCs w:val="21"/>
          <w:highlight w:val="none"/>
        </w:rPr>
        <w:t>、温度状况指数（</w:t>
      </w:r>
      <w:r>
        <w:rPr>
          <w:rFonts w:hint="default" w:ascii="Times New Roman" w:hAnsi="Times New Roman" w:eastAsia="Segoe UI" w:cs="Times New Roman"/>
          <w:color w:val="auto"/>
          <w:szCs w:val="21"/>
          <w:highlight w:val="none"/>
          <w:shd w:val="clear" w:color="auto" w:fill="FFFFFF"/>
        </w:rPr>
        <w:t>Vegetation Condition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TCI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[12]</w:t>
      </w:r>
      <w:r>
        <w:rPr>
          <w:rFonts w:hint="default" w:ascii="Times New Roman" w:hAnsi="Times New Roman" w:cs="Times New Roman"/>
          <w:color w:val="auto"/>
          <w:szCs w:val="21"/>
          <w:highlight w:val="none"/>
        </w:rPr>
        <w:t>、标准化土壤湿度指数（</w:t>
      </w:r>
      <w:r>
        <w:rPr>
          <w:rFonts w:hint="default" w:ascii="Times New Roman" w:hAnsi="Times New Roman" w:eastAsia="Segoe UI" w:cs="Times New Roman"/>
          <w:color w:val="auto"/>
          <w:szCs w:val="21"/>
          <w:highlight w:val="none"/>
          <w:shd w:val="clear" w:color="auto" w:fill="FFFFFF"/>
        </w:rPr>
        <w:t>Standardized Soil Moisture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SSMI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[13]</w:t>
      </w:r>
      <w:r>
        <w:rPr>
          <w:rFonts w:hint="default" w:ascii="Times New Roman" w:hAnsi="Times New Roman" w:cs="Times New Roman"/>
          <w:color w:val="auto"/>
          <w:szCs w:val="21"/>
          <w:highlight w:val="none"/>
        </w:rPr>
        <w:t>等，其因计算方法相对简单、数据获取便利而得到广泛应用，为初步识别生态干旱提供了重要依据。然而，这类指数仅依赖单一数据源，难以全面刻画干旱过程的复杂性和多面性，无法有效监测复杂情况下的生态干旱状态及其综合影响，比如</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VCI</w:t>
      </w:r>
      <w:r>
        <w:rPr>
          <w:rFonts w:hint="default" w:ascii="Times New Roman" w:hAnsi="Times New Roman" w:cs="Times New Roman"/>
          <w:color w:val="auto"/>
          <w:szCs w:val="21"/>
          <w:highlight w:val="none"/>
        </w:rPr>
        <w:t>等植被指数本身是反映植被生长状况的指标，虽可通过植被异常间接指示干旱，但并非专门为衡量干旱程度而设计；在实际应用中，它们常作为干旱监测的辅助指标，需结合其他水文气象数据共同使用，以便更准确地表征生态干旱。为克服单一指数的不足，综合生态多影响因素的综合干旱指数相继被提出，主要有温度植被干旱指数（</w:t>
      </w:r>
      <w:r>
        <w:rPr>
          <w:rFonts w:hint="default" w:ascii="Times New Roman" w:hAnsi="Times New Roman" w:eastAsia="Segoe UI" w:cs="Times New Roman"/>
          <w:color w:val="auto"/>
          <w:szCs w:val="21"/>
          <w:highlight w:val="none"/>
          <w:shd w:val="clear" w:color="auto" w:fill="FFFFFF"/>
        </w:rPr>
        <w:t>Temperature Vegetation Dryness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[14]</w:t>
      </w:r>
      <w:r>
        <w:rPr>
          <w:rFonts w:hint="default" w:ascii="Times New Roman" w:hAnsi="Times New Roman" w:cs="Times New Roman"/>
          <w:color w:val="auto"/>
          <w:szCs w:val="21"/>
          <w:highlight w:val="none"/>
        </w:rPr>
        <w:t>、帕尔默干旱指数（</w:t>
      </w:r>
      <w:r>
        <w:rPr>
          <w:rFonts w:hint="default" w:ascii="Times New Roman" w:hAnsi="Times New Roman" w:eastAsia="Segoe UI" w:cs="Times New Roman"/>
          <w:color w:val="auto"/>
          <w:szCs w:val="21"/>
          <w:highlight w:val="none"/>
          <w:shd w:val="clear" w:color="auto" w:fill="FFFFFF"/>
        </w:rPr>
        <w:t>Palmer Drought Severity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PDSI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[15]</w:t>
      </w:r>
      <w:r>
        <w:rPr>
          <w:rFonts w:hint="default" w:ascii="Times New Roman" w:hAnsi="Times New Roman" w:cs="Times New Roman"/>
          <w:color w:val="auto"/>
          <w:szCs w:val="21"/>
          <w:highlight w:val="none"/>
        </w:rPr>
        <w:t>、蒸发胁迫指数（</w:t>
      </w:r>
      <w:r>
        <w:rPr>
          <w:rFonts w:hint="default" w:ascii="Times New Roman" w:hAnsi="Times New Roman" w:eastAsia="Segoe UI" w:cs="Times New Roman"/>
          <w:color w:val="auto"/>
          <w:szCs w:val="21"/>
          <w:highlight w:val="none"/>
          <w:shd w:val="clear" w:color="auto" w:fill="FFFFFF"/>
        </w:rPr>
        <w:t>Evaporative Stress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ESI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[16]</w:t>
      </w:r>
      <w:r>
        <w:rPr>
          <w:rFonts w:hint="default" w:ascii="Times New Roman" w:hAnsi="Times New Roman" w:cs="Times New Roman"/>
          <w:color w:val="auto"/>
          <w:szCs w:val="21"/>
          <w:highlight w:val="none"/>
        </w:rPr>
        <w:t>、标准化缺水指数（</w:t>
      </w:r>
      <w:r>
        <w:rPr>
          <w:rStyle w:val="17"/>
          <w:rFonts w:hint="default" w:ascii="Times New Roman" w:hAnsi="Times New Roman" w:eastAsia="Segoe UI" w:cs="Times New Roman"/>
          <w:b w:val="0"/>
          <w:color w:val="auto"/>
          <w:szCs w:val="21"/>
          <w:highlight w:val="none"/>
          <w:shd w:val="clear" w:color="auto" w:fill="FFFFFF"/>
        </w:rPr>
        <w:t>Standardized Evapotranspiration Water Deficit Index</w:t>
      </w:r>
      <w:r>
        <w:rPr>
          <w:rStyle w:val="17"/>
          <w:rFonts w:hint="default" w:ascii="Times New Roman" w:hAnsi="Times New Roman" w:cs="Times New Roman"/>
          <w:bCs/>
          <w:color w:val="auto"/>
          <w:szCs w:val="21"/>
          <w:highlight w:val="none"/>
          <w:shd w:val="clear" w:color="auto" w:fill="FFFFFF"/>
        </w:rPr>
        <w:t>，</w:t>
      </w:r>
      <w:r>
        <w:rPr>
          <w:rFonts w:hint="default" w:ascii="Times New Roman" w:hAnsi="Times New Roman" w:cs="Times New Roman"/>
          <w:i/>
          <w:iCs/>
          <w:color w:val="auto"/>
          <w:szCs w:val="21"/>
          <w:highlight w:val="none"/>
        </w:rPr>
        <w:t>SEWDI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[17]</w:t>
      </w:r>
      <w:r>
        <w:rPr>
          <w:rFonts w:hint="default" w:ascii="Times New Roman" w:hAnsi="Times New Roman" w:cs="Times New Roman"/>
          <w:color w:val="auto"/>
          <w:szCs w:val="21"/>
          <w:highlight w:val="none"/>
        </w:rPr>
        <w:t>和植被健康指数（</w:t>
      </w:r>
      <w:r>
        <w:rPr>
          <w:rFonts w:hint="default" w:ascii="Times New Roman" w:hAnsi="Times New Roman" w:eastAsia="Segoe UI" w:cs="Times New Roman"/>
          <w:color w:val="auto"/>
          <w:szCs w:val="21"/>
          <w:highlight w:val="none"/>
          <w:shd w:val="clear" w:color="auto" w:fill="FFFFFF"/>
        </w:rPr>
        <w:t>Vegetation Health Index</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vertAlign w:val="superscript"/>
        </w:rPr>
        <w:t>[18]</w:t>
      </w:r>
      <w:r>
        <w:rPr>
          <w:rFonts w:hint="default" w:ascii="Times New Roman" w:hAnsi="Times New Roman" w:cs="Times New Roman"/>
          <w:color w:val="auto"/>
          <w:szCs w:val="21"/>
          <w:highlight w:val="none"/>
        </w:rPr>
        <w:t>等，</w:t>
      </w:r>
      <w:r>
        <w:rPr>
          <w:rFonts w:hint="default" w:ascii="Times New Roman" w:hAnsi="Times New Roman" w:cs="Times New Roman"/>
          <w:color w:val="auto"/>
          <w:szCs w:val="21"/>
          <w:highlight w:val="none"/>
        </w:rPr>
        <w:t>这些综合干旱指数为完善生态干旱评价体系提供了有效途径，但由于生态系统在结构、功能及稳定性上存在显著的区域异质性，综合指数在不同地区的适用性和评价效果存在显著差异，其普适性有待进一步验证</w:t>
      </w:r>
      <w:r>
        <w:rPr>
          <w:rFonts w:hint="default" w:ascii="Times New Roman" w:hAnsi="Times New Roman" w:cs="Times New Roman"/>
          <w:color w:val="auto"/>
          <w:szCs w:val="21"/>
          <w:highlight w:val="none"/>
          <w:vertAlign w:val="superscript"/>
        </w:rPr>
        <w:t>[19-20]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此外，植被是生态系统的重要组成部分，深入理解植被对生态干旱的响应机制是准确评估生态干旱影响的核心，植被水分利用效率（Water Use Efficiency，</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）是描述植被生长状态的关键量化指标</w:t>
      </w:r>
      <w:r>
        <w:rPr>
          <w:rFonts w:hint="default" w:ascii="Times New Roman" w:hAnsi="Times New Roman" w:cs="Times New Roman"/>
          <w:color w:val="auto"/>
          <w:szCs w:val="21"/>
          <w:highlight w:val="none"/>
          <w:vertAlign w:val="superscript"/>
        </w:rPr>
        <w:t>[21]</w:t>
      </w:r>
      <w:r>
        <w:rPr>
          <w:rFonts w:hint="default" w:ascii="Times New Roman" w:hAnsi="Times New Roman" w:cs="Times New Roman"/>
          <w:color w:val="auto"/>
          <w:szCs w:val="21"/>
          <w:highlight w:val="none"/>
        </w:rPr>
        <w:t>，不仅在全球气候变化中发挥重要作用，同时也容易受极端事件尤其是干旱的影响</w:t>
      </w:r>
      <w:r>
        <w:rPr>
          <w:rFonts w:hint="default" w:ascii="Times New Roman" w:hAnsi="Times New Roman" w:cs="Times New Roman"/>
          <w:color w:val="auto"/>
          <w:szCs w:val="21"/>
          <w:highlight w:val="none"/>
          <w:vertAlign w:val="superscript"/>
        </w:rPr>
        <w:t>[22]</w:t>
      </w:r>
      <w:r>
        <w:rPr>
          <w:rFonts w:hint="default" w:ascii="Times New Roman" w:hAnsi="Times New Roman" w:cs="Times New Roman"/>
          <w:color w:val="auto"/>
          <w:szCs w:val="21"/>
          <w:highlight w:val="none"/>
        </w:rPr>
        <w:t>。大量研究已证实，不同类型干旱对植被水分利用效率的影响机制复杂且具有显著的时空异质性</w:t>
      </w:r>
      <w:r>
        <w:rPr>
          <w:rFonts w:hint="default" w:ascii="Times New Roman" w:hAnsi="Times New Roman" w:cs="Times New Roman"/>
          <w:color w:val="auto"/>
          <w:szCs w:val="21"/>
          <w:highlight w:val="none"/>
          <w:vertAlign w:val="superscript"/>
        </w:rPr>
        <w:t>[23-24]</w:t>
      </w:r>
      <w:r>
        <w:rPr>
          <w:rFonts w:hint="default" w:ascii="Times New Roman" w:hAnsi="Times New Roman" w:cs="Times New Roman"/>
          <w:color w:val="auto"/>
          <w:szCs w:val="21"/>
          <w:highlight w:val="none"/>
        </w:rPr>
        <w:t>。这种影响常表现出滞后效应和累积效应</w:t>
      </w:r>
      <w:r>
        <w:rPr>
          <w:rFonts w:hint="default" w:ascii="Times New Roman" w:hAnsi="Times New Roman" w:cs="Times New Roman"/>
          <w:color w:val="auto"/>
          <w:szCs w:val="21"/>
          <w:highlight w:val="none"/>
          <w:vertAlign w:val="superscript"/>
        </w:rPr>
        <w:t>[25]</w:t>
      </w:r>
      <w:r>
        <w:rPr>
          <w:rFonts w:hint="default" w:ascii="Times New Roman" w:hAnsi="Times New Roman" w:cs="Times New Roman"/>
          <w:color w:val="auto"/>
          <w:szCs w:val="21"/>
          <w:highlight w:val="none"/>
        </w:rPr>
        <w:t>。例如，对于干旱区生态系统，水分利用效率常与干旱呈负效应；而在湿润区，这种关系则更为复杂，正负效应均出现</w:t>
      </w:r>
      <w:r>
        <w:rPr>
          <w:rFonts w:hint="default" w:ascii="Times New Roman" w:hAnsi="Times New Roman" w:cs="Times New Roman"/>
          <w:color w:val="auto"/>
          <w:szCs w:val="21"/>
          <w:highlight w:val="none"/>
          <w:vertAlign w:val="superscript"/>
        </w:rPr>
        <w:t>[26]</w:t>
      </w:r>
      <w:r>
        <w:rPr>
          <w:rFonts w:hint="default" w:ascii="Times New Roman" w:hAnsi="Times New Roman" w:cs="Times New Roman"/>
          <w:color w:val="auto"/>
          <w:szCs w:val="21"/>
          <w:highlight w:val="none"/>
        </w:rPr>
        <w:t>。以往研究多聚焦于气象干旱对水分利用效率的影响</w:t>
      </w:r>
      <w:r>
        <w:rPr>
          <w:rFonts w:hint="default" w:ascii="Times New Roman" w:hAnsi="Times New Roman" w:cs="Times New Roman"/>
          <w:color w:val="auto"/>
          <w:szCs w:val="21"/>
          <w:highlight w:val="none"/>
        </w:rPr>
        <w:t>，</w:t>
      </w:r>
      <w:r>
        <w:rPr>
          <w:rStyle w:val="17"/>
          <w:rFonts w:hint="default" w:ascii="Times New Roman" w:hAnsi="Times New Roman" w:cs="Times New Roman"/>
          <w:b w:val="0"/>
          <w:color w:val="auto"/>
          <w:szCs w:val="21"/>
          <w:highlight w:val="none"/>
          <w:shd w:val="clear" w:color="auto" w:fill="FFFFFF"/>
        </w:rPr>
        <w:t>近年来，研究开始关注生态干旱对</w:t>
      </w:r>
      <w:r>
        <w:rPr>
          <w:rStyle w:val="17"/>
          <w:rFonts w:hint="default" w:ascii="Times New Roman" w:hAnsi="Times New Roman" w:cs="Times New Roman"/>
          <w:b w:val="0"/>
          <w:i/>
          <w:iCs/>
          <w:color w:val="auto"/>
          <w:szCs w:val="21"/>
          <w:highlight w:val="none"/>
          <w:shd w:val="clear" w:color="auto" w:fill="FFFFFF"/>
        </w:rPr>
        <w:t>WUE</w:t>
      </w:r>
      <w:r>
        <w:rPr>
          <w:rStyle w:val="17"/>
          <w:rFonts w:hint="default" w:ascii="Times New Roman" w:hAnsi="Times New Roman" w:cs="Times New Roman"/>
          <w:b w:val="0"/>
          <w:color w:val="auto"/>
          <w:szCs w:val="21"/>
          <w:highlight w:val="none"/>
          <w:shd w:val="clear" w:color="auto" w:fill="FFFFFF"/>
        </w:rPr>
        <w:t>的影响，发现其在不同生态系统、不同干旱阶段中的作用存在差异，且遥感和模型融合分析为揭示其机制提供了新的视角</w:t>
      </w:r>
      <w:r>
        <w:rPr>
          <w:rStyle w:val="17"/>
          <w:rFonts w:hint="default" w:ascii="Times New Roman" w:hAnsi="Times New Roman" w:cs="Times New Roman"/>
          <w:b w:val="0"/>
          <w:color w:val="auto"/>
          <w:szCs w:val="21"/>
          <w:highlight w:val="none"/>
          <w:shd w:val="clear" w:color="auto" w:fill="FFFFFF"/>
          <w:vertAlign w:val="superscript"/>
        </w:rPr>
        <w:t>[</w:t>
      </w:r>
      <w:r>
        <w:rPr>
          <w:rStyle w:val="17"/>
          <w:rFonts w:hint="default" w:ascii="Times New Roman" w:hAnsi="Times New Roman" w:cs="Times New Roman"/>
          <w:b w:val="0"/>
          <w:color w:val="auto"/>
          <w:szCs w:val="21"/>
          <w:highlight w:val="none"/>
          <w:shd w:val="clear" w:color="auto" w:fill="FFFFFF"/>
          <w:vertAlign w:val="superscript"/>
        </w:rPr>
        <w:t>2</w:t>
      </w:r>
      <w:r>
        <w:rPr>
          <w:rStyle w:val="17"/>
          <w:rFonts w:hint="default" w:ascii="Times New Roman" w:hAnsi="Times New Roman" w:cs="Times New Roman"/>
          <w:b w:val="0"/>
          <w:color w:val="auto"/>
          <w:szCs w:val="21"/>
          <w:highlight w:val="none"/>
          <w:shd w:val="clear" w:color="auto" w:fill="FFFFFF"/>
          <w:vertAlign w:val="superscript"/>
        </w:rPr>
        <w:t>7</w:t>
      </w:r>
      <w:r>
        <w:rPr>
          <w:rStyle w:val="17"/>
          <w:rFonts w:hint="default" w:ascii="Times New Roman" w:hAnsi="Times New Roman" w:cs="Times New Roman"/>
          <w:b w:val="0"/>
          <w:color w:val="auto"/>
          <w:szCs w:val="21"/>
          <w:highlight w:val="none"/>
          <w:shd w:val="clear" w:color="auto" w:fill="FFFFFF"/>
          <w:vertAlign w:val="superscript"/>
        </w:rPr>
        <w:t>]</w:t>
      </w:r>
      <w:r>
        <w:rPr>
          <w:rStyle w:val="17"/>
          <w:rFonts w:hint="default" w:ascii="Times New Roman" w:hAnsi="Times New Roman" w:cs="Times New Roman"/>
          <w:b w:val="0"/>
          <w:color w:val="auto"/>
          <w:szCs w:val="21"/>
          <w:highlight w:val="none"/>
          <w:shd w:val="clear" w:color="auto" w:fill="FFFFFF"/>
        </w:rPr>
        <w:t>。</w:t>
      </w:r>
      <w:r>
        <w:rPr>
          <w:rFonts w:hint="default" w:ascii="Times New Roman" w:hAnsi="Times New Roman" w:cs="Times New Roman"/>
          <w:color w:val="auto"/>
          <w:szCs w:val="21"/>
          <w:highlight w:val="none"/>
        </w:rPr>
        <w:t>相比之下，对于生态干旱如何影响植被水分利用效率变化，特别是其中滞后响应和累积效应的时空异质性机制，目前研究仍存在明显不足。</w:t>
      </w:r>
    </w:p>
    <w:p w14:paraId="6AD78057">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新疆作为我国西北地区重要的生态安全屏障，其生态系统稳定性对区域可持续发展具有关键作用。本研究以新疆为研究区，采用归一化植被指数（</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）和地表温度（</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rPr>
        <w:t>）分别构建温度植被干旱指数（</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）和植被健康指数（</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shd w:val="clear" w:color="auto" w:fill="FFFFFF"/>
        </w:rPr>
        <w:t>基于标准化日光诱导叶绿素荧光指数（Standardized Sun/Solar-induced Chlorophyll Fluorescence，</w:t>
      </w:r>
      <w:r>
        <w:rPr>
          <w:rFonts w:hint="default" w:ascii="Times New Roman" w:hAnsi="Times New Roman" w:cs="Times New Roman"/>
          <w:i/>
          <w:iCs/>
          <w:color w:val="auto"/>
          <w:szCs w:val="21"/>
          <w:highlight w:val="none"/>
          <w:shd w:val="clear" w:color="auto" w:fill="FFFFFF"/>
        </w:rPr>
        <w:t>SSIF</w:t>
      </w:r>
      <w:r>
        <w:rPr>
          <w:rFonts w:hint="default" w:ascii="Times New Roman" w:hAnsi="Times New Roman" w:cs="Times New Roman"/>
          <w:color w:val="auto"/>
          <w:szCs w:val="21"/>
          <w:highlight w:val="none"/>
          <w:shd w:val="clear" w:color="auto" w:fill="FFFFFF"/>
        </w:rPr>
        <w:t>）和土壤湿度数据，</w:t>
      </w:r>
      <w:r>
        <w:rPr>
          <w:rStyle w:val="17"/>
          <w:rFonts w:hint="default" w:ascii="Times New Roman" w:hAnsi="Times New Roman" w:cs="Times New Roman"/>
          <w:b w:val="0"/>
          <w:color w:val="auto"/>
          <w:szCs w:val="21"/>
          <w:highlight w:val="none"/>
          <w:shd w:val="clear" w:color="auto" w:fill="FFFFFF"/>
        </w:rPr>
        <w:t>多维度对比两种干旱指数的适用性，进而揭示研究区生态干旱时空特征</w:t>
      </w: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融合总初级生产力（</w:t>
      </w:r>
      <w:r>
        <w:rPr>
          <w:rFonts w:hint="default" w:ascii="Times New Roman" w:hAnsi="Times New Roman" w:cs="Times New Roman"/>
          <w:color w:val="auto"/>
          <w:szCs w:val="21"/>
          <w:highlight w:val="none"/>
          <w:shd w:val="clear" w:color="auto" w:fill="FFFFFF"/>
        </w:rPr>
        <w:t>Gross Primary Productivity，</w:t>
      </w:r>
      <w:r>
        <w:rPr>
          <w:rFonts w:hint="default" w:ascii="Times New Roman" w:hAnsi="Times New Roman" w:cs="Times New Roman"/>
          <w:i/>
          <w:iCs/>
          <w:color w:val="auto"/>
          <w:szCs w:val="21"/>
          <w:highlight w:val="none"/>
        </w:rPr>
        <w:t>GPP</w:t>
      </w:r>
      <w:r>
        <w:rPr>
          <w:rFonts w:hint="default" w:ascii="Times New Roman" w:hAnsi="Times New Roman" w:cs="Times New Roman"/>
          <w:color w:val="auto"/>
          <w:szCs w:val="21"/>
          <w:highlight w:val="none"/>
        </w:rPr>
        <w:t>）和蒸散发量（</w:t>
      </w:r>
      <w:r>
        <w:rPr>
          <w:rFonts w:hint="default" w:ascii="Times New Roman" w:hAnsi="Times New Roman" w:cs="Times New Roman"/>
          <w:color w:val="auto"/>
          <w:szCs w:val="21"/>
          <w:highlight w:val="none"/>
          <w:shd w:val="clear" w:color="auto" w:fill="FFFFFF"/>
        </w:rPr>
        <w:t>Evapotranspiration，</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）数据评估</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，从干湿环境差异与时空分异两个维度分析其变化规律；</w:t>
      </w:r>
      <w:r>
        <w:rPr>
          <w:rFonts w:hint="default" w:ascii="Times New Roman" w:hAnsi="Times New Roman" w:cs="Times New Roman"/>
          <w:color w:val="auto"/>
          <w:szCs w:val="21"/>
          <w:highlight w:val="none"/>
          <w:shd w:val="clear" w:color="auto" w:fill="FFFFFF"/>
        </w:rPr>
        <w:t>通过多时间尺度分析，量化了不同植被类型和干湿分区下</w:t>
      </w:r>
      <w:r>
        <w:rPr>
          <w:rFonts w:hint="default" w:ascii="Times New Roman" w:hAnsi="Times New Roman" w:cs="Times New Roman"/>
          <w:i/>
          <w:iCs/>
          <w:color w:val="auto"/>
          <w:szCs w:val="21"/>
          <w:highlight w:val="none"/>
          <w:shd w:val="clear" w:color="auto" w:fill="FFFFFF"/>
        </w:rPr>
        <w:t>WUE</w:t>
      </w:r>
      <w:r>
        <w:rPr>
          <w:rFonts w:hint="default" w:ascii="Times New Roman" w:hAnsi="Times New Roman" w:cs="Times New Roman"/>
          <w:color w:val="auto"/>
          <w:szCs w:val="21"/>
          <w:highlight w:val="none"/>
          <w:shd w:val="clear" w:color="auto" w:fill="FFFFFF"/>
        </w:rPr>
        <w:t>对生态干旱的滞后与累积响应时间，揭示了</w:t>
      </w:r>
      <w:r>
        <w:rPr>
          <w:rFonts w:hint="default" w:ascii="Times New Roman" w:hAnsi="Times New Roman" w:cs="Times New Roman"/>
          <w:color w:val="auto"/>
          <w:szCs w:val="21"/>
          <w:highlight w:val="none"/>
          <w:shd w:val="clear" w:color="auto" w:fill="FFFFFF"/>
        </w:rPr>
        <w:t>植被</w:t>
      </w:r>
      <w:r>
        <w:rPr>
          <w:rFonts w:hint="default" w:ascii="Times New Roman" w:hAnsi="Times New Roman" w:cs="Times New Roman"/>
          <w:color w:val="auto"/>
          <w:szCs w:val="21"/>
          <w:highlight w:val="none"/>
          <w:shd w:val="clear" w:color="auto" w:fill="FFFFFF"/>
        </w:rPr>
        <w:t>响应的区域分异规律。</w:t>
      </w:r>
      <w:r>
        <w:rPr>
          <w:rFonts w:hint="default" w:ascii="Times New Roman" w:hAnsi="Times New Roman" w:cs="Times New Roman"/>
          <w:color w:val="auto"/>
          <w:szCs w:val="21"/>
          <w:highlight w:val="none"/>
        </w:rPr>
        <w:t>研究成果将为新疆生态安全屏障建设提供科学依据，并为干旱区生态系统管理提供理论支撑。</w:t>
      </w:r>
    </w:p>
    <w:p w14:paraId="0331CE00">
      <w:pPr>
        <w:adjustRightInd w:val="0"/>
        <w:snapToGrid w:val="0"/>
        <w:jc w:val="left"/>
        <w:outlineLvl w:val="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1 数据与方法</w:t>
      </w:r>
    </w:p>
    <w:p w14:paraId="1EB84B12">
      <w:pPr>
        <w:adjustRightInd w:val="0"/>
        <w:snapToGrid w:val="0"/>
        <w:outlineLvl w:val="1"/>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1.1  研究区概况</w:t>
      </w:r>
    </w:p>
    <w:p w14:paraId="6B9C9C1D">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新疆维吾尔自治区位于我国西北地区</w:t>
      </w:r>
      <w:r>
        <w:rPr>
          <w:rFonts w:hint="default" w:ascii="Times New Roman" w:hAnsi="Times New Roman" w:cs="Times New Roman"/>
          <w:color w:val="auto"/>
          <w:szCs w:val="21"/>
          <w:highlight w:val="none"/>
        </w:rPr>
        <w:t>[见图1（a）]</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介于</w:t>
      </w:r>
      <w:r>
        <w:rPr>
          <w:rFonts w:hint="default" w:ascii="Times New Roman" w:hAnsi="Times New Roman" w:cs="Times New Roman"/>
          <w:color w:val="auto"/>
          <w:szCs w:val="21"/>
          <w:highlight w:val="none"/>
        </w:rPr>
        <w:t>73°29'54″</w:t>
      </w:r>
      <w:r>
        <w:rPr>
          <w:rFonts w:hint="default" w:ascii="Times New Roman" w:hAnsi="Times New Roman" w:cs="Times New Roman"/>
          <w:color w:val="auto"/>
          <w:szCs w:val="21"/>
          <w:highlight w:val="none"/>
        </w:rPr>
        <w:t>E—</w:t>
      </w:r>
      <w:r>
        <w:rPr>
          <w:rFonts w:hint="default" w:ascii="Times New Roman" w:hAnsi="Times New Roman" w:cs="Times New Roman"/>
          <w:color w:val="auto"/>
          <w:szCs w:val="21"/>
          <w:highlight w:val="none"/>
        </w:rPr>
        <w:t>96°23'03″E、34°20'11″</w:t>
      </w:r>
      <w:r>
        <w:rPr>
          <w:rFonts w:hint="default" w:ascii="Times New Roman" w:hAnsi="Times New Roman" w:cs="Times New Roman"/>
          <w:color w:val="auto"/>
          <w:szCs w:val="21"/>
          <w:highlight w:val="none"/>
        </w:rPr>
        <w:t>N—</w:t>
      </w:r>
      <w:r>
        <w:rPr>
          <w:rFonts w:hint="default" w:ascii="Times New Roman" w:hAnsi="Times New Roman" w:cs="Times New Roman"/>
          <w:color w:val="auto"/>
          <w:szCs w:val="21"/>
          <w:highlight w:val="none"/>
        </w:rPr>
        <w:t>49°10'55″N，面积</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166×10⁴ km²，占全国的1/6。该区域地貌形态多样</w:t>
      </w:r>
      <w:r>
        <w:rPr>
          <w:rFonts w:hint="default" w:ascii="Times New Roman" w:hAnsi="Times New Roman" w:cs="Times New Roman"/>
          <w:color w:val="auto"/>
          <w:szCs w:val="21"/>
          <w:highlight w:val="none"/>
        </w:rPr>
        <w:t>，气候呈</w:t>
      </w:r>
      <w:r>
        <w:rPr>
          <w:rFonts w:hint="default" w:ascii="Times New Roman" w:hAnsi="Times New Roman" w:cs="Times New Roman"/>
          <w:color w:val="auto"/>
          <w:szCs w:val="21"/>
          <w:highlight w:val="none"/>
        </w:rPr>
        <w:t>典型的温带大陆性气候，气温年较差大</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highlight w:val="none"/>
        </w:rPr>
        <w:t>全疆多年平均气温在8.0</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highlight w:val="none"/>
        </w:rPr>
        <w:t>10.0℃之间</w:t>
      </w:r>
      <w:r>
        <w:rPr>
          <w:rFonts w:hint="default" w:ascii="Times New Roman" w:hAnsi="Times New Roman" w:cs="Times New Roman"/>
          <w:color w:val="auto"/>
          <w:szCs w:val="21"/>
          <w:highlight w:val="none"/>
        </w:rPr>
        <w:t>；降水总体偏少，</w:t>
      </w:r>
      <w:r>
        <w:rPr>
          <w:rFonts w:hint="default" w:ascii="Times New Roman" w:hAnsi="Times New Roman" w:cs="Times New Roman"/>
          <w:color w:val="auto"/>
          <w:kern w:val="0"/>
          <w:highlight w:val="none"/>
        </w:rPr>
        <w:t>多年平均降水量普遍不足200mm，</w:t>
      </w:r>
      <w:r>
        <w:rPr>
          <w:rFonts w:hint="default" w:ascii="Times New Roman" w:hAnsi="Times New Roman" w:cs="Times New Roman"/>
          <w:color w:val="auto"/>
          <w:szCs w:val="21"/>
          <w:highlight w:val="none"/>
        </w:rPr>
        <w:t>空间分布不均，整体呈现北多南少、西多东少的格局</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rPr>
        <w:t>。基于遥感数据，参考前</w:t>
      </w:r>
      <w:r>
        <w:rPr>
          <w:rFonts w:hint="default" w:ascii="Times New Roman" w:hAnsi="Times New Roman" w:cs="Times New Roman"/>
          <w:color w:val="auto"/>
          <w:szCs w:val="21"/>
          <w:highlight w:val="none"/>
        </w:rPr>
        <w:t>人研究</w:t>
      </w:r>
      <w:r>
        <w:rPr>
          <w:rFonts w:hint="default" w:ascii="Times New Roman" w:hAnsi="Times New Roman" w:cs="Times New Roman"/>
          <w:color w:val="auto"/>
          <w:szCs w:val="21"/>
          <w:highlight w:val="none"/>
          <w:vertAlign w:val="superscript"/>
        </w:rPr>
        <w:t>[28-29]</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结合湿</w:t>
      </w:r>
      <w:r>
        <w:rPr>
          <w:rFonts w:hint="default" w:ascii="Times New Roman" w:hAnsi="Times New Roman" w:cs="Times New Roman"/>
          <w:color w:val="auto"/>
          <w:szCs w:val="21"/>
          <w:highlight w:val="none"/>
        </w:rPr>
        <w:t>润指数（</w:t>
      </w:r>
      <w:r>
        <w:rPr>
          <w:rFonts w:hint="default" w:ascii="Times New Roman" w:hAnsi="Times New Roman" w:cs="Times New Roman"/>
          <w:i/>
          <w:iCs/>
          <w:color w:val="auto"/>
          <w:szCs w:val="21"/>
          <w:highlight w:val="none"/>
        </w:rPr>
        <w:t>K</w:t>
      </w:r>
      <w:r>
        <w:rPr>
          <w:rFonts w:hint="default" w:ascii="Times New Roman" w:hAnsi="Times New Roman" w:cs="Times New Roman"/>
          <w:color w:val="auto"/>
          <w:szCs w:val="21"/>
          <w:highlight w:val="none"/>
        </w:rPr>
        <w:t>=降水/潜在蒸散发），</w:t>
      </w:r>
      <w:r>
        <w:rPr>
          <w:rFonts w:hint="default" w:ascii="Times New Roman" w:hAnsi="Times New Roman" w:cs="Times New Roman"/>
          <w:color w:val="auto"/>
          <w:szCs w:val="21"/>
          <w:highlight w:val="none"/>
        </w:rPr>
        <w:t>将</w:t>
      </w:r>
      <w:r>
        <w:rPr>
          <w:rFonts w:hint="default" w:ascii="Times New Roman" w:hAnsi="Times New Roman" w:cs="Times New Roman"/>
          <w:color w:val="auto"/>
          <w:szCs w:val="21"/>
          <w:highlight w:val="none"/>
        </w:rPr>
        <w:t>研究区</w:t>
      </w:r>
      <w:r>
        <w:rPr>
          <w:rFonts w:hint="default" w:ascii="Times New Roman" w:hAnsi="Times New Roman" w:cs="Times New Roman"/>
          <w:color w:val="auto"/>
          <w:szCs w:val="21"/>
          <w:highlight w:val="none"/>
        </w:rPr>
        <w:t>划分为湿润区、半湿润区、半干旱区</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rPr>
        <w:t>干旱区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（c）]，面积占比依次为1.41%、5.75%、18.28%和74.51%。将研究区土地利用类型划分为六类[见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（d）]，其中</w:t>
      </w:r>
      <w:r>
        <w:rPr>
          <w:rFonts w:hint="default" w:ascii="Times New Roman" w:hAnsi="Times New Roman" w:cs="Times New Roman"/>
          <w:color w:val="auto"/>
          <w:szCs w:val="21"/>
          <w:highlight w:val="none"/>
        </w:rPr>
        <w:t>耕地</w:t>
      </w:r>
      <w:r>
        <w:rPr>
          <w:rFonts w:hint="default" w:ascii="Times New Roman" w:hAnsi="Times New Roman" w:cs="Times New Roman"/>
          <w:color w:val="auto"/>
          <w:szCs w:val="21"/>
          <w:highlight w:val="none"/>
        </w:rPr>
        <w:t>面积占比为5.59%，</w:t>
      </w:r>
      <w:r>
        <w:rPr>
          <w:rFonts w:hint="default" w:ascii="Times New Roman" w:hAnsi="Times New Roman" w:cs="Times New Roman"/>
          <w:color w:val="auto"/>
          <w:szCs w:val="21"/>
          <w:highlight w:val="none"/>
        </w:rPr>
        <w:t>林地</w:t>
      </w:r>
      <w:r>
        <w:rPr>
          <w:rFonts w:hint="default" w:ascii="Times New Roman" w:hAnsi="Times New Roman" w:cs="Times New Roman"/>
          <w:color w:val="auto"/>
          <w:szCs w:val="21"/>
          <w:highlight w:val="none"/>
        </w:rPr>
        <w:t>面积占比为1.49%，</w:t>
      </w:r>
      <w:r>
        <w:rPr>
          <w:rFonts w:hint="default" w:ascii="Times New Roman" w:hAnsi="Times New Roman" w:cs="Times New Roman"/>
          <w:color w:val="auto"/>
          <w:szCs w:val="21"/>
          <w:highlight w:val="none"/>
        </w:rPr>
        <w:t>草地</w:t>
      </w:r>
      <w:r>
        <w:rPr>
          <w:rFonts w:hint="default" w:ascii="Times New Roman" w:hAnsi="Times New Roman" w:cs="Times New Roman"/>
          <w:color w:val="auto"/>
          <w:szCs w:val="21"/>
          <w:highlight w:val="none"/>
        </w:rPr>
        <w:t>面积占比为29.64%，</w:t>
      </w:r>
      <w:r>
        <w:rPr>
          <w:rFonts w:hint="default" w:ascii="Times New Roman" w:hAnsi="Times New Roman" w:cs="Times New Roman"/>
          <w:color w:val="auto"/>
          <w:szCs w:val="21"/>
          <w:highlight w:val="none"/>
        </w:rPr>
        <w:t>水域</w:t>
      </w:r>
      <w:r>
        <w:rPr>
          <w:rFonts w:hint="default" w:ascii="Times New Roman" w:hAnsi="Times New Roman" w:cs="Times New Roman"/>
          <w:color w:val="auto"/>
          <w:szCs w:val="21"/>
          <w:highlight w:val="none"/>
        </w:rPr>
        <w:t>面积占比为1.92%，</w:t>
      </w:r>
      <w:r>
        <w:rPr>
          <w:rFonts w:hint="default" w:ascii="Times New Roman" w:hAnsi="Times New Roman" w:cs="Times New Roman"/>
          <w:color w:val="auto"/>
          <w:szCs w:val="21"/>
          <w:highlight w:val="none"/>
        </w:rPr>
        <w:t>建设用地</w:t>
      </w:r>
      <w:r>
        <w:rPr>
          <w:rFonts w:hint="default" w:ascii="Times New Roman" w:hAnsi="Times New Roman" w:cs="Times New Roman"/>
          <w:color w:val="auto"/>
          <w:szCs w:val="21"/>
          <w:highlight w:val="none"/>
        </w:rPr>
        <w:t>面积占比为0.49%，</w:t>
      </w:r>
      <w:r>
        <w:rPr>
          <w:rFonts w:hint="default" w:ascii="Times New Roman" w:hAnsi="Times New Roman" w:cs="Times New Roman"/>
          <w:color w:val="auto"/>
          <w:szCs w:val="21"/>
          <w:highlight w:val="none"/>
        </w:rPr>
        <w:t>未利用地</w:t>
      </w:r>
      <w:r>
        <w:rPr>
          <w:rFonts w:hint="default" w:ascii="Times New Roman" w:hAnsi="Times New Roman" w:cs="Times New Roman"/>
          <w:color w:val="auto"/>
          <w:szCs w:val="21"/>
          <w:highlight w:val="none"/>
        </w:rPr>
        <w:t>面积占比为60.87%。</w:t>
      </w:r>
    </w:p>
    <w:p w14:paraId="3BF1F83C">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760085" cy="3728085"/>
            <wp:effectExtent l="0" t="0" r="635" b="5715"/>
            <wp:docPr id="1" name="图片 1" descr="研究区概况图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研究区概况图修改1"/>
                    <pic:cNvPicPr>
                      <a:picLocks noChangeAspect="1"/>
                    </pic:cNvPicPr>
                  </pic:nvPicPr>
                  <pic:blipFill>
                    <a:blip r:embed="rId6"/>
                    <a:stretch>
                      <a:fillRect/>
                    </a:stretch>
                  </pic:blipFill>
                  <pic:spPr>
                    <a:xfrm>
                      <a:off x="0" y="0"/>
                      <a:ext cx="5760085" cy="3728085"/>
                    </a:xfrm>
                    <a:prstGeom prst="rect">
                      <a:avLst/>
                    </a:prstGeom>
                  </pic:spPr>
                </pic:pic>
              </a:graphicData>
            </a:graphic>
          </wp:inline>
        </w:drawing>
      </w:r>
    </w:p>
    <w:p w14:paraId="623D256A">
      <w:pPr>
        <w:pStyle w:val="7"/>
        <w:adjustRightInd w:val="0"/>
        <w:snapToGrid w:val="0"/>
        <w:spacing w:after="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注：底图采用国家地理信息公共服务平台标准地图制作，审图号为GS(2024)0650号，对底图边界无修改。下同</w:t>
      </w:r>
    </w:p>
    <w:p w14:paraId="1078E92B">
      <w:pPr>
        <w:adjustRightInd w:val="0"/>
        <w:snapToGrid w:val="0"/>
        <w:ind w:firstLine="36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图1</w:t>
      </w:r>
      <w:r>
        <w:rPr>
          <w:rFonts w:hint="default" w:ascii="Times New Roman" w:hAnsi="Times New Roman" w:cs="Times New Roman"/>
          <w:color w:val="auto"/>
          <w:sz w:val="18"/>
          <w:szCs w:val="18"/>
          <w:highlight w:val="none"/>
        </w:rPr>
        <w:t xml:space="preserve">  </w:t>
      </w:r>
      <w:r>
        <w:rPr>
          <w:rFonts w:hint="default" w:ascii="Times New Roman" w:hAnsi="Times New Roman" w:cs="Times New Roman"/>
          <w:color w:val="auto"/>
          <w:sz w:val="18"/>
          <w:szCs w:val="18"/>
          <w:highlight w:val="none"/>
        </w:rPr>
        <w:t>研究区概况</w:t>
      </w:r>
    </w:p>
    <w:p w14:paraId="7EF851DD">
      <w:pPr>
        <w:adjustRightInd w:val="0"/>
        <w:snapToGrid w:val="0"/>
        <w:ind w:firstLine="36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 xml:space="preserve"> </w:t>
      </w:r>
      <w:r>
        <w:rPr>
          <w:rFonts w:hint="default" w:ascii="Times New Roman" w:hAnsi="Times New Roman" w:cs="Times New Roman"/>
          <w:color w:val="auto"/>
          <w:sz w:val="18"/>
          <w:szCs w:val="18"/>
          <w:highlight w:val="none"/>
        </w:rPr>
        <w:t>Fig. 1  Overview of study area</w:t>
      </w:r>
    </w:p>
    <w:p w14:paraId="0530AB97">
      <w:pPr>
        <w:outlineLvl w:val="1"/>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1.2数据来源及预处理</w:t>
      </w:r>
    </w:p>
    <w:p w14:paraId="648F3806">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研究采用的</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GPP数据</w:t>
      </w:r>
      <w:r>
        <w:rPr>
          <w:rFonts w:hint="default" w:ascii="Times New Roman" w:hAnsi="Times New Roman" w:cs="Times New Roman"/>
          <w:color w:val="auto"/>
          <w:szCs w:val="21"/>
          <w:highlight w:val="none"/>
        </w:rPr>
        <w:t>来源于美国国家航天局（NASA）提供的MODIS数据集。降水（</w:t>
      </w:r>
      <w:r>
        <w:rPr>
          <w:rFonts w:hint="default" w:ascii="Times New Roman" w:hAnsi="Times New Roman" w:cs="Times New Roman"/>
          <w:i/>
          <w:iCs/>
          <w:color w:val="auto"/>
          <w:szCs w:val="21"/>
          <w:highlight w:val="none"/>
        </w:rPr>
        <w:t>P</w:t>
      </w:r>
      <w:r>
        <w:rPr>
          <w:rFonts w:hint="default" w:ascii="Times New Roman" w:hAnsi="Times New Roman" w:cs="Times New Roman"/>
          <w:color w:val="auto"/>
          <w:szCs w:val="21"/>
          <w:highlight w:val="none"/>
        </w:rPr>
        <w:t>）、潜在蒸散发（</w:t>
      </w:r>
      <w:r>
        <w:rPr>
          <w:rFonts w:hint="default" w:ascii="Times New Roman" w:hAnsi="Times New Roman" w:cs="Times New Roman"/>
          <w:i/>
          <w:iCs/>
          <w:color w:val="auto"/>
          <w:szCs w:val="21"/>
          <w:highlight w:val="none"/>
        </w:rPr>
        <w:t>PET</w:t>
      </w:r>
      <w:r>
        <w:rPr>
          <w:rFonts w:hint="default" w:ascii="Times New Roman" w:hAnsi="Times New Roman" w:cs="Times New Roman"/>
          <w:color w:val="auto"/>
          <w:szCs w:val="21"/>
          <w:highlight w:val="none"/>
        </w:rPr>
        <w:t>）和土壤湿度（0~10cm）来源于国家青藏高原数据中心；日光诱导叶绿素荧光指数（</w:t>
      </w:r>
      <w:r>
        <w:rPr>
          <w:rFonts w:hint="default" w:ascii="Times New Roman" w:hAnsi="Times New Roman" w:cs="Times New Roman"/>
          <w:i/>
          <w:iCs/>
          <w:color w:val="auto"/>
          <w:szCs w:val="21"/>
          <w:highlight w:val="none"/>
        </w:rPr>
        <w:t>SIF</w:t>
      </w:r>
      <w:r>
        <w:rPr>
          <w:rFonts w:hint="default" w:ascii="Times New Roman" w:hAnsi="Times New Roman" w:cs="Times New Roman"/>
          <w:color w:val="auto"/>
          <w:szCs w:val="21"/>
          <w:highlight w:val="none"/>
        </w:rPr>
        <w:t>）由国家生态科学数据中心提供，具体数据信息如表1所</w:t>
      </w:r>
      <w:r>
        <w:rPr>
          <w:rFonts w:hint="default" w:ascii="Times New Roman" w:hAnsi="Times New Roman" w:cs="Times New Roman"/>
          <w:color w:val="auto"/>
          <w:szCs w:val="21"/>
          <w:highlight w:val="none"/>
        </w:rPr>
        <w:t>列</w:t>
      </w:r>
      <w:r>
        <w:rPr>
          <w:rFonts w:hint="default" w:ascii="Times New Roman" w:hAnsi="Times New Roman" w:cs="Times New Roman"/>
          <w:color w:val="auto"/>
          <w:szCs w:val="21"/>
          <w:highlight w:val="none"/>
        </w:rPr>
        <w:t>。</w:t>
      </w:r>
    </w:p>
    <w:p w14:paraId="196A87EE">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借助MRT和Arcgis软件对源数据进行拼接、裁剪，采用多种采样方法</w:t>
      </w:r>
      <w:r>
        <w:rPr>
          <w:rFonts w:hint="default" w:ascii="Times New Roman" w:hAnsi="Times New Roman" w:cs="Times New Roman"/>
          <w:color w:val="auto"/>
          <w:szCs w:val="21"/>
          <w:highlight w:val="none"/>
          <w:shd w:val="clear" w:color="auto" w:fill="FFFFFF"/>
        </w:rPr>
        <w:t>（最邻近法、双线性插值法、三次卷积法）</w:t>
      </w:r>
      <w:r>
        <w:rPr>
          <w:rFonts w:hint="default" w:ascii="Times New Roman" w:hAnsi="Times New Roman" w:cs="Times New Roman"/>
          <w:color w:val="auto"/>
          <w:szCs w:val="21"/>
          <w:highlight w:val="none"/>
        </w:rPr>
        <w:t>的反复对比与精度的验证，以误差最小的双线性插值法将不同分辨率的遥感数据统一重采样至1 km×1 km的分辨率。</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按最大合成法合成月数据，</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GPP</w:t>
      </w:r>
      <w:r>
        <w:rPr>
          <w:rFonts w:hint="default" w:ascii="Times New Roman" w:hAnsi="Times New Roman" w:cs="Times New Roman"/>
          <w:color w:val="auto"/>
          <w:szCs w:val="21"/>
          <w:highlight w:val="none"/>
        </w:rPr>
        <w:t>按累计合成月数据，</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SIF</w:t>
      </w:r>
      <w:r>
        <w:rPr>
          <w:rFonts w:hint="default" w:ascii="Times New Roman" w:hAnsi="Times New Roman" w:cs="Times New Roman"/>
          <w:color w:val="auto"/>
          <w:szCs w:val="21"/>
          <w:highlight w:val="none"/>
        </w:rPr>
        <w:t>、土壤湿度（0~10cm）按平均合成月数据。</w:t>
      </w:r>
      <w:r>
        <w:rPr>
          <w:rFonts w:hint="default" w:ascii="Times New Roman" w:hAnsi="Times New Roman" w:cs="Times New Roman"/>
          <w:color w:val="auto"/>
          <w:szCs w:val="21"/>
          <w:highlight w:val="none"/>
        </w:rPr>
        <w:t>鉴于</w:t>
      </w:r>
      <w:r>
        <w:rPr>
          <w:rFonts w:hint="default" w:ascii="Times New Roman" w:hAnsi="Times New Roman" w:cs="Times New Roman"/>
          <w:color w:val="auto"/>
          <w:szCs w:val="21"/>
          <w:highlight w:val="none"/>
        </w:rPr>
        <w:t>MOD16产品</w:t>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rPr>
        <w:t>基于彭曼公式</w:t>
      </w:r>
      <w:r>
        <w:rPr>
          <w:rFonts w:hint="default" w:ascii="Times New Roman" w:hAnsi="Times New Roman" w:cs="Times New Roman"/>
          <w:color w:val="auto"/>
          <w:szCs w:val="21"/>
          <w:highlight w:val="none"/>
        </w:rPr>
        <w:t>对有植被区</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计算，</w:t>
      </w:r>
      <w:r>
        <w:rPr>
          <w:rFonts w:hint="default" w:ascii="Times New Roman" w:hAnsi="Times New Roman" w:cs="Times New Roman"/>
          <w:color w:val="auto"/>
          <w:szCs w:val="21"/>
          <w:highlight w:val="none"/>
        </w:rPr>
        <w:t>而</w:t>
      </w:r>
      <w:r>
        <w:rPr>
          <w:rFonts w:hint="default" w:ascii="Times New Roman" w:hAnsi="Times New Roman" w:cs="Times New Roman"/>
          <w:color w:val="auto"/>
          <w:szCs w:val="21"/>
          <w:highlight w:val="none"/>
        </w:rPr>
        <w:t>对无植被覆盖地区进行了无值化处理，因此</w:t>
      </w:r>
      <w:r>
        <w:rPr>
          <w:rFonts w:hint="default" w:ascii="Times New Roman" w:hAnsi="Times New Roman" w:cs="Times New Roman"/>
          <w:color w:val="auto"/>
          <w:szCs w:val="21"/>
          <w:highlight w:val="none"/>
        </w:rPr>
        <w:t>本研究</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及</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与生态干旱的响应关系仅考虑有植被覆盖区。</w:t>
      </w:r>
    </w:p>
    <w:p w14:paraId="72A40925">
      <w:pPr>
        <w:adjustRightInd w:val="0"/>
        <w:snapToGrid w:val="0"/>
        <w:ind w:firstLine="360" w:firstLineChars="20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表1  数据来源和具体信息</w:t>
      </w:r>
    </w:p>
    <w:p w14:paraId="55DC5CE2">
      <w:pPr>
        <w:adjustRightInd w:val="0"/>
        <w:snapToGrid w:val="0"/>
        <w:ind w:firstLine="360" w:firstLineChars="20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Table 1 Data sources and specific information</w:t>
      </w:r>
    </w:p>
    <w:tbl>
      <w:tblPr>
        <w:tblStyle w:val="15"/>
        <w:tblW w:w="4972"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8"/>
        <w:gridCol w:w="1252"/>
        <w:gridCol w:w="1180"/>
        <w:gridCol w:w="1028"/>
        <w:gridCol w:w="4288"/>
      </w:tblGrid>
      <w:tr w14:paraId="2DACBD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bottom w:val="single" w:color="auto" w:sz="4" w:space="0"/>
              <w:tl2br w:val="nil"/>
              <w:tr2bl w:val="nil"/>
            </w:tcBorders>
          </w:tcPr>
          <w:p w14:paraId="79BAA415">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数据名称</w:t>
            </w:r>
          </w:p>
        </w:tc>
        <w:tc>
          <w:tcPr>
            <w:tcW w:w="1250" w:type="dxa"/>
            <w:tcBorders>
              <w:bottom w:val="single" w:color="auto" w:sz="4" w:space="0"/>
              <w:tl2br w:val="nil"/>
              <w:tr2bl w:val="nil"/>
            </w:tcBorders>
          </w:tcPr>
          <w:p w14:paraId="3475C134">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空间分辨率</w:t>
            </w:r>
          </w:p>
        </w:tc>
        <w:tc>
          <w:tcPr>
            <w:tcW w:w="1178" w:type="dxa"/>
            <w:tcBorders>
              <w:bottom w:val="single" w:color="auto" w:sz="4" w:space="0"/>
              <w:tl2br w:val="nil"/>
              <w:tr2bl w:val="nil"/>
            </w:tcBorders>
          </w:tcPr>
          <w:p w14:paraId="2F279166">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时间分辨率</w:t>
            </w:r>
          </w:p>
        </w:tc>
        <w:tc>
          <w:tcPr>
            <w:tcW w:w="1025" w:type="dxa"/>
            <w:tcBorders>
              <w:bottom w:val="single" w:color="auto" w:sz="4" w:space="0"/>
              <w:tl2br w:val="nil"/>
              <w:tr2bl w:val="nil"/>
            </w:tcBorders>
          </w:tcPr>
          <w:p w14:paraId="1FCAF87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时间跨度</w:t>
            </w:r>
          </w:p>
        </w:tc>
        <w:tc>
          <w:tcPr>
            <w:tcW w:w="4297" w:type="dxa"/>
            <w:tcBorders>
              <w:bottom w:val="single" w:color="auto" w:sz="4" w:space="0"/>
              <w:tl2br w:val="nil"/>
              <w:tr2bl w:val="nil"/>
            </w:tcBorders>
          </w:tcPr>
          <w:p w14:paraId="4C983D88">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数据来源</w:t>
            </w:r>
          </w:p>
        </w:tc>
      </w:tr>
      <w:tr w14:paraId="7B0CF4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op w:val="single" w:color="auto" w:sz="4" w:space="0"/>
            </w:tcBorders>
          </w:tcPr>
          <w:p w14:paraId="1FF653DC">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NDVI</w:t>
            </w:r>
          </w:p>
        </w:tc>
        <w:tc>
          <w:tcPr>
            <w:tcW w:w="1250" w:type="dxa"/>
            <w:tcBorders>
              <w:top w:val="single" w:color="auto" w:sz="4" w:space="0"/>
            </w:tcBorders>
          </w:tcPr>
          <w:p w14:paraId="4EDE338D">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1km×1km</w:t>
            </w:r>
          </w:p>
        </w:tc>
        <w:tc>
          <w:tcPr>
            <w:tcW w:w="1178" w:type="dxa"/>
            <w:tcBorders>
              <w:top w:val="single" w:color="auto" w:sz="4" w:space="0"/>
            </w:tcBorders>
          </w:tcPr>
          <w:p w14:paraId="142B58A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16</w:t>
            </w:r>
            <w:r>
              <w:rPr>
                <w:rFonts w:hint="default" w:ascii="Times New Roman" w:hAnsi="Times New Roman" w:cs="Times New Roman"/>
                <w:color w:val="auto"/>
                <w:sz w:val="15"/>
                <w:szCs w:val="15"/>
                <w:highlight w:val="none"/>
              </w:rPr>
              <w:t>d</w:t>
            </w:r>
          </w:p>
        </w:tc>
        <w:tc>
          <w:tcPr>
            <w:tcW w:w="1025" w:type="dxa"/>
            <w:tcBorders>
              <w:top w:val="single" w:color="auto" w:sz="4" w:space="0"/>
            </w:tcBorders>
          </w:tcPr>
          <w:p w14:paraId="6038EE1B">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op w:val="single" w:color="auto" w:sz="4" w:space="0"/>
            </w:tcBorders>
          </w:tcPr>
          <w:p w14:paraId="5F48F46F">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MODIS13A2（https://search.earthdata.nasa.gov/）</w:t>
            </w:r>
          </w:p>
        </w:tc>
      </w:tr>
      <w:tr w14:paraId="549A82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2B75FD4A">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LST</w:t>
            </w:r>
          </w:p>
        </w:tc>
        <w:tc>
          <w:tcPr>
            <w:tcW w:w="1250" w:type="dxa"/>
            <w:tcBorders>
              <w:tl2br w:val="nil"/>
              <w:tr2bl w:val="nil"/>
            </w:tcBorders>
          </w:tcPr>
          <w:p w14:paraId="7170AB6D">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1km×1km</w:t>
            </w:r>
          </w:p>
        </w:tc>
        <w:tc>
          <w:tcPr>
            <w:tcW w:w="1178" w:type="dxa"/>
            <w:tcBorders>
              <w:tl2br w:val="nil"/>
              <w:tr2bl w:val="nil"/>
            </w:tcBorders>
          </w:tcPr>
          <w:p w14:paraId="502C3ED5">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8</w:t>
            </w:r>
            <w:r>
              <w:rPr>
                <w:rFonts w:hint="default" w:ascii="Times New Roman" w:hAnsi="Times New Roman" w:cs="Times New Roman"/>
                <w:color w:val="auto"/>
                <w:sz w:val="15"/>
                <w:szCs w:val="15"/>
                <w:highlight w:val="none"/>
              </w:rPr>
              <w:t>d</w:t>
            </w:r>
          </w:p>
        </w:tc>
        <w:tc>
          <w:tcPr>
            <w:tcW w:w="1025" w:type="dxa"/>
            <w:tcBorders>
              <w:tl2br w:val="nil"/>
              <w:tr2bl w:val="nil"/>
            </w:tcBorders>
          </w:tcPr>
          <w:p w14:paraId="75D0189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1D99461F">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MODIS11A2（https://search.earthdata.nasa.gov/）</w:t>
            </w:r>
          </w:p>
        </w:tc>
      </w:tr>
      <w:tr w14:paraId="006F01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63E70D75">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ET</w:t>
            </w:r>
          </w:p>
        </w:tc>
        <w:tc>
          <w:tcPr>
            <w:tcW w:w="1250" w:type="dxa"/>
            <w:tcBorders>
              <w:tl2br w:val="nil"/>
              <w:tr2bl w:val="nil"/>
            </w:tcBorders>
          </w:tcPr>
          <w:p w14:paraId="0BB66FB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500m×500m</w:t>
            </w:r>
          </w:p>
        </w:tc>
        <w:tc>
          <w:tcPr>
            <w:tcW w:w="1178" w:type="dxa"/>
            <w:tcBorders>
              <w:tl2br w:val="nil"/>
              <w:tr2bl w:val="nil"/>
            </w:tcBorders>
          </w:tcPr>
          <w:p w14:paraId="65C811CA">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8</w:t>
            </w:r>
            <w:r>
              <w:rPr>
                <w:rFonts w:hint="default" w:ascii="Times New Roman" w:hAnsi="Times New Roman" w:cs="Times New Roman"/>
                <w:color w:val="auto"/>
                <w:sz w:val="15"/>
                <w:szCs w:val="15"/>
                <w:highlight w:val="none"/>
              </w:rPr>
              <w:t>d</w:t>
            </w:r>
          </w:p>
        </w:tc>
        <w:tc>
          <w:tcPr>
            <w:tcW w:w="1025" w:type="dxa"/>
            <w:tcBorders>
              <w:tl2br w:val="nil"/>
              <w:tr2bl w:val="nil"/>
            </w:tcBorders>
          </w:tcPr>
          <w:p w14:paraId="24A3C510">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65DC131A">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MODIS16A2G（https://search.earthdata.nasa.gov/）</w:t>
            </w:r>
          </w:p>
        </w:tc>
      </w:tr>
      <w:tr w14:paraId="0EAA65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77E7EFB5">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GPP</w:t>
            </w:r>
          </w:p>
        </w:tc>
        <w:tc>
          <w:tcPr>
            <w:tcW w:w="1250" w:type="dxa"/>
            <w:tcBorders>
              <w:tl2br w:val="nil"/>
              <w:tr2bl w:val="nil"/>
            </w:tcBorders>
          </w:tcPr>
          <w:p w14:paraId="65C883B8">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500m×500m</w:t>
            </w:r>
          </w:p>
        </w:tc>
        <w:tc>
          <w:tcPr>
            <w:tcW w:w="1178" w:type="dxa"/>
            <w:tcBorders>
              <w:tl2br w:val="nil"/>
              <w:tr2bl w:val="nil"/>
            </w:tcBorders>
          </w:tcPr>
          <w:p w14:paraId="13DFBF5B">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8</w:t>
            </w:r>
            <w:r>
              <w:rPr>
                <w:rFonts w:hint="default" w:ascii="Times New Roman" w:hAnsi="Times New Roman" w:cs="Times New Roman"/>
                <w:color w:val="auto"/>
                <w:sz w:val="15"/>
                <w:szCs w:val="15"/>
                <w:highlight w:val="none"/>
              </w:rPr>
              <w:t>d</w:t>
            </w:r>
          </w:p>
        </w:tc>
        <w:tc>
          <w:tcPr>
            <w:tcW w:w="1025" w:type="dxa"/>
            <w:tcBorders>
              <w:tl2br w:val="nil"/>
              <w:tr2bl w:val="nil"/>
            </w:tcBorders>
          </w:tcPr>
          <w:p w14:paraId="1C6DEB33">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619F057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MODIS17A2HG（https://search.earthdata.nasa.gov/）</w:t>
            </w:r>
          </w:p>
        </w:tc>
      </w:tr>
      <w:tr w14:paraId="69A73A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78215522">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P</w:t>
            </w:r>
          </w:p>
        </w:tc>
        <w:tc>
          <w:tcPr>
            <w:tcW w:w="1250" w:type="dxa"/>
            <w:tcBorders>
              <w:tl2br w:val="nil"/>
              <w:tr2bl w:val="nil"/>
            </w:tcBorders>
          </w:tcPr>
          <w:p w14:paraId="76441129">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500m×500m</w:t>
            </w:r>
          </w:p>
        </w:tc>
        <w:tc>
          <w:tcPr>
            <w:tcW w:w="1178" w:type="dxa"/>
            <w:tcBorders>
              <w:tl2br w:val="nil"/>
              <w:tr2bl w:val="nil"/>
            </w:tcBorders>
          </w:tcPr>
          <w:p w14:paraId="77647D3D">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月</w:t>
            </w:r>
          </w:p>
        </w:tc>
        <w:tc>
          <w:tcPr>
            <w:tcW w:w="1025" w:type="dxa"/>
            <w:tcBorders>
              <w:tl2br w:val="nil"/>
              <w:tr2bl w:val="nil"/>
            </w:tcBorders>
          </w:tcPr>
          <w:p w14:paraId="3B4D4002">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7C573B78">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国家青藏高原数据中心（https://data.tpdc.ac.cn/home）</w:t>
            </w:r>
          </w:p>
        </w:tc>
      </w:tr>
      <w:tr w14:paraId="05D170C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156C0ED8">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PET</w:t>
            </w:r>
          </w:p>
        </w:tc>
        <w:tc>
          <w:tcPr>
            <w:tcW w:w="1250" w:type="dxa"/>
            <w:tcBorders>
              <w:tl2br w:val="nil"/>
              <w:tr2bl w:val="nil"/>
            </w:tcBorders>
          </w:tcPr>
          <w:p w14:paraId="3C74D974">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500m×500m</w:t>
            </w:r>
          </w:p>
        </w:tc>
        <w:tc>
          <w:tcPr>
            <w:tcW w:w="1178" w:type="dxa"/>
            <w:tcBorders>
              <w:tl2br w:val="nil"/>
              <w:tr2bl w:val="nil"/>
            </w:tcBorders>
          </w:tcPr>
          <w:p w14:paraId="1C0C04D9">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月</w:t>
            </w:r>
          </w:p>
        </w:tc>
        <w:tc>
          <w:tcPr>
            <w:tcW w:w="1025" w:type="dxa"/>
            <w:tcBorders>
              <w:tl2br w:val="nil"/>
              <w:tr2bl w:val="nil"/>
            </w:tcBorders>
          </w:tcPr>
          <w:p w14:paraId="022BD4A2">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020D0040">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国家青藏高原数据中心（https://data.tpdc.ac.cn/home）</w:t>
            </w:r>
          </w:p>
        </w:tc>
      </w:tr>
      <w:tr w14:paraId="412414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2AC534DD">
            <w:pPr>
              <w:adjustRightInd w:val="0"/>
              <w:snapToGrid w:val="0"/>
              <w:jc w:val="center"/>
              <w:rPr>
                <w:rFonts w:hint="default" w:ascii="Times New Roman" w:hAnsi="Times New Roman" w:cs="Times New Roman"/>
                <w:i/>
                <w:iCs/>
                <w:color w:val="auto"/>
                <w:sz w:val="15"/>
                <w:szCs w:val="15"/>
                <w:highlight w:val="none"/>
              </w:rPr>
            </w:pPr>
            <w:r>
              <w:rPr>
                <w:rFonts w:hint="default" w:ascii="Times New Roman" w:hAnsi="Times New Roman" w:cs="Times New Roman"/>
                <w:i/>
                <w:iCs/>
                <w:color w:val="auto"/>
                <w:sz w:val="15"/>
                <w:szCs w:val="15"/>
                <w:highlight w:val="none"/>
              </w:rPr>
              <w:t>SIF</w:t>
            </w:r>
          </w:p>
        </w:tc>
        <w:tc>
          <w:tcPr>
            <w:tcW w:w="1250" w:type="dxa"/>
            <w:tcBorders>
              <w:tl2br w:val="nil"/>
              <w:tr2bl w:val="nil"/>
            </w:tcBorders>
          </w:tcPr>
          <w:p w14:paraId="53EC253B">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1km×1km</w:t>
            </w:r>
          </w:p>
        </w:tc>
        <w:tc>
          <w:tcPr>
            <w:tcW w:w="1178" w:type="dxa"/>
            <w:tcBorders>
              <w:tl2br w:val="nil"/>
              <w:tr2bl w:val="nil"/>
            </w:tcBorders>
          </w:tcPr>
          <w:p w14:paraId="2C0A5EF5">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8</w:t>
            </w:r>
            <w:r>
              <w:rPr>
                <w:rFonts w:hint="default" w:ascii="Times New Roman" w:hAnsi="Times New Roman" w:cs="Times New Roman"/>
                <w:color w:val="auto"/>
                <w:sz w:val="15"/>
                <w:szCs w:val="15"/>
                <w:highlight w:val="none"/>
              </w:rPr>
              <w:t>d</w:t>
            </w:r>
          </w:p>
        </w:tc>
        <w:tc>
          <w:tcPr>
            <w:tcW w:w="1025" w:type="dxa"/>
            <w:tcBorders>
              <w:tl2br w:val="nil"/>
              <w:tr2bl w:val="nil"/>
            </w:tcBorders>
          </w:tcPr>
          <w:p w14:paraId="656676A3">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0D663F8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国家生态科学数据中心（https://nesdc.org.cn/）</w:t>
            </w:r>
          </w:p>
        </w:tc>
      </w:tr>
      <w:tr w14:paraId="574375E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4FA659A0">
            <w:pPr>
              <w:tabs>
                <w:tab w:val="left" w:pos="358"/>
              </w:tabs>
              <w:adjustRightInd w:val="0"/>
              <w:snapToGrid w:val="0"/>
              <w:jc w:val="left"/>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ab/>
            </w:r>
            <w:r>
              <w:rPr>
                <w:rFonts w:hint="default" w:ascii="Times New Roman" w:hAnsi="Times New Roman" w:cs="Times New Roman"/>
                <w:color w:val="auto"/>
                <w:sz w:val="15"/>
                <w:szCs w:val="15"/>
                <w:highlight w:val="none"/>
              </w:rPr>
              <w:t>土壤湿度</w:t>
            </w:r>
          </w:p>
        </w:tc>
        <w:tc>
          <w:tcPr>
            <w:tcW w:w="1250" w:type="dxa"/>
            <w:tcBorders>
              <w:tl2br w:val="nil"/>
              <w:tr2bl w:val="nil"/>
            </w:tcBorders>
          </w:tcPr>
          <w:p w14:paraId="5E257BC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1km×1km</w:t>
            </w:r>
          </w:p>
        </w:tc>
        <w:tc>
          <w:tcPr>
            <w:tcW w:w="1178" w:type="dxa"/>
            <w:tcBorders>
              <w:tl2br w:val="nil"/>
              <w:tr2bl w:val="nil"/>
            </w:tcBorders>
          </w:tcPr>
          <w:p w14:paraId="0E22E977">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日</w:t>
            </w:r>
          </w:p>
        </w:tc>
        <w:tc>
          <w:tcPr>
            <w:tcW w:w="1025" w:type="dxa"/>
            <w:tcBorders>
              <w:tl2br w:val="nil"/>
              <w:tr2bl w:val="nil"/>
            </w:tcBorders>
          </w:tcPr>
          <w:p w14:paraId="7A44FE46">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2000</w:t>
            </w:r>
            <w:r>
              <w:rPr>
                <w:rFonts w:hint="default" w:ascii="Times New Roman" w:hAnsi="Times New Roman" w:cs="Times New Roman"/>
                <w:color w:val="auto"/>
                <w:sz w:val="15"/>
                <w:szCs w:val="15"/>
                <w:highlight w:val="none"/>
              </w:rPr>
              <w:t>—</w:t>
            </w:r>
            <w:r>
              <w:rPr>
                <w:rFonts w:hint="default" w:ascii="Times New Roman" w:hAnsi="Times New Roman" w:cs="Times New Roman"/>
                <w:color w:val="auto"/>
                <w:sz w:val="15"/>
                <w:szCs w:val="15"/>
                <w:highlight w:val="none"/>
              </w:rPr>
              <w:t>2022</w:t>
            </w:r>
          </w:p>
        </w:tc>
        <w:tc>
          <w:tcPr>
            <w:tcW w:w="4297" w:type="dxa"/>
            <w:tcBorders>
              <w:tl2br w:val="nil"/>
              <w:tr2bl w:val="nil"/>
            </w:tcBorders>
          </w:tcPr>
          <w:p w14:paraId="4466340E">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国家青藏高原数据中</w:t>
            </w:r>
            <w:r>
              <w:rPr>
                <w:rFonts w:hint="default" w:ascii="Times New Roman" w:hAnsi="Times New Roman" w:cs="Times New Roman"/>
                <w:color w:val="auto"/>
                <w:sz w:val="15"/>
                <w:szCs w:val="15"/>
                <w:highlight w:val="none"/>
              </w:rPr>
              <w:t>心</w:t>
            </w:r>
            <w:r>
              <w:rPr>
                <w:rFonts w:hint="default" w:ascii="Times New Roman" w:hAnsi="Times New Roman" w:cs="Times New Roman"/>
                <w:color w:val="auto"/>
                <w:sz w:val="15"/>
                <w:szCs w:val="15"/>
                <w:highlight w:val="none"/>
              </w:rPr>
              <w:t>（https://data.tpdc.ac.cn/home）</w:t>
            </w:r>
          </w:p>
        </w:tc>
      </w:tr>
      <w:tr w14:paraId="3402F5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7" w:type="dxa"/>
            <w:tcBorders>
              <w:tl2br w:val="nil"/>
              <w:tr2bl w:val="nil"/>
            </w:tcBorders>
          </w:tcPr>
          <w:p w14:paraId="5262E033">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土地利用类型</w:t>
            </w:r>
          </w:p>
        </w:tc>
        <w:tc>
          <w:tcPr>
            <w:tcW w:w="1250" w:type="dxa"/>
            <w:tcBorders>
              <w:tl2br w:val="nil"/>
              <w:tr2bl w:val="nil"/>
            </w:tcBorders>
          </w:tcPr>
          <w:p w14:paraId="3FA52E55">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1km×1km</w:t>
            </w:r>
          </w:p>
        </w:tc>
        <w:tc>
          <w:tcPr>
            <w:tcW w:w="1178" w:type="dxa"/>
            <w:tcBorders>
              <w:tl2br w:val="nil"/>
              <w:tr2bl w:val="nil"/>
            </w:tcBorders>
          </w:tcPr>
          <w:p w14:paraId="3666030A">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年</w:t>
            </w:r>
          </w:p>
        </w:tc>
        <w:tc>
          <w:tcPr>
            <w:tcW w:w="1025" w:type="dxa"/>
            <w:tcBorders>
              <w:tl2br w:val="nil"/>
              <w:tr2bl w:val="nil"/>
            </w:tcBorders>
          </w:tcPr>
          <w:p w14:paraId="1197B3D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2020</w:t>
            </w:r>
          </w:p>
        </w:tc>
        <w:tc>
          <w:tcPr>
            <w:tcW w:w="4297" w:type="dxa"/>
            <w:tcBorders>
              <w:tl2br w:val="nil"/>
              <w:tr2bl w:val="nil"/>
            </w:tcBorders>
          </w:tcPr>
          <w:p w14:paraId="72FADB9E">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LUCC数据集（https://www.resdc.cn/Default.aspx）</w:t>
            </w:r>
          </w:p>
        </w:tc>
      </w:tr>
    </w:tbl>
    <w:p w14:paraId="28F72B5F">
      <w:pPr>
        <w:outlineLvl w:val="1"/>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1.3研究方法</w:t>
      </w:r>
    </w:p>
    <w:p w14:paraId="62BBA840">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本研究基于多源遥感数据，在生态干旱指数适用性评估的基础上，明确了生态干旱时空演变规律，并量化植被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对生态干旱的时滞与累积效应。具体研究框架如图2所示。</w:t>
      </w:r>
    </w:p>
    <w:p w14:paraId="2A437F50">
      <w:pPr>
        <w:spacing w:before="156" w:beforeLines="50" w:line="360" w:lineRule="auto"/>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object>
          <v:shape id="_x0000_i1025" o:spt="75" type="#_x0000_t75" style="height:198.55pt;width:306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14:paraId="7BCBF1BD">
      <w:pPr>
        <w:adjustRightInd w:val="0"/>
        <w:snapToGrid w:val="0"/>
        <w:ind w:firstLine="36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图2  技术路线</w:t>
      </w:r>
    </w:p>
    <w:p w14:paraId="6BB80770">
      <w:pPr>
        <w:adjustRightInd w:val="0"/>
        <w:snapToGrid w:val="0"/>
        <w:ind w:firstLine="36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Fig.2 Technology roadmap</w:t>
      </w:r>
    </w:p>
    <w:p w14:paraId="1610B0A9">
      <w:pPr>
        <w:adjustRightInd w:val="0"/>
        <w:snapToGrid w:val="0"/>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1.3.1 水分利用效率</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的计算</w:t>
      </w:r>
    </w:p>
    <w:p w14:paraId="4A799FD0">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i/>
          <w:iCs/>
          <w:color w:val="auto"/>
          <w:szCs w:val="21"/>
          <w:highlight w:val="none"/>
        </w:rPr>
        <w:t>W</w:t>
      </w:r>
      <w:r>
        <w:rPr>
          <w:rFonts w:hint="default" w:ascii="Times New Roman" w:hAnsi="Times New Roman" w:cs="Times New Roman"/>
          <w:i/>
          <w:iCs/>
          <w:color w:val="auto"/>
          <w:szCs w:val="21"/>
          <w:highlight w:val="none"/>
        </w:rPr>
        <w:t>UE</w:t>
      </w:r>
      <w:r>
        <w:rPr>
          <w:rFonts w:hint="default" w:ascii="Times New Roman" w:hAnsi="Times New Roman" w:cs="Times New Roman"/>
          <w:color w:val="auto"/>
          <w:szCs w:val="21"/>
          <w:highlight w:val="none"/>
        </w:rPr>
        <w:t>是总初级生产力（</w:t>
      </w:r>
      <w:r>
        <w:rPr>
          <w:rFonts w:hint="default" w:ascii="Times New Roman" w:hAnsi="Times New Roman" w:cs="Times New Roman"/>
          <w:i/>
          <w:iCs/>
          <w:color w:val="auto"/>
          <w:szCs w:val="21"/>
          <w:highlight w:val="none"/>
        </w:rPr>
        <w:t>GPP</w:t>
      </w:r>
      <w:r>
        <w:rPr>
          <w:rFonts w:hint="default" w:ascii="Times New Roman" w:hAnsi="Times New Roman" w:cs="Times New Roman"/>
          <w:color w:val="auto"/>
          <w:szCs w:val="21"/>
          <w:highlight w:val="none"/>
        </w:rPr>
        <w:t>）与蒸散发（</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）的比值</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kern w:val="0"/>
          <w:szCs w:val="21"/>
          <w:highlight w:val="none"/>
          <w:vertAlign w:val="superscript"/>
        </w:rPr>
        <w:t>30</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szCs w:val="21"/>
          <w:highlight w:val="none"/>
        </w:rPr>
        <w:t>，反映了植物每消耗一单位水所固定的二氧化碳量</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kern w:val="0"/>
          <w:szCs w:val="21"/>
          <w:highlight w:val="none"/>
          <w:vertAlign w:val="superscript"/>
        </w:rPr>
        <w:t>31</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kern w:val="0"/>
          <w:szCs w:val="21"/>
          <w:highlight w:val="none"/>
        </w:rPr>
        <w:t>，是</w:t>
      </w:r>
      <w:r>
        <w:rPr>
          <w:rFonts w:hint="default" w:ascii="Times New Roman" w:hAnsi="Times New Roman" w:cs="Times New Roman"/>
          <w:color w:val="auto"/>
          <w:szCs w:val="21"/>
          <w:highlight w:val="none"/>
        </w:rPr>
        <w:t>衡量植物生长状态的重要指标。</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的高低可以反映植被在干旱胁迫下的适应能力，计算公式</w:t>
      </w:r>
      <w:r>
        <w:rPr>
          <w:rFonts w:hint="default" w:ascii="Times New Roman" w:hAnsi="Times New Roman" w:cs="Times New Roman"/>
          <w:color w:val="auto"/>
          <w:szCs w:val="21"/>
          <w:highlight w:val="none"/>
        </w:rPr>
        <w:t>为</w:t>
      </w:r>
    </w:p>
    <w:p w14:paraId="181DA98F">
      <w:pPr>
        <w:ind w:firstLine="420" w:firstLineChars="200"/>
        <w:jc w:val="right"/>
        <w:rPr>
          <w:rFonts w:hint="default" w:ascii="Times New Roman" w:hAnsi="Times New Roman" w:cs="Times New Roman"/>
          <w:color w:val="auto"/>
          <w:szCs w:val="21"/>
          <w:highlight w:val="none"/>
        </w:rPr>
      </w:pPr>
      <w:r>
        <w:rPr>
          <w:rFonts w:hint="default" w:ascii="Times New Roman" w:hAnsi="Times New Roman" w:cs="Times New Roman"/>
          <w:color w:val="auto"/>
          <w:position w:val="-24"/>
          <w:szCs w:val="21"/>
          <w:highlight w:val="none"/>
        </w:rPr>
        <w:object>
          <v:shape id="_x0000_i1026" o:spt="75" type="#_x0000_t75" style="height:31.1pt;width:66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default" w:ascii="Times New Roman" w:hAnsi="Times New Roman" w:cs="Times New Roman"/>
          <w:color w:val="auto"/>
          <w:szCs w:val="21"/>
          <w:highlight w:val="none"/>
        </w:rPr>
        <w:t xml:space="preserve">                                  （1）</w:t>
      </w:r>
    </w:p>
    <w:p w14:paraId="1C1F1230">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w:t>
      </w:r>
      <w:r>
        <w:rPr>
          <w:rFonts w:hint="default" w:ascii="Times New Roman" w:hAnsi="Times New Roman" w:cs="Times New Roman"/>
          <w:i/>
          <w:iCs/>
          <w:color w:val="auto"/>
          <w:szCs w:val="21"/>
          <w:highlight w:val="none"/>
        </w:rPr>
        <w:t>GPP</w:t>
      </w:r>
      <w:r>
        <w:rPr>
          <w:rFonts w:hint="default" w:ascii="Times New Roman" w:hAnsi="Times New Roman" w:cs="Times New Roman"/>
          <w:color w:val="auto"/>
          <w:szCs w:val="21"/>
          <w:highlight w:val="none"/>
        </w:rPr>
        <w:t>为月尺度的总初级生产力（gC</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ET</w:t>
      </w:r>
      <w:r>
        <w:rPr>
          <w:rFonts w:hint="default" w:ascii="Times New Roman" w:hAnsi="Times New Roman" w:cs="Times New Roman"/>
          <w:color w:val="auto"/>
          <w:szCs w:val="21"/>
          <w:highlight w:val="none"/>
        </w:rPr>
        <w:t>为月尺度的蒸散发（mm）。</w:t>
      </w:r>
    </w:p>
    <w:p w14:paraId="7D538281">
      <w:pPr>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1.3.2 不同指数的计算</w:t>
      </w:r>
    </w:p>
    <w:p w14:paraId="54EF60D4">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本研究选取了温度植被干旱指数（</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）和植被健康指数（</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）评估研究区的生态干旱。为筛选出更适宜的生态干旱指数，合理地评估研究区的生态干旱，借助能够直接反映植被光合作用强弱的</w:t>
      </w:r>
      <w:r>
        <w:rPr>
          <w:rFonts w:hint="default" w:ascii="Times New Roman" w:hAnsi="Times New Roman" w:cs="Times New Roman"/>
          <w:color w:val="auto"/>
          <w:szCs w:val="21"/>
          <w:highlight w:val="none"/>
        </w:rPr>
        <w:t>标准化叶绿素荧光</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SSIF</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、能反映土壤水分盈亏状态的土壤湿度，对</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的性能进行比选。</w:t>
      </w:r>
    </w:p>
    <w:p w14:paraId="2D2932A9">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1.3.2.1 </w:t>
      </w:r>
      <w:r>
        <w:rPr>
          <w:rFonts w:hint="default" w:ascii="Times New Roman" w:hAnsi="Times New Roman" w:cs="Times New Roman"/>
          <w:i/>
          <w:iCs/>
          <w:color w:val="auto"/>
          <w:szCs w:val="21"/>
          <w:highlight w:val="none"/>
        </w:rPr>
        <w:t>SSIF</w:t>
      </w:r>
      <w:r>
        <w:rPr>
          <w:rFonts w:hint="default" w:ascii="Times New Roman" w:hAnsi="Times New Roman" w:cs="Times New Roman"/>
          <w:color w:val="auto"/>
          <w:szCs w:val="21"/>
          <w:highlight w:val="none"/>
        </w:rPr>
        <w:t>指数计算</w:t>
      </w:r>
    </w:p>
    <w:p w14:paraId="10FB9F77">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对月</w:t>
      </w:r>
      <w:r>
        <w:rPr>
          <w:rFonts w:hint="default" w:ascii="Times New Roman" w:hAnsi="Times New Roman" w:cs="Times New Roman"/>
          <w:color w:val="auto"/>
          <w:szCs w:val="21"/>
          <w:highlight w:val="none"/>
        </w:rPr>
        <w:t>归一化后的</w:t>
      </w:r>
      <w:r>
        <w:rPr>
          <w:rFonts w:hint="default" w:ascii="Times New Roman" w:hAnsi="Times New Roman" w:cs="Times New Roman"/>
          <w:i/>
          <w:iCs/>
          <w:color w:val="auto"/>
          <w:szCs w:val="21"/>
          <w:highlight w:val="none"/>
        </w:rPr>
        <w:t>SIF</w:t>
      </w:r>
      <w:r>
        <w:rPr>
          <w:rFonts w:hint="default" w:ascii="Times New Roman" w:hAnsi="Times New Roman" w:cs="Times New Roman"/>
          <w:color w:val="auto"/>
          <w:szCs w:val="21"/>
          <w:highlight w:val="none"/>
        </w:rPr>
        <w:t>序列</w:t>
      </w:r>
      <w:r>
        <w:rPr>
          <w:rFonts w:hint="default" w:ascii="Times New Roman" w:hAnsi="Times New Roman" w:cs="Times New Roman"/>
          <w:color w:val="auto"/>
          <w:szCs w:val="21"/>
          <w:highlight w:val="none"/>
        </w:rPr>
        <w:t>，选取</w:t>
      </w:r>
      <w:r>
        <w:rPr>
          <w:rFonts w:hint="default" w:ascii="Times New Roman" w:hAnsi="Times New Roman" w:cs="Times New Roman"/>
          <w:i/>
          <w:iCs/>
          <w:color w:val="auto"/>
          <w:szCs w:val="21"/>
          <w:highlight w:val="none"/>
        </w:rPr>
        <w:t xml:space="preserve"> Gamma</w:t>
      </w:r>
      <w:r>
        <w:rPr>
          <w:rFonts w:hint="default" w:ascii="Times New Roman" w:hAnsi="Times New Roman" w:cs="Times New Roman"/>
          <w:color w:val="auto"/>
          <w:szCs w:val="21"/>
          <w:highlight w:val="none"/>
        </w:rPr>
        <w:t xml:space="preserve"> 分布、对数正态分布（</w:t>
      </w:r>
      <w:r>
        <w:rPr>
          <w:rFonts w:hint="default" w:ascii="Times New Roman" w:hAnsi="Times New Roman" w:cs="Times New Roman"/>
          <w:i/>
          <w:iCs/>
          <w:color w:val="auto"/>
          <w:szCs w:val="21"/>
          <w:highlight w:val="none"/>
        </w:rPr>
        <w:t>Log-normal</w:t>
      </w:r>
      <w:r>
        <w:rPr>
          <w:rFonts w:hint="default" w:ascii="Times New Roman" w:hAnsi="Times New Roman" w:cs="Times New Roman"/>
          <w:color w:val="auto"/>
          <w:szCs w:val="21"/>
          <w:highlight w:val="none"/>
        </w:rPr>
        <w:t>）、威布尔分布（</w:t>
      </w:r>
      <w:r>
        <w:rPr>
          <w:rFonts w:hint="default" w:ascii="Times New Roman" w:hAnsi="Times New Roman" w:cs="Times New Roman"/>
          <w:i/>
          <w:iCs/>
          <w:color w:val="auto"/>
          <w:szCs w:val="21"/>
          <w:highlight w:val="none"/>
        </w:rPr>
        <w:t>Weibull</w:t>
      </w:r>
      <w:r>
        <w:rPr>
          <w:rFonts w:hint="default" w:ascii="Times New Roman" w:hAnsi="Times New Roman" w:cs="Times New Roman"/>
          <w:color w:val="auto"/>
          <w:szCs w:val="21"/>
          <w:highlight w:val="none"/>
        </w:rPr>
        <w:t>）、正态分布（</w:t>
      </w:r>
      <w:r>
        <w:rPr>
          <w:rFonts w:hint="default" w:ascii="Times New Roman" w:hAnsi="Times New Roman" w:cs="Times New Roman"/>
          <w:i/>
          <w:iCs/>
          <w:color w:val="auto"/>
          <w:szCs w:val="21"/>
          <w:highlight w:val="none"/>
        </w:rPr>
        <w:t>Norma</w:t>
      </w:r>
      <w:r>
        <w:rPr>
          <w:rFonts w:hint="default" w:ascii="Times New Roman" w:hAnsi="Times New Roman" w:cs="Times New Roman"/>
          <w:i/>
          <w:iCs/>
          <w:color w:val="auto"/>
          <w:szCs w:val="21"/>
          <w:highlight w:val="none"/>
        </w:rPr>
        <w:t>l</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Logistic</w:t>
      </w:r>
      <w:r>
        <w:rPr>
          <w:rFonts w:hint="default" w:ascii="Times New Roman" w:hAnsi="Times New Roman" w:cs="Times New Roman"/>
          <w:color w:val="auto"/>
          <w:szCs w:val="21"/>
          <w:highlight w:val="none"/>
        </w:rPr>
        <w:t>分布函数进行拟合，并采用极大似然法进行参数估计。利用</w:t>
      </w:r>
      <w:r>
        <w:rPr>
          <w:rFonts w:hint="default" w:ascii="Times New Roman" w:hAnsi="Times New Roman" w:cs="Times New Roman"/>
          <w:i/>
          <w:iCs/>
          <w:color w:val="auto"/>
          <w:szCs w:val="21"/>
          <w:highlight w:val="none"/>
        </w:rPr>
        <w:t>K-S</w:t>
      </w:r>
      <w:r>
        <w:rPr>
          <w:rFonts w:hint="default" w:ascii="Times New Roman" w:hAnsi="Times New Roman" w:cs="Times New Roman"/>
          <w:color w:val="auto"/>
          <w:szCs w:val="21"/>
          <w:highlight w:val="none"/>
        </w:rPr>
        <w:t>检验进行拟合优先度检验，若通过检验，则根据AIC准则优选拟合分布函数，并计算累积概率；若未通过检验，则采用非参数化的Gringorten公式</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kern w:val="0"/>
          <w:szCs w:val="21"/>
          <w:highlight w:val="none"/>
          <w:vertAlign w:val="superscript"/>
        </w:rPr>
        <w:t>32</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szCs w:val="21"/>
          <w:highlight w:val="none"/>
        </w:rPr>
        <w:t>计算累积概率。</w:t>
      </w:r>
      <w:r>
        <w:rPr>
          <w:rFonts w:hint="default" w:ascii="Times New Roman" w:hAnsi="Times New Roman" w:cs="Times New Roman"/>
          <w:color w:val="auto"/>
          <w:szCs w:val="21"/>
          <w:highlight w:val="none"/>
        </w:rPr>
        <w:t>对</w:t>
      </w:r>
      <w:r>
        <w:rPr>
          <w:rFonts w:hint="default" w:ascii="Times New Roman" w:hAnsi="Times New Roman" w:cs="Times New Roman"/>
          <w:color w:val="auto"/>
          <w:szCs w:val="21"/>
          <w:highlight w:val="none"/>
        </w:rPr>
        <w:t>求得的</w:t>
      </w:r>
      <w:r>
        <w:rPr>
          <w:rFonts w:hint="default" w:ascii="Times New Roman" w:hAnsi="Times New Roman" w:cs="Times New Roman"/>
          <w:color w:val="auto"/>
          <w:szCs w:val="21"/>
          <w:highlight w:val="none"/>
        </w:rPr>
        <w:t>累积概率进行标准正态化处理，依据逆高斯分布得到标准化指数</w:t>
      </w:r>
      <w:r>
        <w:rPr>
          <w:rFonts w:hint="default" w:ascii="Times New Roman" w:hAnsi="Times New Roman" w:cs="Times New Roman"/>
          <w:i/>
          <w:iCs/>
          <w:color w:val="auto"/>
          <w:szCs w:val="21"/>
          <w:highlight w:val="none"/>
        </w:rPr>
        <w:t>SSIF</w:t>
      </w:r>
      <w:r>
        <w:rPr>
          <w:rFonts w:hint="default" w:ascii="Times New Roman" w:hAnsi="Times New Roman" w:cs="Times New Roman"/>
          <w:color w:val="auto"/>
          <w:szCs w:val="21"/>
          <w:highlight w:val="none"/>
          <w:vertAlign w:val="superscript"/>
        </w:rPr>
        <w:t>[33]</w:t>
      </w:r>
      <w:r>
        <w:rPr>
          <w:rFonts w:hint="default" w:ascii="Times New Roman" w:hAnsi="Times New Roman" w:cs="Times New Roman"/>
          <w:color w:val="auto"/>
          <w:szCs w:val="21"/>
          <w:highlight w:val="none"/>
        </w:rPr>
        <w:t>。</w:t>
      </w:r>
    </w:p>
    <w:p w14:paraId="55469D0A">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1.3.2.2 </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指数的</w:t>
      </w:r>
      <w:r>
        <w:rPr>
          <w:rFonts w:hint="default" w:ascii="Times New Roman" w:hAnsi="Times New Roman" w:cs="Times New Roman"/>
          <w:color w:val="auto"/>
          <w:szCs w:val="21"/>
          <w:highlight w:val="none"/>
        </w:rPr>
        <w:t>计算</w:t>
      </w:r>
      <w:r>
        <w:rPr>
          <w:rFonts w:hint="default" w:ascii="Times New Roman" w:hAnsi="Times New Roman" w:cs="Times New Roman"/>
          <w:color w:val="auto"/>
          <w:szCs w:val="21"/>
          <w:highlight w:val="none"/>
        </w:rPr>
        <w:t>与干旱等级的划分</w:t>
      </w:r>
    </w:p>
    <w:p w14:paraId="3587B89C">
      <w:pPr>
        <w:adjustRightInd w:val="0"/>
        <w:snapToGrid w:val="0"/>
        <w:ind w:firstLine="420" w:firstLineChars="2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TVDI</w:t>
      </w:r>
      <w:r>
        <w:rPr>
          <w:rFonts w:hint="default" w:ascii="Times New Roman" w:hAnsi="Times New Roman" w:cs="Times New Roman"/>
          <w:color w:val="auto"/>
          <w:highlight w:val="none"/>
        </w:rPr>
        <w:t>指数是基于地表温度（</w:t>
      </w:r>
      <w:r>
        <w:rPr>
          <w:rFonts w:hint="default" w:ascii="Times New Roman" w:hAnsi="Times New Roman" w:cs="Times New Roman"/>
          <w:i/>
          <w:iCs/>
          <w:color w:val="auto"/>
          <w:highlight w:val="none"/>
        </w:rPr>
        <w:t>LST</w:t>
      </w:r>
      <w:r>
        <w:rPr>
          <w:rFonts w:hint="default" w:ascii="Times New Roman" w:hAnsi="Times New Roman" w:cs="Times New Roman"/>
          <w:color w:val="auto"/>
          <w:highlight w:val="none"/>
        </w:rPr>
        <w:t>）与归一化植被指数（</w:t>
      </w:r>
      <w:r>
        <w:rPr>
          <w:rFonts w:hint="default" w:ascii="Times New Roman" w:hAnsi="Times New Roman" w:cs="Times New Roman"/>
          <w:i/>
          <w:iCs/>
          <w:color w:val="auto"/>
          <w:highlight w:val="none"/>
        </w:rPr>
        <w:t>NDVI</w:t>
      </w:r>
      <w:r>
        <w:rPr>
          <w:rFonts w:hint="default" w:ascii="Times New Roman" w:hAnsi="Times New Roman" w:cs="Times New Roman"/>
          <w:color w:val="auto"/>
          <w:highlight w:val="none"/>
        </w:rPr>
        <w:t>）特征空间关系的干旱监测指标</w:t>
      </w:r>
      <w:r>
        <w:rPr>
          <w:rFonts w:hint="default" w:ascii="Times New Roman" w:hAnsi="Times New Roman" w:cs="Times New Roman"/>
          <w:color w:val="auto"/>
          <w:highlight w:val="none"/>
          <w:vertAlign w:val="superscript"/>
        </w:rPr>
        <w:t>[14]</w:t>
      </w:r>
      <w:r>
        <w:rPr>
          <w:rFonts w:hint="default" w:ascii="Times New Roman" w:hAnsi="Times New Roman" w:cs="Times New Roman"/>
          <w:color w:val="auto"/>
          <w:highlight w:val="none"/>
        </w:rPr>
        <w:t>，能够有效反映土壤水分状况和植被水分胁迫程度</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rPr>
        <w:t>34</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TVDI</w:t>
      </w:r>
      <w:r>
        <w:rPr>
          <w:rFonts w:hint="default" w:ascii="Times New Roman" w:hAnsi="Times New Roman" w:cs="Times New Roman"/>
          <w:color w:val="auto"/>
          <w:highlight w:val="none"/>
        </w:rPr>
        <w:t>指数</w:t>
      </w:r>
      <w:r>
        <w:rPr>
          <w:rFonts w:hint="default" w:ascii="Times New Roman" w:hAnsi="Times New Roman" w:cs="Times New Roman"/>
          <w:color w:val="auto"/>
          <w:highlight w:val="none"/>
          <w:vertAlign w:val="superscript"/>
        </w:rPr>
        <w:t>[25]</w:t>
      </w:r>
      <w:r>
        <w:rPr>
          <w:rFonts w:hint="default" w:ascii="Times New Roman" w:hAnsi="Times New Roman" w:cs="Times New Roman"/>
          <w:color w:val="auto"/>
          <w:highlight w:val="none"/>
        </w:rPr>
        <w:t>计算公式</w:t>
      </w:r>
      <w:r>
        <w:rPr>
          <w:rFonts w:hint="default" w:ascii="Times New Roman" w:hAnsi="Times New Roman" w:cs="Times New Roman"/>
          <w:color w:val="auto"/>
          <w:highlight w:val="none"/>
        </w:rPr>
        <w:t>为</w:t>
      </w:r>
    </w:p>
    <w:p w14:paraId="4C631199">
      <w:pPr>
        <w:ind w:firstLine="420" w:firstLineChars="200"/>
        <w:jc w:val="right"/>
        <w:rPr>
          <w:rFonts w:hint="default" w:ascii="Times New Roman" w:hAnsi="Times New Roman" w:cs="Times New Roman"/>
          <w:color w:val="auto"/>
          <w:szCs w:val="21"/>
          <w:highlight w:val="none"/>
        </w:rPr>
      </w:pPr>
      <w:r>
        <w:rPr>
          <w:rFonts w:hint="default" w:ascii="Times New Roman" w:hAnsi="Times New Roman" w:cs="Times New Roman"/>
          <w:color w:val="auto"/>
          <w:position w:val="-30"/>
          <w:szCs w:val="21"/>
          <w:highlight w:val="none"/>
        </w:rPr>
        <w:object>
          <v:shape id="_x0000_i1027" o:spt="75" type="#_x0000_t75" style="height:34.35pt;width:115.65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hint="default" w:ascii="Times New Roman" w:hAnsi="Times New Roman" w:cs="Times New Roman"/>
          <w:color w:val="auto"/>
          <w:szCs w:val="21"/>
          <w:highlight w:val="none"/>
        </w:rPr>
        <w:t xml:space="preserve">                           （2）</w:t>
      </w:r>
    </w:p>
    <w:p w14:paraId="055084B9">
      <w:pPr>
        <w:ind w:firstLine="420" w:firstLineChars="200"/>
        <w:jc w:val="right"/>
        <w:rPr>
          <w:rFonts w:hint="default" w:ascii="Times New Roman" w:hAnsi="Times New Roman" w:cs="Times New Roman"/>
          <w:color w:val="auto"/>
          <w:szCs w:val="21"/>
          <w:highlight w:val="none"/>
        </w:rPr>
      </w:pPr>
      <w:r>
        <w:rPr>
          <w:rFonts w:hint="default" w:ascii="Times New Roman" w:hAnsi="Times New Roman" w:cs="Times New Roman"/>
          <w:i/>
          <w:iCs/>
          <w:color w:val="auto"/>
          <w:position w:val="-12"/>
          <w:szCs w:val="21"/>
          <w:highlight w:val="none"/>
        </w:rPr>
        <w:object>
          <v:shape id="_x0000_i1028" o:spt="75" type="#_x0000_t75" style="height:18pt;width:109.1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hint="default" w:ascii="Times New Roman" w:hAnsi="Times New Roman" w:cs="Times New Roman"/>
          <w:color w:val="auto"/>
          <w:szCs w:val="21"/>
          <w:highlight w:val="none"/>
        </w:rPr>
        <w:t xml:space="preserve">                            （3）</w:t>
      </w:r>
    </w:p>
    <w:p w14:paraId="23021616">
      <w:pPr>
        <w:ind w:firstLine="420" w:firstLineChars="200"/>
        <w:jc w:val="right"/>
        <w:rPr>
          <w:rFonts w:hint="default" w:ascii="Times New Roman" w:hAnsi="Times New Roman" w:cs="Times New Roman"/>
          <w:color w:val="auto"/>
          <w:szCs w:val="21"/>
          <w:highlight w:val="none"/>
        </w:rPr>
      </w:pPr>
      <w:r>
        <w:rPr>
          <w:rFonts w:hint="default" w:ascii="Times New Roman" w:hAnsi="Times New Roman" w:cs="Times New Roman"/>
          <w:color w:val="auto"/>
          <w:position w:val="-10"/>
          <w:szCs w:val="21"/>
          <w:highlight w:val="none"/>
        </w:rPr>
        <w:object>
          <v:shape id="_x0000_i1029" o:spt="75" type="#_x0000_t75" style="height:16.9pt;width:110.2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hint="default" w:ascii="Times New Roman" w:hAnsi="Times New Roman" w:cs="Times New Roman"/>
          <w:color w:val="auto"/>
          <w:szCs w:val="21"/>
          <w:highlight w:val="none"/>
        </w:rPr>
        <w:t xml:space="preserve">                            （4）</w:t>
      </w:r>
    </w:p>
    <w:p w14:paraId="4D342BED">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rPr>
        <w:t>为逐像元下的地表温度（℃）</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vertAlign w:val="subscript"/>
        </w:rPr>
        <w:t>max</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LST</w:t>
      </w:r>
      <w:r>
        <w:rPr>
          <w:rFonts w:hint="default" w:ascii="Times New Roman" w:hAnsi="Times New Roman" w:cs="Times New Roman"/>
          <w:color w:val="auto"/>
          <w:szCs w:val="21"/>
          <w:highlight w:val="none"/>
          <w:vertAlign w:val="subscript"/>
        </w:rPr>
        <w:t>min</w:t>
      </w:r>
      <w:r>
        <w:rPr>
          <w:rFonts w:hint="default" w:ascii="Times New Roman" w:hAnsi="Times New Roman" w:cs="Times New Roman"/>
          <w:color w:val="auto"/>
          <w:szCs w:val="21"/>
          <w:highlight w:val="none"/>
        </w:rPr>
        <w:t>分别为</w:t>
      </w:r>
      <w:r>
        <w:rPr>
          <w:rFonts w:hint="default" w:ascii="Times New Roman" w:hAnsi="Times New Roman" w:cs="Times New Roman"/>
          <w:color w:val="auto"/>
          <w:szCs w:val="21"/>
          <w:highlight w:val="none"/>
        </w:rPr>
        <w:t>相应</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下的最高和最低地表温度</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a</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b</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c</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d</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干边、湿边拟合系数</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NDVI</w:t>
      </w:r>
      <w:r>
        <w:rPr>
          <w:rFonts w:hint="default" w:ascii="Times New Roman" w:hAnsi="Times New Roman" w:cs="Times New Roman"/>
          <w:color w:val="auto"/>
          <w:szCs w:val="21"/>
          <w:highlight w:val="none"/>
        </w:rPr>
        <w:t>为归一化植被指数。</w:t>
      </w:r>
    </w:p>
    <w:p w14:paraId="2F73CD58">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基于构建得到的</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序列</w:t>
      </w:r>
      <w:r>
        <w:rPr>
          <w:rFonts w:hint="default" w:ascii="Times New Roman" w:hAnsi="Times New Roman" w:cs="Times New Roman"/>
          <w:i/>
          <w:iCs/>
          <w:color w:val="auto"/>
          <w:szCs w:val="21"/>
          <w:highlight w:val="none"/>
        </w:rPr>
        <w:t>，</w:t>
      </w:r>
      <w:r>
        <w:rPr>
          <w:rFonts w:hint="default"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干</w:t>
      </w:r>
      <w:r>
        <w:rPr>
          <w:rFonts w:hint="default" w:ascii="Times New Roman" w:hAnsi="Times New Roman" w:cs="Times New Roman"/>
          <w:color w:val="auto"/>
          <w:szCs w:val="21"/>
          <w:highlight w:val="none"/>
        </w:rPr>
        <w:t>旱等级</w:t>
      </w:r>
      <w:r>
        <w:rPr>
          <w:rFonts w:hint="default" w:ascii="Times New Roman" w:hAnsi="Times New Roman" w:cs="Times New Roman"/>
          <w:color w:val="auto"/>
          <w:szCs w:val="21"/>
          <w:highlight w:val="none"/>
        </w:rPr>
        <w:t>划分（见</w:t>
      </w:r>
      <w:r>
        <w:rPr>
          <w:rFonts w:hint="default" w:ascii="Times New Roman" w:hAnsi="Times New Roman" w:cs="Times New Roman"/>
          <w:color w:val="auto"/>
          <w:szCs w:val="21"/>
          <w:highlight w:val="none"/>
        </w:rPr>
        <w:t>表2</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vertAlign w:val="superscript"/>
        </w:rPr>
        <w:t>4</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szCs w:val="21"/>
          <w:highlight w:val="none"/>
        </w:rPr>
        <w:t>。</w:t>
      </w:r>
    </w:p>
    <w:p w14:paraId="47CB0194">
      <w:pPr>
        <w:adjustRightInd w:val="0"/>
        <w:snapToGrid w:val="0"/>
        <w:ind w:firstLine="360" w:firstLineChars="20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表2</w:t>
      </w:r>
      <w:r>
        <w:rPr>
          <w:rFonts w:hint="default" w:ascii="Times New Roman" w:hAnsi="Times New Roman" w:eastAsia="黑体" w:cs="Times New Roman"/>
          <w:color w:val="auto"/>
          <w:sz w:val="18"/>
          <w:szCs w:val="18"/>
          <w:highlight w:val="none"/>
        </w:rPr>
        <w:t xml:space="preserve">  </w:t>
      </w:r>
      <w:r>
        <w:rPr>
          <w:rFonts w:hint="default" w:ascii="Times New Roman" w:hAnsi="Times New Roman" w:eastAsia="黑体" w:cs="Times New Roman"/>
          <w:color w:val="auto"/>
          <w:sz w:val="18"/>
          <w:szCs w:val="18"/>
          <w:highlight w:val="none"/>
        </w:rPr>
        <w:t>干旱等级划分</w:t>
      </w:r>
    </w:p>
    <w:p w14:paraId="3DC1AEC7">
      <w:pPr>
        <w:adjustRightInd w:val="0"/>
        <w:snapToGrid w:val="0"/>
        <w:ind w:firstLine="360" w:firstLineChars="20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 xml:space="preserve">Table 2 </w:t>
      </w:r>
      <w:r>
        <w:rPr>
          <w:rFonts w:hint="default" w:ascii="Times New Roman" w:hAnsi="Times New Roman" w:eastAsia="黑体" w:cs="Times New Roman"/>
          <w:color w:val="auto"/>
          <w:sz w:val="18"/>
          <w:szCs w:val="18"/>
          <w:highlight w:val="none"/>
          <w:lang w:val="en-US" w:eastAsia="zh-CN"/>
        </w:rPr>
        <w:t>C</w:t>
      </w:r>
      <w:r>
        <w:rPr>
          <w:rFonts w:hint="default" w:ascii="Times New Roman" w:hAnsi="Times New Roman" w:eastAsia="黑体" w:cs="Times New Roman"/>
          <w:color w:val="auto"/>
          <w:sz w:val="18"/>
          <w:szCs w:val="18"/>
          <w:highlight w:val="none"/>
        </w:rPr>
        <w:t>lassification</w:t>
      </w:r>
      <w:r>
        <w:rPr>
          <w:rFonts w:hint="default" w:ascii="Times New Roman" w:hAnsi="Times New Roman" w:eastAsia="黑体" w:cs="Times New Roman"/>
          <w:color w:val="auto"/>
          <w:sz w:val="18"/>
          <w:szCs w:val="18"/>
          <w:highlight w:val="none"/>
        </w:rPr>
        <w:t xml:space="preserve"> </w:t>
      </w:r>
      <w:r>
        <w:rPr>
          <w:rFonts w:hint="default" w:ascii="Times New Roman" w:hAnsi="Times New Roman" w:eastAsia="黑体" w:cs="Times New Roman"/>
          <w:color w:val="auto"/>
          <w:sz w:val="18"/>
          <w:szCs w:val="18"/>
          <w:highlight w:val="none"/>
          <w:lang w:val="en-US" w:eastAsia="zh-CN"/>
        </w:rPr>
        <w:t>of d</w:t>
      </w:r>
      <w:r>
        <w:rPr>
          <w:rFonts w:hint="default" w:ascii="Times New Roman" w:hAnsi="Times New Roman" w:eastAsia="黑体" w:cs="Times New Roman"/>
          <w:color w:val="auto"/>
          <w:sz w:val="18"/>
          <w:szCs w:val="18"/>
          <w:highlight w:val="none"/>
        </w:rPr>
        <w:t>rought severity</w:t>
      </w:r>
      <w:r>
        <w:rPr>
          <w:rFonts w:hint="default" w:ascii="Times New Roman" w:hAnsi="Times New Roman" w:eastAsia="黑体" w:cs="Times New Roman"/>
          <w:color w:val="auto"/>
          <w:sz w:val="18"/>
          <w:szCs w:val="18"/>
          <w:highlight w:val="none"/>
          <w:lang w:val="en-US" w:eastAsia="zh-CN"/>
        </w:rPr>
        <w:t xml:space="preserve"> levels</w:t>
      </w:r>
    </w:p>
    <w:tbl>
      <w:tblPr>
        <w:tblStyle w:val="15"/>
        <w:tblW w:w="7941"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649"/>
        <w:gridCol w:w="1652"/>
        <w:gridCol w:w="1246"/>
        <w:gridCol w:w="1292"/>
        <w:gridCol w:w="994"/>
        <w:gridCol w:w="1108"/>
      </w:tblGrid>
      <w:tr w14:paraId="7BC3ED0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649" w:type="dxa"/>
            <w:tcBorders>
              <w:tl2br w:val="nil"/>
              <w:tr2bl w:val="nil"/>
            </w:tcBorders>
            <w:vAlign w:val="center"/>
          </w:tcPr>
          <w:p w14:paraId="36D6957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干旱等级</w:t>
            </w:r>
          </w:p>
        </w:tc>
        <w:tc>
          <w:tcPr>
            <w:tcW w:w="1652" w:type="dxa"/>
            <w:tcBorders>
              <w:tl2br w:val="nil"/>
              <w:tr2bl w:val="nil"/>
            </w:tcBorders>
            <w:vAlign w:val="center"/>
          </w:tcPr>
          <w:p w14:paraId="75BF120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湿润</w:t>
            </w:r>
          </w:p>
        </w:tc>
        <w:tc>
          <w:tcPr>
            <w:tcW w:w="1246" w:type="dxa"/>
            <w:tcBorders>
              <w:tl2br w:val="nil"/>
              <w:tr2bl w:val="nil"/>
            </w:tcBorders>
            <w:vAlign w:val="center"/>
          </w:tcPr>
          <w:p w14:paraId="446B8CE2">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正常</w:t>
            </w:r>
          </w:p>
        </w:tc>
        <w:tc>
          <w:tcPr>
            <w:tcW w:w="1292" w:type="dxa"/>
            <w:tcBorders>
              <w:tl2br w:val="nil"/>
              <w:tr2bl w:val="nil"/>
            </w:tcBorders>
            <w:vAlign w:val="center"/>
          </w:tcPr>
          <w:p w14:paraId="31A7B539">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轻旱</w:t>
            </w:r>
          </w:p>
        </w:tc>
        <w:tc>
          <w:tcPr>
            <w:tcW w:w="994" w:type="dxa"/>
            <w:tcBorders>
              <w:tl2br w:val="nil"/>
              <w:tr2bl w:val="nil"/>
            </w:tcBorders>
            <w:vAlign w:val="center"/>
          </w:tcPr>
          <w:p w14:paraId="77FEAEEE">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中旱</w:t>
            </w:r>
          </w:p>
        </w:tc>
        <w:tc>
          <w:tcPr>
            <w:tcW w:w="1108" w:type="dxa"/>
            <w:tcBorders>
              <w:tl2br w:val="nil"/>
              <w:tr2bl w:val="nil"/>
            </w:tcBorders>
            <w:vAlign w:val="center"/>
          </w:tcPr>
          <w:p w14:paraId="3310493C">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重旱</w:t>
            </w:r>
          </w:p>
        </w:tc>
      </w:tr>
      <w:tr w14:paraId="461913C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649" w:type="dxa"/>
            <w:tcBorders>
              <w:tl2br w:val="nil"/>
              <w:tr2bl w:val="nil"/>
            </w:tcBorders>
            <w:vAlign w:val="center"/>
          </w:tcPr>
          <w:p w14:paraId="7E71EC7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i/>
                <w:iCs/>
                <w:color w:val="auto"/>
                <w:sz w:val="15"/>
                <w:szCs w:val="15"/>
                <w:highlight w:val="none"/>
              </w:rPr>
              <w:t>TVDI</w:t>
            </w:r>
          </w:p>
        </w:tc>
        <w:tc>
          <w:tcPr>
            <w:tcW w:w="1652" w:type="dxa"/>
            <w:tcBorders>
              <w:tl2br w:val="nil"/>
              <w:tr2bl w:val="nil"/>
            </w:tcBorders>
            <w:vAlign w:val="center"/>
          </w:tcPr>
          <w:p w14:paraId="72EDBFE8">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w:t>
            </w:r>
            <w:r>
              <w:rPr>
                <w:rFonts w:hint="default" w:ascii="Times New Roman" w:hAnsi="Times New Roman" w:cs="Times New Roman"/>
                <w:color w:val="auto"/>
                <w:szCs w:val="21"/>
                <w:highlight w:val="none"/>
              </w:rPr>
              <w:t>~</w:t>
            </w:r>
            <w:r>
              <w:rPr>
                <w:rFonts w:hint="default" w:ascii="Times New Roman" w:hAnsi="Times New Roman" w:cs="Times New Roman"/>
                <w:color w:val="auto"/>
                <w:sz w:val="15"/>
                <w:szCs w:val="15"/>
                <w:highlight w:val="none"/>
              </w:rPr>
              <w:t>0.2</w:t>
            </w:r>
          </w:p>
        </w:tc>
        <w:tc>
          <w:tcPr>
            <w:tcW w:w="1246" w:type="dxa"/>
            <w:tcBorders>
              <w:tl2br w:val="nil"/>
              <w:tr2bl w:val="nil"/>
            </w:tcBorders>
            <w:vAlign w:val="center"/>
          </w:tcPr>
          <w:p w14:paraId="60176592">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0.2</w:t>
            </w:r>
            <w:r>
              <w:rPr>
                <w:rFonts w:hint="default" w:ascii="Times New Roman" w:hAnsi="Times New Roman" w:cs="Times New Roman"/>
                <w:color w:val="auto"/>
                <w:szCs w:val="21"/>
                <w:highlight w:val="none"/>
              </w:rPr>
              <w:t>~</w:t>
            </w:r>
            <w:r>
              <w:rPr>
                <w:rFonts w:hint="default" w:ascii="Times New Roman" w:hAnsi="Times New Roman" w:cs="Times New Roman"/>
                <w:color w:val="auto"/>
                <w:sz w:val="15"/>
                <w:szCs w:val="15"/>
                <w:highlight w:val="none"/>
              </w:rPr>
              <w:t>0.4</w:t>
            </w:r>
          </w:p>
        </w:tc>
        <w:tc>
          <w:tcPr>
            <w:tcW w:w="1292" w:type="dxa"/>
            <w:tcBorders>
              <w:tl2br w:val="nil"/>
              <w:tr2bl w:val="nil"/>
            </w:tcBorders>
            <w:vAlign w:val="center"/>
          </w:tcPr>
          <w:p w14:paraId="05303961">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0.4</w:t>
            </w:r>
            <w:r>
              <w:rPr>
                <w:rFonts w:hint="default" w:ascii="Times New Roman" w:hAnsi="Times New Roman" w:cs="Times New Roman"/>
                <w:color w:val="auto"/>
                <w:szCs w:val="21"/>
                <w:highlight w:val="none"/>
              </w:rPr>
              <w:t>~</w:t>
            </w:r>
            <w:r>
              <w:rPr>
                <w:rFonts w:hint="default" w:ascii="Times New Roman" w:hAnsi="Times New Roman" w:cs="Times New Roman"/>
                <w:color w:val="auto"/>
                <w:sz w:val="15"/>
                <w:szCs w:val="15"/>
                <w:highlight w:val="none"/>
              </w:rPr>
              <w:t>0.6</w:t>
            </w:r>
          </w:p>
        </w:tc>
        <w:tc>
          <w:tcPr>
            <w:tcW w:w="994" w:type="dxa"/>
            <w:tcBorders>
              <w:tl2br w:val="nil"/>
              <w:tr2bl w:val="nil"/>
            </w:tcBorders>
            <w:vAlign w:val="center"/>
          </w:tcPr>
          <w:p w14:paraId="425DE83A">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0.6</w:t>
            </w:r>
            <w:r>
              <w:rPr>
                <w:rFonts w:hint="default" w:ascii="Times New Roman" w:hAnsi="Times New Roman" w:cs="Times New Roman"/>
                <w:color w:val="auto"/>
                <w:szCs w:val="21"/>
                <w:highlight w:val="none"/>
              </w:rPr>
              <w:t>~</w:t>
            </w:r>
            <w:r>
              <w:rPr>
                <w:rFonts w:hint="default" w:ascii="Times New Roman" w:hAnsi="Times New Roman" w:cs="Times New Roman"/>
                <w:color w:val="auto"/>
                <w:sz w:val="15"/>
                <w:szCs w:val="15"/>
                <w:highlight w:val="none"/>
              </w:rPr>
              <w:t>0.8</w:t>
            </w:r>
          </w:p>
        </w:tc>
        <w:tc>
          <w:tcPr>
            <w:tcW w:w="1108" w:type="dxa"/>
            <w:tcBorders>
              <w:tl2br w:val="nil"/>
              <w:tr2bl w:val="nil"/>
            </w:tcBorders>
            <w:vAlign w:val="center"/>
          </w:tcPr>
          <w:p w14:paraId="79134E26">
            <w:pPr>
              <w:adjustRightInd w:val="0"/>
              <w:snapToGrid w:val="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0.8</w:t>
            </w:r>
            <w:r>
              <w:rPr>
                <w:rFonts w:hint="default" w:ascii="Times New Roman" w:hAnsi="Times New Roman" w:cs="Times New Roman"/>
                <w:color w:val="auto"/>
                <w:szCs w:val="21"/>
                <w:highlight w:val="none"/>
              </w:rPr>
              <w:t>~</w:t>
            </w:r>
            <w:r>
              <w:rPr>
                <w:rFonts w:hint="default" w:ascii="Times New Roman" w:hAnsi="Times New Roman" w:cs="Times New Roman"/>
                <w:color w:val="auto"/>
                <w:sz w:val="15"/>
                <w:szCs w:val="15"/>
                <w:highlight w:val="none"/>
              </w:rPr>
              <w:t>1</w:t>
            </w:r>
          </w:p>
        </w:tc>
      </w:tr>
    </w:tbl>
    <w:p w14:paraId="5BE939E8">
      <w:pPr>
        <w:spacing w:before="156" w:beforeLines="50" w:line="360" w:lineRule="auto"/>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1.3.3时滞效应和累积效应</w:t>
      </w:r>
    </w:p>
    <w:p w14:paraId="05F08D75">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为准确量化生态干旱对植被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变化的影响程度，采用皮尔森相关系数来检验生态干旱对</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的滞后和累积影响。</w:t>
      </w:r>
    </w:p>
    <w:p w14:paraId="7EFA2BC9">
      <w:pPr>
        <w:numPr>
          <w:ilvl w:val="0"/>
          <w:numId w:val="0"/>
        </w:numPr>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cs="Times New Roman"/>
          <w:color w:val="auto"/>
          <w:szCs w:val="21"/>
          <w:highlight w:val="none"/>
        </w:rPr>
        <w:t>时滞效应：选择2000—2022年研究区生长季逐月</w:t>
      </w:r>
      <w:r>
        <w:rPr>
          <w:rFonts w:hint="default" w:ascii="Times New Roman" w:hAnsi="Times New Roman" w:cs="Times New Roman"/>
          <w:i/>
          <w:iCs/>
          <w:color w:val="auto"/>
          <w:szCs w:val="21"/>
          <w:highlight w:val="none"/>
        </w:rPr>
        <w:t>WU</w:t>
      </w:r>
      <w:r>
        <w:rPr>
          <w:rFonts w:hint="default" w:ascii="Times New Roman" w:hAnsi="Times New Roman" w:cs="Times New Roman"/>
          <w:color w:val="auto"/>
          <w:szCs w:val="21"/>
          <w:highlight w:val="none"/>
        </w:rPr>
        <w:t>E和1个月尺度生态干旱指数，每月</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与当月之前的前i个月(0≤</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≤12)的生态干旱指数相结合，计算滞后时间尺度为</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个月的相关系数，并将最大相关系数（</w:t>
      </w:r>
      <w:r>
        <w:rPr>
          <w:rFonts w:hint="default" w:ascii="Times New Roman" w:hAnsi="Times New Roman" w:cs="Times New Roman"/>
          <w:i/>
          <w:iCs/>
          <w:color w:val="auto"/>
          <w:szCs w:val="21"/>
          <w:highlight w:val="none"/>
        </w:rPr>
        <w:t>R</w:t>
      </w:r>
      <w:r>
        <w:rPr>
          <w:rFonts w:hint="default" w:ascii="Times New Roman" w:hAnsi="Times New Roman" w:cs="Times New Roman"/>
          <w:i/>
          <w:iCs/>
          <w:color w:val="auto"/>
          <w:szCs w:val="21"/>
          <w:highlight w:val="none"/>
          <w:vertAlign w:val="subscript"/>
        </w:rPr>
        <w:t>max−lag</w:t>
      </w:r>
      <w:r>
        <w:rPr>
          <w:rFonts w:hint="default" w:ascii="Times New Roman" w:hAnsi="Times New Roman" w:cs="Times New Roman"/>
          <w:color w:val="auto"/>
          <w:szCs w:val="21"/>
          <w:highlight w:val="none"/>
        </w:rPr>
        <w:t>）和相应的（</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）定义为滞后效应的强度和</w:t>
      </w:r>
      <w:r>
        <w:rPr>
          <w:rFonts w:hint="default" w:ascii="Times New Roman" w:hAnsi="Times New Roman" w:cs="Times New Roman"/>
          <w:color w:val="auto"/>
          <w:szCs w:val="21"/>
          <w:highlight w:val="none"/>
        </w:rPr>
        <w:t>时间，并</w:t>
      </w:r>
      <w:r>
        <w:rPr>
          <w:rFonts w:hint="default" w:ascii="Times New Roman" w:hAnsi="Times New Roman" w:cs="Times New Roman"/>
          <w:color w:val="auto"/>
          <w:szCs w:val="21"/>
          <w:highlight w:val="none"/>
        </w:rPr>
        <w:t>参考相关文献</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rPr>
        <w:t>24</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将</w:t>
      </w:r>
      <w:r>
        <w:rPr>
          <w:rFonts w:hint="default" w:ascii="Times New Roman" w:hAnsi="Times New Roman" w:cs="Times New Roman"/>
          <w:color w:val="auto"/>
          <w:szCs w:val="21"/>
          <w:highlight w:val="none"/>
        </w:rPr>
        <w:t>滞</w:t>
      </w:r>
      <w:r>
        <w:rPr>
          <w:rFonts w:hint="default" w:ascii="Times New Roman" w:hAnsi="Times New Roman" w:cs="Times New Roman"/>
          <w:color w:val="auto"/>
          <w:szCs w:val="21"/>
          <w:highlight w:val="none"/>
        </w:rPr>
        <w:t>后时间长度划分为短期（0≤</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≤4）、中期（5≤</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≤8）和长期（9≤</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≤12）。</w:t>
      </w:r>
      <w:r>
        <w:rPr>
          <w:rFonts w:hint="eastAsia" w:ascii="Times New Roman" w:hAnsi="Times New Roman" w:cs="Times New Roman"/>
          <w:color w:val="auto"/>
          <w:szCs w:val="21"/>
          <w:highlight w:val="none"/>
          <w:lang w:val="en-US" w:eastAsia="zh-CN"/>
        </w:rPr>
        <w:t>具体</w:t>
      </w:r>
      <w:r>
        <w:rPr>
          <w:rFonts w:hint="default" w:ascii="Times New Roman" w:hAnsi="Times New Roman" w:cs="Times New Roman"/>
          <w:color w:val="auto"/>
          <w:szCs w:val="21"/>
          <w:highlight w:val="none"/>
        </w:rPr>
        <w:t>计算公式</w:t>
      </w:r>
      <w:r>
        <w:rPr>
          <w:rFonts w:hint="default" w:ascii="Times New Roman" w:hAnsi="Times New Roman" w:cs="Times New Roman"/>
          <w:color w:val="auto"/>
          <w:szCs w:val="21"/>
          <w:highlight w:val="none"/>
        </w:rPr>
        <w:t>为</w:t>
      </w:r>
    </w:p>
    <w:p w14:paraId="22CA8368">
      <w:pPr>
        <w:ind w:firstLine="480" w:firstLineChars="200"/>
        <w:jc w:val="right"/>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i</w:t>
      </w:r>
      <w:r>
        <w:rPr>
          <w:rFonts w:hint="default" w:ascii="Times New Roman" w:hAnsi="Times New Roman" w:cs="Times New Roman"/>
          <w:color w:val="auto"/>
          <w:sz w:val="24"/>
          <w:highlight w:val="none"/>
        </w:rPr>
        <w:t xml:space="preserve"> = corr(</w:t>
      </w:r>
      <w:r>
        <w:rPr>
          <w:rFonts w:hint="default" w:ascii="Times New Roman" w:hAnsi="Times New Roman" w:cs="Times New Roman"/>
          <w:i/>
          <w:iCs/>
          <w:color w:val="auto"/>
          <w:sz w:val="24"/>
          <w:highlight w:val="none"/>
        </w:rPr>
        <w:t>WUE</w:t>
      </w:r>
      <w:r>
        <w:rPr>
          <w:rFonts w:hint="default" w:ascii="Times New Roman" w:hAnsi="Times New Roman" w:cs="Times New Roman"/>
          <w:color w:val="auto"/>
          <w:sz w:val="24"/>
          <w:highlight w:val="none"/>
        </w:rPr>
        <w:t xml:space="preserve">, </w:t>
      </w:r>
      <w:r>
        <w:rPr>
          <w:rFonts w:hint="default" w:ascii="Times New Roman" w:hAnsi="Times New Roman" w:cs="Times New Roman"/>
          <w:i/>
          <w:iCs/>
          <w:color w:val="auto"/>
          <w:sz w:val="24"/>
          <w:highlight w:val="none"/>
        </w:rPr>
        <w:t>AI</w:t>
      </w:r>
      <w:r>
        <w:rPr>
          <w:rFonts w:hint="default" w:ascii="Times New Roman" w:hAnsi="Times New Roman" w:cs="Times New Roman"/>
          <w:i/>
          <w:iCs/>
          <w:color w:val="auto"/>
          <w:sz w:val="24"/>
          <w:highlight w:val="none"/>
          <w:vertAlign w:val="subscript"/>
        </w:rPr>
        <w:t>i</w:t>
      </w:r>
      <w:r>
        <w:rPr>
          <w:rFonts w:hint="default" w:ascii="Times New Roman" w:hAnsi="Times New Roman" w:cs="Times New Roman"/>
          <w:color w:val="auto"/>
          <w:sz w:val="24"/>
          <w:highlight w:val="none"/>
        </w:rPr>
        <w:t>)  0≤</w:t>
      </w:r>
      <w:r>
        <w:rPr>
          <w:rFonts w:hint="default" w:ascii="Times New Roman" w:hAnsi="Times New Roman" w:cs="Times New Roman"/>
          <w:i/>
          <w:iCs/>
          <w:color w:val="auto"/>
          <w:sz w:val="24"/>
          <w:highlight w:val="none"/>
        </w:rPr>
        <w:t>i</w:t>
      </w:r>
      <w:r>
        <w:rPr>
          <w:rFonts w:hint="default" w:ascii="Times New Roman" w:hAnsi="Times New Roman" w:cs="Times New Roman"/>
          <w:color w:val="auto"/>
          <w:sz w:val="24"/>
          <w:highlight w:val="none"/>
        </w:rPr>
        <w:t>≤12                    （5）</w:t>
      </w:r>
    </w:p>
    <w:p w14:paraId="2732D8B0">
      <w:pPr>
        <w:ind w:firstLine="480" w:firstLineChars="200"/>
        <w:jc w:val="right"/>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color w:val="auto"/>
          <w:sz w:val="24"/>
          <w:highlight w:val="none"/>
          <w:vertAlign w:val="subscript"/>
        </w:rPr>
        <w:t>max−lag</w:t>
      </w:r>
      <w:r>
        <w:rPr>
          <w:rFonts w:hint="default" w:ascii="Times New Roman" w:hAnsi="Times New Roman" w:cs="Times New Roman"/>
          <w:color w:val="auto"/>
          <w:sz w:val="24"/>
          <w:highlight w:val="none"/>
        </w:rPr>
        <w:t xml:space="preserve"> = max(</w:t>
      </w: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i</w:t>
      </w:r>
      <w:r>
        <w:rPr>
          <w:rFonts w:hint="default" w:ascii="Times New Roman" w:hAnsi="Times New Roman" w:cs="Times New Roman"/>
          <w:i/>
          <w:iCs/>
          <w:color w:val="auto"/>
          <w:sz w:val="24"/>
          <w:highlight w:val="none"/>
        </w:rPr>
        <w:t>)</w:t>
      </w:r>
      <w:r>
        <w:rPr>
          <w:rFonts w:hint="default" w:ascii="Times New Roman" w:hAnsi="Times New Roman" w:cs="Times New Roman"/>
          <w:color w:val="auto"/>
          <w:sz w:val="24"/>
          <w:highlight w:val="none"/>
        </w:rPr>
        <w:t xml:space="preserve">  0≤</w:t>
      </w:r>
      <w:r>
        <w:rPr>
          <w:rFonts w:hint="default" w:ascii="Times New Roman" w:hAnsi="Times New Roman" w:cs="Times New Roman"/>
          <w:i/>
          <w:iCs/>
          <w:color w:val="auto"/>
          <w:sz w:val="24"/>
          <w:highlight w:val="none"/>
        </w:rPr>
        <w:t>i</w:t>
      </w:r>
      <w:r>
        <w:rPr>
          <w:rFonts w:hint="default" w:ascii="Times New Roman" w:hAnsi="Times New Roman" w:cs="Times New Roman"/>
          <w:color w:val="auto"/>
          <w:sz w:val="24"/>
          <w:highlight w:val="none"/>
        </w:rPr>
        <w:t>≤12                     （6）</w:t>
      </w:r>
    </w:p>
    <w:p w14:paraId="3843CE2C">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w:t>
      </w:r>
      <w:r>
        <w:rPr>
          <w:rFonts w:hint="default" w:ascii="Times New Roman" w:hAnsi="Times New Roman" w:cs="Times New Roman"/>
          <w:i/>
          <w:iCs/>
          <w:color w:val="auto"/>
          <w:szCs w:val="21"/>
          <w:highlight w:val="none"/>
        </w:rPr>
        <w:t>R</w:t>
      </w:r>
      <w:r>
        <w:rPr>
          <w:rFonts w:hint="default" w:ascii="Times New Roman" w:hAnsi="Times New Roman" w:cs="Times New Roman"/>
          <w:i/>
          <w:iCs/>
          <w:color w:val="auto"/>
          <w:szCs w:val="21"/>
          <w:highlight w:val="none"/>
          <w:vertAlign w:val="subscript"/>
        </w:rPr>
        <w:t>i</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滞后</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个月的皮尔逊相关系数</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的范围为0到12（0表示没有滞后效应）</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AIi</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滞后</w:t>
      </w:r>
      <w:r>
        <w:rPr>
          <w:rFonts w:hint="default" w:ascii="Times New Roman" w:hAnsi="Times New Roman" w:cs="Times New Roman"/>
          <w:i/>
          <w:iCs/>
          <w:color w:val="auto"/>
          <w:szCs w:val="21"/>
          <w:highlight w:val="none"/>
        </w:rPr>
        <w:t>i</w:t>
      </w:r>
      <w:r>
        <w:rPr>
          <w:rFonts w:hint="default" w:ascii="Times New Roman" w:hAnsi="Times New Roman" w:cs="Times New Roman"/>
          <w:color w:val="auto"/>
          <w:szCs w:val="21"/>
          <w:highlight w:val="none"/>
        </w:rPr>
        <w:t>个月的干旱指数时间序列。</w:t>
      </w:r>
    </w:p>
    <w:p w14:paraId="104CDC0C">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（2）累积效应：计算1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12个月时间尺度的干旱指数与生长季的</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数据，将每个月的</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个月时间尺度的干旱指数相互对应，形成一个系列集合（1≤</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≤12），取最大累积相关系数(</w:t>
      </w:r>
      <w:r>
        <w:rPr>
          <w:rFonts w:hint="default" w:ascii="Times New Roman" w:hAnsi="Times New Roman" w:cs="Times New Roman"/>
          <w:i/>
          <w:iCs/>
          <w:color w:val="auto"/>
          <w:szCs w:val="21"/>
          <w:highlight w:val="none"/>
        </w:rPr>
        <w:t>R</w:t>
      </w:r>
      <w:r>
        <w:rPr>
          <w:rFonts w:hint="default" w:ascii="Times New Roman" w:hAnsi="Times New Roman" w:cs="Times New Roman"/>
          <w:i/>
          <w:iCs/>
          <w:color w:val="auto"/>
          <w:szCs w:val="21"/>
          <w:highlight w:val="none"/>
          <w:vertAlign w:val="subscript"/>
        </w:rPr>
        <w:t>max＿cum</w:t>
      </w:r>
      <w:r>
        <w:rPr>
          <w:rFonts w:hint="default" w:ascii="Times New Roman" w:hAnsi="Times New Roman" w:cs="Times New Roman"/>
          <w:color w:val="auto"/>
          <w:szCs w:val="21"/>
          <w:highlight w:val="none"/>
        </w:rPr>
        <w:t>)与对应时间尺度(</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)视为累积效应强度与时间尺度，</w:t>
      </w:r>
      <w:r>
        <w:rPr>
          <w:rFonts w:hint="default" w:ascii="Times New Roman" w:hAnsi="Times New Roman" w:cs="Times New Roman"/>
          <w:color w:val="auto"/>
          <w:szCs w:val="21"/>
          <w:highlight w:val="none"/>
        </w:rPr>
        <w:t>同样</w:t>
      </w:r>
      <w:r>
        <w:rPr>
          <w:rFonts w:hint="default" w:ascii="Times New Roman" w:hAnsi="Times New Roman" w:cs="Times New Roman"/>
          <w:color w:val="auto"/>
          <w:szCs w:val="21"/>
          <w:highlight w:val="none"/>
        </w:rPr>
        <w:t>参考相关研究</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kern w:val="0"/>
          <w:szCs w:val="21"/>
          <w:highlight w:val="none"/>
          <w:vertAlign w:val="superscript"/>
        </w:rPr>
        <w:t>24</w:t>
      </w:r>
      <w:r>
        <w:rPr>
          <w:rFonts w:hint="default" w:ascii="Times New Roman" w:hAnsi="Times New Roman" w:cs="Times New Roman"/>
          <w:color w:val="auto"/>
          <w:kern w:val="0"/>
          <w:szCs w:val="21"/>
          <w:highlight w:val="none"/>
          <w:vertAlign w:val="superscript"/>
        </w:rPr>
        <w:t>]</w:t>
      </w:r>
      <w:r>
        <w:rPr>
          <w:rFonts w:hint="default" w:ascii="Times New Roman" w:hAnsi="Times New Roman" w:cs="Times New Roman"/>
          <w:color w:val="auto"/>
          <w:szCs w:val="21"/>
          <w:highlight w:val="none"/>
        </w:rPr>
        <w:t>划</w:t>
      </w:r>
      <w:r>
        <w:rPr>
          <w:rFonts w:hint="default" w:ascii="Times New Roman" w:hAnsi="Times New Roman" w:cs="Times New Roman"/>
          <w:color w:val="auto"/>
          <w:szCs w:val="21"/>
          <w:highlight w:val="none"/>
        </w:rPr>
        <w:t>分累积时间长度为短期（1≤</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≤4）、中期（5≤</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≤8）和长期（9≤</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≤12）。计算公式</w:t>
      </w:r>
      <w:r>
        <w:rPr>
          <w:rFonts w:hint="default" w:ascii="Times New Roman" w:hAnsi="Times New Roman" w:cs="Times New Roman"/>
          <w:color w:val="auto"/>
          <w:szCs w:val="21"/>
          <w:highlight w:val="none"/>
        </w:rPr>
        <w:t>为</w:t>
      </w:r>
    </w:p>
    <w:p w14:paraId="7D0F7DF1">
      <w:pPr>
        <w:ind w:firstLine="480" w:firstLineChars="200"/>
        <w:jc w:val="right"/>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m</w:t>
      </w:r>
      <w:r>
        <w:rPr>
          <w:rFonts w:hint="default" w:ascii="Times New Roman" w:hAnsi="Times New Roman" w:cs="Times New Roman"/>
          <w:color w:val="auto"/>
          <w:sz w:val="24"/>
          <w:highlight w:val="none"/>
        </w:rPr>
        <w:t xml:space="preserve"> = corr(</w:t>
      </w:r>
      <w:r>
        <w:rPr>
          <w:rFonts w:hint="default" w:ascii="Times New Roman" w:hAnsi="Times New Roman" w:cs="Times New Roman"/>
          <w:i/>
          <w:iCs/>
          <w:color w:val="auto"/>
          <w:sz w:val="24"/>
          <w:highlight w:val="none"/>
        </w:rPr>
        <w:t>WUE</w:t>
      </w:r>
      <w:r>
        <w:rPr>
          <w:rFonts w:hint="default" w:ascii="Times New Roman" w:hAnsi="Times New Roman" w:cs="Times New Roman"/>
          <w:color w:val="auto"/>
          <w:sz w:val="24"/>
          <w:highlight w:val="none"/>
        </w:rPr>
        <w:t>,</w:t>
      </w:r>
      <w:r>
        <w:rPr>
          <w:rFonts w:hint="default" w:ascii="Times New Roman" w:hAnsi="Times New Roman" w:cs="Times New Roman"/>
          <w:i/>
          <w:iCs/>
          <w:color w:val="auto"/>
          <w:sz w:val="24"/>
          <w:highlight w:val="none"/>
        </w:rPr>
        <w:t xml:space="preserve"> mAI</w:t>
      </w:r>
      <w:r>
        <w:rPr>
          <w:rFonts w:hint="default" w:ascii="Times New Roman" w:hAnsi="Times New Roman" w:cs="Times New Roman"/>
          <w:color w:val="auto"/>
          <w:sz w:val="24"/>
          <w:highlight w:val="none"/>
        </w:rPr>
        <w:t>)  1≤</w:t>
      </w:r>
      <w:r>
        <w:rPr>
          <w:rFonts w:hint="default" w:ascii="Times New Roman" w:hAnsi="Times New Roman" w:cs="Times New Roman"/>
          <w:i/>
          <w:iCs/>
          <w:color w:val="auto"/>
          <w:sz w:val="24"/>
          <w:highlight w:val="none"/>
        </w:rPr>
        <w:t>m</w:t>
      </w:r>
      <w:r>
        <w:rPr>
          <w:rFonts w:hint="default" w:ascii="Times New Roman" w:hAnsi="Times New Roman" w:cs="Times New Roman"/>
          <w:color w:val="auto"/>
          <w:sz w:val="24"/>
          <w:highlight w:val="none"/>
        </w:rPr>
        <w:t>≤12                （7）</w:t>
      </w:r>
    </w:p>
    <w:p w14:paraId="00354A27">
      <w:pPr>
        <w:ind w:firstLine="480" w:firstLineChars="200"/>
        <w:jc w:val="right"/>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R</w:t>
      </w:r>
      <w:r>
        <w:rPr>
          <w:rFonts w:hint="default" w:ascii="Times New Roman" w:hAnsi="Times New Roman" w:cs="Times New Roman"/>
          <w:color w:val="auto"/>
          <w:sz w:val="24"/>
          <w:highlight w:val="none"/>
          <w:vertAlign w:val="subscript"/>
        </w:rPr>
        <w:t>max−cum</w:t>
      </w:r>
      <w:r>
        <w:rPr>
          <w:rFonts w:hint="default" w:ascii="Times New Roman" w:hAnsi="Times New Roman" w:cs="Times New Roman"/>
          <w:color w:val="auto"/>
          <w:sz w:val="24"/>
          <w:highlight w:val="none"/>
        </w:rPr>
        <w:t xml:space="preserve"> = max(</w:t>
      </w:r>
      <w:r>
        <w:rPr>
          <w:rFonts w:hint="default" w:ascii="Times New Roman" w:hAnsi="Times New Roman" w:cs="Times New Roman"/>
          <w:i/>
          <w:iCs/>
          <w:color w:val="auto"/>
          <w:sz w:val="24"/>
          <w:highlight w:val="none"/>
        </w:rPr>
        <w:t>R</w:t>
      </w:r>
      <w:r>
        <w:rPr>
          <w:rFonts w:hint="default" w:ascii="Times New Roman" w:hAnsi="Times New Roman" w:cs="Times New Roman"/>
          <w:i/>
          <w:iCs/>
          <w:color w:val="auto"/>
          <w:sz w:val="24"/>
          <w:highlight w:val="none"/>
          <w:vertAlign w:val="subscript"/>
        </w:rPr>
        <w:t>m</w:t>
      </w:r>
      <w:r>
        <w:rPr>
          <w:rFonts w:hint="default" w:ascii="Times New Roman" w:hAnsi="Times New Roman" w:cs="Times New Roman"/>
          <w:color w:val="auto"/>
          <w:sz w:val="24"/>
          <w:highlight w:val="none"/>
        </w:rPr>
        <w:t>)  1≤</w:t>
      </w:r>
      <w:r>
        <w:rPr>
          <w:rFonts w:hint="default" w:ascii="Times New Roman" w:hAnsi="Times New Roman" w:cs="Times New Roman"/>
          <w:i/>
          <w:iCs/>
          <w:color w:val="auto"/>
          <w:sz w:val="24"/>
          <w:highlight w:val="none"/>
        </w:rPr>
        <w:t>m</w:t>
      </w:r>
      <w:r>
        <w:rPr>
          <w:rFonts w:hint="default" w:ascii="Times New Roman" w:hAnsi="Times New Roman" w:cs="Times New Roman"/>
          <w:color w:val="auto"/>
          <w:sz w:val="24"/>
          <w:highlight w:val="none"/>
        </w:rPr>
        <w:t>≤12                 （8）</w:t>
      </w:r>
    </w:p>
    <w:p w14:paraId="58D88E76">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w:t>
      </w:r>
      <w:r>
        <w:rPr>
          <w:rFonts w:hint="default" w:ascii="Times New Roman" w:hAnsi="Times New Roman" w:cs="Times New Roman"/>
          <w:i/>
          <w:iCs/>
          <w:color w:val="auto"/>
          <w:szCs w:val="21"/>
          <w:highlight w:val="none"/>
        </w:rPr>
        <w:t>m</w:t>
      </w:r>
      <w:r>
        <w:rPr>
          <w:rFonts w:hint="default" w:ascii="Times New Roman" w:hAnsi="Times New Roman" w:cs="Times New Roman"/>
          <w:i/>
          <w:iCs/>
          <w:color w:val="auto"/>
          <w:szCs w:val="21"/>
          <w:highlight w:val="none"/>
        </w:rPr>
        <w:tab/>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干旱指数的累积时间尺度</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mAI</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具有</w:t>
      </w:r>
      <w:r>
        <w:rPr>
          <w:rFonts w:hint="default" w:ascii="Times New Roman" w:hAnsi="Times New Roman" w:cs="Times New Roman"/>
          <w:i/>
          <w:iCs/>
          <w:color w:val="auto"/>
          <w:szCs w:val="21"/>
          <w:highlight w:val="none"/>
        </w:rPr>
        <w:t>m</w:t>
      </w:r>
      <w:r>
        <w:rPr>
          <w:rFonts w:hint="default" w:ascii="Times New Roman" w:hAnsi="Times New Roman" w:cs="Times New Roman"/>
          <w:color w:val="auto"/>
          <w:szCs w:val="21"/>
          <w:highlight w:val="none"/>
        </w:rPr>
        <w:t>个累积月的干旱指数时间序列</w:t>
      </w:r>
      <w:r>
        <w:rPr>
          <w:rFonts w:hint="default" w:ascii="Times New Roman" w:hAnsi="Times New Roman" w:cs="Times New Roman"/>
          <w:color w:val="auto"/>
          <w:szCs w:val="21"/>
          <w:highlight w:val="none"/>
          <w:lang w:eastAsia="zh-CN"/>
        </w:rPr>
        <w:t>；</w:t>
      </w:r>
      <w:r>
        <w:rPr>
          <w:rFonts w:hint="default" w:ascii="Times New Roman" w:hAnsi="Times New Roman" w:cs="Times New Roman"/>
          <w:i/>
          <w:iCs/>
          <w:color w:val="auto"/>
          <w:szCs w:val="21"/>
          <w:highlight w:val="none"/>
        </w:rPr>
        <w:t>R</w:t>
      </w:r>
      <w:r>
        <w:rPr>
          <w:rFonts w:hint="default" w:ascii="Times New Roman" w:hAnsi="Times New Roman" w:cs="Times New Roman"/>
          <w:i/>
          <w:iCs/>
          <w:color w:val="auto"/>
          <w:szCs w:val="21"/>
          <w:highlight w:val="none"/>
          <w:vertAlign w:val="subscript"/>
        </w:rPr>
        <w:t>m</w:t>
      </w:r>
      <w:r>
        <w:rPr>
          <w:rFonts w:hint="default" w:ascii="Times New Roman" w:hAnsi="Times New Roman" w:cs="Times New Roman"/>
          <w:color w:val="auto"/>
          <w:szCs w:val="21"/>
          <w:highlight w:val="none"/>
        </w:rPr>
        <w:t>为</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m AI</w:t>
      </w:r>
      <w:r>
        <w:rPr>
          <w:rFonts w:hint="default" w:ascii="Times New Roman" w:hAnsi="Times New Roman" w:cs="Times New Roman"/>
          <w:color w:val="auto"/>
          <w:szCs w:val="21"/>
          <w:highlight w:val="none"/>
        </w:rPr>
        <w:t>之间的皮尔逊相关系数。</w:t>
      </w:r>
    </w:p>
    <w:p w14:paraId="28DFC4B7">
      <w:pPr>
        <w:adjustRightInd w:val="0"/>
        <w:snapToGrid w:val="0"/>
        <w:jc w:val="left"/>
        <w:outlineLvl w:val="0"/>
        <w:rPr>
          <w:rFonts w:hint="default" w:ascii="Times New Roman" w:hAnsi="Times New Roman" w:cs="Times New Roman"/>
          <w:bCs/>
          <w:color w:val="auto"/>
          <w:sz w:val="28"/>
          <w:szCs w:val="28"/>
          <w:highlight w:val="none"/>
        </w:rPr>
      </w:pPr>
      <w:bookmarkStart w:id="4" w:name="_Toc13437"/>
      <w:bookmarkStart w:id="5" w:name="_Toc3233"/>
      <w:bookmarkStart w:id="6" w:name="_Toc10977"/>
      <w:r>
        <w:rPr>
          <w:rFonts w:hint="default" w:ascii="Times New Roman" w:hAnsi="Times New Roman" w:cs="Times New Roman"/>
          <w:bCs/>
          <w:color w:val="auto"/>
          <w:sz w:val="28"/>
          <w:szCs w:val="28"/>
          <w:highlight w:val="none"/>
        </w:rPr>
        <w:t>2 结果</w:t>
      </w:r>
      <w:bookmarkEnd w:id="4"/>
      <w:bookmarkEnd w:id="5"/>
      <w:bookmarkEnd w:id="6"/>
      <w:r>
        <w:rPr>
          <w:rFonts w:hint="default" w:ascii="Times New Roman" w:hAnsi="Times New Roman" w:cs="Times New Roman"/>
          <w:bCs/>
          <w:color w:val="auto"/>
          <w:sz w:val="28"/>
          <w:szCs w:val="28"/>
          <w:highlight w:val="none"/>
        </w:rPr>
        <w:t>与分析</w:t>
      </w:r>
    </w:p>
    <w:p w14:paraId="1D22100E">
      <w:pPr>
        <w:outlineLvl w:val="1"/>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2.1水分利用效率的时空变化规律</w:t>
      </w:r>
    </w:p>
    <w:p w14:paraId="2963820B">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近23</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rPr>
        <w:t>，研究区</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年际变化</w:t>
      </w:r>
      <w:r>
        <w:rPr>
          <w:rFonts w:hint="default" w:ascii="Times New Roman" w:hAnsi="Times New Roman" w:cs="Times New Roman"/>
          <w:color w:val="auto"/>
          <w:szCs w:val="21"/>
          <w:highlight w:val="none"/>
        </w:rPr>
        <w:t>呈波动下降趋势</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3（a）]</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下降速率为0.05/10a</w:t>
      </w:r>
      <w:r>
        <w:rPr>
          <w:rFonts w:hint="default" w:ascii="Times New Roman" w:hAnsi="Times New Roman" w:cs="Times New Roman"/>
          <w:color w:val="auto"/>
          <w:szCs w:val="21"/>
          <w:highlight w:val="none"/>
        </w:rPr>
        <w:t>。不同季节（春季、夏季、秋季、生长季）</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的变化趋势与年际变化趋势一致，但</w:t>
      </w:r>
      <w:r>
        <w:rPr>
          <w:rFonts w:hint="default" w:ascii="Times New Roman" w:hAnsi="Times New Roman" w:cs="Times New Roman"/>
          <w:color w:val="auto"/>
          <w:szCs w:val="21"/>
          <w:highlight w:val="none"/>
        </w:rPr>
        <w:t>在变幅上</w:t>
      </w:r>
      <w:r>
        <w:rPr>
          <w:rFonts w:hint="default" w:ascii="Times New Roman" w:hAnsi="Times New Roman" w:cs="Times New Roman"/>
          <w:color w:val="auto"/>
          <w:szCs w:val="21"/>
          <w:highlight w:val="none"/>
        </w:rPr>
        <w:t>存在一定差异</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3（b）]</w:t>
      </w:r>
      <w:r>
        <w:rPr>
          <w:rFonts w:hint="default" w:ascii="Times New Roman" w:hAnsi="Times New Roman" w:cs="Times New Roman"/>
          <w:color w:val="auto"/>
          <w:szCs w:val="21"/>
          <w:highlight w:val="none"/>
        </w:rPr>
        <w:t>，由高到低依次为生长季（</w:t>
      </w:r>
      <w:r>
        <w:rPr>
          <w:rFonts w:hint="default" w:ascii="Times New Roman" w:hAnsi="Times New Roman" w:cs="Times New Roman"/>
          <w:color w:val="auto"/>
          <w:szCs w:val="21"/>
          <w:highlight w:val="none"/>
        </w:rPr>
        <w:t>0.028/a</w:t>
      </w:r>
      <w:r>
        <w:rPr>
          <w:rFonts w:hint="default" w:ascii="Times New Roman" w:hAnsi="Times New Roman" w:cs="Times New Roman"/>
          <w:color w:val="auto"/>
          <w:szCs w:val="21"/>
          <w:highlight w:val="none"/>
        </w:rPr>
        <w:t>）&gt;夏季（</w:t>
      </w:r>
      <w:r>
        <w:rPr>
          <w:rFonts w:hint="default" w:ascii="Times New Roman" w:hAnsi="Times New Roman" w:cs="Times New Roman"/>
          <w:color w:val="auto"/>
          <w:szCs w:val="21"/>
          <w:highlight w:val="none"/>
        </w:rPr>
        <w:t>0.031/a</w:t>
      </w:r>
      <w:r>
        <w:rPr>
          <w:rFonts w:hint="default" w:ascii="Times New Roman" w:hAnsi="Times New Roman" w:cs="Times New Roman"/>
          <w:color w:val="auto"/>
          <w:szCs w:val="21"/>
          <w:highlight w:val="none"/>
        </w:rPr>
        <w:t>）&gt;春季（</w:t>
      </w:r>
      <w:r>
        <w:rPr>
          <w:rFonts w:hint="default" w:ascii="Times New Roman" w:hAnsi="Times New Roman" w:cs="Times New Roman"/>
          <w:color w:val="auto"/>
          <w:szCs w:val="21"/>
          <w:highlight w:val="none"/>
        </w:rPr>
        <w:t>0.021/a</w:t>
      </w:r>
      <w:r>
        <w:rPr>
          <w:rFonts w:hint="default" w:ascii="Times New Roman" w:hAnsi="Times New Roman" w:cs="Times New Roman"/>
          <w:color w:val="auto"/>
          <w:szCs w:val="21"/>
          <w:highlight w:val="none"/>
        </w:rPr>
        <w:t>）&gt;秋季（</w:t>
      </w:r>
      <w:r>
        <w:rPr>
          <w:rFonts w:hint="default" w:ascii="Times New Roman" w:hAnsi="Times New Roman" w:cs="Times New Roman"/>
          <w:color w:val="auto"/>
          <w:szCs w:val="21"/>
          <w:highlight w:val="none"/>
        </w:rPr>
        <w:t>0.008/a</w:t>
      </w:r>
      <w:r>
        <w:rPr>
          <w:rFonts w:hint="default" w:ascii="Times New Roman" w:hAnsi="Times New Roman" w:cs="Times New Roman"/>
          <w:color w:val="auto"/>
          <w:szCs w:val="21"/>
          <w:highlight w:val="none"/>
        </w:rPr>
        <w:t>）。</w:t>
      </w:r>
    </w:p>
    <w:p w14:paraId="618F0FD8">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从植被水分利用效率（</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）的空间格局可以看出（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年尺度上，</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高值区集中分布于极端干旱的塔里木盆地腹地低海拔区，低值区稳定存在于海拔高于3000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rPr>
        <w:t>的天山山脉及昆仑山系区域，主要受所处环境的</w:t>
      </w:r>
      <w:r>
        <w:rPr>
          <w:rFonts w:hint="default" w:ascii="Times New Roman" w:hAnsi="Times New Roman" w:cs="Times New Roman"/>
          <w:color w:val="auto"/>
          <w:szCs w:val="21"/>
          <w:highlight w:val="none"/>
        </w:rPr>
        <w:t>影响</w:t>
      </w:r>
      <w:r>
        <w:rPr>
          <w:rFonts w:hint="default" w:ascii="Times New Roman" w:hAnsi="Times New Roman" w:cs="Times New Roman"/>
          <w:color w:val="auto"/>
          <w:szCs w:val="21"/>
          <w:highlight w:val="none"/>
        </w:rPr>
        <w:t>。生长季</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高值区主要集中于塔里木河流域和准噶尔盆地南缘灌溉绿洲带，除受区域环境的影响外还与强人类活动有关</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低值区分布与</w:t>
      </w:r>
      <w:r>
        <w:rPr>
          <w:rFonts w:hint="default" w:ascii="Times New Roman" w:hAnsi="Times New Roman" w:cs="Times New Roman"/>
          <w:color w:val="auto"/>
          <w:szCs w:val="21"/>
          <w:highlight w:val="none"/>
        </w:rPr>
        <w:t>年尺度</w:t>
      </w:r>
      <w:r>
        <w:rPr>
          <w:rFonts w:hint="default" w:ascii="Times New Roman" w:hAnsi="Times New Roman" w:cs="Times New Roman"/>
          <w:color w:val="auto"/>
          <w:szCs w:val="21"/>
          <w:highlight w:val="none"/>
        </w:rPr>
        <w:t>一致。不同干湿区域的</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呈现不同的分布特征，干旱区</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最高（年均值为1.</w:t>
      </w:r>
      <w:r>
        <w:rPr>
          <w:rFonts w:hint="default" w:ascii="Times New Roman" w:hAnsi="Times New Roman" w:cs="Times New Roman"/>
          <w:color w:val="auto"/>
          <w:szCs w:val="21"/>
          <w:highlight w:val="none"/>
        </w:rPr>
        <w:t>50</w:t>
      </w:r>
      <w:r>
        <w:rPr>
          <w:rFonts w:hint="default" w:ascii="Times New Roman" w:hAnsi="Times New Roman" w:cs="Times New Roman"/>
          <w:color w:val="auto"/>
          <w:szCs w:val="21"/>
          <w:highlight w:val="none"/>
        </w:rPr>
        <w:t>g C·mm⁻¹·m⁻²，生长季均值为2.</w:t>
      </w:r>
      <w:r>
        <w:rPr>
          <w:rFonts w:hint="default" w:ascii="Times New Roman" w:hAnsi="Times New Roman" w:cs="Times New Roman"/>
          <w:color w:val="auto"/>
          <w:szCs w:val="21"/>
          <w:highlight w:val="none"/>
        </w:rPr>
        <w:t>43</w:t>
      </w:r>
      <w:r>
        <w:rPr>
          <w:rFonts w:hint="default" w:ascii="Times New Roman" w:hAnsi="Times New Roman" w:cs="Times New Roman"/>
          <w:color w:val="auto"/>
          <w:szCs w:val="21"/>
          <w:highlight w:val="none"/>
        </w:rPr>
        <w:t>g C·mm⁻¹·m⁻²），湿润区最低（年均值为</w:t>
      </w:r>
      <w:r>
        <w:rPr>
          <w:rFonts w:hint="default" w:ascii="Times New Roman" w:hAnsi="Times New Roman" w:cs="Times New Roman"/>
          <w:color w:val="auto"/>
          <w:szCs w:val="21"/>
          <w:highlight w:val="none"/>
        </w:rPr>
        <w:t>0.41</w:t>
      </w:r>
      <w:r>
        <w:rPr>
          <w:rFonts w:hint="default" w:ascii="Times New Roman" w:hAnsi="Times New Roman" w:cs="Times New Roman"/>
          <w:color w:val="auto"/>
          <w:szCs w:val="21"/>
          <w:highlight w:val="none"/>
        </w:rPr>
        <w:t>g C·mm⁻¹·m⁻²，生长季均值为</w:t>
      </w:r>
      <w:r>
        <w:rPr>
          <w:rFonts w:hint="default" w:ascii="Times New Roman" w:hAnsi="Times New Roman" w:cs="Times New Roman"/>
          <w:color w:val="auto"/>
          <w:szCs w:val="21"/>
          <w:highlight w:val="none"/>
        </w:rPr>
        <w:t>0.58</w:t>
      </w:r>
      <w:r>
        <w:rPr>
          <w:rFonts w:hint="default" w:ascii="Times New Roman" w:hAnsi="Times New Roman" w:cs="Times New Roman"/>
          <w:color w:val="auto"/>
          <w:szCs w:val="21"/>
          <w:highlight w:val="none"/>
        </w:rPr>
        <w:t>g C·mm⁻¹·m⁻²），</w:t>
      </w:r>
      <w:r>
        <w:rPr>
          <w:rFonts w:hint="default" w:ascii="Times New Roman" w:hAnsi="Times New Roman" w:cs="Times New Roman"/>
          <w:color w:val="auto"/>
          <w:szCs w:val="21"/>
          <w:highlight w:val="none"/>
        </w:rPr>
        <w:t>整体上</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的变化</w:t>
      </w:r>
      <w:r>
        <w:rPr>
          <w:rFonts w:hint="default" w:ascii="Times New Roman" w:hAnsi="Times New Roman" w:cs="Times New Roman"/>
          <w:color w:val="auto"/>
          <w:szCs w:val="21"/>
          <w:highlight w:val="none"/>
        </w:rPr>
        <w:t>随环境湿润度</w:t>
      </w:r>
      <w:r>
        <w:rPr>
          <w:rFonts w:hint="default" w:ascii="Times New Roman" w:hAnsi="Times New Roman" w:cs="Times New Roman"/>
          <w:color w:val="auto"/>
          <w:szCs w:val="21"/>
          <w:highlight w:val="none"/>
        </w:rPr>
        <w:t>的</w:t>
      </w:r>
      <w:r>
        <w:rPr>
          <w:rFonts w:hint="default" w:ascii="Times New Roman" w:hAnsi="Times New Roman" w:cs="Times New Roman"/>
          <w:color w:val="auto"/>
          <w:szCs w:val="21"/>
          <w:highlight w:val="none"/>
        </w:rPr>
        <w:t>增加而下降</w:t>
      </w:r>
      <w:r>
        <w:rPr>
          <w:rFonts w:hint="default" w:ascii="Times New Roman" w:hAnsi="Times New Roman" w:cs="Times New Roman"/>
          <w:color w:val="auto"/>
          <w:sz w:val="24"/>
          <w:highlight w:val="none"/>
        </w:rPr>
        <w:t>。</w:t>
      </w:r>
    </w:p>
    <w:p w14:paraId="7E58624F">
      <w:pPr>
        <w:adjustRightInd w:val="0"/>
        <w:snapToGrid w:val="0"/>
        <w:spacing w:before="156" w:beforeLines="50" w:line="360" w:lineRule="auto"/>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drawing>
          <wp:inline distT="0" distB="0" distL="114300" distR="114300">
            <wp:extent cx="5713730" cy="2371090"/>
            <wp:effectExtent l="0" t="0" r="1270" b="6350"/>
            <wp:docPr id="2" name="图片 2"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3"/>
                    <pic:cNvPicPr>
                      <a:picLocks noChangeAspect="1"/>
                    </pic:cNvPicPr>
                  </pic:nvPicPr>
                  <pic:blipFill>
                    <a:blip r:embed="rId17"/>
                    <a:stretch>
                      <a:fillRect/>
                    </a:stretch>
                  </pic:blipFill>
                  <pic:spPr>
                    <a:xfrm>
                      <a:off x="0" y="0"/>
                      <a:ext cx="5713730" cy="2371090"/>
                    </a:xfrm>
                    <a:prstGeom prst="rect">
                      <a:avLst/>
                    </a:prstGeom>
                  </pic:spPr>
                </pic:pic>
              </a:graphicData>
            </a:graphic>
          </wp:inline>
        </w:drawing>
      </w:r>
    </w:p>
    <w:p w14:paraId="3ACAFCED">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3  </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2022年</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年均值</w:t>
      </w:r>
      <w:r>
        <w:rPr>
          <w:rFonts w:hint="default" w:ascii="Times New Roman" w:hAnsi="Times New Roman" w:eastAsia="黑体" w:cs="Times New Roman"/>
          <w:color w:val="auto"/>
          <w:sz w:val="18"/>
          <w:szCs w:val="18"/>
          <w:highlight w:val="none"/>
        </w:rPr>
        <w:t>和</w:t>
      </w:r>
      <w:r>
        <w:rPr>
          <w:rFonts w:hint="default" w:ascii="Times New Roman" w:hAnsi="Times New Roman" w:eastAsia="黑体" w:cs="Times New Roman"/>
          <w:color w:val="auto"/>
          <w:sz w:val="18"/>
          <w:szCs w:val="18"/>
          <w:highlight w:val="none"/>
        </w:rPr>
        <w:t>不同季节均值变化</w:t>
      </w:r>
    </w:p>
    <w:p w14:paraId="39262773">
      <w:pPr>
        <w:adjustRightInd w:val="0"/>
        <w:snapToGrid w:val="0"/>
        <w:jc w:val="center"/>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rPr>
        <w:t xml:space="preserve">Fig. 3 </w:t>
      </w:r>
      <w:r>
        <w:rPr>
          <w:rFonts w:hint="default" w:ascii="Times New Roman" w:hAnsi="Times New Roman" w:eastAsia="黑体" w:cs="Times New Roman"/>
          <w:color w:val="auto"/>
          <w:sz w:val="18"/>
          <w:szCs w:val="18"/>
          <w:highlight w:val="none"/>
          <w:lang w:val="en-US" w:eastAsia="zh-CN"/>
        </w:rPr>
        <w:t>Changes in a</w:t>
      </w:r>
      <w:r>
        <w:rPr>
          <w:rFonts w:hint="default" w:ascii="Times New Roman" w:hAnsi="Times New Roman" w:eastAsia="黑体" w:cs="Times New Roman"/>
          <w:color w:val="auto"/>
          <w:sz w:val="18"/>
          <w:szCs w:val="18"/>
          <w:highlight w:val="none"/>
        </w:rPr>
        <w:t xml:space="preserve">nnual and seasonal </w:t>
      </w:r>
      <w:r>
        <w:rPr>
          <w:rFonts w:hint="default" w:ascii="Times New Roman" w:hAnsi="Times New Roman" w:eastAsia="黑体" w:cs="Times New Roman"/>
          <w:color w:val="auto"/>
          <w:sz w:val="18"/>
          <w:szCs w:val="18"/>
          <w:highlight w:val="none"/>
          <w:lang w:val="en-US" w:eastAsia="zh-CN"/>
        </w:rPr>
        <w:t>mean</w:t>
      </w:r>
      <w:r>
        <w:rPr>
          <w:rFonts w:hint="default" w:ascii="Times New Roman" w:hAnsi="Times New Roman" w:eastAsia="黑体" w:cs="Times New Roman"/>
          <w:i/>
          <w:iCs/>
          <w:color w:val="auto"/>
          <w:sz w:val="18"/>
          <w:szCs w:val="18"/>
          <w:highlight w:val="none"/>
        </w:rPr>
        <w:t xml:space="preserve"> WUE</w:t>
      </w:r>
      <w:r>
        <w:rPr>
          <w:rFonts w:hint="default" w:ascii="Times New Roman" w:hAnsi="Times New Roman" w:eastAsia="黑体" w:cs="Times New Roman"/>
          <w:color w:val="auto"/>
          <w:sz w:val="18"/>
          <w:szCs w:val="18"/>
          <w:highlight w:val="none"/>
        </w:rPr>
        <w:t xml:space="preserve"> </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2022</w:t>
      </w:r>
      <w:r>
        <w:rPr>
          <w:rFonts w:hint="default" w:ascii="Times New Roman" w:hAnsi="Times New Roman" w:eastAsia="黑体" w:cs="Times New Roman"/>
          <w:color w:val="auto"/>
          <w:sz w:val="18"/>
          <w:szCs w:val="18"/>
          <w:highlight w:val="none"/>
          <w:lang w:val="en-US" w:eastAsia="zh-CN"/>
        </w:rPr>
        <w:t>)</w:t>
      </w:r>
    </w:p>
    <w:p w14:paraId="7F698760">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2000-2022年新疆植被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变化趋势的空间格局整体呈现下降趋势</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5（a）]，</w:t>
      </w:r>
      <w:r>
        <w:rPr>
          <w:rFonts w:hint="default" w:ascii="Times New Roman" w:hAnsi="Times New Roman" w:cs="Times New Roman"/>
          <w:color w:val="auto"/>
          <w:szCs w:val="21"/>
          <w:highlight w:val="none"/>
        </w:rPr>
        <w:t>其中</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呈上升趋势</w:t>
      </w:r>
      <w:r>
        <w:rPr>
          <w:rFonts w:hint="default" w:ascii="Times New Roman" w:hAnsi="Times New Roman" w:cs="Times New Roman"/>
          <w:color w:val="auto"/>
          <w:szCs w:val="21"/>
          <w:highlight w:val="none"/>
        </w:rPr>
        <w:t>的</w:t>
      </w:r>
      <w:r>
        <w:rPr>
          <w:rFonts w:hint="default" w:ascii="Times New Roman" w:hAnsi="Times New Roman" w:cs="Times New Roman"/>
          <w:color w:val="auto"/>
          <w:szCs w:val="21"/>
          <w:highlight w:val="none"/>
        </w:rPr>
        <w:t>面积占</w:t>
      </w:r>
      <w:r>
        <w:rPr>
          <w:rFonts w:hint="default" w:ascii="Times New Roman" w:hAnsi="Times New Roman" w:cs="Times New Roman"/>
          <w:color w:val="auto"/>
          <w:szCs w:val="21"/>
          <w:highlight w:val="none"/>
        </w:rPr>
        <w:t>全区面积的比例</w:t>
      </w:r>
      <w:r>
        <w:rPr>
          <w:rFonts w:hint="default" w:ascii="Times New Roman" w:hAnsi="Times New Roman" w:cs="Times New Roman"/>
          <w:color w:val="auto"/>
          <w:szCs w:val="21"/>
          <w:highlight w:val="none"/>
        </w:rPr>
        <w:t>极低</w:t>
      </w:r>
      <w:r>
        <w:rPr>
          <w:rFonts w:hint="default" w:ascii="Times New Roman" w:hAnsi="Times New Roman" w:cs="Times New Roman"/>
          <w:color w:val="auto"/>
          <w:szCs w:val="21"/>
          <w:highlight w:val="none"/>
        </w:rPr>
        <w:t>，仅为</w:t>
      </w:r>
      <w:r>
        <w:rPr>
          <w:rFonts w:hint="default" w:ascii="Times New Roman" w:hAnsi="Times New Roman" w:cs="Times New Roman"/>
          <w:color w:val="auto"/>
          <w:szCs w:val="21"/>
          <w:highlight w:val="none"/>
        </w:rPr>
        <w:t>8.01%，主要集中于水分条件相对优越的伊犁河谷及阿尔泰山；</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下降区域则广泛分布于全区，显著下降区</w:t>
      </w:r>
      <w:r>
        <w:rPr>
          <w:rFonts w:hint="default" w:ascii="Times New Roman" w:hAnsi="Times New Roman" w:cs="Times New Roman"/>
          <w:color w:val="auto"/>
          <w:szCs w:val="21"/>
          <w:highlight w:val="none"/>
        </w:rPr>
        <w:t>面积占全区面积比例达</w:t>
      </w:r>
      <w:r>
        <w:rPr>
          <w:rFonts w:hint="default" w:ascii="Times New Roman" w:hAnsi="Times New Roman" w:cs="Times New Roman"/>
          <w:color w:val="auto"/>
          <w:szCs w:val="21"/>
          <w:highlight w:val="none"/>
        </w:rPr>
        <w:t>45.3%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主要分布于海拔较低的塔里木河流域和准噶尔盆地。生长季的</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趋势变化与年</w:t>
      </w:r>
      <w:r>
        <w:rPr>
          <w:rFonts w:hint="default" w:ascii="Times New Roman" w:hAnsi="Times New Roman" w:cs="Times New Roman"/>
          <w:color w:val="auto"/>
          <w:szCs w:val="21"/>
          <w:highlight w:val="none"/>
        </w:rPr>
        <w:t>变化</w:t>
      </w:r>
      <w:r>
        <w:rPr>
          <w:rFonts w:hint="default" w:ascii="Times New Roman" w:hAnsi="Times New Roman" w:cs="Times New Roman"/>
          <w:color w:val="auto"/>
          <w:szCs w:val="21"/>
          <w:highlight w:val="none"/>
        </w:rPr>
        <w:t>相似</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5（b）]</w:t>
      </w:r>
      <w:r>
        <w:rPr>
          <w:rFonts w:hint="default" w:ascii="Times New Roman" w:hAnsi="Times New Roman" w:cs="Times New Roman"/>
          <w:color w:val="auto"/>
          <w:szCs w:val="21"/>
          <w:highlight w:val="none"/>
        </w:rPr>
        <w:t>，但</w:t>
      </w:r>
      <w:r>
        <w:rPr>
          <w:rFonts w:hint="default" w:ascii="Times New Roman" w:hAnsi="Times New Roman" w:cs="Times New Roman"/>
          <w:color w:val="auto"/>
          <w:szCs w:val="21"/>
          <w:highlight w:val="none"/>
        </w:rPr>
        <w:t>呈</w:t>
      </w:r>
      <w:r>
        <w:rPr>
          <w:rFonts w:hint="default" w:ascii="Times New Roman" w:hAnsi="Times New Roman" w:cs="Times New Roman"/>
          <w:color w:val="auto"/>
          <w:szCs w:val="21"/>
          <w:highlight w:val="none"/>
        </w:rPr>
        <w:t>下降</w:t>
      </w:r>
      <w:r>
        <w:rPr>
          <w:rFonts w:hint="default" w:ascii="Times New Roman" w:hAnsi="Times New Roman" w:cs="Times New Roman"/>
          <w:color w:val="auto"/>
          <w:szCs w:val="21"/>
          <w:highlight w:val="none"/>
        </w:rPr>
        <w:t>趋势的面积</w:t>
      </w:r>
      <w:r>
        <w:rPr>
          <w:rFonts w:hint="default" w:ascii="Times New Roman" w:hAnsi="Times New Roman" w:cs="Times New Roman"/>
          <w:color w:val="auto"/>
          <w:szCs w:val="21"/>
          <w:highlight w:val="none"/>
        </w:rPr>
        <w:t>占比更高，显著下降区</w:t>
      </w:r>
      <w:r>
        <w:rPr>
          <w:rFonts w:hint="default" w:ascii="Times New Roman" w:hAnsi="Times New Roman" w:cs="Times New Roman"/>
          <w:color w:val="auto"/>
          <w:szCs w:val="21"/>
          <w:highlight w:val="none"/>
        </w:rPr>
        <w:t>域面积占全区面积比例</w:t>
      </w:r>
      <w:r>
        <w:rPr>
          <w:rFonts w:hint="default" w:ascii="Times New Roman" w:hAnsi="Times New Roman" w:cs="Times New Roman"/>
          <w:color w:val="auto"/>
          <w:szCs w:val="21"/>
          <w:highlight w:val="none"/>
        </w:rPr>
        <w:t>高达50.5%。</w:t>
      </w:r>
    </w:p>
    <w:p w14:paraId="73ADBD4F">
      <w:pPr>
        <w:spacing w:before="156" w:beforeLines="50" w:line="360" w:lineRule="auto"/>
        <w:jc w:val="cente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drawing>
          <wp:inline distT="0" distB="0" distL="114300" distR="114300">
            <wp:extent cx="5760720" cy="2880360"/>
            <wp:effectExtent l="0" t="0" r="0" b="0"/>
            <wp:docPr id="19" name="图片 19" descr="图4w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4wue"/>
                    <pic:cNvPicPr>
                      <a:picLocks noChangeAspect="1"/>
                    </pic:cNvPicPr>
                  </pic:nvPicPr>
                  <pic:blipFill>
                    <a:blip r:embed="rId18"/>
                    <a:stretch>
                      <a:fillRect/>
                    </a:stretch>
                  </pic:blipFill>
                  <pic:spPr>
                    <a:xfrm>
                      <a:off x="0" y="0"/>
                      <a:ext cx="5760720" cy="2880360"/>
                    </a:xfrm>
                    <a:prstGeom prst="rect">
                      <a:avLst/>
                    </a:prstGeom>
                  </pic:spPr>
                </pic:pic>
              </a:graphicData>
            </a:graphic>
          </wp:inline>
        </w:drawing>
      </w:r>
    </w:p>
    <w:p w14:paraId="6186FECF">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4  </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2022年</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年均值</w:t>
      </w:r>
      <w:r>
        <w:rPr>
          <w:rFonts w:hint="default" w:ascii="Times New Roman" w:hAnsi="Times New Roman" w:eastAsia="黑体" w:cs="Times New Roman"/>
          <w:color w:val="auto"/>
          <w:sz w:val="18"/>
          <w:szCs w:val="18"/>
          <w:highlight w:val="none"/>
        </w:rPr>
        <w:t>和</w:t>
      </w:r>
      <w:r>
        <w:rPr>
          <w:rFonts w:hint="default" w:ascii="Times New Roman" w:hAnsi="Times New Roman" w:eastAsia="黑体" w:cs="Times New Roman"/>
          <w:color w:val="auto"/>
          <w:sz w:val="18"/>
          <w:szCs w:val="18"/>
          <w:highlight w:val="none"/>
        </w:rPr>
        <w:t>生长季均值分布</w:t>
      </w:r>
    </w:p>
    <w:p w14:paraId="1307C0A1">
      <w:pPr>
        <w:adjustRightInd w:val="0"/>
        <w:snapToGrid w:val="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sz w:val="18"/>
          <w:szCs w:val="18"/>
          <w:highlight w:val="none"/>
        </w:rPr>
        <w:t xml:space="preserve">Fig.4 </w:t>
      </w:r>
      <w:r>
        <w:rPr>
          <w:rFonts w:hint="default" w:ascii="Times New Roman" w:hAnsi="Times New Roman" w:eastAsia="黑体" w:cs="Times New Roman"/>
          <w:color w:val="auto"/>
          <w:sz w:val="18"/>
          <w:szCs w:val="18"/>
          <w:highlight w:val="none"/>
        </w:rPr>
        <w:t>D</w:t>
      </w:r>
      <w:r>
        <w:rPr>
          <w:rFonts w:hint="default" w:ascii="Times New Roman" w:hAnsi="Times New Roman" w:eastAsia="黑体" w:cs="Times New Roman"/>
          <w:color w:val="auto"/>
          <w:sz w:val="18"/>
          <w:szCs w:val="18"/>
          <w:highlight w:val="none"/>
        </w:rPr>
        <w:t>istribution of annual and growing</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 xml:space="preserve">season mean </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 xml:space="preserve"> </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2022</w:t>
      </w:r>
      <w:r>
        <w:rPr>
          <w:rFonts w:hint="default" w:ascii="Times New Roman" w:hAnsi="Times New Roman" w:eastAsia="黑体" w:cs="Times New Roman"/>
          <w:color w:val="auto"/>
          <w:sz w:val="18"/>
          <w:szCs w:val="18"/>
          <w:highlight w:val="none"/>
          <w:lang w:val="en-US" w:eastAsia="zh-CN"/>
        </w:rPr>
        <w:t>)</w:t>
      </w:r>
    </w:p>
    <w:p w14:paraId="6E72FA9C">
      <w:pPr>
        <w:spacing w:before="156" w:beforeLines="50"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271135" cy="2140585"/>
            <wp:effectExtent l="0" t="0" r="1905" b="8255"/>
            <wp:docPr id="6" name="图片 8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3" descr="图4"/>
                    <pic:cNvPicPr>
                      <a:picLocks noChangeAspect="1"/>
                    </pic:cNvPicPr>
                  </pic:nvPicPr>
                  <pic:blipFill>
                    <a:blip r:embed="rId19"/>
                    <a:stretch>
                      <a:fillRect/>
                    </a:stretch>
                  </pic:blipFill>
                  <pic:spPr>
                    <a:xfrm>
                      <a:off x="0" y="0"/>
                      <a:ext cx="5271135" cy="2140585"/>
                    </a:xfrm>
                    <a:prstGeom prst="rect">
                      <a:avLst/>
                    </a:prstGeom>
                    <a:noFill/>
                    <a:ln>
                      <a:noFill/>
                    </a:ln>
                  </pic:spPr>
                </pic:pic>
              </a:graphicData>
            </a:graphic>
          </wp:inline>
        </w:drawing>
      </w:r>
    </w:p>
    <w:p w14:paraId="3552257C">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5  </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2022年</w:t>
      </w:r>
      <w:r>
        <w:rPr>
          <w:rFonts w:hint="default" w:ascii="Times New Roman" w:hAnsi="Times New Roman" w:eastAsia="黑体" w:cs="Times New Roman"/>
          <w:color w:val="auto"/>
          <w:sz w:val="18"/>
          <w:szCs w:val="18"/>
          <w:highlight w:val="none"/>
        </w:rPr>
        <w:t>尺度和</w:t>
      </w:r>
      <w:r>
        <w:rPr>
          <w:rFonts w:hint="default" w:ascii="Times New Roman" w:hAnsi="Times New Roman" w:eastAsia="黑体" w:cs="Times New Roman"/>
          <w:color w:val="auto"/>
          <w:sz w:val="18"/>
          <w:szCs w:val="18"/>
          <w:highlight w:val="none"/>
        </w:rPr>
        <w:t>生长季</w:t>
      </w:r>
      <w:r>
        <w:rPr>
          <w:rFonts w:hint="default" w:ascii="Times New Roman" w:hAnsi="Times New Roman" w:eastAsia="黑体" w:cs="Times New Roman"/>
          <w:color w:val="auto"/>
          <w:sz w:val="18"/>
          <w:szCs w:val="18"/>
          <w:highlight w:val="none"/>
        </w:rPr>
        <w:t>的</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趋势变化</w:t>
      </w:r>
    </w:p>
    <w:p w14:paraId="5A482D7B">
      <w:pPr>
        <w:adjustRightInd w:val="0"/>
        <w:snapToGrid w:val="0"/>
        <w:jc w:val="center"/>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rPr>
        <w:t>Fig.5 Trend</w:t>
      </w:r>
      <w:r>
        <w:rPr>
          <w:rFonts w:hint="default" w:ascii="Times New Roman" w:hAnsi="Times New Roman" w:eastAsia="黑体" w:cs="Times New Roman"/>
          <w:color w:val="auto"/>
          <w:sz w:val="18"/>
          <w:szCs w:val="18"/>
          <w:highlight w:val="none"/>
          <w:lang w:val="en-US" w:eastAsia="zh-CN"/>
        </w:rPr>
        <w:t xml:space="preserve"> change</w:t>
      </w:r>
      <w:r>
        <w:rPr>
          <w:rFonts w:hint="default" w:ascii="Times New Roman" w:hAnsi="Times New Roman" w:eastAsia="黑体" w:cs="Times New Roman"/>
          <w:color w:val="auto"/>
          <w:sz w:val="18"/>
          <w:szCs w:val="18"/>
          <w:highlight w:val="none"/>
        </w:rPr>
        <w:t xml:space="preserve">s </w:t>
      </w:r>
      <w:r>
        <w:rPr>
          <w:rFonts w:hint="default" w:ascii="Times New Roman" w:hAnsi="Times New Roman" w:eastAsia="黑体" w:cs="Times New Roman"/>
          <w:color w:val="auto"/>
          <w:sz w:val="18"/>
          <w:szCs w:val="18"/>
          <w:highlight w:val="none"/>
          <w:lang w:val="en-US" w:eastAsia="zh-CN"/>
        </w:rPr>
        <w:t>of</w:t>
      </w:r>
      <w:r>
        <w:rPr>
          <w:rFonts w:hint="default" w:ascii="Times New Roman" w:hAnsi="Times New Roman" w:eastAsia="黑体" w:cs="Times New Roman"/>
          <w:color w:val="auto"/>
          <w:sz w:val="18"/>
          <w:szCs w:val="18"/>
          <w:highlight w:val="none"/>
        </w:rPr>
        <w:t xml:space="preserve"> </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 xml:space="preserve"> at </w:t>
      </w:r>
      <w:r>
        <w:rPr>
          <w:rFonts w:hint="default" w:ascii="Times New Roman" w:hAnsi="Times New Roman" w:eastAsia="黑体" w:cs="Times New Roman"/>
          <w:color w:val="auto"/>
          <w:sz w:val="18"/>
          <w:szCs w:val="18"/>
          <w:highlight w:val="none"/>
        </w:rPr>
        <w:t xml:space="preserve">annual </w:t>
      </w:r>
      <w:r>
        <w:rPr>
          <w:rFonts w:hint="default" w:ascii="Times New Roman" w:hAnsi="Times New Roman" w:eastAsia="黑体" w:cs="Times New Roman"/>
          <w:color w:val="auto"/>
          <w:sz w:val="18"/>
          <w:szCs w:val="18"/>
          <w:highlight w:val="none"/>
        </w:rPr>
        <w:t xml:space="preserve">scale and </w:t>
      </w:r>
      <w:r>
        <w:rPr>
          <w:rFonts w:hint="default" w:ascii="Times New Roman" w:hAnsi="Times New Roman" w:eastAsia="黑体" w:cs="Times New Roman"/>
          <w:color w:val="auto"/>
          <w:sz w:val="18"/>
          <w:szCs w:val="18"/>
          <w:highlight w:val="none"/>
          <w:lang w:val="en-US" w:eastAsia="zh-CN"/>
        </w:rPr>
        <w:t xml:space="preserve">during </w:t>
      </w:r>
      <w:r>
        <w:rPr>
          <w:rFonts w:hint="default" w:ascii="Times New Roman" w:hAnsi="Times New Roman" w:eastAsia="黑体" w:cs="Times New Roman"/>
          <w:color w:val="auto"/>
          <w:sz w:val="18"/>
          <w:szCs w:val="18"/>
          <w:highlight w:val="none"/>
        </w:rPr>
        <w:t xml:space="preserve">growing season </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2022</w:t>
      </w:r>
      <w:r>
        <w:rPr>
          <w:rFonts w:hint="default" w:ascii="Times New Roman" w:hAnsi="Times New Roman" w:eastAsia="黑体" w:cs="Times New Roman"/>
          <w:color w:val="auto"/>
          <w:sz w:val="18"/>
          <w:szCs w:val="18"/>
          <w:highlight w:val="none"/>
          <w:lang w:val="en-US" w:eastAsia="zh-CN"/>
        </w:rPr>
        <w:t>)</w:t>
      </w:r>
    </w:p>
    <w:p w14:paraId="53F975E7">
      <w:pPr>
        <w:adjustRightInd w:val="0"/>
        <w:snapToGrid w:val="0"/>
        <w:outlineLvl w:val="1"/>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2</w:t>
      </w:r>
      <w:r>
        <w:rPr>
          <w:rFonts w:hint="default" w:ascii="Times New Roman" w:hAnsi="Times New Roman" w:eastAsia="黑体" w:cs="Times New Roman"/>
          <w:color w:val="auto"/>
          <w:szCs w:val="21"/>
          <w:highlight w:val="none"/>
        </w:rPr>
        <w:t>.2生态干旱的时空演变</w:t>
      </w:r>
      <w:r>
        <w:rPr>
          <w:rFonts w:hint="default" w:ascii="Times New Roman" w:hAnsi="Times New Roman" w:eastAsia="黑体" w:cs="Times New Roman"/>
          <w:color w:val="auto"/>
          <w:szCs w:val="21"/>
          <w:highlight w:val="none"/>
        </w:rPr>
        <w:t>规律</w:t>
      </w:r>
    </w:p>
    <w:p w14:paraId="4F5368DE">
      <w:pPr>
        <w:adjustRightInd w:val="0"/>
        <w:snapToGrid w:val="0"/>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2</w:t>
      </w:r>
      <w:r>
        <w:rPr>
          <w:rFonts w:hint="default" w:ascii="Times New Roman" w:hAnsi="Times New Roman" w:eastAsia="楷体" w:cs="Times New Roman"/>
          <w:color w:val="auto"/>
          <w:szCs w:val="21"/>
          <w:highlight w:val="none"/>
        </w:rPr>
        <w:t>.2.1生态干旱指数的适用性分析</w:t>
      </w:r>
    </w:p>
    <w:p w14:paraId="7FBFDEF9">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为更好的优选适宜研究区的生态干旱指数，采用目前在植被干旱方面应用较广但获取存在一定局限的</w:t>
      </w:r>
      <w:r>
        <w:rPr>
          <w:rFonts w:hint="default" w:ascii="Times New Roman" w:hAnsi="Times New Roman" w:cs="Times New Roman"/>
          <w:i/>
          <w:iCs/>
          <w:color w:val="auto"/>
          <w:szCs w:val="21"/>
          <w:highlight w:val="none"/>
        </w:rPr>
        <w:t>SSIF</w:t>
      </w:r>
      <w:r>
        <w:rPr>
          <w:rFonts w:hint="default" w:ascii="Times New Roman" w:hAnsi="Times New Roman" w:cs="Times New Roman"/>
          <w:color w:val="auto"/>
          <w:szCs w:val="21"/>
          <w:highlight w:val="none"/>
        </w:rPr>
        <w:t>指数、且与植被生长有直接联系的土壤湿度数据进行多维度对比分析（见图6）。从全区及不同干湿分区的相关性可以看出，</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和</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指数的性能存在一定差异，整体上</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在超全区60%区域的干旱区与</w:t>
      </w:r>
      <w:r>
        <w:rPr>
          <w:rFonts w:hint="default" w:ascii="Times New Roman" w:hAnsi="Times New Roman" w:cs="Times New Roman"/>
          <w:i/>
          <w:iCs/>
          <w:color w:val="auto"/>
          <w:szCs w:val="21"/>
          <w:highlight w:val="none"/>
        </w:rPr>
        <w:t>SSIF</w:t>
      </w:r>
      <w:r>
        <w:rPr>
          <w:rFonts w:hint="default" w:ascii="Times New Roman" w:hAnsi="Times New Roman" w:cs="Times New Roman"/>
          <w:color w:val="auto"/>
          <w:szCs w:val="21"/>
          <w:highlight w:val="none"/>
        </w:rPr>
        <w:t>的相关性较好，</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指数则在</w:t>
      </w:r>
      <w:r>
        <w:rPr>
          <w:rFonts w:hint="default" w:ascii="Times New Roman" w:hAnsi="Times New Roman" w:cs="Times New Roman"/>
          <w:color w:val="auto"/>
          <w:szCs w:val="21"/>
          <w:highlight w:val="none"/>
        </w:rPr>
        <w:t>半干旱及湿润区</w:t>
      </w:r>
      <w:r>
        <w:rPr>
          <w:rFonts w:hint="default" w:ascii="Times New Roman" w:hAnsi="Times New Roman" w:cs="Times New Roman"/>
          <w:color w:val="auto"/>
          <w:szCs w:val="21"/>
          <w:highlight w:val="none"/>
        </w:rPr>
        <w:t>表现更优；</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在全区及除湿润区以外的其他区域与土壤湿度的相关性均优于</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。从不同</w:t>
      </w:r>
      <w:r>
        <w:rPr>
          <w:rFonts w:hint="default" w:ascii="Times New Roman" w:hAnsi="Times New Roman" w:cs="Times New Roman"/>
          <w:color w:val="auto"/>
          <w:szCs w:val="21"/>
          <w:highlight w:val="none"/>
        </w:rPr>
        <w:t>季节（春、夏、秋及生长季）</w:t>
      </w:r>
      <w:r>
        <w:rPr>
          <w:rFonts w:hint="default" w:ascii="Times New Roman" w:hAnsi="Times New Roman" w:cs="Times New Roman"/>
          <w:color w:val="auto"/>
          <w:szCs w:val="21"/>
          <w:highlight w:val="none"/>
        </w:rPr>
        <w:t>二者的对比</w:t>
      </w:r>
      <w:r>
        <w:rPr>
          <w:rFonts w:hint="default" w:ascii="Times New Roman" w:hAnsi="Times New Roman" w:cs="Times New Roman"/>
          <w:color w:val="auto"/>
          <w:szCs w:val="21"/>
          <w:highlight w:val="none"/>
        </w:rPr>
        <w:t>分析</w:t>
      </w:r>
      <w:r>
        <w:rPr>
          <w:rFonts w:hint="default" w:ascii="Times New Roman" w:hAnsi="Times New Roman" w:cs="Times New Roman"/>
          <w:color w:val="auto"/>
          <w:szCs w:val="21"/>
          <w:highlight w:val="none"/>
        </w:rPr>
        <w:t>结果显示，除夏季外，</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指数与SSIF的相关性表现</w:t>
      </w:r>
      <w:r>
        <w:rPr>
          <w:rFonts w:hint="default" w:ascii="Times New Roman" w:hAnsi="Times New Roman" w:cs="Times New Roman"/>
          <w:color w:val="auto"/>
          <w:szCs w:val="21"/>
          <w:highlight w:val="none"/>
        </w:rPr>
        <w:t>均</w:t>
      </w:r>
      <w:r>
        <w:rPr>
          <w:rFonts w:hint="default" w:ascii="Times New Roman" w:hAnsi="Times New Roman" w:cs="Times New Roman"/>
          <w:color w:val="auto"/>
          <w:szCs w:val="21"/>
          <w:highlight w:val="none"/>
        </w:rPr>
        <w:t>优</w:t>
      </w:r>
      <w:r>
        <w:rPr>
          <w:rFonts w:hint="default" w:ascii="Times New Roman" w:hAnsi="Times New Roman" w:cs="Times New Roman"/>
          <w:color w:val="auto"/>
          <w:szCs w:val="21"/>
          <w:highlight w:val="none"/>
        </w:rPr>
        <w:t>于</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；与土壤湿度的相关分析显示二者差异不大。基于不同季节两指数的变异系数(</w:t>
      </w:r>
      <w:r>
        <w:rPr>
          <w:rFonts w:hint="default" w:ascii="Times New Roman" w:hAnsi="Times New Roman" w:cs="Times New Roman"/>
          <w:i/>
          <w:iCs/>
          <w:color w:val="auto"/>
          <w:szCs w:val="21"/>
          <w:highlight w:val="none"/>
        </w:rPr>
        <w:t>CV</w:t>
      </w:r>
      <w:r>
        <w:rPr>
          <w:rFonts w:hint="default" w:ascii="Times New Roman" w:hAnsi="Times New Roman" w:cs="Times New Roman"/>
          <w:color w:val="auto"/>
          <w:szCs w:val="21"/>
          <w:highlight w:val="none"/>
        </w:rPr>
        <w:t>)对比可知，除秋季外，各季节</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的变异系数低于</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变异系数的面积占比均超过50%</w:t>
      </w:r>
      <w:r>
        <w:rPr>
          <w:rFonts w:hint="default" w:ascii="Times New Roman" w:hAnsi="Times New Roman" w:cs="Times New Roman"/>
          <w:color w:val="auto"/>
          <w:szCs w:val="21"/>
          <w:highlight w:val="none"/>
        </w:rPr>
        <w:t>，表明</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在</w:t>
      </w:r>
      <w:r>
        <w:rPr>
          <w:rFonts w:hint="default" w:ascii="Times New Roman" w:hAnsi="Times New Roman" w:cs="Times New Roman"/>
          <w:color w:val="auto"/>
          <w:szCs w:val="21"/>
          <w:highlight w:val="none"/>
        </w:rPr>
        <w:t>大部分</w:t>
      </w:r>
      <w:r>
        <w:rPr>
          <w:rFonts w:hint="default" w:ascii="Times New Roman" w:hAnsi="Times New Roman" w:cs="Times New Roman"/>
          <w:color w:val="auto"/>
          <w:szCs w:val="21"/>
          <w:highlight w:val="none"/>
        </w:rPr>
        <w:t>时间</w:t>
      </w:r>
      <w:r>
        <w:rPr>
          <w:rFonts w:hint="default" w:ascii="Times New Roman" w:hAnsi="Times New Roman" w:cs="Times New Roman"/>
          <w:color w:val="auto"/>
          <w:szCs w:val="21"/>
          <w:highlight w:val="none"/>
        </w:rPr>
        <w:t>和空间</w:t>
      </w:r>
      <w:r>
        <w:rPr>
          <w:rFonts w:hint="default" w:ascii="Times New Roman" w:hAnsi="Times New Roman" w:cs="Times New Roman"/>
          <w:color w:val="auto"/>
          <w:szCs w:val="21"/>
          <w:highlight w:val="none"/>
        </w:rPr>
        <w:t>上</w:t>
      </w:r>
      <w:r>
        <w:rPr>
          <w:rFonts w:hint="default" w:ascii="Times New Roman" w:hAnsi="Times New Roman" w:cs="Times New Roman"/>
          <w:color w:val="auto"/>
          <w:szCs w:val="21"/>
          <w:highlight w:val="none"/>
        </w:rPr>
        <w:t>均</w:t>
      </w:r>
      <w:r>
        <w:rPr>
          <w:rFonts w:hint="default" w:ascii="Times New Roman" w:hAnsi="Times New Roman" w:cs="Times New Roman"/>
          <w:color w:val="auto"/>
          <w:szCs w:val="21"/>
          <w:highlight w:val="none"/>
        </w:rPr>
        <w:t>具有更高的稳定性。综上</w:t>
      </w:r>
      <w:r>
        <w:rPr>
          <w:rFonts w:hint="default" w:ascii="Times New Roman" w:hAnsi="Times New Roman" w:cs="Times New Roman"/>
          <w:color w:val="auto"/>
          <w:szCs w:val="21"/>
          <w:highlight w:val="none"/>
        </w:rPr>
        <w:t>可以看出</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在</w:t>
      </w:r>
      <w:r>
        <w:rPr>
          <w:rFonts w:hint="default" w:ascii="Times New Roman" w:hAnsi="Times New Roman" w:cs="Times New Roman"/>
          <w:color w:val="auto"/>
          <w:szCs w:val="21"/>
          <w:highlight w:val="none"/>
        </w:rPr>
        <w:t>研究区时空上</w:t>
      </w:r>
      <w:r>
        <w:rPr>
          <w:rFonts w:hint="default" w:ascii="Times New Roman" w:hAnsi="Times New Roman" w:cs="Times New Roman"/>
          <w:color w:val="auto"/>
          <w:szCs w:val="21"/>
          <w:highlight w:val="none"/>
        </w:rPr>
        <w:t>表现出</w:t>
      </w:r>
      <w:r>
        <w:rPr>
          <w:rFonts w:hint="default" w:ascii="Times New Roman" w:hAnsi="Times New Roman" w:cs="Times New Roman"/>
          <w:color w:val="auto"/>
          <w:szCs w:val="21"/>
          <w:highlight w:val="none"/>
        </w:rPr>
        <w:t>更加显著的稳健性</w:t>
      </w:r>
      <w:r>
        <w:rPr>
          <w:rFonts w:hint="default" w:ascii="Times New Roman" w:hAnsi="Times New Roman" w:cs="Times New Roman"/>
          <w:color w:val="auto"/>
          <w:szCs w:val="21"/>
          <w:highlight w:val="none"/>
        </w:rPr>
        <w:t>。因此，</w:t>
      </w:r>
      <w:r>
        <w:rPr>
          <w:rFonts w:hint="default" w:ascii="Times New Roman" w:hAnsi="Times New Roman" w:cs="Times New Roman"/>
          <w:color w:val="auto"/>
          <w:szCs w:val="21"/>
          <w:highlight w:val="none"/>
        </w:rPr>
        <w:t>选取</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指数作为本研究</w:t>
      </w:r>
      <w:r>
        <w:rPr>
          <w:rFonts w:hint="default" w:ascii="Times New Roman" w:hAnsi="Times New Roman" w:cs="Times New Roman"/>
          <w:color w:val="auto"/>
          <w:szCs w:val="21"/>
          <w:highlight w:val="none"/>
        </w:rPr>
        <w:t>区域</w:t>
      </w:r>
      <w:r>
        <w:rPr>
          <w:rFonts w:hint="default" w:ascii="Times New Roman" w:hAnsi="Times New Roman" w:cs="Times New Roman"/>
          <w:color w:val="auto"/>
          <w:szCs w:val="21"/>
          <w:highlight w:val="none"/>
        </w:rPr>
        <w:t>的</w:t>
      </w:r>
      <w:r>
        <w:rPr>
          <w:rFonts w:hint="default" w:ascii="Times New Roman" w:hAnsi="Times New Roman" w:cs="Times New Roman"/>
          <w:color w:val="auto"/>
          <w:szCs w:val="21"/>
          <w:highlight w:val="none"/>
        </w:rPr>
        <w:t>生态干旱指数。</w:t>
      </w:r>
    </w:p>
    <w:p w14:paraId="01342A56">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756275" cy="2194560"/>
            <wp:effectExtent l="0" t="0" r="4445" b="0"/>
            <wp:docPr id="4" name="图片 4"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6"/>
                    <pic:cNvPicPr>
                      <a:picLocks noChangeAspect="1"/>
                    </pic:cNvPicPr>
                  </pic:nvPicPr>
                  <pic:blipFill>
                    <a:blip r:embed="rId20"/>
                    <a:stretch>
                      <a:fillRect/>
                    </a:stretch>
                  </pic:blipFill>
                  <pic:spPr>
                    <a:xfrm>
                      <a:off x="0" y="0"/>
                      <a:ext cx="5756275" cy="2194560"/>
                    </a:xfrm>
                    <a:prstGeom prst="rect">
                      <a:avLst/>
                    </a:prstGeom>
                  </pic:spPr>
                </pic:pic>
              </a:graphicData>
            </a:graphic>
          </wp:inline>
        </w:drawing>
      </w:r>
    </w:p>
    <w:p w14:paraId="0F93D983">
      <w:pPr>
        <w:pStyle w:val="7"/>
        <w:adjustRightInd w:val="0"/>
        <w:snapToGrid w:val="0"/>
        <w:spacing w:after="0"/>
        <w:jc w:val="center"/>
        <w:rPr>
          <w:rFonts w:hint="default" w:ascii="Times New Roman" w:hAnsi="Times New Roman" w:cs="Times New Roman"/>
          <w:color w:val="auto"/>
          <w:sz w:val="15"/>
          <w:szCs w:val="15"/>
          <w:highlight w:val="none"/>
        </w:rPr>
      </w:pPr>
      <w:r>
        <w:rPr>
          <w:rFonts w:hint="default" w:ascii="Times New Roman" w:hAnsi="Times New Roman" w:cs="Times New Roman"/>
          <w:i/>
          <w:iCs/>
          <w:color w:val="auto"/>
          <w:sz w:val="15"/>
          <w:szCs w:val="15"/>
          <w:highlight w:val="none"/>
        </w:rPr>
        <w:t>SM</w:t>
      </w:r>
      <w:r>
        <w:rPr>
          <w:rFonts w:hint="default" w:ascii="Times New Roman" w:hAnsi="Times New Roman" w:cs="Times New Roman"/>
          <w:color w:val="auto"/>
          <w:sz w:val="15"/>
          <w:szCs w:val="15"/>
          <w:highlight w:val="none"/>
        </w:rPr>
        <w:t>（Soil Moisture）表示土壤湿度</w:t>
      </w:r>
    </w:p>
    <w:p w14:paraId="74A9EB8C">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图6  不同生态干旱指数的对比分析</w:t>
      </w:r>
    </w:p>
    <w:p w14:paraId="677FCC2D">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Fig.6 Comparative analysis of different ecological drought indexes</w:t>
      </w:r>
    </w:p>
    <w:p w14:paraId="424AD9B8">
      <w:pPr>
        <w:adjustRightInd w:val="0"/>
        <w:snapToGrid w:val="0"/>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2.2.2基于TVDI指数的新疆生态干旱的时空特征分析</w:t>
      </w:r>
    </w:p>
    <w:p w14:paraId="7FADAC3F">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从2000—2022年</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年际变化</w:t>
      </w:r>
      <w:r>
        <w:rPr>
          <w:rFonts w:hint="default" w:ascii="Times New Roman" w:hAnsi="Times New Roman" w:cs="Times New Roman"/>
          <w:color w:val="auto"/>
          <w:szCs w:val="21"/>
          <w:highlight w:val="none"/>
        </w:rPr>
        <w:t>趋势可以</w:t>
      </w:r>
      <w:r>
        <w:rPr>
          <w:rFonts w:hint="default" w:ascii="Times New Roman" w:hAnsi="Times New Roman" w:cs="Times New Roman"/>
          <w:color w:val="auto"/>
          <w:szCs w:val="21"/>
          <w:highlight w:val="none"/>
        </w:rPr>
        <w:t>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7（a）]</w:t>
      </w:r>
      <w:r>
        <w:rPr>
          <w:rFonts w:hint="default" w:ascii="Times New Roman" w:hAnsi="Times New Roman" w:cs="Times New Roman"/>
          <w:color w:val="auto"/>
          <w:szCs w:val="21"/>
          <w:highlight w:val="none"/>
        </w:rPr>
        <w:t>，近23年</w:t>
      </w:r>
      <w:r>
        <w:rPr>
          <w:rFonts w:hint="default" w:ascii="Times New Roman" w:hAnsi="Times New Roman" w:cs="Times New Roman"/>
          <w:color w:val="auto"/>
          <w:szCs w:val="21"/>
          <w:highlight w:val="none"/>
        </w:rPr>
        <w:t>研究区</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呈下降趋势，</w:t>
      </w:r>
      <w:r>
        <w:rPr>
          <w:rFonts w:hint="default" w:ascii="Times New Roman" w:hAnsi="Times New Roman" w:cs="Times New Roman"/>
          <w:color w:val="auto"/>
          <w:szCs w:val="21"/>
          <w:highlight w:val="none"/>
        </w:rPr>
        <w:t>下降幅度为0.008/10a，研究区</w:t>
      </w:r>
      <w:r>
        <w:rPr>
          <w:rFonts w:hint="default" w:ascii="Times New Roman" w:hAnsi="Times New Roman" w:cs="Times New Roman"/>
          <w:color w:val="auto"/>
          <w:szCs w:val="21"/>
          <w:highlight w:val="none"/>
        </w:rPr>
        <w:t>生态干旱呈轻微缓解趋势</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这与</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变化</w:t>
      </w:r>
      <w:r>
        <w:rPr>
          <w:rFonts w:hint="default" w:ascii="Times New Roman" w:hAnsi="Times New Roman" w:cs="Times New Roman"/>
          <w:color w:val="auto"/>
          <w:szCs w:val="21"/>
          <w:highlight w:val="none"/>
        </w:rPr>
        <w:t>趋势一致</w:t>
      </w:r>
      <w:r>
        <w:rPr>
          <w:rFonts w:hint="default" w:ascii="Times New Roman" w:hAnsi="Times New Roman" w:cs="Times New Roman"/>
          <w:color w:val="auto"/>
          <w:szCs w:val="21"/>
          <w:highlight w:val="none"/>
        </w:rPr>
        <w:t>。从不同生态干旱等级面积占比图看出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7（b）]</w:t>
      </w:r>
      <w:r>
        <w:rPr>
          <w:rFonts w:hint="default" w:ascii="Times New Roman" w:hAnsi="Times New Roman" w:cs="Times New Roman"/>
          <w:color w:val="auto"/>
          <w:szCs w:val="21"/>
          <w:highlight w:val="none"/>
        </w:rPr>
        <w:t>，近23</w:t>
      </w:r>
      <w:r>
        <w:rPr>
          <w:rFonts w:hint="default"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来研究区</w:t>
      </w:r>
      <w:r>
        <w:rPr>
          <w:rFonts w:hint="default" w:ascii="Times New Roman" w:hAnsi="Times New Roman" w:cs="Times New Roman"/>
          <w:color w:val="auto"/>
          <w:szCs w:val="21"/>
          <w:highlight w:val="none"/>
        </w:rPr>
        <w:t>85</w:t>
      </w:r>
      <w:r>
        <w:rPr>
          <w:rFonts w:hint="default" w:ascii="Times New Roman" w:hAnsi="Times New Roman" w:cs="Times New Roman"/>
          <w:color w:val="auto"/>
          <w:szCs w:val="21"/>
          <w:highlight w:val="none"/>
        </w:rPr>
        <w:t>%以上区域持续处于干旱状态，其中</w:t>
      </w:r>
      <w:r>
        <w:rPr>
          <w:rFonts w:hint="default" w:ascii="Times New Roman" w:hAnsi="Times New Roman" w:cs="Times New Roman"/>
          <w:color w:val="auto"/>
          <w:szCs w:val="21"/>
          <w:highlight w:val="none"/>
        </w:rPr>
        <w:t>重度</w:t>
      </w:r>
      <w:r>
        <w:rPr>
          <w:rFonts w:hint="default" w:ascii="Times New Roman" w:hAnsi="Times New Roman" w:cs="Times New Roman"/>
          <w:color w:val="auto"/>
          <w:szCs w:val="21"/>
          <w:highlight w:val="none"/>
        </w:rPr>
        <w:t>干旱面积占比每年均超过4</w:t>
      </w:r>
      <w:r>
        <w:rPr>
          <w:rFonts w:hint="default" w:ascii="Times New Roman" w:hAnsi="Times New Roman" w:cs="Times New Roman"/>
          <w:color w:val="auto"/>
          <w:szCs w:val="21"/>
          <w:highlight w:val="none"/>
        </w:rPr>
        <w:t>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，其中</w:t>
      </w:r>
      <w:r>
        <w:rPr>
          <w:rFonts w:hint="default" w:ascii="Times New Roman" w:hAnsi="Times New Roman" w:cs="Times New Roman"/>
          <w:color w:val="auto"/>
          <w:szCs w:val="21"/>
          <w:highlight w:val="none"/>
        </w:rPr>
        <w:t>200</w:t>
      </w: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rPr>
        <w:t>年生态干旱程度最严重</w:t>
      </w:r>
      <w:r>
        <w:rPr>
          <w:rFonts w:hint="default" w:ascii="Times New Roman" w:hAnsi="Times New Roman" w:cs="Times New Roman"/>
          <w:color w:val="auto"/>
          <w:szCs w:val="21"/>
          <w:highlight w:val="none"/>
        </w:rPr>
        <w:t>，中等干</w:t>
      </w:r>
      <w:r>
        <w:rPr>
          <w:rFonts w:hint="default" w:ascii="Times New Roman" w:hAnsi="Times New Roman" w:cs="Times New Roman"/>
          <w:color w:val="auto"/>
          <w:szCs w:val="21"/>
          <w:highlight w:val="none"/>
        </w:rPr>
        <w:t>旱</w:t>
      </w:r>
      <w:r>
        <w:rPr>
          <w:rFonts w:hint="default" w:ascii="Times New Roman" w:hAnsi="Times New Roman" w:cs="Times New Roman"/>
          <w:color w:val="auto"/>
          <w:szCs w:val="21"/>
          <w:highlight w:val="none"/>
        </w:rPr>
        <w:t>等级以上</w:t>
      </w:r>
      <w:r>
        <w:rPr>
          <w:rFonts w:hint="default" w:ascii="Times New Roman" w:hAnsi="Times New Roman" w:cs="Times New Roman"/>
          <w:color w:val="auto"/>
          <w:szCs w:val="21"/>
          <w:highlight w:val="none"/>
        </w:rPr>
        <w:t>面积占比</w:t>
      </w:r>
      <w:r>
        <w:rPr>
          <w:rFonts w:hint="default" w:ascii="Times New Roman" w:hAnsi="Times New Roman" w:cs="Times New Roman"/>
          <w:color w:val="auto"/>
          <w:szCs w:val="21"/>
          <w:highlight w:val="none"/>
        </w:rPr>
        <w:t>达80.38</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尽管</w:t>
      </w:r>
      <w:r>
        <w:rPr>
          <w:rFonts w:hint="default" w:ascii="Times New Roman" w:hAnsi="Times New Roman" w:cs="Times New Roman"/>
          <w:color w:val="auto"/>
          <w:szCs w:val="21"/>
          <w:highlight w:val="none"/>
        </w:rPr>
        <w:t>2012年生态干旱程度</w:t>
      </w:r>
      <w:r>
        <w:rPr>
          <w:rFonts w:hint="default" w:ascii="Times New Roman" w:hAnsi="Times New Roman" w:cs="Times New Roman"/>
          <w:color w:val="auto"/>
          <w:szCs w:val="21"/>
          <w:highlight w:val="none"/>
        </w:rPr>
        <w:t>整体</w:t>
      </w:r>
      <w:r>
        <w:rPr>
          <w:rFonts w:hint="default" w:ascii="Times New Roman" w:hAnsi="Times New Roman" w:cs="Times New Roman"/>
          <w:color w:val="auto"/>
          <w:szCs w:val="21"/>
          <w:highlight w:val="none"/>
        </w:rPr>
        <w:t>最弱</w:t>
      </w:r>
      <w:r>
        <w:rPr>
          <w:rFonts w:hint="default" w:ascii="Times New Roman" w:hAnsi="Times New Roman" w:cs="Times New Roman"/>
          <w:color w:val="auto"/>
          <w:szCs w:val="21"/>
          <w:highlight w:val="none"/>
        </w:rPr>
        <w:t>，但中等干旱等级以上</w:t>
      </w:r>
      <w:r>
        <w:rPr>
          <w:rFonts w:hint="default" w:ascii="Times New Roman" w:hAnsi="Times New Roman" w:cs="Times New Roman"/>
          <w:color w:val="auto"/>
          <w:szCs w:val="21"/>
          <w:highlight w:val="none"/>
        </w:rPr>
        <w:t>面积占比</w:t>
      </w:r>
      <w:r>
        <w:rPr>
          <w:rFonts w:hint="default" w:ascii="Times New Roman" w:hAnsi="Times New Roman" w:cs="Times New Roman"/>
          <w:color w:val="auto"/>
          <w:szCs w:val="21"/>
          <w:highlight w:val="none"/>
        </w:rPr>
        <w:t>仍达74.06</w:t>
      </w:r>
      <w:r>
        <w:rPr>
          <w:rFonts w:hint="default" w:ascii="Times New Roman" w:hAnsi="Times New Roman" w:cs="Times New Roman"/>
          <w:color w:val="auto"/>
          <w:szCs w:val="21"/>
          <w:highlight w:val="none"/>
        </w:rPr>
        <w:t>%。从不同季节的</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变化</w:t>
      </w:r>
      <w:r>
        <w:rPr>
          <w:rFonts w:hint="default" w:ascii="Times New Roman" w:hAnsi="Times New Roman" w:cs="Times New Roman"/>
          <w:color w:val="auto"/>
          <w:szCs w:val="21"/>
          <w:highlight w:val="none"/>
        </w:rPr>
        <w:t>规律</w:t>
      </w:r>
      <w:r>
        <w:rPr>
          <w:rFonts w:hint="default" w:ascii="Times New Roman" w:hAnsi="Times New Roman" w:cs="Times New Roman"/>
          <w:color w:val="auto"/>
          <w:szCs w:val="21"/>
          <w:highlight w:val="none"/>
        </w:rPr>
        <w:t>可以看出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7（c）]</w:t>
      </w:r>
      <w:r>
        <w:rPr>
          <w:rFonts w:hint="default" w:ascii="Times New Roman" w:hAnsi="Times New Roman" w:cs="Times New Roman"/>
          <w:color w:val="auto"/>
          <w:szCs w:val="21"/>
          <w:highlight w:val="none"/>
        </w:rPr>
        <w:t>，不同季节</w:t>
      </w:r>
      <w:r>
        <w:rPr>
          <w:rFonts w:hint="default" w:ascii="Times New Roman" w:hAnsi="Times New Roman" w:cs="Times New Roman"/>
          <w:i/>
          <w:iCs/>
          <w:color w:val="auto"/>
          <w:szCs w:val="21"/>
          <w:highlight w:val="none"/>
        </w:rPr>
        <w:t>TVD</w:t>
      </w:r>
      <w:r>
        <w:rPr>
          <w:rFonts w:hint="default" w:ascii="Times New Roman" w:hAnsi="Times New Roman" w:cs="Times New Roman"/>
          <w:color w:val="auto"/>
          <w:szCs w:val="21"/>
          <w:highlight w:val="none"/>
        </w:rPr>
        <w:t>I指数均呈不显著的下降趋势，下降幅度有一定差异，季节上生态干旱呈轻微缓解态势</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缓解程度由高到低</w:t>
      </w:r>
      <w:r>
        <w:rPr>
          <w:rFonts w:hint="default" w:ascii="Times New Roman" w:hAnsi="Times New Roman" w:cs="Times New Roman"/>
          <w:color w:val="auto"/>
          <w:szCs w:val="21"/>
          <w:highlight w:val="none"/>
        </w:rPr>
        <w:t>依次为</w:t>
      </w:r>
      <w:r>
        <w:rPr>
          <w:rFonts w:hint="default" w:ascii="Times New Roman" w:hAnsi="Times New Roman" w:cs="Times New Roman"/>
          <w:color w:val="auto"/>
          <w:szCs w:val="21"/>
          <w:highlight w:val="none"/>
        </w:rPr>
        <w:t>夏季</w:t>
      </w:r>
      <w:r>
        <w:rPr>
          <w:rFonts w:hint="default" w:ascii="Times New Roman" w:hAnsi="Times New Roman" w:cs="Times New Roman"/>
          <w:color w:val="auto"/>
          <w:szCs w:val="21"/>
          <w:highlight w:val="none"/>
        </w:rPr>
        <w:t>&gt;</w:t>
      </w:r>
      <w:r>
        <w:rPr>
          <w:rFonts w:hint="default" w:ascii="Times New Roman" w:hAnsi="Times New Roman" w:cs="Times New Roman"/>
          <w:color w:val="auto"/>
          <w:szCs w:val="21"/>
          <w:highlight w:val="none"/>
        </w:rPr>
        <w:t>生长</w:t>
      </w:r>
      <w:r>
        <w:rPr>
          <w:rFonts w:hint="default" w:ascii="Times New Roman" w:hAnsi="Times New Roman" w:cs="Times New Roman"/>
          <w:color w:val="auto"/>
          <w:szCs w:val="21"/>
          <w:highlight w:val="none"/>
        </w:rPr>
        <w:t>季&gt;</w:t>
      </w:r>
      <w:r>
        <w:rPr>
          <w:rFonts w:hint="default" w:ascii="Times New Roman" w:hAnsi="Times New Roman" w:cs="Times New Roman"/>
          <w:color w:val="auto"/>
          <w:szCs w:val="21"/>
          <w:highlight w:val="none"/>
        </w:rPr>
        <w:t>秋</w:t>
      </w:r>
      <w:r>
        <w:rPr>
          <w:rFonts w:hint="default" w:ascii="Times New Roman" w:hAnsi="Times New Roman" w:cs="Times New Roman"/>
          <w:color w:val="auto"/>
          <w:szCs w:val="21"/>
          <w:highlight w:val="none"/>
        </w:rPr>
        <w:t>季&gt;</w:t>
      </w:r>
      <w:r>
        <w:rPr>
          <w:rFonts w:hint="default" w:ascii="Times New Roman" w:hAnsi="Times New Roman" w:cs="Times New Roman"/>
          <w:color w:val="auto"/>
          <w:szCs w:val="21"/>
          <w:highlight w:val="none"/>
        </w:rPr>
        <w:t>春</w:t>
      </w:r>
      <w:r>
        <w:rPr>
          <w:rFonts w:hint="default" w:ascii="Times New Roman" w:hAnsi="Times New Roman" w:cs="Times New Roman"/>
          <w:color w:val="auto"/>
          <w:szCs w:val="21"/>
          <w:highlight w:val="none"/>
        </w:rPr>
        <w:t>季。</w:t>
      </w:r>
    </w:p>
    <w:p w14:paraId="248F8345">
      <w:pPr>
        <w:spacing w:before="156" w:beforeLines="50"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757545" cy="1675130"/>
            <wp:effectExtent l="0" t="0" r="3175" b="1270"/>
            <wp:docPr id="7" name="图片 7" descr="图7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7斜"/>
                    <pic:cNvPicPr>
                      <a:picLocks noChangeAspect="1"/>
                    </pic:cNvPicPr>
                  </pic:nvPicPr>
                  <pic:blipFill>
                    <a:blip r:embed="rId21"/>
                    <a:stretch>
                      <a:fillRect/>
                    </a:stretch>
                  </pic:blipFill>
                  <pic:spPr>
                    <a:xfrm>
                      <a:off x="0" y="0"/>
                      <a:ext cx="5757545" cy="1675130"/>
                    </a:xfrm>
                    <a:prstGeom prst="rect">
                      <a:avLst/>
                    </a:prstGeom>
                  </pic:spPr>
                </pic:pic>
              </a:graphicData>
            </a:graphic>
          </wp:inline>
        </w:drawing>
      </w:r>
    </w:p>
    <w:p w14:paraId="696203F5">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7  </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2022年</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变化</w:t>
      </w:r>
      <w:r>
        <w:rPr>
          <w:rFonts w:hint="default" w:ascii="Times New Roman" w:hAnsi="Times New Roman" w:eastAsia="黑体" w:cs="Times New Roman"/>
          <w:color w:val="auto"/>
          <w:sz w:val="18"/>
          <w:szCs w:val="18"/>
          <w:highlight w:val="none"/>
        </w:rPr>
        <w:t>和干旱等级占比</w:t>
      </w:r>
    </w:p>
    <w:p w14:paraId="09FE4703">
      <w:pPr>
        <w:adjustRightInd w:val="0"/>
        <w:snapToGrid w:val="0"/>
        <w:jc w:val="center"/>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rPr>
        <w:t>Fig</w:t>
      </w:r>
      <w:r>
        <w:rPr>
          <w:rFonts w:hint="default" w:ascii="Times New Roman" w:hAnsi="Times New Roman" w:eastAsia="黑体" w:cs="Times New Roman"/>
          <w:color w:val="auto"/>
          <w:sz w:val="18"/>
          <w:szCs w:val="18"/>
          <w:highlight w:val="none"/>
        </w:rPr>
        <w:t xml:space="preserve">.7 </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 xml:space="preserve"> change</w:t>
      </w:r>
      <w:r>
        <w:rPr>
          <w:rFonts w:hint="default" w:ascii="Times New Roman" w:hAnsi="Times New Roman" w:eastAsia="黑体" w:cs="Times New Roman"/>
          <w:color w:val="auto"/>
          <w:sz w:val="18"/>
          <w:szCs w:val="18"/>
          <w:highlight w:val="none"/>
          <w:lang w:val="en-US" w:eastAsia="zh-CN"/>
        </w:rPr>
        <w:t>s</w:t>
      </w:r>
      <w:r>
        <w:rPr>
          <w:rFonts w:hint="default" w:ascii="Times New Roman" w:hAnsi="Times New Roman" w:eastAsia="黑体" w:cs="Times New Roman"/>
          <w:color w:val="auto"/>
          <w:sz w:val="18"/>
          <w:szCs w:val="18"/>
          <w:highlight w:val="none"/>
        </w:rPr>
        <w:t xml:space="preserve"> and drought </w:t>
      </w:r>
      <w:r>
        <w:rPr>
          <w:rFonts w:hint="default" w:ascii="Times New Roman" w:hAnsi="Times New Roman" w:eastAsia="黑体" w:cs="Times New Roman"/>
          <w:color w:val="auto"/>
          <w:sz w:val="18"/>
          <w:szCs w:val="18"/>
          <w:highlight w:val="none"/>
          <w:lang w:val="en-US" w:eastAsia="zh-CN"/>
        </w:rPr>
        <w:t>level</w:t>
      </w:r>
      <w:r>
        <w:rPr>
          <w:rFonts w:hint="default" w:ascii="Times New Roman" w:hAnsi="Times New Roman" w:eastAsia="黑体" w:cs="Times New Roman"/>
          <w:color w:val="auto"/>
          <w:sz w:val="18"/>
          <w:szCs w:val="18"/>
          <w:highlight w:val="none"/>
        </w:rPr>
        <w:t xml:space="preserve"> proportion </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2022</w:t>
      </w:r>
      <w:r>
        <w:rPr>
          <w:rFonts w:hint="default" w:ascii="Times New Roman" w:hAnsi="Times New Roman" w:eastAsia="黑体" w:cs="Times New Roman"/>
          <w:color w:val="auto"/>
          <w:sz w:val="18"/>
          <w:szCs w:val="18"/>
          <w:highlight w:val="none"/>
          <w:lang w:val="en-US" w:eastAsia="zh-CN"/>
        </w:rPr>
        <w:t>)</w:t>
      </w:r>
    </w:p>
    <w:p w14:paraId="5CD4C6F4">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的空间分布</w:t>
      </w:r>
      <w:r>
        <w:rPr>
          <w:rFonts w:hint="default" w:ascii="Times New Roman" w:hAnsi="Times New Roman" w:cs="Times New Roman"/>
          <w:color w:val="auto"/>
          <w:szCs w:val="21"/>
          <w:highlight w:val="none"/>
        </w:rPr>
        <w:t>可以</w:t>
      </w:r>
      <w:r>
        <w:rPr>
          <w:rFonts w:hint="default" w:ascii="Times New Roman" w:hAnsi="Times New Roman" w:cs="Times New Roman"/>
          <w:color w:val="auto"/>
          <w:szCs w:val="21"/>
          <w:highlight w:val="none"/>
        </w:rPr>
        <w:t>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8（a）]</w:t>
      </w:r>
      <w:r>
        <w:rPr>
          <w:rFonts w:hint="default" w:ascii="Times New Roman" w:hAnsi="Times New Roman" w:cs="Times New Roman"/>
          <w:color w:val="auto"/>
          <w:szCs w:val="21"/>
          <w:highlight w:val="none"/>
        </w:rPr>
        <w:t>，研究区</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呈现显著地域分异特征，整体表现为南高北</w:t>
      </w:r>
      <w:r>
        <w:rPr>
          <w:rFonts w:hint="default" w:ascii="Times New Roman" w:hAnsi="Times New Roman" w:cs="Times New Roman"/>
          <w:color w:val="auto"/>
          <w:szCs w:val="21"/>
          <w:highlight w:val="none"/>
        </w:rPr>
        <w:t>低的特征，相应</w:t>
      </w:r>
      <w:r>
        <w:rPr>
          <w:rFonts w:hint="default" w:ascii="Times New Roman" w:hAnsi="Times New Roman" w:cs="Times New Roman"/>
          <w:color w:val="auto"/>
          <w:szCs w:val="21"/>
          <w:highlight w:val="none"/>
        </w:rPr>
        <w:t>南部</w:t>
      </w:r>
      <w:r>
        <w:rPr>
          <w:rFonts w:hint="default" w:ascii="Times New Roman" w:hAnsi="Times New Roman" w:cs="Times New Roman"/>
          <w:color w:val="auto"/>
          <w:szCs w:val="21"/>
          <w:highlight w:val="none"/>
        </w:rPr>
        <w:t>生态干旱较北部严重。南部</w:t>
      </w:r>
      <w:r>
        <w:rPr>
          <w:rFonts w:hint="default" w:ascii="Times New Roman" w:hAnsi="Times New Roman" w:cs="Times New Roman"/>
          <w:color w:val="auto"/>
          <w:szCs w:val="21"/>
          <w:highlight w:val="none"/>
        </w:rPr>
        <w:t>较严重的生态干旱可能与</w:t>
      </w:r>
      <w:r>
        <w:rPr>
          <w:rFonts w:hint="default" w:ascii="Times New Roman" w:hAnsi="Times New Roman" w:cs="Times New Roman"/>
          <w:color w:val="auto"/>
          <w:szCs w:val="21"/>
          <w:highlight w:val="none"/>
        </w:rPr>
        <w:t>稀少的降水资源与贫瘠的下垫面</w:t>
      </w:r>
      <w:r>
        <w:rPr>
          <w:rFonts w:hint="default" w:ascii="Times New Roman" w:hAnsi="Times New Roman" w:cs="Times New Roman"/>
          <w:color w:val="auto"/>
          <w:szCs w:val="21"/>
          <w:highlight w:val="none"/>
        </w:rPr>
        <w:t>有关，而北部相对较弱的生态干旱则与</w:t>
      </w:r>
      <w:r>
        <w:rPr>
          <w:rFonts w:hint="default" w:ascii="Times New Roman" w:hAnsi="Times New Roman" w:cs="Times New Roman"/>
          <w:color w:val="auto"/>
          <w:szCs w:val="21"/>
          <w:highlight w:val="none"/>
        </w:rPr>
        <w:t>较</w:t>
      </w:r>
      <w:r>
        <w:rPr>
          <w:rFonts w:hint="default" w:ascii="Times New Roman" w:hAnsi="Times New Roman" w:cs="Times New Roman"/>
          <w:color w:val="auto"/>
          <w:szCs w:val="21"/>
          <w:highlight w:val="none"/>
        </w:rPr>
        <w:t>丰富的</w:t>
      </w:r>
      <w:r>
        <w:rPr>
          <w:rFonts w:hint="default" w:ascii="Times New Roman" w:hAnsi="Times New Roman" w:cs="Times New Roman"/>
          <w:color w:val="auto"/>
          <w:szCs w:val="21"/>
          <w:highlight w:val="none"/>
        </w:rPr>
        <w:t>降</w:t>
      </w:r>
      <w:r>
        <w:rPr>
          <w:rFonts w:hint="default" w:ascii="Times New Roman" w:hAnsi="Times New Roman" w:cs="Times New Roman"/>
          <w:color w:val="auto"/>
          <w:szCs w:val="21"/>
          <w:highlight w:val="none"/>
        </w:rPr>
        <w:t>水有关。具体而言，无旱轻旱区占全</w:t>
      </w:r>
      <w:r>
        <w:rPr>
          <w:rFonts w:hint="default" w:ascii="Times New Roman" w:hAnsi="Times New Roman" w:cs="Times New Roman"/>
          <w:color w:val="auto"/>
          <w:szCs w:val="21"/>
          <w:highlight w:val="none"/>
        </w:rPr>
        <w:t>区面积的22</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9</w:t>
      </w:r>
      <w:r>
        <w:rPr>
          <w:rFonts w:hint="default" w:ascii="Times New Roman" w:hAnsi="Times New Roman" w:cs="Times New Roman"/>
          <w:color w:val="auto"/>
          <w:szCs w:val="21"/>
          <w:highlight w:val="none"/>
        </w:rPr>
        <w:t>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主要集中于海拔较高的阿尔泰山、天山山脉、昆仑山以及较湿润的伊犁河谷；中重度干旱区</w:t>
      </w:r>
      <w:r>
        <w:rPr>
          <w:rFonts w:hint="default" w:ascii="Times New Roman" w:hAnsi="Times New Roman" w:cs="Times New Roman"/>
          <w:color w:val="auto"/>
          <w:szCs w:val="21"/>
          <w:highlight w:val="none"/>
        </w:rPr>
        <w:t>，占全区面积的77.04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主要位于准噶尔盆地</w:t>
      </w:r>
      <w:r>
        <w:rPr>
          <w:rFonts w:hint="default" w:ascii="Times New Roman" w:hAnsi="Times New Roman" w:cs="Times New Roman"/>
          <w:color w:val="auto"/>
          <w:szCs w:val="21"/>
          <w:highlight w:val="none"/>
        </w:rPr>
        <w:t>与</w:t>
      </w:r>
      <w:r>
        <w:rPr>
          <w:rFonts w:hint="default" w:ascii="Times New Roman" w:hAnsi="Times New Roman" w:cs="Times New Roman"/>
          <w:color w:val="auto"/>
          <w:szCs w:val="21"/>
          <w:highlight w:val="none"/>
        </w:rPr>
        <w:t>塔里木</w:t>
      </w:r>
      <w:r>
        <w:rPr>
          <w:rFonts w:hint="default" w:ascii="Times New Roman" w:hAnsi="Times New Roman" w:cs="Times New Roman"/>
          <w:color w:val="auto"/>
          <w:szCs w:val="21"/>
          <w:highlight w:val="none"/>
        </w:rPr>
        <w:t>盆地</w:t>
      </w:r>
      <w:r>
        <w:rPr>
          <w:rFonts w:hint="default" w:ascii="Times New Roman" w:hAnsi="Times New Roman" w:cs="Times New Roman"/>
          <w:color w:val="auto"/>
          <w:szCs w:val="21"/>
          <w:highlight w:val="none"/>
        </w:rPr>
        <w:t>。从趋势分析可以看出</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8（b）]</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整体上</w:t>
      </w:r>
      <w:r>
        <w:rPr>
          <w:rFonts w:hint="default" w:ascii="Times New Roman" w:hAnsi="Times New Roman" w:cs="Times New Roman"/>
          <w:color w:val="auto"/>
          <w:szCs w:val="21"/>
          <w:highlight w:val="none"/>
        </w:rPr>
        <w:t>研究区</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指数呈下降趋势，反映出</w:t>
      </w:r>
      <w:r>
        <w:rPr>
          <w:rFonts w:hint="default" w:ascii="Times New Roman" w:hAnsi="Times New Roman" w:cs="Times New Roman"/>
          <w:color w:val="auto"/>
          <w:szCs w:val="21"/>
          <w:highlight w:val="none"/>
        </w:rPr>
        <w:t>生态干旱整体呈缓解趋势，其中</w:t>
      </w:r>
      <w:r>
        <w:rPr>
          <w:rFonts w:hint="default" w:ascii="Times New Roman" w:hAnsi="Times New Roman" w:cs="Times New Roman"/>
          <w:color w:val="auto"/>
          <w:szCs w:val="21"/>
          <w:highlight w:val="none"/>
        </w:rPr>
        <w:t>显著缓解趋势区域面积占全区面积的19.7%，主要位于</w:t>
      </w:r>
      <w:r>
        <w:rPr>
          <w:rFonts w:hint="default" w:ascii="Times New Roman" w:hAnsi="Times New Roman" w:cs="Times New Roman"/>
          <w:color w:val="auto"/>
          <w:szCs w:val="21"/>
          <w:highlight w:val="none"/>
        </w:rPr>
        <w:t>塔里木河流域和吐哈盆地西南部</w:t>
      </w:r>
      <w:r>
        <w:rPr>
          <w:rFonts w:hint="default" w:ascii="Times New Roman" w:hAnsi="Times New Roman" w:cs="Times New Roman"/>
          <w:color w:val="auto"/>
          <w:szCs w:val="21"/>
          <w:highlight w:val="none"/>
        </w:rPr>
        <w:t>的灌溉绿洲区。</w:t>
      </w:r>
      <w:r>
        <w:rPr>
          <w:rFonts w:hint="default" w:ascii="Times New Roman" w:hAnsi="Times New Roman" w:cs="Times New Roman"/>
          <w:color w:val="auto"/>
          <w:szCs w:val="21"/>
          <w:highlight w:val="none"/>
        </w:rPr>
        <w:t>生态干旱加</w:t>
      </w:r>
      <w:r>
        <w:rPr>
          <w:rFonts w:hint="default" w:ascii="Times New Roman" w:hAnsi="Times New Roman" w:cs="Times New Roman"/>
          <w:color w:val="auto"/>
          <w:szCs w:val="21"/>
          <w:highlight w:val="none"/>
        </w:rPr>
        <w:t>重</w:t>
      </w:r>
      <w:r>
        <w:rPr>
          <w:rFonts w:hint="default" w:ascii="Times New Roman" w:hAnsi="Times New Roman" w:cs="Times New Roman"/>
          <w:color w:val="auto"/>
          <w:szCs w:val="21"/>
          <w:highlight w:val="none"/>
        </w:rPr>
        <w:t>区域</w:t>
      </w:r>
      <w:r>
        <w:rPr>
          <w:rFonts w:hint="default" w:ascii="Times New Roman" w:hAnsi="Times New Roman" w:cs="Times New Roman"/>
          <w:color w:val="auto"/>
          <w:szCs w:val="21"/>
          <w:highlight w:val="none"/>
        </w:rPr>
        <w:t>面积</w:t>
      </w:r>
      <w:r>
        <w:rPr>
          <w:rFonts w:hint="default" w:ascii="Times New Roman" w:hAnsi="Times New Roman" w:cs="Times New Roman"/>
          <w:color w:val="auto"/>
          <w:szCs w:val="21"/>
          <w:highlight w:val="none"/>
        </w:rPr>
        <w:t>占</w:t>
      </w:r>
      <w:r>
        <w:rPr>
          <w:rFonts w:hint="default" w:ascii="Times New Roman" w:hAnsi="Times New Roman" w:cs="Times New Roman"/>
          <w:color w:val="auto"/>
          <w:szCs w:val="21"/>
          <w:highlight w:val="none"/>
        </w:rPr>
        <w:t>全区面积19.7</w:t>
      </w:r>
      <w:r>
        <w:rPr>
          <w:rFonts w:hint="default" w:ascii="Times New Roman" w:hAnsi="Times New Roman" w:cs="Times New Roman"/>
          <w:color w:val="auto"/>
          <w:szCs w:val="21"/>
          <w:highlight w:val="none"/>
        </w:rPr>
        <w:t>%，其中显著</w:t>
      </w:r>
      <w:r>
        <w:rPr>
          <w:rFonts w:hint="default" w:ascii="Times New Roman" w:hAnsi="Times New Roman" w:cs="Times New Roman"/>
          <w:color w:val="auto"/>
          <w:szCs w:val="21"/>
          <w:highlight w:val="none"/>
        </w:rPr>
        <w:t>生态干旱加重</w:t>
      </w:r>
      <w:r>
        <w:rPr>
          <w:rFonts w:hint="default" w:ascii="Times New Roman" w:hAnsi="Times New Roman" w:cs="Times New Roman"/>
          <w:color w:val="auto"/>
          <w:szCs w:val="21"/>
          <w:highlight w:val="none"/>
        </w:rPr>
        <w:t>区</w:t>
      </w:r>
      <w:r>
        <w:rPr>
          <w:rFonts w:hint="default" w:ascii="Times New Roman" w:hAnsi="Times New Roman" w:cs="Times New Roman"/>
          <w:color w:val="auto"/>
          <w:szCs w:val="21"/>
          <w:highlight w:val="none"/>
        </w:rPr>
        <w:t>面积占</w:t>
      </w:r>
      <w:r>
        <w:rPr>
          <w:rFonts w:hint="default" w:ascii="Times New Roman" w:hAnsi="Times New Roman" w:cs="Times New Roman"/>
          <w:color w:val="auto"/>
          <w:szCs w:val="21"/>
          <w:highlight w:val="none"/>
        </w:rPr>
        <w:t>0.39%</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主要分布于伊犁河谷</w:t>
      </w:r>
      <w:r>
        <w:rPr>
          <w:rFonts w:hint="default" w:ascii="Times New Roman" w:hAnsi="Times New Roman" w:cs="Times New Roman"/>
          <w:color w:val="auto"/>
          <w:szCs w:val="21"/>
          <w:highlight w:val="none"/>
        </w:rPr>
        <w:t>，尽管该区域降水丰富、长期处于无旱状态，但骤发的干旱事件可能引起了一定程度的生态干旱加重。</w:t>
      </w:r>
    </w:p>
    <w:p w14:paraId="15C1272F">
      <w:pPr>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drawing>
          <wp:inline distT="0" distB="0" distL="114300" distR="114300">
            <wp:extent cx="4677410" cy="2338070"/>
            <wp:effectExtent l="0" t="0" r="1270" b="8890"/>
            <wp:docPr id="9" name="图片 84"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4" descr="图7"/>
                    <pic:cNvPicPr>
                      <a:picLocks noChangeAspect="1"/>
                    </pic:cNvPicPr>
                  </pic:nvPicPr>
                  <pic:blipFill>
                    <a:blip r:embed="rId22"/>
                    <a:stretch>
                      <a:fillRect/>
                    </a:stretch>
                  </pic:blipFill>
                  <pic:spPr>
                    <a:xfrm>
                      <a:off x="0" y="0"/>
                      <a:ext cx="4677410" cy="2338070"/>
                    </a:xfrm>
                    <a:prstGeom prst="rect">
                      <a:avLst/>
                    </a:prstGeom>
                    <a:noFill/>
                    <a:ln>
                      <a:noFill/>
                    </a:ln>
                  </pic:spPr>
                </pic:pic>
              </a:graphicData>
            </a:graphic>
          </wp:inline>
        </w:drawing>
      </w:r>
    </w:p>
    <w:p w14:paraId="5AD59AF5">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 xml:space="preserve">图8  </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2022年</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的干旱等级分布</w:t>
      </w:r>
      <w:r>
        <w:rPr>
          <w:rFonts w:hint="default" w:ascii="Times New Roman" w:hAnsi="Times New Roman" w:eastAsia="黑体" w:cs="Times New Roman"/>
          <w:color w:val="auto"/>
          <w:sz w:val="18"/>
          <w:szCs w:val="18"/>
          <w:highlight w:val="none"/>
        </w:rPr>
        <w:t>和趋势变化</w:t>
      </w:r>
    </w:p>
    <w:p w14:paraId="6C10FC87">
      <w:pPr>
        <w:adjustRightInd w:val="0"/>
        <w:snapToGrid w:val="0"/>
        <w:jc w:val="center"/>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rPr>
        <w:t>Fig.8 Drought grade distribution and trend change</w:t>
      </w:r>
      <w:r>
        <w:rPr>
          <w:rFonts w:hint="default" w:ascii="Times New Roman" w:hAnsi="Times New Roman" w:eastAsia="黑体" w:cs="Times New Roman"/>
          <w:color w:val="auto"/>
          <w:sz w:val="18"/>
          <w:szCs w:val="18"/>
          <w:highlight w:val="none"/>
          <w:lang w:val="en-US" w:eastAsia="zh-CN"/>
        </w:rPr>
        <w:t>s</w:t>
      </w:r>
      <w:r>
        <w:rPr>
          <w:rFonts w:hint="default" w:ascii="Times New Roman" w:hAnsi="Times New Roman" w:eastAsia="黑体" w:cs="Times New Roman"/>
          <w:color w:val="auto"/>
          <w:sz w:val="18"/>
          <w:szCs w:val="18"/>
          <w:highlight w:val="none"/>
        </w:rPr>
        <w:t xml:space="preserve"> of </w:t>
      </w:r>
      <w:r>
        <w:rPr>
          <w:rFonts w:hint="default" w:ascii="Times New Roman" w:hAnsi="Times New Roman" w:eastAsia="黑体" w:cs="Times New Roman"/>
          <w:i/>
          <w:iCs/>
          <w:color w:val="auto"/>
          <w:sz w:val="18"/>
          <w:szCs w:val="18"/>
          <w:highlight w:val="none"/>
        </w:rPr>
        <w:t>TVD</w:t>
      </w:r>
      <w:r>
        <w:rPr>
          <w:rFonts w:hint="default" w:ascii="Times New Roman" w:hAnsi="Times New Roman" w:eastAsia="黑体" w:cs="Times New Roman"/>
          <w:color w:val="auto"/>
          <w:sz w:val="18"/>
          <w:szCs w:val="18"/>
          <w:highlight w:val="none"/>
        </w:rPr>
        <w:t xml:space="preserve">I </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2000</w:t>
      </w:r>
      <w:r>
        <w:rPr>
          <w:rFonts w:hint="default" w:ascii="Times New Roman" w:hAnsi="Times New Roman"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rPr>
        <w:t>2022</w:t>
      </w:r>
      <w:r>
        <w:rPr>
          <w:rFonts w:hint="default" w:ascii="Times New Roman" w:hAnsi="Times New Roman" w:eastAsia="黑体" w:cs="Times New Roman"/>
          <w:color w:val="auto"/>
          <w:sz w:val="18"/>
          <w:szCs w:val="18"/>
          <w:highlight w:val="none"/>
          <w:lang w:val="en-US" w:eastAsia="zh-CN"/>
        </w:rPr>
        <w:t>)</w:t>
      </w:r>
    </w:p>
    <w:p w14:paraId="765557F5">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在季节尺度上呈现出相似的</w:t>
      </w:r>
      <w:r>
        <w:rPr>
          <w:rFonts w:hint="default" w:ascii="Times New Roman" w:hAnsi="Times New Roman" w:cs="Times New Roman"/>
          <w:color w:val="auto"/>
          <w:szCs w:val="21"/>
          <w:highlight w:val="none"/>
        </w:rPr>
        <w:t>空间</w:t>
      </w:r>
      <w:r>
        <w:rPr>
          <w:rFonts w:hint="default" w:ascii="Times New Roman" w:hAnsi="Times New Roman" w:cs="Times New Roman"/>
          <w:color w:val="auto"/>
          <w:szCs w:val="21"/>
          <w:highlight w:val="none"/>
        </w:rPr>
        <w:t>分布特征和</w:t>
      </w:r>
      <w:r>
        <w:rPr>
          <w:rFonts w:hint="default" w:ascii="Times New Roman" w:hAnsi="Times New Roman" w:cs="Times New Roman"/>
          <w:color w:val="auto"/>
          <w:szCs w:val="21"/>
          <w:highlight w:val="none"/>
        </w:rPr>
        <w:t>下降</w:t>
      </w:r>
      <w:r>
        <w:rPr>
          <w:rFonts w:hint="default" w:ascii="Times New Roman" w:hAnsi="Times New Roman" w:cs="Times New Roman"/>
          <w:color w:val="auto"/>
          <w:szCs w:val="21"/>
          <w:highlight w:val="none"/>
        </w:rPr>
        <w:t>的变化趋势（</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rPr>
        <w:t>9</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整体而言，无旱区均分布在高海拔的阿尔金山、天山和昆仑山地区及降水充足的伊犁河谷，重旱区均分布在植被覆盖度较低的塔里木盆地和北疆的中部和东部。具体而言，春季重旱范围最广、生态干旱程度最为严重</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夏季和生长季重旱范围有所缩减，相对而言生长季干旱</w:t>
      </w:r>
      <w:r>
        <w:rPr>
          <w:rFonts w:hint="default" w:ascii="Times New Roman" w:hAnsi="Times New Roman" w:cs="Times New Roman"/>
          <w:color w:val="auto"/>
          <w:szCs w:val="21"/>
          <w:highlight w:val="none"/>
        </w:rPr>
        <w:t>严重</w:t>
      </w:r>
      <w:r>
        <w:rPr>
          <w:rFonts w:hint="default" w:ascii="Times New Roman" w:hAnsi="Times New Roman" w:cs="Times New Roman"/>
          <w:color w:val="auto"/>
          <w:szCs w:val="21"/>
          <w:highlight w:val="none"/>
        </w:rPr>
        <w:t>程度低于夏季</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秋季整体生态干旱相对最轻</w:t>
      </w:r>
      <w:r>
        <w:rPr>
          <w:rFonts w:hint="default" w:ascii="Times New Roman" w:hAnsi="Times New Roman" w:cs="Times New Roman"/>
          <w:color w:val="auto"/>
          <w:szCs w:val="21"/>
          <w:highlight w:val="none"/>
        </w:rPr>
        <w:t>。从趋势变化上看，各季节生态干旱均呈缓解态势，但在局部地区存在一定差异，春季生态干旱显著减轻区域主要位于伊犁河流域和塔里木河流域，夏季主要位于天山以北地区和塔里木河流域，秋季主要位于塔里木河流域，生长季主要位于天山北坡和塔里木河流域。尽管研究区生态干旱整体呈减轻态势，但局部区域也存在加重现象，春季加重区域主要位于</w:t>
      </w:r>
      <w:r>
        <w:rPr>
          <w:rFonts w:hint="default" w:ascii="Times New Roman" w:hAnsi="Times New Roman" w:cs="Times New Roman"/>
          <w:color w:val="auto"/>
          <w:szCs w:val="21"/>
          <w:highlight w:val="none"/>
        </w:rPr>
        <w:t>阿尔金山及塔里木</w:t>
      </w:r>
      <w:r>
        <w:rPr>
          <w:rFonts w:hint="default" w:ascii="Times New Roman" w:hAnsi="Times New Roman" w:cs="Times New Roman"/>
          <w:color w:val="auto"/>
          <w:szCs w:val="21"/>
          <w:highlight w:val="none"/>
        </w:rPr>
        <w:t>盆地中部</w:t>
      </w:r>
      <w:r>
        <w:rPr>
          <w:rFonts w:hint="default" w:ascii="Times New Roman" w:hAnsi="Times New Roman" w:cs="Times New Roman"/>
          <w:color w:val="auto"/>
          <w:szCs w:val="21"/>
          <w:highlight w:val="none"/>
        </w:rPr>
        <w:t>区域</w:t>
      </w:r>
      <w:r>
        <w:rPr>
          <w:rFonts w:hint="default" w:ascii="Times New Roman" w:hAnsi="Times New Roman" w:cs="Times New Roman"/>
          <w:color w:val="auto"/>
          <w:szCs w:val="21"/>
          <w:highlight w:val="none"/>
        </w:rPr>
        <w:t>，夏季和生长季加重区域主要位于</w:t>
      </w:r>
      <w:r>
        <w:rPr>
          <w:rFonts w:hint="default" w:ascii="Times New Roman" w:hAnsi="Times New Roman" w:cs="Times New Roman"/>
          <w:color w:val="auto"/>
          <w:szCs w:val="21"/>
          <w:highlight w:val="none"/>
        </w:rPr>
        <w:t>伊犁河流域</w:t>
      </w:r>
      <w:r>
        <w:rPr>
          <w:rFonts w:hint="default" w:ascii="Times New Roman" w:hAnsi="Times New Roman" w:cs="Times New Roman"/>
          <w:color w:val="auto"/>
          <w:szCs w:val="21"/>
          <w:highlight w:val="none"/>
        </w:rPr>
        <w:t>，秋季主要位于伊犁河谷和天山北坡。</w:t>
      </w:r>
      <w:r>
        <w:rPr>
          <w:rFonts w:hint="default" w:ascii="Times New Roman" w:hAnsi="Times New Roman" w:cs="Times New Roman"/>
          <w:color w:val="auto"/>
          <w:szCs w:val="21"/>
          <w:highlight w:val="none"/>
        </w:rPr>
        <w:t>整体</w:t>
      </w:r>
      <w:r>
        <w:rPr>
          <w:rFonts w:hint="default" w:ascii="Times New Roman" w:hAnsi="Times New Roman" w:cs="Times New Roman"/>
          <w:color w:val="auto"/>
          <w:szCs w:val="21"/>
          <w:highlight w:val="none"/>
        </w:rPr>
        <w:t>而言</w:t>
      </w:r>
      <w:r>
        <w:rPr>
          <w:rFonts w:hint="default" w:ascii="Times New Roman" w:hAnsi="Times New Roman" w:cs="Times New Roman"/>
          <w:color w:val="auto"/>
          <w:szCs w:val="21"/>
          <w:highlight w:val="none"/>
        </w:rPr>
        <w:t>，春季和秋季的</w:t>
      </w:r>
      <w:r>
        <w:rPr>
          <w:rFonts w:hint="default" w:ascii="Times New Roman" w:hAnsi="Times New Roman" w:cs="Times New Roman"/>
          <w:color w:val="auto"/>
          <w:szCs w:val="21"/>
          <w:highlight w:val="none"/>
        </w:rPr>
        <w:t>生态</w:t>
      </w:r>
      <w:r>
        <w:rPr>
          <w:rFonts w:hint="default" w:ascii="Times New Roman" w:hAnsi="Times New Roman" w:cs="Times New Roman"/>
          <w:color w:val="auto"/>
          <w:szCs w:val="21"/>
          <w:highlight w:val="none"/>
        </w:rPr>
        <w:t>干旱</w:t>
      </w:r>
      <w:r>
        <w:rPr>
          <w:rFonts w:hint="default" w:ascii="Times New Roman" w:hAnsi="Times New Roman" w:cs="Times New Roman"/>
          <w:color w:val="auto"/>
          <w:szCs w:val="21"/>
          <w:highlight w:val="none"/>
        </w:rPr>
        <w:t>的</w:t>
      </w:r>
      <w:r>
        <w:rPr>
          <w:rFonts w:hint="default" w:ascii="Times New Roman" w:hAnsi="Times New Roman" w:cs="Times New Roman"/>
          <w:color w:val="auto"/>
          <w:szCs w:val="21"/>
          <w:highlight w:val="none"/>
        </w:rPr>
        <w:t>缓解程度相对较弱，而夏季和生长季则表现出更为明显的缓解特征。</w:t>
      </w:r>
    </w:p>
    <w:p w14:paraId="67EB15FA">
      <w:pPr>
        <w:spacing w:before="156" w:beforeLines="50" w:line="360" w:lineRule="auto"/>
        <w:jc w:val="cente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drawing>
          <wp:inline distT="0" distB="0" distL="114300" distR="114300">
            <wp:extent cx="5271135" cy="2635250"/>
            <wp:effectExtent l="0" t="0" r="1905" b="1270"/>
            <wp:docPr id="10" name="图片 85"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5" descr="图8"/>
                    <pic:cNvPicPr>
                      <a:picLocks noChangeAspect="1"/>
                    </pic:cNvPicPr>
                  </pic:nvPicPr>
                  <pic:blipFill>
                    <a:blip r:embed="rId23"/>
                    <a:stretch>
                      <a:fillRect/>
                    </a:stretch>
                  </pic:blipFill>
                  <pic:spPr>
                    <a:xfrm>
                      <a:off x="0" y="0"/>
                      <a:ext cx="5271135" cy="2635250"/>
                    </a:xfrm>
                    <a:prstGeom prst="rect">
                      <a:avLst/>
                    </a:prstGeom>
                    <a:noFill/>
                    <a:ln>
                      <a:noFill/>
                    </a:ln>
                  </pic:spPr>
                </pic:pic>
              </a:graphicData>
            </a:graphic>
          </wp:inline>
        </w:drawing>
      </w:r>
    </w:p>
    <w:p w14:paraId="4218FEB5">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9  </w:t>
      </w:r>
      <w:r>
        <w:rPr>
          <w:rFonts w:hint="default" w:ascii="Times New Roman" w:hAnsi="Times New Roman" w:eastAsia="黑体" w:cs="Times New Roman"/>
          <w:color w:val="auto"/>
          <w:sz w:val="18"/>
          <w:szCs w:val="18"/>
          <w:highlight w:val="none"/>
        </w:rPr>
        <w:t>不同季节</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均值分布和趋势变化</w:t>
      </w:r>
    </w:p>
    <w:p w14:paraId="3E0A2489">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 xml:space="preserve">Fig.9 </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 xml:space="preserve"> mean distribution and trend changes in different seasons</w:t>
      </w:r>
    </w:p>
    <w:p w14:paraId="4C034A6E">
      <w:pPr>
        <w:adjustRightInd w:val="0"/>
        <w:snapToGrid w:val="0"/>
        <w:outlineLvl w:val="1"/>
        <w:rPr>
          <w:rFonts w:hint="default" w:ascii="Times New Roman" w:hAnsi="Times New Roman" w:cs="Times New Roman"/>
          <w:b/>
          <w:bCs/>
          <w:color w:val="auto"/>
          <w:sz w:val="24"/>
          <w:highlight w:val="none"/>
        </w:rPr>
      </w:pPr>
      <w:r>
        <w:rPr>
          <w:rFonts w:hint="default" w:ascii="Times New Roman" w:hAnsi="Times New Roman" w:eastAsia="黑体" w:cs="Times New Roman"/>
          <w:color w:val="auto"/>
          <w:szCs w:val="21"/>
          <w:highlight w:val="none"/>
        </w:rPr>
        <w:t>2</w:t>
      </w:r>
      <w:r>
        <w:rPr>
          <w:rFonts w:hint="default" w:ascii="Times New Roman" w:hAnsi="Times New Roman" w:eastAsia="黑体" w:cs="Times New Roman"/>
          <w:color w:val="auto"/>
          <w:szCs w:val="21"/>
          <w:highlight w:val="none"/>
        </w:rPr>
        <w:t xml:space="preserve">.3 </w:t>
      </w:r>
      <w:r>
        <w:rPr>
          <w:rFonts w:hint="default" w:ascii="Times New Roman" w:hAnsi="Times New Roman" w:eastAsia="黑体" w:cs="Times New Roman"/>
          <w:color w:val="auto"/>
          <w:szCs w:val="21"/>
          <w:highlight w:val="none"/>
        </w:rPr>
        <w:t>植被</w:t>
      </w:r>
      <w:r>
        <w:rPr>
          <w:rFonts w:hint="default" w:ascii="Times New Roman" w:hAnsi="Times New Roman" w:eastAsia="黑体" w:cs="Times New Roman"/>
          <w:i/>
          <w:iCs/>
          <w:color w:val="auto"/>
          <w:szCs w:val="21"/>
          <w:highlight w:val="none"/>
        </w:rPr>
        <w:t>WUE</w:t>
      </w:r>
      <w:r>
        <w:rPr>
          <w:rFonts w:hint="default" w:ascii="Times New Roman" w:hAnsi="Times New Roman" w:eastAsia="黑体" w:cs="Times New Roman"/>
          <w:color w:val="auto"/>
          <w:szCs w:val="21"/>
          <w:highlight w:val="none"/>
        </w:rPr>
        <w:t>对基于</w:t>
      </w:r>
      <w:r>
        <w:rPr>
          <w:rFonts w:hint="default" w:ascii="Times New Roman" w:hAnsi="Times New Roman" w:eastAsia="黑体" w:cs="Times New Roman"/>
          <w:i/>
          <w:iCs/>
          <w:color w:val="auto"/>
          <w:szCs w:val="21"/>
          <w:highlight w:val="none"/>
        </w:rPr>
        <w:t>TVDI</w:t>
      </w:r>
      <w:r>
        <w:rPr>
          <w:rFonts w:hint="default" w:ascii="Times New Roman" w:hAnsi="Times New Roman" w:eastAsia="黑体" w:cs="Times New Roman"/>
          <w:color w:val="auto"/>
          <w:szCs w:val="21"/>
          <w:highlight w:val="none"/>
        </w:rPr>
        <w:t>指数的生态干旱</w:t>
      </w:r>
      <w:r>
        <w:rPr>
          <w:rFonts w:hint="default" w:ascii="Times New Roman" w:hAnsi="Times New Roman" w:eastAsia="黑体" w:cs="Times New Roman"/>
          <w:color w:val="auto"/>
          <w:szCs w:val="21"/>
          <w:highlight w:val="none"/>
        </w:rPr>
        <w:t>的响应</w:t>
      </w:r>
    </w:p>
    <w:p w14:paraId="565974F3">
      <w:pPr>
        <w:adjustRightInd w:val="0"/>
        <w:snapToGrid w:val="0"/>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2.3.1WUE和TVDI的关联性分析</w:t>
      </w:r>
    </w:p>
    <w:p w14:paraId="2B9DA5B5">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研究区</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与</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相关系数呈现显著空间异质性（见图10），年尺度上看二者呈正相关，平均相关系数为0.152。从空间格局看，正相关区域面积占全区面积的比例高达89.38%，主要集中分布于植被覆盖相对较高的天山山脉以北地区；负相关区面积虽仅占10.62%，但空间集聚特征显著，主要分布于降水相对丰富的伊犁河谷以及临近塔里木河的源流区。生长季（4—9月）的</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与</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相关性空间格局与全年高度相似，但相关性高于年尺度结果（平均为0.31），表明生长季生态干旱对植被水分利用效率影响程度更高。</w:t>
      </w:r>
    </w:p>
    <w:p w14:paraId="64113180">
      <w:pPr>
        <w:spacing w:before="156" w:beforeLines="50" w:line="360" w:lineRule="auto"/>
        <w:jc w:val="cente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drawing>
          <wp:inline distT="0" distB="0" distL="114300" distR="114300">
            <wp:extent cx="5272405" cy="1978660"/>
            <wp:effectExtent l="0" t="0" r="635" b="2540"/>
            <wp:docPr id="11" name="图片 86" descr="年生长相关系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6" descr="年生长相关系数图"/>
                    <pic:cNvPicPr>
                      <a:picLocks noChangeAspect="1"/>
                    </pic:cNvPicPr>
                  </pic:nvPicPr>
                  <pic:blipFill>
                    <a:blip r:embed="rId24"/>
                    <a:stretch>
                      <a:fillRect/>
                    </a:stretch>
                  </pic:blipFill>
                  <pic:spPr>
                    <a:xfrm>
                      <a:off x="0" y="0"/>
                      <a:ext cx="5272405" cy="1978660"/>
                    </a:xfrm>
                    <a:prstGeom prst="rect">
                      <a:avLst/>
                    </a:prstGeom>
                    <a:noFill/>
                    <a:ln>
                      <a:noFill/>
                    </a:ln>
                  </pic:spPr>
                </pic:pic>
              </a:graphicData>
            </a:graphic>
          </wp:inline>
        </w:drawing>
      </w:r>
    </w:p>
    <w:p w14:paraId="0EC94262">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w:t>
      </w:r>
      <w:r>
        <w:rPr>
          <w:rFonts w:hint="default" w:ascii="Times New Roman" w:hAnsi="Times New Roman" w:eastAsia="黑体" w:cs="Times New Roman"/>
          <w:color w:val="auto"/>
          <w:sz w:val="18"/>
          <w:szCs w:val="18"/>
          <w:highlight w:val="none"/>
        </w:rPr>
        <w:t xml:space="preserve">10  </w:t>
      </w:r>
      <w:r>
        <w:rPr>
          <w:rFonts w:hint="default" w:ascii="Times New Roman" w:hAnsi="Times New Roman" w:eastAsia="黑体" w:cs="Times New Roman"/>
          <w:color w:val="auto"/>
          <w:sz w:val="18"/>
          <w:szCs w:val="18"/>
          <w:highlight w:val="none"/>
        </w:rPr>
        <w:t>年尺度</w:t>
      </w:r>
      <w:r>
        <w:rPr>
          <w:rFonts w:hint="default" w:ascii="Times New Roman" w:hAnsi="Times New Roman" w:eastAsia="黑体" w:cs="Times New Roman"/>
          <w:color w:val="auto"/>
          <w:sz w:val="18"/>
          <w:szCs w:val="18"/>
          <w:highlight w:val="none"/>
        </w:rPr>
        <w:t>和</w:t>
      </w:r>
      <w:r>
        <w:rPr>
          <w:rFonts w:hint="default" w:ascii="Times New Roman" w:hAnsi="Times New Roman" w:eastAsia="黑体" w:cs="Times New Roman"/>
          <w:color w:val="auto"/>
          <w:sz w:val="18"/>
          <w:szCs w:val="18"/>
          <w:highlight w:val="none"/>
        </w:rPr>
        <w:t>生长季</w:t>
      </w:r>
      <w:r>
        <w:rPr>
          <w:rFonts w:hint="default" w:ascii="Times New Roman" w:hAnsi="Times New Roman" w:eastAsia="黑体" w:cs="Times New Roman"/>
          <w:color w:val="auto"/>
          <w:sz w:val="18"/>
          <w:szCs w:val="18"/>
          <w:highlight w:val="none"/>
        </w:rPr>
        <w:t>的</w:t>
      </w:r>
      <w:r>
        <w:rPr>
          <w:rFonts w:hint="default" w:ascii="Times New Roman" w:hAnsi="Times New Roman" w:eastAsia="黑体" w:cs="Times New Roman"/>
          <w:i/>
          <w:iCs/>
          <w:color w:val="auto"/>
          <w:sz w:val="18"/>
          <w:szCs w:val="18"/>
          <w:highlight w:val="none"/>
        </w:rPr>
        <w:t>TVDI</w:t>
      </w:r>
      <w:r>
        <w:rPr>
          <w:rFonts w:hint="default" w:ascii="Times New Roman" w:hAnsi="Times New Roman" w:eastAsia="黑体" w:cs="Times New Roman"/>
          <w:color w:val="auto"/>
          <w:sz w:val="18"/>
          <w:szCs w:val="18"/>
          <w:highlight w:val="none"/>
        </w:rPr>
        <w:t>与</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的相关性</w:t>
      </w:r>
    </w:p>
    <w:p w14:paraId="468AD71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 w:val="18"/>
          <w:szCs w:val="18"/>
          <w:highlight w:val="none"/>
        </w:rPr>
        <w:t xml:space="preserve">Fig.10 Correlation between </w:t>
      </w:r>
      <w:r>
        <w:rPr>
          <w:rFonts w:hint="default" w:ascii="Times New Roman" w:hAnsi="Times New Roman" w:eastAsia="黑体" w:cs="Times New Roman"/>
          <w:i/>
          <w:iCs/>
          <w:color w:val="auto"/>
          <w:sz w:val="18"/>
          <w:szCs w:val="18"/>
          <w:highlight w:val="none"/>
        </w:rPr>
        <w:t xml:space="preserve">TVDI </w:t>
      </w:r>
      <w:r>
        <w:rPr>
          <w:rFonts w:hint="default" w:ascii="Times New Roman" w:hAnsi="Times New Roman" w:eastAsia="黑体" w:cs="Times New Roman"/>
          <w:color w:val="auto"/>
          <w:sz w:val="18"/>
          <w:szCs w:val="18"/>
          <w:highlight w:val="none"/>
        </w:rPr>
        <w:t xml:space="preserve">and </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 xml:space="preserve"> at annual scale and </w:t>
      </w:r>
      <w:r>
        <w:rPr>
          <w:rFonts w:hint="default" w:ascii="Times New Roman" w:hAnsi="Times New Roman" w:eastAsia="黑体" w:cs="Times New Roman"/>
          <w:color w:val="auto"/>
          <w:sz w:val="18"/>
          <w:szCs w:val="18"/>
          <w:highlight w:val="none"/>
          <w:lang w:val="en-US" w:eastAsia="zh-CN"/>
        </w:rPr>
        <w:t xml:space="preserve">during </w:t>
      </w:r>
      <w:r>
        <w:rPr>
          <w:rFonts w:hint="default" w:ascii="Times New Roman" w:hAnsi="Times New Roman" w:eastAsia="黑体" w:cs="Times New Roman"/>
          <w:color w:val="auto"/>
          <w:sz w:val="18"/>
          <w:szCs w:val="18"/>
          <w:highlight w:val="none"/>
        </w:rPr>
        <w:t>growing season</w:t>
      </w:r>
    </w:p>
    <w:p w14:paraId="0BB8BA53">
      <w:pPr>
        <w:adjustRightInd w:val="0"/>
        <w:snapToGrid w:val="0"/>
        <w:outlineLvl w:val="2"/>
        <w:rPr>
          <w:rFonts w:hint="default" w:ascii="Times New Roman" w:hAnsi="Times New Roman" w:cs="Times New Roman"/>
          <w:b/>
          <w:bCs/>
          <w:color w:val="auto"/>
          <w:sz w:val="24"/>
          <w:highlight w:val="none"/>
        </w:rPr>
      </w:pPr>
      <w:r>
        <w:rPr>
          <w:rFonts w:hint="default" w:ascii="Times New Roman" w:hAnsi="Times New Roman" w:eastAsia="楷体" w:cs="Times New Roman"/>
          <w:color w:val="auto"/>
          <w:szCs w:val="21"/>
          <w:highlight w:val="none"/>
        </w:rPr>
        <w:t>2.3.2植被</w:t>
      </w:r>
      <w:r>
        <w:rPr>
          <w:rFonts w:hint="default" w:ascii="Times New Roman" w:hAnsi="Times New Roman" w:eastAsia="楷体" w:cs="Times New Roman"/>
          <w:i/>
          <w:iCs/>
          <w:color w:val="auto"/>
          <w:szCs w:val="21"/>
          <w:highlight w:val="none"/>
        </w:rPr>
        <w:t>WUE</w:t>
      </w:r>
      <w:r>
        <w:rPr>
          <w:rFonts w:hint="default" w:ascii="Times New Roman" w:hAnsi="Times New Roman" w:eastAsia="楷体" w:cs="Times New Roman"/>
          <w:color w:val="auto"/>
          <w:szCs w:val="21"/>
          <w:highlight w:val="none"/>
        </w:rPr>
        <w:t xml:space="preserve"> 对生态干旱的时滞响应</w:t>
      </w:r>
    </w:p>
    <w:p w14:paraId="5A196987">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生长季</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与月尺度</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w:t>
      </w:r>
      <w:r>
        <w:rPr>
          <w:rFonts w:hint="default" w:ascii="Times New Roman" w:hAnsi="Times New Roman" w:cs="Times New Roman"/>
          <w:color w:val="auto"/>
          <w:szCs w:val="21"/>
          <w:highlight w:val="none"/>
        </w:rPr>
        <w:t>的时滞分析表明（</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占</w:t>
      </w:r>
      <w:r>
        <w:rPr>
          <w:rFonts w:hint="default" w:ascii="Times New Roman" w:hAnsi="Times New Roman" w:cs="Times New Roman"/>
          <w:color w:val="auto"/>
          <w:szCs w:val="21"/>
          <w:highlight w:val="none"/>
        </w:rPr>
        <w:t>研究区</w:t>
      </w:r>
      <w:r>
        <w:rPr>
          <w:rFonts w:hint="default" w:ascii="Times New Roman" w:hAnsi="Times New Roman" w:cs="Times New Roman"/>
          <w:color w:val="auto"/>
          <w:szCs w:val="21"/>
          <w:highlight w:val="none"/>
        </w:rPr>
        <w:t>面积</w:t>
      </w:r>
      <w:r>
        <w:rPr>
          <w:rFonts w:hint="default" w:ascii="Times New Roman" w:hAnsi="Times New Roman" w:cs="Times New Roman"/>
          <w:color w:val="auto"/>
          <w:szCs w:val="21"/>
          <w:highlight w:val="none"/>
        </w:rPr>
        <w:t>98.55%的区域内</w:t>
      </w:r>
      <w:r>
        <w:rPr>
          <w:rFonts w:hint="default" w:ascii="Times New Roman" w:hAnsi="Times New Roman" w:cs="Times New Roman"/>
          <w:color w:val="auto"/>
          <w:szCs w:val="21"/>
          <w:highlight w:val="none"/>
        </w:rPr>
        <w:t>，</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对生态干旱存在明显的延迟效应，两者呈正相关关系，其中</w:t>
      </w:r>
      <w:r>
        <w:rPr>
          <w:rFonts w:hint="default" w:ascii="Times New Roman" w:hAnsi="Times New Roman" w:cs="Times New Roman"/>
          <w:color w:val="auto"/>
          <w:szCs w:val="21"/>
          <w:highlight w:val="none"/>
        </w:rPr>
        <w:t>面积占比为</w:t>
      </w:r>
      <w:r>
        <w:rPr>
          <w:rFonts w:hint="default" w:ascii="Times New Roman" w:hAnsi="Times New Roman" w:cs="Times New Roman"/>
          <w:color w:val="auto"/>
          <w:szCs w:val="21"/>
          <w:highlight w:val="none"/>
        </w:rPr>
        <w:t>48.6%的区域通过显著性水平检验（</w:t>
      </w:r>
      <w:r>
        <w:rPr>
          <w:rFonts w:hint="default" w:ascii="Times New Roman" w:hAnsi="Times New Roman" w:cs="Times New Roman"/>
          <w:i/>
          <w:iCs/>
          <w:color w:val="auto"/>
          <w:szCs w:val="21"/>
          <w:highlight w:val="none"/>
        </w:rPr>
        <w:t>p</w:t>
      </w:r>
      <w:r>
        <w:rPr>
          <w:rFonts w:hint="default" w:ascii="Times New Roman" w:hAnsi="Times New Roman" w:cs="Times New Roman"/>
          <w:color w:val="auto"/>
          <w:szCs w:val="21"/>
          <w:highlight w:val="none"/>
        </w:rPr>
        <w:t>&lt;0.05）。这一普遍存在的滞后响应可能源于植被对水分胁迫的生理适应过程，即干旱初期植被往往通过调节气孔导度等生理机制维持生长，从而导致</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w:t>
      </w:r>
      <w:r>
        <w:rPr>
          <w:rFonts w:hint="default" w:ascii="Times New Roman" w:hAnsi="Times New Roman" w:cs="Times New Roman"/>
          <w:color w:val="auto"/>
          <w:szCs w:val="21"/>
          <w:highlight w:val="none"/>
        </w:rPr>
        <w:t>生态干旱</w:t>
      </w:r>
      <w:r>
        <w:rPr>
          <w:rFonts w:hint="default" w:ascii="Times New Roman" w:hAnsi="Times New Roman" w:cs="Times New Roman"/>
          <w:color w:val="auto"/>
          <w:szCs w:val="21"/>
          <w:highlight w:val="none"/>
        </w:rPr>
        <w:t>的响应存在滞后</w:t>
      </w:r>
      <w:r>
        <w:rPr>
          <w:rFonts w:hint="default" w:ascii="Times New Roman" w:hAnsi="Times New Roman" w:cs="Times New Roman"/>
          <w:color w:val="auto"/>
          <w:szCs w:val="21"/>
          <w:highlight w:val="none"/>
        </w:rPr>
        <w:t>性</w:t>
      </w:r>
      <w:r>
        <w:rPr>
          <w:rFonts w:hint="default" w:ascii="Times New Roman" w:hAnsi="Times New Roman" w:cs="Times New Roman"/>
          <w:color w:val="auto"/>
          <w:szCs w:val="21"/>
          <w:highlight w:val="none"/>
        </w:rPr>
        <w:t>。从</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的滞后时间上看，</w:t>
      </w:r>
      <w:r>
        <w:rPr>
          <w:rFonts w:hint="default" w:ascii="Times New Roman" w:hAnsi="Times New Roman" w:cs="Times New Roman"/>
          <w:color w:val="auto"/>
          <w:szCs w:val="21"/>
          <w:highlight w:val="none"/>
        </w:rPr>
        <w:t>二者的</w:t>
      </w:r>
      <w:r>
        <w:rPr>
          <w:rFonts w:hint="default" w:ascii="Times New Roman" w:hAnsi="Times New Roman" w:cs="Times New Roman"/>
          <w:color w:val="auto"/>
          <w:szCs w:val="21"/>
          <w:highlight w:val="none"/>
        </w:rPr>
        <w:t>平均滞后时间为4.26个月</w:t>
      </w:r>
      <w:r>
        <w:rPr>
          <w:rFonts w:hint="default" w:ascii="Times New Roman" w:hAnsi="Times New Roman" w:cs="Times New Roman"/>
          <w:color w:val="auto"/>
          <w:szCs w:val="21"/>
          <w:highlight w:val="none"/>
        </w:rPr>
        <w:t>，其中植被对生态干旱</w:t>
      </w:r>
      <w:r>
        <w:rPr>
          <w:rFonts w:hint="default" w:ascii="Times New Roman" w:hAnsi="Times New Roman" w:cs="Times New Roman"/>
          <w:color w:val="auto"/>
          <w:szCs w:val="21"/>
          <w:highlight w:val="none"/>
        </w:rPr>
        <w:t>零滞后</w:t>
      </w:r>
      <w:r>
        <w:rPr>
          <w:rFonts w:hint="default" w:ascii="Times New Roman" w:hAnsi="Times New Roman" w:cs="Times New Roman"/>
          <w:color w:val="auto"/>
          <w:szCs w:val="21"/>
          <w:highlight w:val="none"/>
        </w:rPr>
        <w:t>的区域</w:t>
      </w:r>
      <w:r>
        <w:rPr>
          <w:rFonts w:hint="default" w:ascii="Times New Roman" w:hAnsi="Times New Roman" w:cs="Times New Roman"/>
          <w:color w:val="auto"/>
          <w:szCs w:val="21"/>
          <w:highlight w:val="none"/>
        </w:rPr>
        <w:t>面积占比最大</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22.22%</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滞后5个月</w:t>
      </w:r>
      <w:r>
        <w:rPr>
          <w:rFonts w:hint="default" w:ascii="Times New Roman" w:hAnsi="Times New Roman" w:cs="Times New Roman"/>
          <w:color w:val="auto"/>
          <w:szCs w:val="21"/>
          <w:highlight w:val="none"/>
        </w:rPr>
        <w:t>的面积</w:t>
      </w:r>
      <w:r>
        <w:rPr>
          <w:rFonts w:hint="default" w:ascii="Times New Roman" w:hAnsi="Times New Roman" w:cs="Times New Roman"/>
          <w:color w:val="auto"/>
          <w:szCs w:val="21"/>
          <w:highlight w:val="none"/>
        </w:rPr>
        <w:t>区域占比最小</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1.17%</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整体而言，</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的短期响应占主导地位</w:t>
      </w:r>
      <w:r>
        <w:rPr>
          <w:rFonts w:hint="default" w:ascii="Times New Roman" w:hAnsi="Times New Roman" w:cs="Times New Roman"/>
          <w:color w:val="auto"/>
          <w:szCs w:val="21"/>
          <w:highlight w:val="none"/>
        </w:rPr>
        <w:t>，出现短期响应区域的面积占比为</w:t>
      </w:r>
      <w:r>
        <w:rPr>
          <w:rFonts w:hint="default" w:ascii="Times New Roman" w:hAnsi="Times New Roman" w:cs="Times New Roman"/>
          <w:color w:val="auto"/>
          <w:szCs w:val="21"/>
          <w:highlight w:val="none"/>
        </w:rPr>
        <w:t>55.30%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中期和长期响应</w:t>
      </w:r>
      <w:r>
        <w:rPr>
          <w:rFonts w:hint="default" w:ascii="Times New Roman" w:hAnsi="Times New Roman" w:cs="Times New Roman"/>
          <w:color w:val="auto"/>
          <w:szCs w:val="21"/>
          <w:highlight w:val="none"/>
        </w:rPr>
        <w:t>的区域面积占比</w:t>
      </w:r>
      <w:r>
        <w:rPr>
          <w:rFonts w:hint="default" w:ascii="Times New Roman" w:hAnsi="Times New Roman" w:cs="Times New Roman"/>
          <w:color w:val="auto"/>
          <w:szCs w:val="21"/>
          <w:highlight w:val="none"/>
        </w:rPr>
        <w:t>分别</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rPr>
        <w:t>21.40%和19.50%。这种以短期滞后为主的格局可能</w:t>
      </w:r>
      <w:r>
        <w:rPr>
          <w:rFonts w:hint="default" w:ascii="Times New Roman" w:hAnsi="Times New Roman" w:cs="Times New Roman"/>
          <w:color w:val="auto"/>
          <w:szCs w:val="21"/>
          <w:highlight w:val="none"/>
        </w:rPr>
        <w:t>受植被自身的生理特征及对环境的适应能力有关</w:t>
      </w:r>
      <w:r>
        <w:rPr>
          <w:rFonts w:hint="default" w:ascii="Times New Roman" w:hAnsi="Times New Roman" w:cs="Times New Roman"/>
          <w:color w:val="auto"/>
          <w:szCs w:val="21"/>
          <w:highlight w:val="none"/>
        </w:rPr>
        <w:t>，而中长期滞后可能</w:t>
      </w:r>
      <w:r>
        <w:rPr>
          <w:rFonts w:hint="default" w:ascii="Times New Roman" w:hAnsi="Times New Roman" w:cs="Times New Roman"/>
          <w:color w:val="auto"/>
          <w:szCs w:val="21"/>
          <w:highlight w:val="none"/>
        </w:rPr>
        <w:t>与</w:t>
      </w:r>
      <w:r>
        <w:rPr>
          <w:rFonts w:hint="default" w:ascii="Times New Roman" w:hAnsi="Times New Roman" w:cs="Times New Roman"/>
          <w:color w:val="auto"/>
          <w:szCs w:val="21"/>
          <w:highlight w:val="none"/>
        </w:rPr>
        <w:t>植被根系</w:t>
      </w:r>
      <w:r>
        <w:rPr>
          <w:rFonts w:hint="default" w:ascii="Times New Roman" w:hAnsi="Times New Roman" w:cs="Times New Roman"/>
          <w:color w:val="auto"/>
          <w:szCs w:val="21"/>
          <w:highlight w:val="none"/>
        </w:rPr>
        <w:t>与土壤水、地下水的交互有关</w:t>
      </w:r>
      <w:r>
        <w:rPr>
          <w:rFonts w:hint="default" w:ascii="Times New Roman" w:hAnsi="Times New Roman" w:cs="Times New Roman"/>
          <w:color w:val="auto"/>
          <w:szCs w:val="21"/>
          <w:highlight w:val="none"/>
        </w:rPr>
        <w:t>。分析不同土地利用类型下</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响应的滞后</w:t>
      </w:r>
      <w:r>
        <w:rPr>
          <w:rFonts w:hint="default" w:ascii="Times New Roman" w:hAnsi="Times New Roman" w:cs="Times New Roman"/>
          <w:color w:val="auto"/>
          <w:szCs w:val="21"/>
          <w:highlight w:val="none"/>
        </w:rPr>
        <w:t>时间</w:t>
      </w:r>
      <w:r>
        <w:rPr>
          <w:rFonts w:hint="default" w:ascii="Times New Roman" w:hAnsi="Times New Roman" w:cs="Times New Roman"/>
          <w:color w:val="auto"/>
          <w:szCs w:val="21"/>
          <w:highlight w:val="none"/>
        </w:rPr>
        <w:t>可知</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2（a）]</w:t>
      </w:r>
      <w:r>
        <w:rPr>
          <w:rFonts w:hint="default" w:ascii="Times New Roman" w:hAnsi="Times New Roman" w:cs="Times New Roman"/>
          <w:color w:val="auto"/>
          <w:szCs w:val="21"/>
          <w:highlight w:val="none"/>
        </w:rPr>
        <w:t>，林地</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响应的平均滞后时间最长（6.03个月），其次为草地（4.67个月），耕地最短（3.58个月）。林地</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的响应特征表现</w:t>
      </w:r>
      <w:r>
        <w:rPr>
          <w:rFonts w:hint="default" w:ascii="Times New Roman" w:hAnsi="Times New Roman" w:cs="Times New Roman"/>
          <w:color w:val="auto"/>
          <w:szCs w:val="21"/>
          <w:highlight w:val="none"/>
        </w:rPr>
        <w:t>出长、</w:t>
      </w:r>
      <w:r>
        <w:rPr>
          <w:rFonts w:hint="default" w:ascii="Times New Roman" w:hAnsi="Times New Roman" w:cs="Times New Roman"/>
          <w:color w:val="auto"/>
          <w:szCs w:val="21"/>
          <w:highlight w:val="none"/>
        </w:rPr>
        <w:t>短期</w:t>
      </w:r>
      <w:r>
        <w:rPr>
          <w:rFonts w:hint="default" w:ascii="Times New Roman" w:hAnsi="Times New Roman" w:cs="Times New Roman"/>
          <w:color w:val="auto"/>
          <w:szCs w:val="21"/>
          <w:highlight w:val="none"/>
        </w:rPr>
        <w:t>响应共同主导，响应占比面积分别为</w:t>
      </w:r>
      <w:r>
        <w:rPr>
          <w:rFonts w:hint="default" w:ascii="Times New Roman" w:hAnsi="Times New Roman" w:cs="Times New Roman"/>
          <w:color w:val="auto"/>
          <w:szCs w:val="21"/>
          <w:highlight w:val="none"/>
        </w:rPr>
        <w:t>35.87%</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36.03%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耕地</w:t>
      </w:r>
      <w:r>
        <w:rPr>
          <w:rFonts w:hint="default" w:ascii="Times New Roman" w:hAnsi="Times New Roman" w:cs="Times New Roman"/>
          <w:color w:val="auto"/>
          <w:szCs w:val="21"/>
          <w:highlight w:val="none"/>
        </w:rPr>
        <w:t>和草地二者的响应以短期响应为主，响应面积占比分别为</w:t>
      </w:r>
      <w:r>
        <w:rPr>
          <w:rFonts w:hint="default" w:ascii="Times New Roman" w:hAnsi="Times New Roman" w:cs="Times New Roman"/>
          <w:color w:val="auto"/>
          <w:szCs w:val="21"/>
          <w:highlight w:val="none"/>
        </w:rPr>
        <w:t>66.70%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52.61%。这种差异可能与植被类型</w:t>
      </w:r>
      <w:r>
        <w:rPr>
          <w:rFonts w:hint="default" w:ascii="Times New Roman" w:hAnsi="Times New Roman" w:cs="Times New Roman"/>
          <w:color w:val="auto"/>
          <w:szCs w:val="21"/>
          <w:highlight w:val="none"/>
        </w:rPr>
        <w:t>、生理特性、环境适应能力等有关。</w:t>
      </w:r>
      <w:r>
        <w:rPr>
          <w:rFonts w:hint="default" w:ascii="Times New Roman" w:hAnsi="Times New Roman" w:cs="Times New Roman"/>
          <w:color w:val="auto"/>
          <w:szCs w:val="21"/>
          <w:highlight w:val="none"/>
        </w:rPr>
        <w:t>从气候分区来看</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2（b）]</w:t>
      </w:r>
      <w:r>
        <w:rPr>
          <w:rFonts w:hint="default" w:ascii="Times New Roman" w:hAnsi="Times New Roman" w:cs="Times New Roman"/>
          <w:color w:val="auto"/>
          <w:szCs w:val="21"/>
          <w:highlight w:val="none"/>
        </w:rPr>
        <w:t>，干旱、半干旱区域植被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w:t>
      </w:r>
      <w:r>
        <w:rPr>
          <w:rFonts w:hint="default" w:ascii="Times New Roman" w:hAnsi="Times New Roman" w:cs="Times New Roman"/>
          <w:color w:val="auto"/>
          <w:szCs w:val="21"/>
          <w:highlight w:val="none"/>
        </w:rPr>
        <w:t>生态</w:t>
      </w:r>
      <w:r>
        <w:rPr>
          <w:rFonts w:hint="default" w:ascii="Times New Roman" w:hAnsi="Times New Roman" w:cs="Times New Roman"/>
          <w:color w:val="auto"/>
          <w:szCs w:val="21"/>
          <w:highlight w:val="none"/>
        </w:rPr>
        <w:t>干旱的响应以短期为主，</w:t>
      </w:r>
      <w:r>
        <w:rPr>
          <w:rFonts w:hint="default" w:ascii="Times New Roman" w:hAnsi="Times New Roman" w:cs="Times New Roman"/>
          <w:color w:val="auto"/>
          <w:szCs w:val="21"/>
          <w:highlight w:val="none"/>
        </w:rPr>
        <w:t>而</w:t>
      </w:r>
      <w:r>
        <w:rPr>
          <w:rFonts w:hint="default" w:ascii="Times New Roman" w:hAnsi="Times New Roman" w:cs="Times New Roman"/>
          <w:color w:val="auto"/>
          <w:szCs w:val="21"/>
          <w:highlight w:val="none"/>
        </w:rPr>
        <w:t>半湿润区、湿润区植被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w:t>
      </w:r>
      <w:r>
        <w:rPr>
          <w:rFonts w:hint="default" w:ascii="Times New Roman" w:hAnsi="Times New Roman" w:cs="Times New Roman"/>
          <w:color w:val="auto"/>
          <w:szCs w:val="21"/>
          <w:highlight w:val="none"/>
        </w:rPr>
        <w:t>生态</w:t>
      </w:r>
      <w:r>
        <w:rPr>
          <w:rFonts w:hint="default" w:ascii="Times New Roman" w:hAnsi="Times New Roman" w:cs="Times New Roman"/>
          <w:color w:val="auto"/>
          <w:szCs w:val="21"/>
          <w:highlight w:val="none"/>
        </w:rPr>
        <w:t>干旱的响应则以长期为主</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其中，干旱区</w:t>
      </w:r>
      <w:r>
        <w:rPr>
          <w:rFonts w:hint="default" w:ascii="Times New Roman" w:hAnsi="Times New Roman" w:cs="Times New Roman"/>
          <w:color w:val="auto"/>
          <w:szCs w:val="21"/>
          <w:highlight w:val="none"/>
        </w:rPr>
        <w:t>、半干旱区、半湿润区、湿润区</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w:t>
      </w:r>
      <w:r>
        <w:rPr>
          <w:rFonts w:hint="default" w:ascii="Times New Roman" w:hAnsi="Times New Roman" w:cs="Times New Roman"/>
          <w:color w:val="auto"/>
          <w:szCs w:val="21"/>
          <w:highlight w:val="none"/>
        </w:rPr>
        <w:t>的平均滞后时间</w:t>
      </w:r>
      <w:r>
        <w:rPr>
          <w:rFonts w:hint="default" w:ascii="Times New Roman" w:hAnsi="Times New Roman" w:cs="Times New Roman"/>
          <w:color w:val="auto"/>
          <w:szCs w:val="21"/>
          <w:highlight w:val="none"/>
        </w:rPr>
        <w:t>分别为3.42个月、4.29个月、6.91个月、3.42个月。</w:t>
      </w:r>
      <w:r>
        <w:rPr>
          <w:rFonts w:hint="default" w:ascii="Times New Roman" w:hAnsi="Times New Roman" w:cs="Times New Roman"/>
          <w:color w:val="auto"/>
          <w:szCs w:val="21"/>
          <w:highlight w:val="none"/>
        </w:rPr>
        <w:t>在干旱与半干旱区，水分</w:t>
      </w:r>
      <w:r>
        <w:rPr>
          <w:rFonts w:hint="default" w:ascii="Times New Roman" w:hAnsi="Times New Roman" w:cs="Times New Roman"/>
          <w:color w:val="auto"/>
          <w:szCs w:val="21"/>
          <w:highlight w:val="none"/>
        </w:rPr>
        <w:t>是植被生长的</w:t>
      </w:r>
      <w:r>
        <w:rPr>
          <w:rFonts w:hint="default" w:ascii="Times New Roman" w:hAnsi="Times New Roman" w:cs="Times New Roman"/>
          <w:color w:val="auto"/>
          <w:szCs w:val="21"/>
          <w:highlight w:val="none"/>
        </w:rPr>
        <w:t>主要的限制性因子，植被长期</w:t>
      </w:r>
      <w:r>
        <w:rPr>
          <w:rFonts w:hint="default" w:ascii="Times New Roman" w:hAnsi="Times New Roman" w:cs="Times New Roman"/>
          <w:color w:val="auto"/>
          <w:szCs w:val="21"/>
          <w:highlight w:val="none"/>
        </w:rPr>
        <w:t>在波动的干旱环境中形成</w:t>
      </w:r>
      <w:r>
        <w:rPr>
          <w:rFonts w:hint="default" w:ascii="Times New Roman" w:hAnsi="Times New Roman" w:cs="Times New Roman"/>
          <w:color w:val="auto"/>
          <w:szCs w:val="21"/>
          <w:highlight w:val="none"/>
        </w:rPr>
        <w:t>了快速响应水分胁迫的能力，因此以短期滞后响应为主。相反，在半湿润与湿润区，水分条件通常较为充足，干旱多为阶段性或季节性事件</w:t>
      </w:r>
      <w:r>
        <w:rPr>
          <w:rFonts w:hint="default" w:ascii="Times New Roman" w:hAnsi="Times New Roman" w:cs="Times New Roman"/>
          <w:color w:val="auto"/>
          <w:szCs w:val="21"/>
          <w:highlight w:val="none"/>
        </w:rPr>
        <w:t>，受包气带强调蓄能力、植被生理特征等影响，植被对生态干旱</w:t>
      </w:r>
      <w:r>
        <w:rPr>
          <w:rFonts w:hint="default" w:ascii="Times New Roman" w:hAnsi="Times New Roman" w:cs="Times New Roman"/>
          <w:color w:val="auto"/>
          <w:szCs w:val="21"/>
          <w:highlight w:val="none"/>
        </w:rPr>
        <w:t>表现出</w:t>
      </w:r>
      <w:r>
        <w:rPr>
          <w:rFonts w:hint="default" w:ascii="Times New Roman" w:hAnsi="Times New Roman" w:cs="Times New Roman"/>
          <w:color w:val="auto"/>
          <w:szCs w:val="21"/>
          <w:highlight w:val="none"/>
        </w:rPr>
        <w:t>较明显的、</w:t>
      </w:r>
      <w:r>
        <w:rPr>
          <w:rFonts w:hint="default" w:ascii="Times New Roman" w:hAnsi="Times New Roman" w:cs="Times New Roman"/>
          <w:color w:val="auto"/>
          <w:szCs w:val="21"/>
          <w:highlight w:val="none"/>
        </w:rPr>
        <w:t>长</w:t>
      </w:r>
      <w:r>
        <w:rPr>
          <w:rFonts w:hint="default" w:ascii="Times New Roman" w:hAnsi="Times New Roman" w:cs="Times New Roman"/>
          <w:color w:val="auto"/>
          <w:szCs w:val="21"/>
          <w:highlight w:val="none"/>
        </w:rPr>
        <w:t>时</w:t>
      </w:r>
      <w:r>
        <w:rPr>
          <w:rFonts w:hint="default" w:ascii="Times New Roman" w:hAnsi="Times New Roman" w:cs="Times New Roman"/>
          <w:color w:val="auto"/>
          <w:szCs w:val="21"/>
          <w:highlight w:val="none"/>
        </w:rPr>
        <w:t>期滞后特征</w:t>
      </w:r>
      <w:r>
        <w:rPr>
          <w:rFonts w:hint="default" w:ascii="Times New Roman" w:hAnsi="Times New Roman" w:cs="Times New Roman"/>
          <w:color w:val="auto"/>
          <w:szCs w:val="21"/>
          <w:highlight w:val="none"/>
        </w:rPr>
        <w:t>。</w:t>
      </w:r>
    </w:p>
    <w:p w14:paraId="3CD12562">
      <w:pPr>
        <w:spacing w:before="156" w:beforeLines="50" w:line="360" w:lineRule="auto"/>
        <w:jc w:val="cente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drawing>
          <wp:inline distT="0" distB="0" distL="114300" distR="114300">
            <wp:extent cx="5271135" cy="2306955"/>
            <wp:effectExtent l="0" t="0" r="1905" b="9525"/>
            <wp:docPr id="12" name="图片 88"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8" descr="图10"/>
                    <pic:cNvPicPr>
                      <a:picLocks noChangeAspect="1"/>
                    </pic:cNvPicPr>
                  </pic:nvPicPr>
                  <pic:blipFill>
                    <a:blip r:embed="rId25"/>
                    <a:stretch>
                      <a:fillRect/>
                    </a:stretch>
                  </pic:blipFill>
                  <pic:spPr>
                    <a:xfrm>
                      <a:off x="0" y="0"/>
                      <a:ext cx="5271135" cy="2306955"/>
                    </a:xfrm>
                    <a:prstGeom prst="rect">
                      <a:avLst/>
                    </a:prstGeom>
                    <a:noFill/>
                    <a:ln>
                      <a:noFill/>
                    </a:ln>
                  </pic:spPr>
                </pic:pic>
              </a:graphicData>
            </a:graphic>
          </wp:inline>
        </w:drawing>
      </w:r>
    </w:p>
    <w:p w14:paraId="1E51098B">
      <w:pPr>
        <w:adjustRightInd w:val="0"/>
        <w:snapToGrid w:val="0"/>
        <w:jc w:val="center"/>
        <w:rPr>
          <w:rFonts w:hint="default" w:ascii="Times New Roman" w:hAnsi="Times New Roman" w:eastAsia="黑体" w:cs="Times New Roman"/>
          <w:color w:val="auto"/>
          <w:sz w:val="18"/>
          <w:szCs w:val="18"/>
          <w:highlight w:val="none"/>
          <w:shd w:val="clear" w:color="auto" w:fill="FFFFFF"/>
        </w:rPr>
      </w:pPr>
      <w:r>
        <w:rPr>
          <w:rFonts w:hint="default" w:ascii="Times New Roman" w:hAnsi="Times New Roman" w:eastAsia="黑体" w:cs="Times New Roman"/>
          <w:color w:val="auto"/>
          <w:sz w:val="18"/>
          <w:szCs w:val="18"/>
          <w:highlight w:val="none"/>
        </w:rPr>
        <w:t>图1</w:t>
      </w:r>
      <w:r>
        <w:rPr>
          <w:rFonts w:hint="default" w:ascii="Times New Roman" w:hAnsi="Times New Roman" w:eastAsia="黑体" w:cs="Times New Roman"/>
          <w:color w:val="auto"/>
          <w:sz w:val="18"/>
          <w:szCs w:val="18"/>
          <w:highlight w:val="none"/>
        </w:rPr>
        <w:t xml:space="preserve">1  </w:t>
      </w:r>
      <w:r>
        <w:rPr>
          <w:rFonts w:hint="default" w:ascii="Times New Roman" w:hAnsi="Times New Roman" w:eastAsia="黑体" w:cs="Times New Roman"/>
          <w:i/>
          <w:iCs/>
          <w:color w:val="auto"/>
          <w:sz w:val="18"/>
          <w:szCs w:val="18"/>
          <w:highlight w:val="none"/>
          <w:shd w:val="clear" w:color="auto" w:fill="FFFFFF"/>
        </w:rPr>
        <w:t>WUE</w:t>
      </w:r>
      <w:r>
        <w:rPr>
          <w:rFonts w:hint="default" w:ascii="Times New Roman" w:hAnsi="Times New Roman" w:eastAsia="黑体" w:cs="Times New Roman"/>
          <w:color w:val="auto"/>
          <w:sz w:val="18"/>
          <w:szCs w:val="18"/>
          <w:highlight w:val="none"/>
          <w:shd w:val="clear" w:color="auto" w:fill="FFFFFF"/>
        </w:rPr>
        <w:t>对</w:t>
      </w:r>
      <w:r>
        <w:rPr>
          <w:rFonts w:hint="default" w:ascii="Times New Roman" w:hAnsi="Times New Roman" w:eastAsia="黑体" w:cs="Times New Roman"/>
          <w:color w:val="auto"/>
          <w:sz w:val="18"/>
          <w:szCs w:val="18"/>
          <w:highlight w:val="none"/>
          <w:shd w:val="clear" w:color="auto" w:fill="FFFFFF"/>
        </w:rPr>
        <w:t>生态</w:t>
      </w:r>
      <w:r>
        <w:rPr>
          <w:rFonts w:hint="default" w:ascii="Times New Roman" w:hAnsi="Times New Roman" w:eastAsia="黑体" w:cs="Times New Roman"/>
          <w:color w:val="auto"/>
          <w:sz w:val="18"/>
          <w:szCs w:val="18"/>
          <w:highlight w:val="none"/>
          <w:shd w:val="clear" w:color="auto" w:fill="FFFFFF"/>
        </w:rPr>
        <w:t>干旱的时滞</w:t>
      </w:r>
      <w:r>
        <w:rPr>
          <w:rFonts w:hint="default" w:ascii="Times New Roman" w:hAnsi="Times New Roman" w:eastAsia="黑体" w:cs="Times New Roman"/>
          <w:color w:val="auto"/>
          <w:sz w:val="18"/>
          <w:szCs w:val="18"/>
          <w:highlight w:val="none"/>
          <w:shd w:val="clear" w:color="auto" w:fill="FFFFFF"/>
        </w:rPr>
        <w:t>响应</w:t>
      </w:r>
    </w:p>
    <w:p w14:paraId="4C3DC21A">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Fig.11 Time</w:t>
      </w:r>
      <w:r>
        <w:rPr>
          <w:rFonts w:hint="default" w:ascii="Times New Roman" w:hAnsi="Times New Roman"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rPr>
        <w:t xml:space="preserve">lag response of </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 xml:space="preserve"> to </w:t>
      </w:r>
      <w:r>
        <w:rPr>
          <w:rFonts w:hint="default" w:ascii="Times New Roman" w:hAnsi="Times New Roman" w:eastAsia="黑体" w:cs="Times New Roman"/>
          <w:color w:val="auto"/>
          <w:sz w:val="18"/>
          <w:szCs w:val="18"/>
          <w:highlight w:val="none"/>
        </w:rPr>
        <w:t xml:space="preserve">ecological </w:t>
      </w:r>
      <w:r>
        <w:rPr>
          <w:rFonts w:hint="default" w:ascii="Times New Roman" w:hAnsi="Times New Roman" w:eastAsia="黑体" w:cs="Times New Roman"/>
          <w:color w:val="auto"/>
          <w:sz w:val="18"/>
          <w:szCs w:val="18"/>
          <w:highlight w:val="none"/>
        </w:rPr>
        <w:t>drought</w:t>
      </w:r>
    </w:p>
    <w:p w14:paraId="034F94AE">
      <w:pPr>
        <w:spacing w:before="156" w:beforeLines="50" w:line="360" w:lineRule="auto"/>
        <w:jc w:val="center"/>
        <w:rPr>
          <w:rFonts w:hint="default" w:ascii="Times New Roman" w:hAnsi="Times New Roman" w:eastAsia="仿宋" w:cs="Times New Roman"/>
          <w:color w:val="auto"/>
          <w:sz w:val="16"/>
          <w:szCs w:val="16"/>
          <w:highlight w:val="none"/>
        </w:rPr>
      </w:pPr>
      <w:r>
        <w:rPr>
          <w:rFonts w:hint="default" w:ascii="Times New Roman" w:hAnsi="Times New Roman" w:eastAsia="仿宋" w:cs="Times New Roman"/>
          <w:color w:val="auto"/>
          <w:sz w:val="16"/>
          <w:szCs w:val="16"/>
          <w:highlight w:val="none"/>
        </w:rPr>
        <w:drawing>
          <wp:inline distT="0" distB="0" distL="114300" distR="114300">
            <wp:extent cx="5475605" cy="2171700"/>
            <wp:effectExtent l="0" t="0" r="10795" b="7620"/>
            <wp:docPr id="17" name="图片 17"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12"/>
                    <pic:cNvPicPr>
                      <a:picLocks noChangeAspect="1"/>
                    </pic:cNvPicPr>
                  </pic:nvPicPr>
                  <pic:blipFill>
                    <a:blip r:embed="rId26"/>
                    <a:stretch>
                      <a:fillRect/>
                    </a:stretch>
                  </pic:blipFill>
                  <pic:spPr>
                    <a:xfrm>
                      <a:off x="0" y="0"/>
                      <a:ext cx="5475605" cy="2171700"/>
                    </a:xfrm>
                    <a:prstGeom prst="rect">
                      <a:avLst/>
                    </a:prstGeom>
                  </pic:spPr>
                </pic:pic>
              </a:graphicData>
            </a:graphic>
          </wp:inline>
        </w:drawing>
      </w:r>
    </w:p>
    <w:p w14:paraId="463E6FCC">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图1</w:t>
      </w:r>
      <w:r>
        <w:rPr>
          <w:rFonts w:hint="default" w:ascii="Times New Roman" w:hAnsi="Times New Roman" w:eastAsia="黑体" w:cs="Times New Roman"/>
          <w:color w:val="auto"/>
          <w:sz w:val="18"/>
          <w:szCs w:val="18"/>
          <w:highlight w:val="none"/>
        </w:rPr>
        <w:t xml:space="preserve">2  </w:t>
      </w:r>
      <w:r>
        <w:rPr>
          <w:rFonts w:hint="default" w:ascii="Times New Roman" w:hAnsi="Times New Roman" w:eastAsia="黑体" w:cs="Times New Roman"/>
          <w:color w:val="auto"/>
          <w:sz w:val="18"/>
          <w:szCs w:val="18"/>
          <w:highlight w:val="none"/>
        </w:rPr>
        <w:t>不同植被和不同区域的时滞效应</w:t>
      </w:r>
    </w:p>
    <w:p w14:paraId="62CC458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 w:val="18"/>
          <w:szCs w:val="18"/>
          <w:highlight w:val="none"/>
        </w:rPr>
        <w:t>Fig.12 Time</w:t>
      </w:r>
      <w:r>
        <w:rPr>
          <w:rFonts w:hint="default" w:ascii="Times New Roman" w:hAnsi="Times New Roman"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rPr>
        <w:t xml:space="preserve">lag effect </w:t>
      </w:r>
      <w:r>
        <w:rPr>
          <w:rFonts w:hint="default" w:ascii="Times New Roman" w:hAnsi="Times New Roman" w:eastAsia="黑体" w:cs="Times New Roman"/>
          <w:color w:val="auto"/>
          <w:sz w:val="18"/>
          <w:szCs w:val="18"/>
          <w:highlight w:val="none"/>
        </w:rPr>
        <w:t>in</w:t>
      </w:r>
      <w:r>
        <w:rPr>
          <w:rFonts w:hint="default" w:ascii="Times New Roman" w:hAnsi="Times New Roman" w:eastAsia="黑体" w:cs="Times New Roman"/>
          <w:color w:val="auto"/>
          <w:sz w:val="18"/>
          <w:szCs w:val="18"/>
          <w:highlight w:val="none"/>
        </w:rPr>
        <w:t xml:space="preserve"> different vegetation </w:t>
      </w:r>
      <w:r>
        <w:rPr>
          <w:rFonts w:hint="default" w:ascii="Times New Roman" w:hAnsi="Times New Roman" w:eastAsia="黑体" w:cs="Times New Roman"/>
          <w:color w:val="auto"/>
          <w:sz w:val="18"/>
          <w:szCs w:val="18"/>
          <w:highlight w:val="none"/>
        </w:rPr>
        <w:t xml:space="preserve">types </w:t>
      </w:r>
      <w:r>
        <w:rPr>
          <w:rFonts w:hint="default" w:ascii="Times New Roman" w:hAnsi="Times New Roman" w:eastAsia="黑体" w:cs="Times New Roman"/>
          <w:color w:val="auto"/>
          <w:sz w:val="18"/>
          <w:szCs w:val="18"/>
          <w:highlight w:val="none"/>
        </w:rPr>
        <w:t>and different regions</w:t>
      </w:r>
    </w:p>
    <w:p w14:paraId="4B40123D">
      <w:pPr>
        <w:adjustRightInd w:val="0"/>
        <w:snapToGrid w:val="0"/>
        <w:outlineLvl w:val="2"/>
        <w:rPr>
          <w:rFonts w:hint="default" w:ascii="Times New Roman" w:hAnsi="Times New Roman" w:eastAsia="楷体" w:cs="Times New Roman"/>
          <w:color w:val="auto"/>
          <w:szCs w:val="21"/>
          <w:highlight w:val="none"/>
        </w:rPr>
      </w:pPr>
      <w:r>
        <w:rPr>
          <w:rFonts w:hint="default" w:ascii="Times New Roman" w:hAnsi="Times New Roman" w:eastAsia="楷体" w:cs="Times New Roman"/>
          <w:color w:val="auto"/>
          <w:szCs w:val="21"/>
          <w:highlight w:val="none"/>
        </w:rPr>
        <w:t>2.3.3 植被WUE对生态干旱的累积响应</w:t>
      </w:r>
    </w:p>
    <w:p w14:paraId="208FCD46">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生长季</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w:t>
      </w:r>
      <w:r>
        <w:rPr>
          <w:rFonts w:hint="default" w:ascii="Times New Roman" w:hAnsi="Times New Roman" w:cs="Times New Roman"/>
          <w:color w:val="auto"/>
          <w:szCs w:val="21"/>
          <w:highlight w:val="none"/>
        </w:rPr>
        <w:t>1—12个月</w:t>
      </w:r>
      <w:r>
        <w:rPr>
          <w:rFonts w:hint="default" w:ascii="Times New Roman" w:hAnsi="Times New Roman" w:cs="Times New Roman"/>
          <w:color w:val="auto"/>
          <w:szCs w:val="21"/>
          <w:highlight w:val="none"/>
        </w:rPr>
        <w:t>尺度</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指数累积效应的分析</w:t>
      </w:r>
      <w:r>
        <w:rPr>
          <w:rFonts w:hint="default" w:ascii="Times New Roman" w:hAnsi="Times New Roman" w:cs="Times New Roman"/>
          <w:color w:val="auto"/>
          <w:szCs w:val="21"/>
          <w:highlight w:val="none"/>
        </w:rPr>
        <w:t>表明（</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占</w:t>
      </w:r>
      <w:r>
        <w:rPr>
          <w:rFonts w:hint="default" w:ascii="Times New Roman" w:hAnsi="Times New Roman" w:cs="Times New Roman"/>
          <w:color w:val="auto"/>
          <w:szCs w:val="21"/>
          <w:highlight w:val="none"/>
        </w:rPr>
        <w:t>研究区</w:t>
      </w:r>
      <w:r>
        <w:rPr>
          <w:rFonts w:hint="default" w:ascii="Times New Roman" w:hAnsi="Times New Roman" w:cs="Times New Roman"/>
          <w:color w:val="auto"/>
          <w:szCs w:val="21"/>
          <w:highlight w:val="none"/>
        </w:rPr>
        <w:t>面积</w:t>
      </w:r>
      <w:r>
        <w:rPr>
          <w:rFonts w:hint="default" w:ascii="Times New Roman" w:hAnsi="Times New Roman" w:cs="Times New Roman"/>
          <w:color w:val="auto"/>
          <w:szCs w:val="21"/>
          <w:highlight w:val="none"/>
        </w:rPr>
        <w:t>97.68%的区域</w:t>
      </w:r>
      <w:r>
        <w:rPr>
          <w:rFonts w:hint="default" w:ascii="Times New Roman" w:hAnsi="Times New Roman" w:cs="Times New Roman"/>
          <w:color w:val="auto"/>
          <w:szCs w:val="21"/>
          <w:highlight w:val="none"/>
        </w:rPr>
        <w:t>内，</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对累积</w:t>
      </w:r>
      <w:r>
        <w:rPr>
          <w:rFonts w:hint="default" w:ascii="Times New Roman" w:hAnsi="Times New Roman" w:cs="Times New Roman"/>
          <w:color w:val="auto"/>
          <w:szCs w:val="21"/>
          <w:highlight w:val="none"/>
        </w:rPr>
        <w:t>生态</w:t>
      </w:r>
      <w:r>
        <w:rPr>
          <w:rFonts w:hint="default" w:ascii="Times New Roman" w:hAnsi="Times New Roman" w:cs="Times New Roman"/>
          <w:color w:val="auto"/>
          <w:szCs w:val="21"/>
          <w:highlight w:val="none"/>
        </w:rPr>
        <w:t>干旱的响应表现为显著正效应，其余区域表现为负效应</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从</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对累积干旱的响应时间来看，</w:t>
      </w:r>
      <w:r>
        <w:rPr>
          <w:rFonts w:hint="default" w:ascii="Times New Roman" w:hAnsi="Times New Roman" w:cs="Times New Roman"/>
          <w:color w:val="auto"/>
          <w:szCs w:val="21"/>
          <w:highlight w:val="none"/>
        </w:rPr>
        <w:t>平均响应时间</w:t>
      </w:r>
      <w:r>
        <w:rPr>
          <w:rFonts w:hint="default" w:ascii="Times New Roman" w:hAnsi="Times New Roman" w:cs="Times New Roman"/>
          <w:color w:val="auto"/>
          <w:szCs w:val="21"/>
          <w:highlight w:val="none"/>
        </w:rPr>
        <w:t>为4.51个月</w:t>
      </w:r>
      <w:r>
        <w:rPr>
          <w:rFonts w:hint="default" w:ascii="Times New Roman" w:hAnsi="Times New Roman" w:cs="Times New Roman"/>
          <w:color w:val="auto"/>
          <w:szCs w:val="21"/>
          <w:highlight w:val="none"/>
        </w:rPr>
        <w:t>，其中累积</w:t>
      </w:r>
      <w:r>
        <w:rPr>
          <w:rFonts w:hint="default" w:ascii="Times New Roman" w:hAnsi="Times New Roman" w:cs="Times New Roman"/>
          <w:color w:val="auto"/>
          <w:szCs w:val="21"/>
          <w:highlight w:val="none"/>
        </w:rPr>
        <w:t>响应时间为3个月区域</w:t>
      </w:r>
      <w:r>
        <w:rPr>
          <w:rFonts w:hint="default" w:ascii="Times New Roman" w:hAnsi="Times New Roman" w:cs="Times New Roman"/>
          <w:color w:val="auto"/>
          <w:szCs w:val="21"/>
          <w:highlight w:val="none"/>
        </w:rPr>
        <w:t>的面积</w:t>
      </w:r>
      <w:r>
        <w:rPr>
          <w:rFonts w:hint="default" w:ascii="Times New Roman" w:hAnsi="Times New Roman" w:cs="Times New Roman"/>
          <w:color w:val="auto"/>
          <w:szCs w:val="21"/>
          <w:highlight w:val="none"/>
        </w:rPr>
        <w:t>占比最大，</w:t>
      </w:r>
      <w:r>
        <w:rPr>
          <w:rFonts w:hint="default" w:ascii="Times New Roman" w:hAnsi="Times New Roman" w:cs="Times New Roman"/>
          <w:color w:val="auto"/>
          <w:szCs w:val="21"/>
          <w:highlight w:val="none"/>
        </w:rPr>
        <w:t>为25.45%；累积响应时间为</w:t>
      </w:r>
      <w:r>
        <w:rPr>
          <w:rFonts w:hint="default" w:ascii="Times New Roman" w:hAnsi="Times New Roman" w:cs="Times New Roman"/>
          <w:color w:val="auto"/>
          <w:szCs w:val="21"/>
          <w:highlight w:val="none"/>
        </w:rPr>
        <w:t>7个月</w:t>
      </w:r>
      <w:r>
        <w:rPr>
          <w:rFonts w:hint="default" w:ascii="Times New Roman" w:hAnsi="Times New Roman" w:cs="Times New Roman"/>
          <w:color w:val="auto"/>
          <w:szCs w:val="21"/>
          <w:highlight w:val="none"/>
        </w:rPr>
        <w:t>区域的面积</w:t>
      </w:r>
      <w:r>
        <w:rPr>
          <w:rFonts w:hint="default" w:ascii="Times New Roman" w:hAnsi="Times New Roman" w:cs="Times New Roman"/>
          <w:color w:val="auto"/>
          <w:szCs w:val="21"/>
          <w:highlight w:val="none"/>
        </w:rPr>
        <w:t>占比最小</w:t>
      </w:r>
      <w:r>
        <w:rPr>
          <w:rFonts w:hint="default" w:ascii="Times New Roman" w:hAnsi="Times New Roman" w:cs="Times New Roman"/>
          <w:color w:val="auto"/>
          <w:szCs w:val="21"/>
          <w:highlight w:val="none"/>
        </w:rPr>
        <w:t>，为0.21%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WUE对累积生态干旱的</w:t>
      </w:r>
      <w:r>
        <w:rPr>
          <w:rFonts w:hint="default" w:ascii="Times New Roman" w:hAnsi="Times New Roman" w:cs="Times New Roman"/>
          <w:color w:val="auto"/>
          <w:szCs w:val="21"/>
          <w:highlight w:val="none"/>
        </w:rPr>
        <w:t>短期响应</w:t>
      </w:r>
      <w:r>
        <w:rPr>
          <w:rFonts w:hint="default" w:ascii="Times New Roman" w:hAnsi="Times New Roman" w:cs="Times New Roman"/>
          <w:color w:val="auto"/>
          <w:szCs w:val="21"/>
          <w:highlight w:val="none"/>
        </w:rPr>
        <w:t>占</w:t>
      </w:r>
      <w:r>
        <w:rPr>
          <w:rFonts w:hint="default" w:ascii="Times New Roman" w:hAnsi="Times New Roman" w:cs="Times New Roman"/>
          <w:color w:val="auto"/>
          <w:szCs w:val="21"/>
          <w:highlight w:val="none"/>
        </w:rPr>
        <w:t>主导</w:t>
      </w:r>
      <w:r>
        <w:rPr>
          <w:rFonts w:hint="default" w:ascii="Times New Roman" w:hAnsi="Times New Roman" w:cs="Times New Roman"/>
          <w:color w:val="auto"/>
          <w:szCs w:val="21"/>
          <w:highlight w:val="none"/>
        </w:rPr>
        <w:t>，出现短期响应区域的面积占比为</w:t>
      </w:r>
      <w:r>
        <w:rPr>
          <w:rFonts w:hint="default" w:ascii="Times New Roman" w:hAnsi="Times New Roman" w:cs="Times New Roman"/>
          <w:color w:val="auto"/>
          <w:szCs w:val="21"/>
          <w:highlight w:val="none"/>
        </w:rPr>
        <w:t>67.27%</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中期和长期响应</w:t>
      </w:r>
      <w:r>
        <w:rPr>
          <w:rFonts w:hint="default" w:ascii="Times New Roman" w:hAnsi="Times New Roman" w:cs="Times New Roman"/>
          <w:color w:val="auto"/>
          <w:szCs w:val="21"/>
          <w:highlight w:val="none"/>
        </w:rPr>
        <w:t>的区域面积占比</w:t>
      </w:r>
      <w:r>
        <w:rPr>
          <w:rFonts w:hint="default" w:ascii="Times New Roman" w:hAnsi="Times New Roman" w:cs="Times New Roman"/>
          <w:color w:val="auto"/>
          <w:szCs w:val="21"/>
          <w:highlight w:val="none"/>
        </w:rPr>
        <w:t>分别</w:t>
      </w:r>
      <w:r>
        <w:rPr>
          <w:rFonts w:hint="default" w:ascii="Times New Roman" w:hAnsi="Times New Roman" w:cs="Times New Roman"/>
          <w:color w:val="auto"/>
          <w:szCs w:val="21"/>
          <w:highlight w:val="none"/>
        </w:rPr>
        <w:t>为8.88</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rPr>
        <w:t>23.84</w:t>
      </w:r>
      <w:r>
        <w:rPr>
          <w:rFonts w:hint="default" w:ascii="Times New Roman" w:hAnsi="Times New Roman" w:cs="Times New Roman"/>
          <w:color w:val="auto"/>
          <w:szCs w:val="21"/>
          <w:highlight w:val="none"/>
        </w:rPr>
        <w:t>%。不同土地利用类型下</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对累积</w:t>
      </w:r>
      <w:r>
        <w:rPr>
          <w:rFonts w:hint="default" w:ascii="Times New Roman" w:hAnsi="Times New Roman" w:cs="Times New Roman"/>
          <w:color w:val="auto"/>
          <w:szCs w:val="21"/>
          <w:highlight w:val="none"/>
        </w:rPr>
        <w:t>生态</w:t>
      </w:r>
      <w:r>
        <w:rPr>
          <w:rFonts w:hint="default" w:ascii="Times New Roman" w:hAnsi="Times New Roman" w:cs="Times New Roman"/>
          <w:color w:val="auto"/>
          <w:szCs w:val="21"/>
          <w:highlight w:val="none"/>
        </w:rPr>
        <w:t>干旱的响应时间存在差异</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4（a）]</w:t>
      </w:r>
      <w:r>
        <w:rPr>
          <w:rFonts w:hint="default" w:ascii="Times New Roman" w:hAnsi="Times New Roman" w:cs="Times New Roman"/>
          <w:color w:val="auto"/>
          <w:szCs w:val="21"/>
          <w:highlight w:val="none"/>
        </w:rPr>
        <w:t>。耕地的响应时间最短，平均为2.07个月；林地与草地</w:t>
      </w:r>
      <w:r>
        <w:rPr>
          <w:rFonts w:hint="default" w:ascii="Times New Roman" w:hAnsi="Times New Roman" w:cs="Times New Roman"/>
          <w:color w:val="auto"/>
          <w:szCs w:val="21"/>
          <w:highlight w:val="none"/>
        </w:rPr>
        <w:t>的响应时间</w:t>
      </w:r>
      <w:r>
        <w:rPr>
          <w:rFonts w:hint="default" w:ascii="Times New Roman" w:hAnsi="Times New Roman" w:cs="Times New Roman"/>
          <w:color w:val="auto"/>
          <w:szCs w:val="21"/>
          <w:highlight w:val="none"/>
        </w:rPr>
        <w:t>分别为5.43个月和4.71个月。整体上，耕地和林地以短期响应为主，而草地区域则呈现出更为复杂的长、短期响应</w:t>
      </w:r>
      <w:r>
        <w:rPr>
          <w:rFonts w:hint="default" w:ascii="Times New Roman" w:hAnsi="Times New Roman" w:cs="Times New Roman"/>
          <w:color w:val="auto"/>
          <w:szCs w:val="21"/>
          <w:highlight w:val="none"/>
        </w:rPr>
        <w:t>共同主导的现象</w:t>
      </w:r>
      <w:r>
        <w:rPr>
          <w:rFonts w:hint="default" w:ascii="Times New Roman" w:hAnsi="Times New Roman" w:cs="Times New Roman"/>
          <w:color w:val="auto"/>
          <w:szCs w:val="21"/>
          <w:highlight w:val="none"/>
        </w:rPr>
        <w:t>。这一差异主要</w:t>
      </w:r>
      <w:r>
        <w:rPr>
          <w:rFonts w:hint="default" w:ascii="Times New Roman" w:hAnsi="Times New Roman" w:cs="Times New Roman"/>
          <w:color w:val="auto"/>
          <w:szCs w:val="21"/>
          <w:highlight w:val="none"/>
        </w:rPr>
        <w:t>与</w:t>
      </w:r>
      <w:r>
        <w:rPr>
          <w:rFonts w:hint="default" w:ascii="Times New Roman" w:hAnsi="Times New Roman" w:cs="Times New Roman"/>
          <w:color w:val="auto"/>
          <w:szCs w:val="21"/>
          <w:highlight w:val="none"/>
        </w:rPr>
        <w:t>植被类型及其水分利用策略</w:t>
      </w:r>
      <w:r>
        <w:rPr>
          <w:rFonts w:hint="default" w:ascii="Times New Roman" w:hAnsi="Times New Roman" w:cs="Times New Roman"/>
          <w:color w:val="auto"/>
          <w:szCs w:val="21"/>
          <w:highlight w:val="none"/>
        </w:rPr>
        <w:t>有关</w:t>
      </w:r>
      <w:r>
        <w:rPr>
          <w:rFonts w:hint="default" w:ascii="Times New Roman" w:hAnsi="Times New Roman" w:cs="Times New Roman"/>
          <w:color w:val="auto"/>
          <w:szCs w:val="21"/>
          <w:highlight w:val="none"/>
        </w:rPr>
        <w:t>。从气候分区来看</w:t>
      </w:r>
      <w:r>
        <w:rPr>
          <w:rFonts w:hint="default" w:ascii="Times New Roman" w:hAnsi="Times New Roman" w:cs="Times New Roman"/>
          <w:color w:val="auto"/>
          <w:szCs w:val="21"/>
          <w:highlight w:val="none"/>
        </w:rPr>
        <w:t>[见</w:t>
      </w:r>
      <w:r>
        <w:rPr>
          <w:rFonts w:hint="default" w:ascii="Times New Roman" w:hAnsi="Times New Roman" w:cs="Times New Roman"/>
          <w:color w:val="auto"/>
          <w:szCs w:val="21"/>
          <w:highlight w:val="none"/>
        </w:rPr>
        <w:t>图1</w:t>
      </w:r>
      <w:r>
        <w:rPr>
          <w:rFonts w:hint="default" w:ascii="Times New Roman" w:hAnsi="Times New Roman" w:cs="Times New Roman"/>
          <w:color w:val="auto"/>
          <w:szCs w:val="21"/>
          <w:highlight w:val="none"/>
        </w:rPr>
        <w:t>4（b）]</w:t>
      </w:r>
      <w:r>
        <w:rPr>
          <w:rFonts w:hint="default" w:ascii="Times New Roman" w:hAnsi="Times New Roman" w:cs="Times New Roman"/>
          <w:color w:val="auto"/>
          <w:szCs w:val="21"/>
          <w:highlight w:val="none"/>
        </w:rPr>
        <w:t>，干旱区、半干旱区与湿润区均以短期响应为主导，而半湿润区则呈现长、短期效应共同</w:t>
      </w:r>
      <w:r>
        <w:rPr>
          <w:rFonts w:hint="default" w:ascii="Times New Roman" w:hAnsi="Times New Roman" w:cs="Times New Roman"/>
          <w:color w:val="auto"/>
          <w:szCs w:val="21"/>
          <w:highlight w:val="none"/>
        </w:rPr>
        <w:t>主导</w:t>
      </w:r>
      <w:r>
        <w:rPr>
          <w:rFonts w:hint="default" w:ascii="Times New Roman" w:hAnsi="Times New Roman" w:cs="Times New Roman"/>
          <w:color w:val="auto"/>
          <w:szCs w:val="21"/>
          <w:highlight w:val="none"/>
        </w:rPr>
        <w:t>的复杂模式</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干旱区</w:t>
      </w:r>
      <w:r>
        <w:rPr>
          <w:rFonts w:hint="default" w:ascii="Times New Roman" w:hAnsi="Times New Roman" w:cs="Times New Roman"/>
          <w:color w:val="auto"/>
          <w:szCs w:val="21"/>
          <w:highlight w:val="none"/>
        </w:rPr>
        <w:t>、半干旱区、半湿润区、湿润区</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对累积生态干旱</w:t>
      </w:r>
      <w:r>
        <w:rPr>
          <w:rFonts w:hint="default" w:ascii="Times New Roman" w:hAnsi="Times New Roman" w:cs="Times New Roman"/>
          <w:color w:val="auto"/>
          <w:szCs w:val="21"/>
          <w:highlight w:val="none"/>
        </w:rPr>
        <w:t>的平均</w:t>
      </w:r>
      <w:r>
        <w:rPr>
          <w:rFonts w:hint="default" w:ascii="Times New Roman" w:hAnsi="Times New Roman" w:cs="Times New Roman"/>
          <w:color w:val="auto"/>
          <w:szCs w:val="21"/>
          <w:highlight w:val="none"/>
        </w:rPr>
        <w:t>响应</w:t>
      </w:r>
      <w:r>
        <w:rPr>
          <w:rFonts w:hint="default" w:ascii="Times New Roman" w:hAnsi="Times New Roman" w:cs="Times New Roman"/>
          <w:color w:val="auto"/>
          <w:szCs w:val="21"/>
          <w:highlight w:val="none"/>
        </w:rPr>
        <w:t>时间</w:t>
      </w:r>
      <w:r>
        <w:rPr>
          <w:rFonts w:hint="default" w:ascii="Times New Roman" w:hAnsi="Times New Roman" w:cs="Times New Roman"/>
          <w:color w:val="auto"/>
          <w:szCs w:val="21"/>
          <w:highlight w:val="none"/>
        </w:rPr>
        <w:t>分别为3.27个月、4.81个月、6.34个月、4.86个月。这种累积效应的差异不仅与气候背景、植被类型、植被生理特征、包气带的特性、植被对水分及环境胁迫的适应能力相关，是多因素共同作用的结果，区域上存在较大的时空差异性。</w:t>
      </w:r>
    </w:p>
    <w:p w14:paraId="5E321558">
      <w:pPr>
        <w:spacing w:before="156" w:beforeLines="50" w:line="360" w:lineRule="auto"/>
        <w:jc w:val="cente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drawing>
          <wp:inline distT="0" distB="0" distL="114300" distR="114300">
            <wp:extent cx="5271135" cy="2306955"/>
            <wp:effectExtent l="0" t="0" r="1905" b="9525"/>
            <wp:docPr id="14" name="图片 87"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 descr="图12"/>
                    <pic:cNvPicPr>
                      <a:picLocks noChangeAspect="1"/>
                    </pic:cNvPicPr>
                  </pic:nvPicPr>
                  <pic:blipFill>
                    <a:blip r:embed="rId27"/>
                    <a:stretch>
                      <a:fillRect/>
                    </a:stretch>
                  </pic:blipFill>
                  <pic:spPr>
                    <a:xfrm>
                      <a:off x="0" y="0"/>
                      <a:ext cx="5271135" cy="2306955"/>
                    </a:xfrm>
                    <a:prstGeom prst="rect">
                      <a:avLst/>
                    </a:prstGeom>
                    <a:noFill/>
                    <a:ln>
                      <a:noFill/>
                    </a:ln>
                  </pic:spPr>
                </pic:pic>
              </a:graphicData>
            </a:graphic>
          </wp:inline>
        </w:drawing>
      </w:r>
    </w:p>
    <w:p w14:paraId="5A7E4B66">
      <w:pPr>
        <w:adjustRightInd w:val="0"/>
        <w:snapToGrid w:val="0"/>
        <w:jc w:val="center"/>
        <w:rPr>
          <w:rFonts w:hint="default" w:ascii="Times New Roman" w:hAnsi="Times New Roman" w:eastAsia="黑体" w:cs="Times New Roman"/>
          <w:color w:val="auto"/>
          <w:sz w:val="18"/>
          <w:szCs w:val="18"/>
          <w:highlight w:val="none"/>
          <w:shd w:val="clear" w:color="auto" w:fill="FFFFFF"/>
        </w:rPr>
      </w:pPr>
      <w:r>
        <w:rPr>
          <w:rFonts w:hint="default" w:ascii="Times New Roman" w:hAnsi="Times New Roman" w:eastAsia="黑体" w:cs="Times New Roman"/>
          <w:color w:val="auto"/>
          <w:sz w:val="18"/>
          <w:szCs w:val="18"/>
          <w:highlight w:val="none"/>
        </w:rPr>
        <w:t>图1</w:t>
      </w:r>
      <w:r>
        <w:rPr>
          <w:rFonts w:hint="default" w:ascii="Times New Roman" w:hAnsi="Times New Roman" w:eastAsia="黑体" w:cs="Times New Roman"/>
          <w:color w:val="auto"/>
          <w:sz w:val="18"/>
          <w:szCs w:val="18"/>
          <w:highlight w:val="none"/>
        </w:rPr>
        <w:t xml:space="preserve">3  </w:t>
      </w:r>
      <w:r>
        <w:rPr>
          <w:rFonts w:hint="default" w:ascii="Times New Roman" w:hAnsi="Times New Roman" w:eastAsia="黑体" w:cs="Times New Roman"/>
          <w:i/>
          <w:iCs/>
          <w:color w:val="auto"/>
          <w:sz w:val="18"/>
          <w:szCs w:val="18"/>
          <w:highlight w:val="none"/>
          <w:shd w:val="clear" w:color="auto" w:fill="FFFFFF"/>
        </w:rPr>
        <w:t>WUE</w:t>
      </w:r>
      <w:r>
        <w:rPr>
          <w:rFonts w:hint="default" w:ascii="Times New Roman" w:hAnsi="Times New Roman" w:eastAsia="黑体" w:cs="Times New Roman"/>
          <w:color w:val="auto"/>
          <w:sz w:val="18"/>
          <w:szCs w:val="18"/>
          <w:highlight w:val="none"/>
          <w:shd w:val="clear" w:color="auto" w:fill="FFFFFF"/>
        </w:rPr>
        <w:t>对干旱的累积</w:t>
      </w:r>
      <w:r>
        <w:rPr>
          <w:rFonts w:hint="default" w:ascii="Times New Roman" w:hAnsi="Times New Roman" w:eastAsia="黑体" w:cs="Times New Roman"/>
          <w:color w:val="auto"/>
          <w:sz w:val="18"/>
          <w:szCs w:val="18"/>
          <w:highlight w:val="none"/>
          <w:shd w:val="clear" w:color="auto" w:fill="FFFFFF"/>
        </w:rPr>
        <w:t>响应</w:t>
      </w:r>
    </w:p>
    <w:p w14:paraId="6888F188">
      <w:pPr>
        <w:adjustRightInd w:val="0"/>
        <w:snapToGrid w:val="0"/>
        <w:jc w:val="center"/>
        <w:rPr>
          <w:rFonts w:hint="default" w:ascii="Times New Roman" w:hAnsi="Times New Roman" w:eastAsia="黑体" w:cs="Times New Roman"/>
          <w:color w:val="auto"/>
          <w:sz w:val="18"/>
          <w:szCs w:val="18"/>
          <w:highlight w:val="none"/>
          <w:shd w:val="clear" w:color="auto" w:fill="FFFFFF"/>
        </w:rPr>
      </w:pPr>
      <w:r>
        <w:rPr>
          <w:rFonts w:hint="default" w:ascii="Times New Roman" w:hAnsi="Times New Roman" w:eastAsia="黑体" w:cs="Times New Roman"/>
          <w:color w:val="auto"/>
          <w:sz w:val="18"/>
          <w:szCs w:val="18"/>
          <w:highlight w:val="none"/>
          <w:shd w:val="clear" w:color="auto" w:fill="FFFFFF"/>
        </w:rPr>
        <w:t xml:space="preserve">Fig.13 </w:t>
      </w:r>
      <w:r>
        <w:rPr>
          <w:rFonts w:hint="default" w:ascii="Times New Roman" w:hAnsi="Times New Roman" w:eastAsia="黑体" w:cs="Times New Roman"/>
          <w:color w:val="auto"/>
          <w:sz w:val="18"/>
          <w:szCs w:val="18"/>
          <w:highlight w:val="none"/>
          <w:shd w:val="clear" w:color="auto" w:fill="FFFFFF"/>
        </w:rPr>
        <w:t>C</w:t>
      </w:r>
      <w:r>
        <w:rPr>
          <w:rFonts w:hint="default" w:ascii="Times New Roman" w:hAnsi="Times New Roman" w:eastAsia="黑体" w:cs="Times New Roman"/>
          <w:color w:val="auto"/>
          <w:sz w:val="18"/>
          <w:szCs w:val="18"/>
          <w:highlight w:val="none"/>
          <w:shd w:val="clear" w:color="auto" w:fill="FFFFFF"/>
        </w:rPr>
        <w:t xml:space="preserve">umulative response of </w:t>
      </w:r>
      <w:r>
        <w:rPr>
          <w:rFonts w:hint="default" w:ascii="Times New Roman" w:hAnsi="Times New Roman" w:eastAsia="黑体" w:cs="Times New Roman"/>
          <w:i/>
          <w:iCs/>
          <w:color w:val="auto"/>
          <w:sz w:val="18"/>
          <w:szCs w:val="18"/>
          <w:highlight w:val="none"/>
          <w:shd w:val="clear" w:color="auto" w:fill="FFFFFF"/>
        </w:rPr>
        <w:t>WUE</w:t>
      </w:r>
      <w:r>
        <w:rPr>
          <w:rFonts w:hint="default" w:ascii="Times New Roman" w:hAnsi="Times New Roman" w:eastAsia="黑体" w:cs="Times New Roman"/>
          <w:color w:val="auto"/>
          <w:sz w:val="18"/>
          <w:szCs w:val="18"/>
          <w:highlight w:val="none"/>
          <w:shd w:val="clear" w:color="auto" w:fill="FFFFFF"/>
        </w:rPr>
        <w:t xml:space="preserve"> to </w:t>
      </w:r>
      <w:r>
        <w:rPr>
          <w:rFonts w:hint="default" w:ascii="Times New Roman" w:hAnsi="Times New Roman" w:eastAsia="黑体" w:cs="Times New Roman"/>
          <w:color w:val="auto"/>
          <w:sz w:val="18"/>
          <w:szCs w:val="18"/>
          <w:highlight w:val="none"/>
          <w:shd w:val="clear" w:color="auto" w:fill="FFFFFF"/>
        </w:rPr>
        <w:t xml:space="preserve">ecological </w:t>
      </w:r>
      <w:r>
        <w:rPr>
          <w:rFonts w:hint="default" w:ascii="Times New Roman" w:hAnsi="Times New Roman" w:eastAsia="黑体" w:cs="Times New Roman"/>
          <w:color w:val="auto"/>
          <w:sz w:val="18"/>
          <w:szCs w:val="18"/>
          <w:highlight w:val="none"/>
          <w:shd w:val="clear" w:color="auto" w:fill="FFFFFF"/>
        </w:rPr>
        <w:t>drought</w:t>
      </w:r>
    </w:p>
    <w:p w14:paraId="4D38F402">
      <w:pPr>
        <w:spacing w:before="156" w:beforeLines="50" w:line="360" w:lineRule="auto"/>
        <w:jc w:val="center"/>
        <w:rPr>
          <w:rFonts w:hint="default" w:ascii="Times New Roman" w:hAnsi="Times New Roman" w:eastAsia="仿宋" w:cs="Times New Roman"/>
          <w:color w:val="auto"/>
          <w:sz w:val="16"/>
          <w:szCs w:val="16"/>
          <w:highlight w:val="none"/>
        </w:rPr>
      </w:pPr>
      <w:r>
        <w:rPr>
          <w:rFonts w:hint="default" w:ascii="Times New Roman" w:hAnsi="Times New Roman" w:eastAsia="仿宋" w:cs="Times New Roman"/>
          <w:color w:val="auto"/>
          <w:sz w:val="16"/>
          <w:szCs w:val="16"/>
          <w:highlight w:val="none"/>
        </w:rPr>
        <w:drawing>
          <wp:inline distT="0" distB="0" distL="114300" distR="114300">
            <wp:extent cx="5615940" cy="2129155"/>
            <wp:effectExtent l="0" t="0" r="7620" b="4445"/>
            <wp:docPr id="18" name="图片 18"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14"/>
                    <pic:cNvPicPr>
                      <a:picLocks noChangeAspect="1"/>
                    </pic:cNvPicPr>
                  </pic:nvPicPr>
                  <pic:blipFill>
                    <a:blip r:embed="rId28"/>
                    <a:stretch>
                      <a:fillRect/>
                    </a:stretch>
                  </pic:blipFill>
                  <pic:spPr>
                    <a:xfrm>
                      <a:off x="0" y="0"/>
                      <a:ext cx="5615940" cy="2129155"/>
                    </a:xfrm>
                    <a:prstGeom prst="rect">
                      <a:avLst/>
                    </a:prstGeom>
                  </pic:spPr>
                </pic:pic>
              </a:graphicData>
            </a:graphic>
          </wp:inline>
        </w:drawing>
      </w:r>
    </w:p>
    <w:p w14:paraId="4CA2B193">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图1</w:t>
      </w:r>
      <w:r>
        <w:rPr>
          <w:rFonts w:hint="default" w:ascii="Times New Roman" w:hAnsi="Times New Roman" w:eastAsia="黑体" w:cs="Times New Roman"/>
          <w:color w:val="auto"/>
          <w:sz w:val="18"/>
          <w:szCs w:val="18"/>
          <w:highlight w:val="none"/>
        </w:rPr>
        <w:t xml:space="preserve">4  </w:t>
      </w:r>
      <w:r>
        <w:rPr>
          <w:rFonts w:hint="default" w:ascii="Times New Roman" w:hAnsi="Times New Roman" w:eastAsia="黑体" w:cs="Times New Roman"/>
          <w:color w:val="auto"/>
          <w:sz w:val="18"/>
          <w:szCs w:val="18"/>
          <w:highlight w:val="none"/>
        </w:rPr>
        <w:t>不同植被和不同干湿</w:t>
      </w:r>
      <w:r>
        <w:rPr>
          <w:rFonts w:hint="default" w:ascii="Times New Roman" w:hAnsi="Times New Roman" w:eastAsia="黑体" w:cs="Times New Roman"/>
          <w:color w:val="auto"/>
          <w:sz w:val="18"/>
          <w:szCs w:val="18"/>
          <w:highlight w:val="none"/>
        </w:rPr>
        <w:t>区域</w:t>
      </w:r>
      <w:r>
        <w:rPr>
          <w:rFonts w:hint="default" w:ascii="Times New Roman" w:hAnsi="Times New Roman" w:eastAsia="黑体" w:cs="Times New Roman"/>
          <w:color w:val="auto"/>
          <w:sz w:val="18"/>
          <w:szCs w:val="18"/>
          <w:highlight w:val="none"/>
        </w:rPr>
        <w:t>的累积效应</w:t>
      </w:r>
    </w:p>
    <w:p w14:paraId="2C7EE6BA">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 xml:space="preserve">Fig.14 Cumulative effect </w:t>
      </w:r>
      <w:r>
        <w:rPr>
          <w:rFonts w:hint="default" w:ascii="Times New Roman" w:hAnsi="Times New Roman" w:eastAsia="黑体" w:cs="Times New Roman"/>
          <w:color w:val="auto"/>
          <w:sz w:val="18"/>
          <w:szCs w:val="18"/>
          <w:highlight w:val="none"/>
        </w:rPr>
        <w:t>in</w:t>
      </w:r>
      <w:r>
        <w:rPr>
          <w:rFonts w:hint="default" w:ascii="Times New Roman" w:hAnsi="Times New Roman" w:eastAsia="黑体" w:cs="Times New Roman"/>
          <w:color w:val="auto"/>
          <w:sz w:val="18"/>
          <w:szCs w:val="18"/>
          <w:highlight w:val="none"/>
        </w:rPr>
        <w:t xml:space="preserve"> different vegetation </w:t>
      </w:r>
      <w:r>
        <w:rPr>
          <w:rFonts w:hint="default" w:ascii="Times New Roman" w:hAnsi="Times New Roman" w:eastAsia="黑体" w:cs="Times New Roman"/>
          <w:color w:val="auto"/>
          <w:sz w:val="18"/>
          <w:szCs w:val="18"/>
          <w:highlight w:val="none"/>
        </w:rPr>
        <w:t xml:space="preserve">types </w:t>
      </w:r>
      <w:r>
        <w:rPr>
          <w:rFonts w:hint="default" w:ascii="Times New Roman" w:hAnsi="Times New Roman" w:eastAsia="黑体" w:cs="Times New Roman"/>
          <w:color w:val="auto"/>
          <w:sz w:val="18"/>
          <w:szCs w:val="18"/>
          <w:highlight w:val="none"/>
        </w:rPr>
        <w:t>and different dry</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color w:val="auto"/>
          <w:sz w:val="18"/>
          <w:szCs w:val="18"/>
          <w:highlight w:val="none"/>
        </w:rPr>
        <w:t>wet areas</w:t>
      </w:r>
    </w:p>
    <w:p w14:paraId="27A556AB">
      <w:pPr>
        <w:adjustRightInd w:val="0"/>
        <w:snapToGrid w:val="0"/>
        <w:outlineLvl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rPr>
        <w:t>讨</w:t>
      </w:r>
      <w:r>
        <w:rPr>
          <w:rFonts w:hint="default" w:ascii="Times New Roman" w:hAnsi="Times New Roman" w:cs="Times New Roman"/>
          <w:color w:val="auto"/>
          <w:sz w:val="28"/>
          <w:szCs w:val="28"/>
          <w:highlight w:val="none"/>
        </w:rPr>
        <w:t>论</w:t>
      </w:r>
    </w:p>
    <w:p w14:paraId="1D4A7371">
      <w:pPr>
        <w:pStyle w:val="12"/>
        <w:widowControl/>
        <w:shd w:val="clear" w:color="auto" w:fill="FFFFFF"/>
        <w:adjustRightInd w:val="0"/>
        <w:snapToGrid w:val="0"/>
        <w:spacing w:before="0" w:beforeAutospacing="0" w:after="0" w:afterAutospacing="0"/>
        <w:ind w:firstLine="420" w:firstLineChars="200"/>
        <w:jc w:val="both"/>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新疆植被</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整体呈下降趋势，空间上</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呈现“低海拔高值、高海拔低值”的格局，这与高晓宇等</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vertAlign w:val="superscript"/>
        </w:rPr>
        <w:t>5</w:t>
      </w:r>
      <w:r>
        <w:rPr>
          <w:rFonts w:hint="default" w:ascii="Times New Roman" w:hAnsi="Times New Roman" w:cs="Times New Roman"/>
          <w:color w:val="auto"/>
          <w:sz w:val="21"/>
          <w:szCs w:val="21"/>
          <w:highlight w:val="none"/>
          <w:shd w:val="clear" w:color="auto" w:fill="FFFFFF"/>
          <w:vertAlign w:val="superscript"/>
        </w:rPr>
        <w:t>]</w:t>
      </w:r>
      <w:r>
        <w:rPr>
          <w:rFonts w:hint="default" w:ascii="Times New Roman" w:hAnsi="Times New Roman" w:cs="Times New Roman"/>
          <w:color w:val="auto"/>
          <w:sz w:val="21"/>
          <w:szCs w:val="21"/>
          <w:highlight w:val="none"/>
          <w:shd w:val="clear" w:color="auto" w:fill="FFFFFF"/>
        </w:rPr>
        <w:t>关于新疆地区</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研究结论基本一致。这种格局主要归因于海拔变化导致的水热条件差异，低海拔区域气温较高、降水稀少，植被多处于干旱或灌溉绿洲环境，植物为适应环境而表现出较高的</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；高海拔区域气温低，植被光合能力受低温限制，且土壤水分相对充足，故</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相对较低，这与HAN等</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vertAlign w:val="superscript"/>
        </w:rPr>
        <w:t>6</w:t>
      </w:r>
      <w:r>
        <w:rPr>
          <w:rFonts w:hint="default" w:ascii="Times New Roman" w:hAnsi="Times New Roman" w:cs="Times New Roman"/>
          <w:color w:val="auto"/>
          <w:sz w:val="21"/>
          <w:szCs w:val="21"/>
          <w:highlight w:val="none"/>
          <w:shd w:val="clear" w:color="auto" w:fill="FFFFFF"/>
          <w:vertAlign w:val="superscript"/>
        </w:rPr>
        <w:t>]</w:t>
      </w:r>
      <w:r>
        <w:rPr>
          <w:rFonts w:hint="default" w:ascii="Times New Roman" w:hAnsi="Times New Roman" w:cs="Times New Roman"/>
          <w:color w:val="auto"/>
          <w:sz w:val="21"/>
          <w:szCs w:val="21"/>
          <w:highlight w:val="none"/>
          <w:shd w:val="clear" w:color="auto" w:fill="FFFFFF"/>
        </w:rPr>
        <w:t>对天山北坡由于水热条件差异而引起</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随海拔降低而增加的研究结论是一致的。从干湿分区来看，研究发现</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随环境湿润度的增加而递减，这一结论与BAI等</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vertAlign w:val="superscript"/>
        </w:rPr>
        <w:t>7</w:t>
      </w:r>
      <w:r>
        <w:rPr>
          <w:rFonts w:hint="default" w:ascii="Times New Roman" w:hAnsi="Times New Roman" w:cs="Times New Roman"/>
          <w:color w:val="auto"/>
          <w:sz w:val="21"/>
          <w:szCs w:val="21"/>
          <w:highlight w:val="none"/>
          <w:shd w:val="clear" w:color="auto" w:fill="FFFFFF"/>
          <w:vertAlign w:val="superscript"/>
        </w:rPr>
        <w:t>]</w:t>
      </w:r>
      <w:r>
        <w:rPr>
          <w:rFonts w:hint="default" w:ascii="Times New Roman" w:hAnsi="Times New Roman" w:cs="Times New Roman"/>
          <w:color w:val="auto"/>
          <w:sz w:val="21"/>
          <w:szCs w:val="21"/>
          <w:highlight w:val="none"/>
          <w:shd w:val="clear" w:color="auto" w:fill="FFFFFF"/>
        </w:rPr>
        <w:t>对中国区域</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随气候梯度而变化的结论是一致的，但与XU等</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vertAlign w:val="superscript"/>
        </w:rPr>
        <w:t>8</w:t>
      </w:r>
      <w:r>
        <w:rPr>
          <w:rFonts w:hint="default" w:ascii="Times New Roman" w:hAnsi="Times New Roman" w:cs="Times New Roman"/>
          <w:color w:val="auto"/>
          <w:sz w:val="21"/>
          <w:szCs w:val="21"/>
          <w:highlight w:val="none"/>
          <w:shd w:val="clear" w:color="auto" w:fill="FFFFFF"/>
          <w:vertAlign w:val="superscript"/>
        </w:rPr>
        <w:t>]</w:t>
      </w:r>
      <w:r>
        <w:rPr>
          <w:rFonts w:hint="default" w:ascii="Times New Roman" w:hAnsi="Times New Roman" w:cs="Times New Roman"/>
          <w:color w:val="auto"/>
          <w:sz w:val="21"/>
          <w:szCs w:val="21"/>
          <w:highlight w:val="none"/>
          <w:shd w:val="clear" w:color="auto" w:fill="FFFFFF"/>
        </w:rPr>
        <w:t>对北方干旱半干旱区</w:t>
      </w:r>
      <w:r>
        <w:rPr>
          <w:rFonts w:hint="default" w:ascii="Times New Roman" w:hAnsi="Times New Roman" w:cs="Times New Roman"/>
          <w:i/>
          <w:iCs/>
          <w:color w:val="auto"/>
          <w:sz w:val="21"/>
          <w:szCs w:val="21"/>
          <w:highlight w:val="none"/>
          <w:shd w:val="clear" w:color="auto" w:fill="FFFFFF"/>
        </w:rPr>
        <w:t>WUE</w:t>
      </w:r>
      <w:r>
        <w:rPr>
          <w:rFonts w:hint="default" w:ascii="Times New Roman" w:hAnsi="Times New Roman" w:cs="Times New Roman"/>
          <w:color w:val="auto"/>
          <w:sz w:val="21"/>
          <w:szCs w:val="21"/>
          <w:highlight w:val="none"/>
          <w:shd w:val="clear" w:color="auto" w:fill="FFFFFF"/>
        </w:rPr>
        <w:t>的研究结果存在一定差异，主要由于气候条件、植被类型、环境背景等的差异性引起。</w:t>
      </w:r>
    </w:p>
    <w:p w14:paraId="7C4DBAA7">
      <w:pPr>
        <w:adjustRightInd w:val="0"/>
        <w:snapToGrid w:val="0"/>
        <w:ind w:firstLine="420" w:firstLineChars="200"/>
        <w:rPr>
          <w:rStyle w:val="17"/>
          <w:rFonts w:hint="default" w:ascii="Times New Roman" w:hAnsi="Times New Roman" w:cs="Times New Roman"/>
          <w:bCs/>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研究结果显示新疆生态干旱程度呈轻微缓解态势，这一发现与李晓鹏等</w:t>
      </w:r>
      <w:r>
        <w:rPr>
          <w:rFonts w:hint="default" w:ascii="Times New Roman" w:hAnsi="Times New Roman" w:cs="Times New Roman"/>
          <w:color w:val="auto"/>
          <w:szCs w:val="21"/>
          <w:highlight w:val="none"/>
          <w:shd w:val="clear" w:color="auto" w:fill="FFFFFF"/>
          <w:vertAlign w:val="superscript"/>
        </w:rPr>
        <w:t>[3</w:t>
      </w:r>
      <w:r>
        <w:rPr>
          <w:rFonts w:hint="default" w:ascii="Times New Roman" w:hAnsi="Times New Roman" w:cs="Times New Roman"/>
          <w:color w:val="auto"/>
          <w:szCs w:val="21"/>
          <w:highlight w:val="none"/>
          <w:shd w:val="clear" w:color="auto" w:fill="FFFFFF"/>
          <w:vertAlign w:val="superscript"/>
        </w:rPr>
        <w:t>9</w:t>
      </w:r>
      <w:r>
        <w:rPr>
          <w:rFonts w:hint="default" w:ascii="Times New Roman" w:hAnsi="Times New Roman" w:cs="Times New Roman"/>
          <w:color w:val="auto"/>
          <w:szCs w:val="21"/>
          <w:highlight w:val="none"/>
          <w:shd w:val="clear" w:color="auto" w:fill="FFFFFF"/>
          <w:vertAlign w:val="superscript"/>
        </w:rPr>
        <w:t>]</w:t>
      </w:r>
      <w:r>
        <w:rPr>
          <w:rFonts w:hint="default" w:ascii="Times New Roman" w:hAnsi="Times New Roman" w:cs="Times New Roman"/>
          <w:color w:val="auto"/>
          <w:szCs w:val="21"/>
          <w:highlight w:val="none"/>
          <w:shd w:val="clear" w:color="auto" w:fill="FFFFFF"/>
        </w:rPr>
        <w:t>关于新疆干旱的研究结论是相符的。引起减缓态势的原因一方面可能与近年来新疆降雨增多、蒸发同期略下降且呈湿润化的态势有关；另一方面，伴随着生态保护力度的加大</w:t>
      </w:r>
      <w:r>
        <w:rPr>
          <w:rFonts w:hint="default" w:ascii="Times New Roman" w:hAnsi="Times New Roman" w:cs="Times New Roman"/>
          <w:color w:val="auto"/>
          <w:szCs w:val="21"/>
          <w:highlight w:val="none"/>
          <w:shd w:val="clear" w:color="auto" w:fill="FFFFFF"/>
          <w:vertAlign w:val="superscript"/>
        </w:rPr>
        <w:t>[</w:t>
      </w:r>
      <w:r>
        <w:rPr>
          <w:rFonts w:hint="default" w:ascii="Times New Roman" w:hAnsi="Times New Roman" w:cs="Times New Roman"/>
          <w:color w:val="auto"/>
          <w:szCs w:val="21"/>
          <w:highlight w:val="none"/>
          <w:shd w:val="clear" w:color="auto" w:fill="FFFFFF"/>
          <w:vertAlign w:val="superscript"/>
        </w:rPr>
        <w:t>40</w:t>
      </w:r>
      <w:r>
        <w:rPr>
          <w:rFonts w:hint="default" w:ascii="Times New Roman" w:hAnsi="Times New Roman" w:cs="Times New Roman"/>
          <w:color w:val="auto"/>
          <w:szCs w:val="21"/>
          <w:highlight w:val="none"/>
          <w:shd w:val="clear" w:color="auto" w:fill="FFFFFF"/>
          <w:vertAlign w:val="superscript"/>
        </w:rPr>
        <w:t>]</w:t>
      </w:r>
      <w:r>
        <w:rPr>
          <w:rFonts w:hint="default" w:ascii="Times New Roman" w:hAnsi="Times New Roman" w:cs="Times New Roman"/>
          <w:color w:val="auto"/>
          <w:szCs w:val="21"/>
          <w:highlight w:val="none"/>
          <w:shd w:val="clear" w:color="auto" w:fill="FFFFFF"/>
        </w:rPr>
        <w:t>，生态用水保证程度的加大与生态输水工程成效的持续发挥息息相关，更多的水用于生态环境，进一步减缓了生态干旱。从季节变化看，夏季和生长季</w:t>
      </w:r>
      <w:r>
        <w:rPr>
          <w:rFonts w:hint="default" w:ascii="Times New Roman" w:hAnsi="Times New Roman" w:cs="Times New Roman"/>
          <w:i/>
          <w:iCs/>
          <w:color w:val="auto"/>
          <w:szCs w:val="21"/>
          <w:highlight w:val="none"/>
          <w:shd w:val="clear" w:color="auto" w:fill="FFFFFF"/>
        </w:rPr>
        <w:t>TVDI</w:t>
      </w:r>
      <w:r>
        <w:rPr>
          <w:rFonts w:hint="default" w:ascii="Times New Roman" w:hAnsi="Times New Roman" w:cs="Times New Roman"/>
          <w:color w:val="auto"/>
          <w:szCs w:val="21"/>
          <w:highlight w:val="none"/>
          <w:shd w:val="clear" w:color="auto" w:fill="FFFFFF"/>
        </w:rPr>
        <w:t>下降最为明显，秋季下降相对较弱。这一季节模式与黄静等</w:t>
      </w:r>
      <w:r>
        <w:rPr>
          <w:rFonts w:hint="default" w:ascii="Times New Roman" w:hAnsi="Times New Roman" w:cs="Times New Roman"/>
          <w:color w:val="auto"/>
          <w:szCs w:val="21"/>
          <w:highlight w:val="none"/>
          <w:shd w:val="clear" w:color="auto" w:fill="FFFFFF"/>
          <w:vertAlign w:val="superscript"/>
        </w:rPr>
        <w:t>[4</w:t>
      </w:r>
      <w:r>
        <w:rPr>
          <w:rFonts w:hint="default" w:ascii="Times New Roman" w:hAnsi="Times New Roman" w:cs="Times New Roman"/>
          <w:color w:val="auto"/>
          <w:szCs w:val="21"/>
          <w:highlight w:val="none"/>
          <w:shd w:val="clear" w:color="auto" w:fill="FFFFFF"/>
          <w:vertAlign w:val="superscript"/>
        </w:rPr>
        <w:t>1</w:t>
      </w:r>
      <w:r>
        <w:rPr>
          <w:rFonts w:hint="default" w:ascii="Times New Roman" w:hAnsi="Times New Roman" w:cs="Times New Roman"/>
          <w:color w:val="auto"/>
          <w:szCs w:val="21"/>
          <w:highlight w:val="none"/>
          <w:shd w:val="clear" w:color="auto" w:fill="FFFFFF"/>
          <w:vertAlign w:val="superscript"/>
        </w:rPr>
        <w:t>]</w:t>
      </w:r>
      <w:r>
        <w:rPr>
          <w:rFonts w:hint="default" w:ascii="Times New Roman" w:hAnsi="Times New Roman" w:cs="Times New Roman"/>
          <w:color w:val="auto"/>
          <w:szCs w:val="21"/>
          <w:highlight w:val="none"/>
          <w:shd w:val="clear" w:color="auto" w:fill="FFFFFF"/>
        </w:rPr>
        <w:t>在新疆中部地区观测到的结果一致</w:t>
      </w:r>
      <w:r>
        <w:rPr>
          <w:rFonts w:hint="default" w:ascii="Times New Roman" w:hAnsi="Times New Roman" w:cs="Times New Roman"/>
          <w:color w:val="auto"/>
          <w:szCs w:val="21"/>
          <w:highlight w:val="none"/>
        </w:rPr>
        <w:t>。其原因是气象与人为因素共同作用的结果。</w:t>
      </w:r>
    </w:p>
    <w:p w14:paraId="59BBE3AB">
      <w:pPr>
        <w:pStyle w:val="12"/>
        <w:widowControl/>
        <w:shd w:val="clear" w:color="auto" w:fill="FFFFFF"/>
        <w:spacing w:before="0" w:beforeAutospacing="0" w:after="0" w:afterAutospacing="0"/>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新疆植被</w:t>
      </w:r>
      <w:r>
        <w:rPr>
          <w:rFonts w:hint="default" w:ascii="Times New Roman" w:hAnsi="Times New Roman" w:cs="Times New Roman"/>
          <w:i/>
          <w:iCs/>
          <w:color w:val="auto"/>
          <w:sz w:val="21"/>
          <w:szCs w:val="21"/>
          <w:highlight w:val="none"/>
        </w:rPr>
        <w:t>WUE</w:t>
      </w:r>
      <w:r>
        <w:rPr>
          <w:rFonts w:hint="default" w:ascii="Times New Roman" w:hAnsi="Times New Roman" w:cs="Times New Roman"/>
          <w:color w:val="auto"/>
          <w:sz w:val="21"/>
          <w:szCs w:val="21"/>
          <w:highlight w:val="none"/>
        </w:rPr>
        <w:t>与生态干旱整体呈现正相关关系，即干旱的加剧会提升植被水分利用效率，这与全球许多干旱生态系统的普遍规律一致</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superscript"/>
        </w:rPr>
        <w:t>9,</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2"/>
          <w:sz w:val="21"/>
          <w:szCs w:val="21"/>
          <w:highlight w:val="none"/>
        </w:rPr>
        <w:t>为更好地揭示植被</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对生态干旱的响应关系，进一步分析</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与生态干旱指数的关系发现</w:t>
      </w:r>
      <w:r>
        <w:rPr>
          <w:rFonts w:hint="default" w:ascii="Times New Roman" w:hAnsi="Times New Roman" w:cs="Times New Roman"/>
          <w:color w:val="auto"/>
          <w:sz w:val="21"/>
          <w:szCs w:val="21"/>
          <w:highlight w:val="none"/>
        </w:rPr>
        <w:t>[见</w:t>
      </w:r>
      <w:r>
        <w:rPr>
          <w:rFonts w:hint="default" w:ascii="Times New Roman" w:hAnsi="Times New Roman" w:cs="Times New Roman"/>
          <w:color w:val="auto"/>
          <w:sz w:val="21"/>
          <w:szCs w:val="21"/>
          <w:highlight w:val="none"/>
        </w:rPr>
        <w:t>图1</w:t>
      </w:r>
      <w:r>
        <w:rPr>
          <w:rFonts w:hint="default" w:ascii="Times New Roman" w:hAnsi="Times New Roman" w:cs="Times New Roman"/>
          <w:color w:val="auto"/>
          <w:sz w:val="21"/>
          <w:szCs w:val="21"/>
          <w:highlight w:val="none"/>
        </w:rPr>
        <w:t>5（a）]</w:t>
      </w:r>
      <w:r>
        <w:rPr>
          <w:rFonts w:hint="default" w:ascii="Times New Roman" w:hAnsi="Times New Roman" w:cs="Times New Roman"/>
          <w:color w:val="auto"/>
          <w:kern w:val="2"/>
          <w:sz w:val="21"/>
          <w:szCs w:val="21"/>
          <w:highlight w:val="none"/>
        </w:rPr>
        <w:t>，39.43%的像元占比中</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和</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均对干旱呈负响应；约36.37%的像元占比表现为</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对干旱呈正响应，而</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则为负响应。这是由于不同生态系统植被对干旱响应存在差异</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kern w:val="2"/>
          <w:sz w:val="21"/>
          <w:szCs w:val="21"/>
          <w:highlight w:val="none"/>
        </w:rPr>
        <w:t>。聚焦于生态干旱指数与</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呈正相关的区域发现</w:t>
      </w:r>
      <w:r>
        <w:rPr>
          <w:rFonts w:hint="default" w:ascii="Times New Roman" w:hAnsi="Times New Roman" w:cs="Times New Roman"/>
          <w:color w:val="auto"/>
          <w:sz w:val="21"/>
          <w:szCs w:val="21"/>
          <w:highlight w:val="none"/>
        </w:rPr>
        <w:t>[见图15（b）]</w:t>
      </w:r>
      <w:r>
        <w:rPr>
          <w:rFonts w:hint="default" w:ascii="Times New Roman" w:hAnsi="Times New Roman" w:cs="Times New Roman"/>
          <w:color w:val="auto"/>
          <w:kern w:val="2"/>
          <w:sz w:val="21"/>
          <w:szCs w:val="21"/>
          <w:highlight w:val="none"/>
        </w:rPr>
        <w:t>，56.1%的像元占比中</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随干旱程度降低而下降，</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随之上升，从而导致了</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的下降；而16.65%像元占比反映出</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的下降主要来源于</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与</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的同步上升，但</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上升幅度小于</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。其余区域的情况则更为复杂。通过</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与</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和</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的协同变化分析可以看出</w:t>
      </w:r>
      <w:r>
        <w:rPr>
          <w:rFonts w:hint="default" w:ascii="Times New Roman" w:hAnsi="Times New Roman" w:cs="Times New Roman"/>
          <w:color w:val="auto"/>
          <w:sz w:val="21"/>
          <w:szCs w:val="21"/>
          <w:highlight w:val="none"/>
        </w:rPr>
        <w:t>[见图15（c）]</w:t>
      </w:r>
      <w:r>
        <w:rPr>
          <w:rFonts w:hint="default" w:ascii="Times New Roman" w:hAnsi="Times New Roman" w:cs="Times New Roman"/>
          <w:color w:val="auto"/>
          <w:kern w:val="2"/>
          <w:sz w:val="21"/>
          <w:szCs w:val="21"/>
          <w:highlight w:val="none"/>
        </w:rPr>
        <w:t>，</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和</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整体呈上升趋势，而</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呈下降趋势。其主要原因是</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的上升速率（2.47mm/a）超过</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（2.08gC</w:t>
      </w:r>
      <w:r>
        <w:rPr>
          <w:rFonts w:hint="default" w:ascii="Times New Roman" w:hAnsi="Times New Roman" w:cs="Times New Roman"/>
          <w:color w:val="auto"/>
          <w:kern w:val="2"/>
          <w:sz w:val="21"/>
          <w:szCs w:val="21"/>
          <w:highlight w:val="none"/>
        </w:rPr>
        <w:t xml:space="preserve"> </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default" w:ascii="Times New Roman" w:hAnsi="Times New Roman" w:cs="Times New Roman"/>
          <w:color w:val="auto"/>
          <w:kern w:val="2"/>
          <w:sz w:val="21"/>
          <w:szCs w:val="21"/>
          <w:highlight w:val="none"/>
        </w:rPr>
        <w:t>/a），导致</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呈现下降趋势，这一结论与赵秋等</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kern w:val="2"/>
          <w:sz w:val="21"/>
          <w:szCs w:val="21"/>
          <w:highlight w:val="none"/>
        </w:rPr>
        <w:t>在阿克苏河流域关于驱动农田</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变化的诱因的研究结果是一致的。但受数据的限制，具体关于</w:t>
      </w:r>
      <w:r>
        <w:rPr>
          <w:rFonts w:hint="default" w:ascii="Times New Roman" w:hAnsi="Times New Roman" w:cs="Times New Roman"/>
          <w:i/>
          <w:iCs/>
          <w:color w:val="auto"/>
          <w:kern w:val="2"/>
          <w:sz w:val="21"/>
          <w:szCs w:val="21"/>
          <w:highlight w:val="none"/>
        </w:rPr>
        <w:t>ET</w:t>
      </w:r>
      <w:r>
        <w:rPr>
          <w:rFonts w:hint="default" w:ascii="Times New Roman" w:hAnsi="Times New Roman" w:cs="Times New Roman"/>
          <w:color w:val="auto"/>
          <w:kern w:val="2"/>
          <w:sz w:val="21"/>
          <w:szCs w:val="21"/>
          <w:highlight w:val="none"/>
        </w:rPr>
        <w:t>与</w:t>
      </w:r>
      <w:r>
        <w:rPr>
          <w:rFonts w:hint="default" w:ascii="Times New Roman" w:hAnsi="Times New Roman" w:cs="Times New Roman"/>
          <w:i/>
          <w:iCs/>
          <w:color w:val="auto"/>
          <w:kern w:val="2"/>
          <w:sz w:val="21"/>
          <w:szCs w:val="21"/>
          <w:highlight w:val="none"/>
        </w:rPr>
        <w:t>GPP</w:t>
      </w:r>
      <w:r>
        <w:rPr>
          <w:rFonts w:hint="default" w:ascii="Times New Roman" w:hAnsi="Times New Roman" w:cs="Times New Roman"/>
          <w:color w:val="auto"/>
          <w:kern w:val="2"/>
          <w:sz w:val="21"/>
          <w:szCs w:val="21"/>
          <w:highlight w:val="none"/>
        </w:rPr>
        <w:t>协同对</w:t>
      </w:r>
      <w:r>
        <w:rPr>
          <w:rFonts w:hint="default" w:ascii="Times New Roman" w:hAnsi="Times New Roman" w:cs="Times New Roman"/>
          <w:i/>
          <w:iCs/>
          <w:color w:val="auto"/>
          <w:kern w:val="2"/>
          <w:sz w:val="21"/>
          <w:szCs w:val="21"/>
          <w:highlight w:val="none"/>
        </w:rPr>
        <w:t>WUE</w:t>
      </w:r>
      <w:r>
        <w:rPr>
          <w:rFonts w:hint="default" w:ascii="Times New Roman" w:hAnsi="Times New Roman" w:cs="Times New Roman"/>
          <w:color w:val="auto"/>
          <w:kern w:val="2"/>
          <w:sz w:val="21"/>
          <w:szCs w:val="21"/>
          <w:highlight w:val="none"/>
        </w:rPr>
        <w:t>变化的贡献还需进一步研究。</w:t>
      </w:r>
    </w:p>
    <w:p w14:paraId="0229EE23">
      <w:pPr>
        <w:pStyle w:val="12"/>
        <w:widowControl/>
        <w:shd w:val="clear" w:color="auto" w:fill="FFFFFF"/>
        <w:spacing w:before="0" w:beforeAutospacing="0" w:afterAutospacing="0"/>
        <w:ind w:firstLine="480" w:firstLineChars="200"/>
        <w:jc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drawing>
          <wp:inline distT="0" distB="0" distL="114300" distR="114300">
            <wp:extent cx="4712335" cy="2252345"/>
            <wp:effectExtent l="0" t="0" r="12065" b="3175"/>
            <wp:docPr id="8" name="图片 8" descr="图14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14斜"/>
                    <pic:cNvPicPr>
                      <a:picLocks noChangeAspect="1"/>
                    </pic:cNvPicPr>
                  </pic:nvPicPr>
                  <pic:blipFill>
                    <a:blip r:embed="rId29"/>
                    <a:stretch>
                      <a:fillRect/>
                    </a:stretch>
                  </pic:blipFill>
                  <pic:spPr>
                    <a:xfrm>
                      <a:off x="0" y="0"/>
                      <a:ext cx="4712335" cy="2252345"/>
                    </a:xfrm>
                    <a:prstGeom prst="rect">
                      <a:avLst/>
                    </a:prstGeom>
                  </pic:spPr>
                </pic:pic>
              </a:graphicData>
            </a:graphic>
          </wp:inline>
        </w:drawing>
      </w:r>
    </w:p>
    <w:p w14:paraId="40924502">
      <w:pPr>
        <w:adjustRightInd w:val="0"/>
        <w:snapToGrid w:val="0"/>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 xml:space="preserve">图15  </w:t>
      </w:r>
      <w:r>
        <w:rPr>
          <w:rFonts w:hint="default" w:ascii="Times New Roman" w:hAnsi="Times New Roman" w:eastAsia="黑体" w:cs="Times New Roman"/>
          <w:i/>
          <w:iCs/>
          <w:color w:val="auto"/>
          <w:sz w:val="18"/>
          <w:szCs w:val="18"/>
          <w:highlight w:val="none"/>
        </w:rPr>
        <w:t>GPP</w:t>
      </w:r>
      <w:r>
        <w:rPr>
          <w:rFonts w:hint="default" w:ascii="Times New Roman" w:hAnsi="Times New Roman" w:eastAsia="黑体" w:cs="Times New Roman"/>
          <w:color w:val="auto"/>
          <w:sz w:val="18"/>
          <w:szCs w:val="18"/>
          <w:highlight w:val="none"/>
        </w:rPr>
        <w:t>、</w:t>
      </w:r>
      <w:r>
        <w:rPr>
          <w:rFonts w:hint="default" w:ascii="Times New Roman" w:hAnsi="Times New Roman" w:eastAsia="黑体" w:cs="Times New Roman"/>
          <w:i/>
          <w:iCs/>
          <w:color w:val="auto"/>
          <w:sz w:val="18"/>
          <w:szCs w:val="18"/>
          <w:highlight w:val="none"/>
        </w:rPr>
        <w:t>ET</w:t>
      </w:r>
      <w:r>
        <w:rPr>
          <w:rFonts w:hint="default" w:ascii="Times New Roman" w:hAnsi="Times New Roman" w:eastAsia="黑体" w:cs="Times New Roman"/>
          <w:color w:val="auto"/>
          <w:sz w:val="18"/>
          <w:szCs w:val="18"/>
          <w:highlight w:val="none"/>
        </w:rPr>
        <w:t>与生态干旱和</w:t>
      </w:r>
      <w:r>
        <w:rPr>
          <w:rFonts w:hint="default" w:ascii="Times New Roman" w:hAnsi="Times New Roman" w:eastAsia="黑体" w:cs="Times New Roman"/>
          <w:i/>
          <w:iCs/>
          <w:color w:val="auto"/>
          <w:sz w:val="18"/>
          <w:szCs w:val="18"/>
          <w:highlight w:val="none"/>
        </w:rPr>
        <w:t>WUE</w:t>
      </w:r>
      <w:r>
        <w:rPr>
          <w:rFonts w:hint="default" w:ascii="Times New Roman" w:hAnsi="Times New Roman" w:eastAsia="黑体" w:cs="Times New Roman"/>
          <w:color w:val="auto"/>
          <w:sz w:val="18"/>
          <w:szCs w:val="18"/>
          <w:highlight w:val="none"/>
        </w:rPr>
        <w:t>的关系分析</w:t>
      </w:r>
    </w:p>
    <w:p w14:paraId="1403BE5F">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eastAsia="黑体" w:cs="Times New Roman"/>
          <w:color w:val="auto"/>
          <w:sz w:val="18"/>
          <w:szCs w:val="18"/>
          <w:highlight w:val="none"/>
        </w:rPr>
        <w:t xml:space="preserve">Fig.15 </w:t>
      </w:r>
      <w:r>
        <w:rPr>
          <w:rFonts w:hint="default" w:ascii="Times New Roman" w:hAnsi="Times New Roman" w:eastAsia="黑体" w:cs="Times New Roman"/>
          <w:color w:val="auto"/>
          <w:sz w:val="18"/>
          <w:szCs w:val="18"/>
          <w:highlight w:val="none"/>
        </w:rPr>
        <w:t>Analysis of</w:t>
      </w:r>
      <w:r>
        <w:rPr>
          <w:rFonts w:hint="default" w:ascii="Times New Roman" w:hAnsi="Times New Roman" w:eastAsia="黑体" w:cs="Times New Roman"/>
          <w:color w:val="auto"/>
          <w:sz w:val="18"/>
          <w:szCs w:val="18"/>
          <w:highlight w:val="none"/>
          <w:lang w:val="en-US" w:eastAsia="zh-CN"/>
        </w:rPr>
        <w:t xml:space="preserve"> r</w:t>
      </w:r>
      <w:r>
        <w:rPr>
          <w:rFonts w:hint="default" w:ascii="Times New Roman" w:hAnsi="Times New Roman" w:eastAsia="黑体" w:cs="Times New Roman"/>
          <w:color w:val="auto"/>
          <w:sz w:val="18"/>
          <w:szCs w:val="18"/>
          <w:highlight w:val="none"/>
        </w:rPr>
        <w:t>elationship of</w:t>
      </w:r>
      <w:r>
        <w:rPr>
          <w:rFonts w:hint="default" w:ascii="Times New Roman" w:hAnsi="Times New Roman" w:eastAsia="黑体" w:cs="Times New Roman"/>
          <w:i/>
          <w:iCs/>
          <w:color w:val="auto"/>
          <w:sz w:val="18"/>
          <w:szCs w:val="18"/>
          <w:highlight w:val="none"/>
        </w:rPr>
        <w:t xml:space="preserve"> GPP</w:t>
      </w:r>
      <w:r>
        <w:rPr>
          <w:rFonts w:hint="default" w:ascii="Times New Roman" w:hAnsi="Times New Roman" w:eastAsia="黑体" w:cs="Times New Roman"/>
          <w:color w:val="auto"/>
          <w:sz w:val="18"/>
          <w:szCs w:val="18"/>
          <w:highlight w:val="none"/>
        </w:rPr>
        <w:t xml:space="preserve"> and </w:t>
      </w:r>
      <w:r>
        <w:rPr>
          <w:rFonts w:hint="default" w:ascii="Times New Roman" w:hAnsi="Times New Roman" w:eastAsia="黑体" w:cs="Times New Roman"/>
          <w:i/>
          <w:iCs/>
          <w:color w:val="auto"/>
          <w:sz w:val="18"/>
          <w:szCs w:val="18"/>
          <w:highlight w:val="none"/>
        </w:rPr>
        <w:t>ET</w:t>
      </w:r>
      <w:r>
        <w:rPr>
          <w:rFonts w:hint="default" w:ascii="Times New Roman" w:hAnsi="Times New Roman" w:eastAsia="黑体" w:cs="Times New Roman"/>
          <w:color w:val="auto"/>
          <w:sz w:val="18"/>
          <w:szCs w:val="18"/>
          <w:highlight w:val="none"/>
        </w:rPr>
        <w:t xml:space="preserve"> with ecological drought and </w:t>
      </w:r>
      <w:r>
        <w:rPr>
          <w:rFonts w:hint="default" w:ascii="Times New Roman" w:hAnsi="Times New Roman" w:eastAsia="黑体" w:cs="Times New Roman"/>
          <w:i/>
          <w:iCs/>
          <w:color w:val="auto"/>
          <w:sz w:val="18"/>
          <w:szCs w:val="18"/>
          <w:highlight w:val="none"/>
        </w:rPr>
        <w:t>WUE</w:t>
      </w:r>
    </w:p>
    <w:p w14:paraId="2EE5D0D3">
      <w:pPr>
        <w:ind w:firstLine="420" w:firstLineChars="200"/>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Cs w:val="21"/>
          <w:highlight w:val="none"/>
          <w:shd w:val="clear" w:color="auto" w:fill="FFFFFF"/>
        </w:rPr>
        <w:t>尽管本研究揭示了新疆生态干旱与植被水分利用效率的时空演变特征及响应机制，但仍存在一定局限。</w:t>
      </w:r>
      <w:r>
        <w:rPr>
          <w:rFonts w:hint="default" w:ascii="Times New Roman" w:hAnsi="Times New Roman" w:cs="Times New Roman"/>
          <w:i/>
          <w:iCs/>
          <w:color w:val="auto"/>
          <w:szCs w:val="21"/>
          <w:highlight w:val="none"/>
          <w:shd w:val="clear" w:color="auto" w:fill="FFFFFF"/>
        </w:rPr>
        <w:t>WUE</w:t>
      </w:r>
      <w:r>
        <w:rPr>
          <w:rFonts w:hint="default" w:ascii="Times New Roman" w:hAnsi="Times New Roman" w:cs="Times New Roman"/>
          <w:color w:val="auto"/>
          <w:szCs w:val="21"/>
          <w:highlight w:val="none"/>
          <w:shd w:val="clear" w:color="auto" w:fill="FFFFFF"/>
        </w:rPr>
        <w:t>的计算中</w:t>
      </w:r>
      <w:r>
        <w:rPr>
          <w:rFonts w:hint="default" w:ascii="Times New Roman" w:hAnsi="Times New Roman" w:cs="Times New Roman"/>
          <w:i/>
          <w:iCs/>
          <w:color w:val="auto"/>
          <w:szCs w:val="21"/>
          <w:highlight w:val="none"/>
          <w:shd w:val="clear" w:color="auto" w:fill="FFFFFF"/>
        </w:rPr>
        <w:t>ET</w:t>
      </w:r>
      <w:r>
        <w:rPr>
          <w:rFonts w:hint="default" w:ascii="Times New Roman" w:hAnsi="Times New Roman" w:cs="Times New Roman"/>
          <w:color w:val="auto"/>
          <w:szCs w:val="21"/>
          <w:highlight w:val="none"/>
          <w:shd w:val="clear" w:color="auto" w:fill="FFFFFF"/>
        </w:rPr>
        <w:t>包含土壤蒸发等非生产性耗水，虽采用MOD16产品在无植被区进行了无值化处理，但仍无法完全分离植被蒸腾与土壤蒸发的贡献。此外，本研究主要从自然因素角度分析生态干旱与</w:t>
      </w:r>
      <w:r>
        <w:rPr>
          <w:rFonts w:hint="default" w:ascii="Times New Roman" w:hAnsi="Times New Roman" w:cs="Times New Roman"/>
          <w:i/>
          <w:iCs/>
          <w:color w:val="auto"/>
          <w:szCs w:val="21"/>
          <w:highlight w:val="none"/>
          <w:shd w:val="clear" w:color="auto" w:fill="FFFFFF"/>
        </w:rPr>
        <w:t>WUE</w:t>
      </w:r>
      <w:r>
        <w:rPr>
          <w:rFonts w:hint="default" w:ascii="Times New Roman" w:hAnsi="Times New Roman" w:cs="Times New Roman"/>
          <w:color w:val="auto"/>
          <w:szCs w:val="21"/>
          <w:highlight w:val="none"/>
          <w:shd w:val="clear" w:color="auto" w:fill="FFFFFF"/>
        </w:rPr>
        <w:t>的响应关系，对灌溉、土地利用变化等人类活动的调控作用探讨不足。未来可结合</w:t>
      </w:r>
      <w:r>
        <w:rPr>
          <w:rFonts w:hint="default" w:ascii="Times New Roman" w:hAnsi="Times New Roman" w:cs="Times New Roman"/>
          <w:color w:val="auto"/>
          <w:szCs w:val="21"/>
          <w:highlight w:val="none"/>
          <w:shd w:val="clear" w:color="auto" w:fill="FFFFFF"/>
        </w:rPr>
        <w:t>实测</w:t>
      </w:r>
      <w:r>
        <w:rPr>
          <w:rFonts w:hint="default" w:ascii="Times New Roman" w:hAnsi="Times New Roman" w:cs="Times New Roman"/>
          <w:color w:val="auto"/>
          <w:szCs w:val="21"/>
          <w:highlight w:val="none"/>
          <w:shd w:val="clear" w:color="auto" w:fill="FFFFFF"/>
        </w:rPr>
        <w:t>数据及高分辨率人类活动数据，进一步</w:t>
      </w:r>
      <w:r>
        <w:rPr>
          <w:rFonts w:hint="default" w:ascii="Times New Roman" w:hAnsi="Times New Roman" w:cs="Times New Roman"/>
          <w:color w:val="auto"/>
          <w:szCs w:val="21"/>
          <w:highlight w:val="none"/>
          <w:shd w:val="clear" w:color="auto" w:fill="FFFFFF"/>
        </w:rPr>
        <w:t>深化研究</w:t>
      </w:r>
      <w:r>
        <w:rPr>
          <w:rFonts w:hint="default" w:ascii="Times New Roman" w:hAnsi="Times New Roman" w:cs="Times New Roman"/>
          <w:color w:val="auto"/>
          <w:szCs w:val="21"/>
          <w:highlight w:val="none"/>
          <w:shd w:val="clear" w:color="auto" w:fill="FFFFFF"/>
        </w:rPr>
        <w:t>，并定量解析人类活动对生态干旱与</w:t>
      </w:r>
      <w:r>
        <w:rPr>
          <w:rFonts w:hint="default" w:ascii="Times New Roman" w:hAnsi="Times New Roman" w:cs="Times New Roman"/>
          <w:i/>
          <w:iCs/>
          <w:color w:val="auto"/>
          <w:szCs w:val="21"/>
          <w:highlight w:val="none"/>
          <w:shd w:val="clear" w:color="auto" w:fill="FFFFFF"/>
        </w:rPr>
        <w:t>WUE</w:t>
      </w:r>
      <w:r>
        <w:rPr>
          <w:rFonts w:hint="default" w:ascii="Times New Roman" w:hAnsi="Times New Roman" w:cs="Times New Roman"/>
          <w:color w:val="auto"/>
          <w:szCs w:val="21"/>
          <w:highlight w:val="none"/>
          <w:shd w:val="clear" w:color="auto" w:fill="FFFFFF"/>
        </w:rPr>
        <w:t>关系的</w:t>
      </w:r>
      <w:r>
        <w:rPr>
          <w:rFonts w:hint="default" w:ascii="Times New Roman" w:hAnsi="Times New Roman" w:cs="Times New Roman"/>
          <w:color w:val="auto"/>
          <w:szCs w:val="21"/>
          <w:highlight w:val="none"/>
          <w:shd w:val="clear" w:color="auto" w:fill="FFFFFF"/>
        </w:rPr>
        <w:t>影响</w:t>
      </w:r>
      <w:r>
        <w:rPr>
          <w:rFonts w:hint="default" w:ascii="Times New Roman" w:hAnsi="Times New Roman" w:cs="Times New Roman"/>
          <w:color w:val="auto"/>
          <w:szCs w:val="21"/>
          <w:highlight w:val="none"/>
          <w:shd w:val="clear" w:color="auto" w:fill="FFFFFF"/>
        </w:rPr>
        <w:t>。</w:t>
      </w:r>
    </w:p>
    <w:p w14:paraId="1A8A5AE2">
      <w:pPr>
        <w:outlineLvl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rPr>
        <w:t xml:space="preserve"> 结论</w:t>
      </w:r>
    </w:p>
    <w:p w14:paraId="6C9FAE68">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本研究基于遥感数据系统探讨了新疆植被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与生态干旱的时空演变规律及响应机制，主要结论如下：</w:t>
      </w:r>
    </w:p>
    <w:p w14:paraId="0B5873B1">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（1）近23</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rPr>
        <w:t>来，新疆植被</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整体呈下降趋势，下降区域面积占比高达91.99%。空间上，</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高值区主要分布在干旱胁迫强烈的低海拔区域，而低值区则稳定存在于海拔3000米以上的天山与昆仑山系；在不同干湿梯度下，</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随环境湿润度增加而下降。</w:t>
      </w:r>
    </w:p>
    <w:p w14:paraId="4453383C">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i/>
          <w:iCs/>
          <w:color w:val="auto"/>
          <w:szCs w:val="21"/>
          <w:highlight w:val="none"/>
        </w:rPr>
        <w:t>TVDI</w:t>
      </w:r>
      <w:r>
        <w:rPr>
          <w:rFonts w:hint="default" w:ascii="Times New Roman" w:hAnsi="Times New Roman" w:cs="Times New Roman"/>
          <w:color w:val="auto"/>
          <w:szCs w:val="21"/>
          <w:highlight w:val="none"/>
        </w:rPr>
        <w:t>在区域生态干旱监测中表现出优于植被健康指数（</w:t>
      </w:r>
      <w:r>
        <w:rPr>
          <w:rFonts w:hint="default" w:ascii="Times New Roman" w:hAnsi="Times New Roman" w:cs="Times New Roman"/>
          <w:i/>
          <w:iCs/>
          <w:color w:val="auto"/>
          <w:szCs w:val="21"/>
          <w:highlight w:val="none"/>
        </w:rPr>
        <w:t>VHI</w:t>
      </w:r>
      <w:r>
        <w:rPr>
          <w:rFonts w:hint="default" w:ascii="Times New Roman" w:hAnsi="Times New Roman" w:cs="Times New Roman"/>
          <w:color w:val="auto"/>
          <w:szCs w:val="21"/>
          <w:highlight w:val="none"/>
        </w:rPr>
        <w:t>）的适用性。基于TVDI的评估表明，新疆生态干旱程度近23</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rPr>
        <w:t>整体呈波动缓解趋势，缓解区域面积占比为78.70%，且干旱严重程度呈现南高北低的空间格局。</w:t>
      </w:r>
    </w:p>
    <w:p w14:paraId="13DF953A">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对生态干旱的响应存在主导的正反馈机制与</w:t>
      </w:r>
      <w:r>
        <w:rPr>
          <w:rFonts w:hint="default" w:ascii="Times New Roman" w:hAnsi="Times New Roman" w:cs="Times New Roman"/>
          <w:color w:val="auto"/>
          <w:szCs w:val="21"/>
          <w:highlight w:val="none"/>
        </w:rPr>
        <w:t>区域</w:t>
      </w:r>
      <w:r>
        <w:rPr>
          <w:rFonts w:hint="default" w:ascii="Times New Roman" w:hAnsi="Times New Roman" w:cs="Times New Roman"/>
          <w:color w:val="auto"/>
          <w:szCs w:val="21"/>
          <w:highlight w:val="none"/>
        </w:rPr>
        <w:t>异质性。全疆89.38%的区域表现</w:t>
      </w:r>
      <w:r>
        <w:rPr>
          <w:rFonts w:hint="default" w:ascii="Times New Roman" w:hAnsi="Times New Roman" w:cs="Times New Roman"/>
          <w:color w:val="auto"/>
          <w:szCs w:val="21"/>
          <w:highlight w:val="none"/>
        </w:rPr>
        <w:t>正相关，</w:t>
      </w:r>
      <w:r>
        <w:rPr>
          <w:rFonts w:hint="default" w:ascii="Times New Roman" w:hAnsi="Times New Roman" w:cs="Times New Roman"/>
          <w:color w:val="auto"/>
          <w:szCs w:val="21"/>
          <w:highlight w:val="none"/>
        </w:rPr>
        <w:t>而在伊犁河谷等水分条件较好的区域（占10.62%），则呈现负相关，体现了植被响应机制的环境依赖性。</w:t>
      </w:r>
    </w:p>
    <w:p w14:paraId="257F9C7B">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（4）生态干旱对</w:t>
      </w:r>
      <w:r>
        <w:rPr>
          <w:rFonts w:hint="default" w:ascii="Times New Roman" w:hAnsi="Times New Roman" w:cs="Times New Roman"/>
          <w:i/>
          <w:iCs/>
          <w:color w:val="auto"/>
          <w:szCs w:val="21"/>
          <w:highlight w:val="none"/>
        </w:rPr>
        <w:t>WUE</w:t>
      </w:r>
      <w:r>
        <w:rPr>
          <w:rFonts w:hint="default" w:ascii="Times New Roman" w:hAnsi="Times New Roman" w:cs="Times New Roman"/>
          <w:color w:val="auto"/>
          <w:szCs w:val="21"/>
          <w:highlight w:val="none"/>
        </w:rPr>
        <w:t>的影响存在明显的时滞与累积效应，平均时滞期为4.26个月，平均累积时间为4.51个月，且以短期效应为主。不同植被类型响应差异显著，林地响应最迟缓，而耕地最为敏感，这为分植被类型的干旱预警与生态管理提供了关键时间依据。</w:t>
      </w:r>
    </w:p>
    <w:p w14:paraId="28267E73">
      <w:pPr>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综上</w:t>
      </w:r>
      <w:r>
        <w:rPr>
          <w:rFonts w:hint="default" w:ascii="Times New Roman" w:hAnsi="Times New Roman" w:cs="Times New Roman"/>
          <w:color w:val="auto"/>
          <w:szCs w:val="21"/>
          <w:highlight w:val="none"/>
        </w:rPr>
        <w:t>所述</w:t>
      </w:r>
      <w:r>
        <w:rPr>
          <w:rFonts w:hint="default" w:ascii="Times New Roman" w:hAnsi="Times New Roman" w:cs="Times New Roman"/>
          <w:color w:val="auto"/>
          <w:szCs w:val="21"/>
          <w:highlight w:val="none"/>
        </w:rPr>
        <w:t>，本研究明确了植被水分利用效率</w:t>
      </w:r>
      <w:r>
        <w:rPr>
          <w:rFonts w:hint="default" w:ascii="Times New Roman" w:hAnsi="Times New Roman" w:cs="Times New Roman"/>
          <w:color w:val="auto"/>
          <w:szCs w:val="21"/>
          <w:highlight w:val="none"/>
        </w:rPr>
        <w:t>与生态</w:t>
      </w:r>
      <w:r>
        <w:rPr>
          <w:rFonts w:hint="default" w:ascii="Times New Roman" w:hAnsi="Times New Roman" w:cs="Times New Roman"/>
          <w:color w:val="auto"/>
          <w:szCs w:val="21"/>
          <w:highlight w:val="none"/>
        </w:rPr>
        <w:t>干旱的</w:t>
      </w:r>
      <w:r>
        <w:rPr>
          <w:rFonts w:hint="default" w:ascii="Times New Roman" w:hAnsi="Times New Roman" w:cs="Times New Roman"/>
          <w:color w:val="auto"/>
          <w:szCs w:val="21"/>
          <w:highlight w:val="none"/>
        </w:rPr>
        <w:t>时空演变规律及植被响应</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研究结果可</w:t>
      </w:r>
      <w:r>
        <w:rPr>
          <w:rFonts w:hint="default" w:ascii="Times New Roman" w:hAnsi="Times New Roman" w:cs="Times New Roman"/>
          <w:color w:val="auto"/>
          <w:szCs w:val="21"/>
          <w:highlight w:val="none"/>
        </w:rPr>
        <w:t>为区域生态干旱预警与管理提供科学依据。</w:t>
      </w:r>
    </w:p>
    <w:p w14:paraId="48D8BD6A">
      <w:pPr>
        <w:spacing w:before="156" w:beforeLines="50" w:line="360" w:lineRule="auto"/>
        <w:outlineLvl w:val="0"/>
        <w:rPr>
          <w:rFonts w:hint="default" w:ascii="Times New Roman" w:hAnsi="Times New Roman" w:cs="Times New Roman"/>
          <w:b/>
          <w:bCs/>
          <w:color w:val="auto"/>
          <w:kern w:val="44"/>
          <w:szCs w:val="21"/>
          <w:highlight w:val="none"/>
        </w:rPr>
      </w:pPr>
      <w:r>
        <w:rPr>
          <w:rFonts w:hint="default" w:ascii="Times New Roman" w:hAnsi="Times New Roman" w:eastAsia="黑体" w:cs="Times New Roman"/>
          <w:b/>
          <w:bCs/>
          <w:color w:val="auto"/>
          <w:kern w:val="44"/>
          <w:szCs w:val="21"/>
          <w:highlight w:val="none"/>
        </w:rPr>
        <w:t>参考文献</w:t>
      </w:r>
      <w:r>
        <w:rPr>
          <w:rFonts w:hint="default" w:ascii="Times New Roman" w:hAnsi="Times New Roman" w:eastAsia="黑体" w:cs="Times New Roman"/>
          <w:b/>
          <w:bCs/>
          <w:color w:val="auto"/>
          <w:szCs w:val="21"/>
          <w:highlight w:val="none"/>
          <w:lang w:val="fr-FR"/>
        </w:rPr>
        <w:t>（</w:t>
      </w:r>
      <w:r>
        <w:rPr>
          <w:rFonts w:hint="default" w:ascii="Times New Roman" w:hAnsi="Times New Roman" w:cs="Times New Roman"/>
          <w:b/>
          <w:bCs/>
          <w:color w:val="auto"/>
          <w:szCs w:val="21"/>
          <w:highlight w:val="none"/>
          <w:lang w:val="fr-FR"/>
        </w:rPr>
        <w:t>References）：</w:t>
      </w:r>
    </w:p>
    <w:p w14:paraId="5F762002">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[1] YU G R, PIAO S L, ZHANG Y J, et al. Moving toward a new era of ecosystem science[J]. Geography and Sustainability, 2021, 2(3): </w:t>
      </w:r>
      <w:r>
        <w:rPr>
          <w:rFonts w:hint="default" w:ascii="Times New Roman" w:hAnsi="Times New Roman" w:eastAsia="宋体" w:cs="Times New Roman"/>
          <w:color w:val="auto"/>
          <w:sz w:val="18"/>
          <w:szCs w:val="18"/>
          <w:highlight w:val="none"/>
          <w:lang w:eastAsia="zh-CN"/>
        </w:rPr>
        <w:t xml:space="preserve">151-162. </w:t>
      </w:r>
    </w:p>
    <w:p w14:paraId="3D1B690C">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 付奇, 李波, 杨琳琳, 等. 西北干旱区生态系统服务重要性评价</w:t>
      </w:r>
      <w:r>
        <w:rPr>
          <w:rFonts w:hint="default" w:ascii="Times New Roman" w:hAnsi="Times New Roman" w:eastAsia="宋体" w:cs="Times New Roman"/>
          <w:color w:val="auto"/>
          <w:sz w:val="18"/>
          <w:szCs w:val="18"/>
          <w:highlight w:val="none"/>
          <w:lang w:eastAsia="zh-CN"/>
        </w:rPr>
        <w:t>：以阿勒泰地区为例[J]. 干旱区资源与环境, 2016,</w:t>
      </w:r>
      <w:r>
        <w:rPr>
          <w:rFonts w:hint="default" w:ascii="Times New Roman" w:hAnsi="Times New Roman" w:eastAsia="宋体" w:cs="Times New Roman"/>
          <w:color w:val="auto"/>
          <w:sz w:val="18"/>
          <w:szCs w:val="18"/>
          <w:highlight w:val="none"/>
          <w:lang w:eastAsia="zh-CN"/>
        </w:rPr>
        <w:t>3</w:t>
      </w:r>
      <w:r>
        <w:rPr>
          <w:rFonts w:hint="default" w:ascii="Times New Roman" w:hAnsi="Times New Roman" w:eastAsia="宋体" w:cs="Times New Roman"/>
          <w:color w:val="auto"/>
          <w:sz w:val="18"/>
          <w:szCs w:val="18"/>
          <w:highlight w:val="none"/>
          <w:lang w:eastAsia="zh-CN"/>
        </w:rPr>
        <w:t>0(10): 70-75.</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FU Q, LI B, YANG L L, et al. Importance evaluation of typical ecosystem services in arid regions of northwest China: A case study in Altay Prefecture[J]. Journal of Arid Land Resources and Environment, 2016, 30</w:t>
      </w:r>
      <w:r>
        <w:rPr>
          <w:rFonts w:hint="default" w:ascii="Times New Roman" w:hAnsi="Times New Roman" w:eastAsia="宋体" w:cs="Times New Roman"/>
          <w:color w:val="auto"/>
          <w:sz w:val="18"/>
          <w:szCs w:val="18"/>
          <w:highlight w:val="none"/>
          <w:lang w:eastAsia="zh-CN"/>
        </w:rPr>
        <w:t xml:space="preserve">(10): 70-75. </w:t>
      </w:r>
    </w:p>
    <w:p w14:paraId="0F8DAC2E">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 范玉龙, 胡楠, 丁圣彦. 基于植物功能群的生态系统服务形成与维持机制研究[J]. 生态学报, 2024, 44(1): 60-66.</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FAN Y L, HU N, DING S Y. Formation and maintenance mechanism of ecosystem services based on plant functional groups[J]. Acta Ecologica Sinica, 2024, 44(1): 60-66. </w:t>
      </w:r>
    </w:p>
    <w:p w14:paraId="2E8434E2">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[4] 魏茂宏. 干旱干扰对中国北方旱区生态系统稳定性的影响及其驱动因素研究[D]. 兰州: 兰州大学, 2022.</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WEI M H. Ecosystem Productivity </w:t>
      </w:r>
      <w:r>
        <w:rPr>
          <w:rFonts w:hint="default" w:ascii="Times New Roman" w:hAnsi="Times New Roman" w:eastAsia="宋体" w:cs="Times New Roman"/>
          <w:color w:val="auto"/>
          <w:sz w:val="18"/>
          <w:szCs w:val="18"/>
          <w:highlight w:val="none"/>
          <w:lang w:val="en-US" w:eastAsia="zh-CN"/>
        </w:rPr>
        <w:t>s</w:t>
      </w:r>
      <w:r>
        <w:rPr>
          <w:rFonts w:hint="default" w:ascii="Times New Roman" w:hAnsi="Times New Roman" w:eastAsia="宋体" w:cs="Times New Roman"/>
          <w:color w:val="auto"/>
          <w:sz w:val="18"/>
          <w:szCs w:val="18"/>
          <w:highlight w:val="none"/>
          <w:lang w:eastAsia="zh-CN"/>
        </w:rPr>
        <w:t xml:space="preserve">tability under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rought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isturbance and </w:t>
      </w:r>
      <w:r>
        <w:rPr>
          <w:rFonts w:hint="default" w:ascii="Times New Roman" w:hAnsi="Times New Roman" w:eastAsia="宋体" w:cs="Times New Roman"/>
          <w:color w:val="auto"/>
          <w:sz w:val="18"/>
          <w:szCs w:val="18"/>
          <w:highlight w:val="none"/>
          <w:lang w:val="en-US" w:eastAsia="zh-CN"/>
        </w:rPr>
        <w:t>i</w:t>
      </w:r>
      <w:r>
        <w:rPr>
          <w:rFonts w:hint="default" w:ascii="Times New Roman" w:hAnsi="Times New Roman" w:eastAsia="宋体" w:cs="Times New Roman"/>
          <w:color w:val="auto"/>
          <w:sz w:val="18"/>
          <w:szCs w:val="18"/>
          <w:highlight w:val="none"/>
          <w:lang w:eastAsia="zh-CN"/>
        </w:rPr>
        <w:t xml:space="preserve">ts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rivers in the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rylands of </w:t>
      </w: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eastAsia="zh-CN"/>
        </w:rPr>
        <w:t xml:space="preserve">orthern China[D]. Lanzhou: Lanzhou University, 2022. </w:t>
      </w:r>
    </w:p>
    <w:p w14:paraId="5E4EC4C5">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u w:val="none"/>
        </w:rPr>
      </w:pPr>
      <w:r>
        <w:rPr>
          <w:rFonts w:hint="default" w:ascii="Times New Roman" w:hAnsi="Times New Roman" w:eastAsia="宋体" w:cs="Times New Roman"/>
          <w:color w:val="auto"/>
          <w:kern w:val="2"/>
          <w:sz w:val="18"/>
          <w:szCs w:val="18"/>
          <w:highlight w:val="none"/>
          <w:lang w:val="en-US" w:eastAsia="zh-CN" w:bidi="ar-SA"/>
        </w:rPr>
        <w:t>[5]</w:t>
      </w:r>
      <w:r>
        <w:rPr>
          <w:rFonts w:hint="default" w:ascii="Times New Roman" w:hAnsi="Times New Roman" w:eastAsia="宋体" w:cs="Times New Roman"/>
          <w:color w:val="auto"/>
          <w:kern w:val="2"/>
          <w:sz w:val="18"/>
          <w:szCs w:val="18"/>
          <w:highlight w:val="none"/>
          <w:lang w:val="en-US" w:eastAsia="zh-CN" w:bidi="ar-SA"/>
        </w:rPr>
        <w:t xml:space="preserve"> </w:t>
      </w:r>
      <w:r>
        <w:rPr>
          <w:rFonts w:hint="default" w:ascii="Times New Roman" w:hAnsi="Times New Roman" w:eastAsia="宋体" w:cs="Times New Roman"/>
          <w:color w:val="auto"/>
          <w:sz w:val="18"/>
          <w:szCs w:val="18"/>
          <w:highlight w:val="none"/>
          <w:lang w:eastAsia="zh-CN"/>
        </w:rPr>
        <w:t>孙语晗,郭兵,孙晓双.顾及时滞与累积效应的中国植被时空演变及其对气候-人类活动的响应机制[J].生态学报,2026,46(2):705-720.</w:t>
      </w:r>
    </w:p>
    <w:p w14:paraId="1F553A68">
      <w:pPr>
        <w:pStyle w:val="24"/>
        <w:numPr>
          <w:ilvl w:val="0"/>
          <w:numId w:val="0"/>
        </w:numPr>
        <w:tabs>
          <w:tab w:val="left" w:pos="527"/>
        </w:tabs>
        <w:wordWrap w:val="0"/>
        <w:ind w:left="428" w:leftChars="204" w:firstLine="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SUN Y H, GUO B, SUN X S. Spatio-temporal evolution of vegetation NDVI in China and its response mechanism to climate-human activities based on time lag and cumulative effects[J]. Acta Ecologica Sinica,2026,46(2):705-720.</w:t>
      </w:r>
    </w:p>
    <w:p w14:paraId="115FBC78">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[6] 杨铭珂. 贵州省总初级生产力的时空分布特征及对干旱变化的响应[D]. 贵阳: 贵州师范大学, 2022.</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YANG M K. Spatiotemporal</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eastAsia="zh-CN"/>
        </w:rPr>
        <w:t>D</w:t>
      </w:r>
      <w:r>
        <w:rPr>
          <w:rFonts w:hint="default" w:ascii="Times New Roman" w:hAnsi="Times New Roman" w:eastAsia="宋体" w:cs="Times New Roman"/>
          <w:color w:val="auto"/>
          <w:sz w:val="18"/>
          <w:szCs w:val="18"/>
          <w:highlight w:val="none"/>
          <w:lang w:eastAsia="zh-CN"/>
        </w:rPr>
        <w:t xml:space="preserve">istribution of </w:t>
      </w:r>
      <w:r>
        <w:rPr>
          <w:rFonts w:hint="default" w:ascii="Times New Roman" w:hAnsi="Times New Roman" w:eastAsia="宋体" w:cs="Times New Roman"/>
          <w:color w:val="auto"/>
          <w:sz w:val="18"/>
          <w:szCs w:val="18"/>
          <w:highlight w:val="none"/>
          <w:lang w:val="en-US" w:eastAsia="zh-CN"/>
        </w:rPr>
        <w:t>g</w:t>
      </w:r>
      <w:r>
        <w:rPr>
          <w:rFonts w:hint="default" w:ascii="Times New Roman" w:hAnsi="Times New Roman" w:eastAsia="宋体" w:cs="Times New Roman"/>
          <w:color w:val="auto"/>
          <w:sz w:val="18"/>
          <w:szCs w:val="18"/>
          <w:highlight w:val="none"/>
          <w:lang w:eastAsia="zh-CN"/>
        </w:rPr>
        <w:t xml:space="preserve">ross </w:t>
      </w:r>
      <w:r>
        <w:rPr>
          <w:rFonts w:hint="default" w:ascii="Times New Roman" w:hAnsi="Times New Roman" w:eastAsia="宋体" w:cs="Times New Roman"/>
          <w:color w:val="auto"/>
          <w:sz w:val="18"/>
          <w:szCs w:val="18"/>
          <w:highlight w:val="none"/>
          <w:lang w:val="en-US" w:eastAsia="zh-CN"/>
        </w:rPr>
        <w:t>p</w:t>
      </w:r>
      <w:r>
        <w:rPr>
          <w:rFonts w:hint="default" w:ascii="Times New Roman" w:hAnsi="Times New Roman" w:eastAsia="宋体" w:cs="Times New Roman"/>
          <w:color w:val="auto"/>
          <w:sz w:val="18"/>
          <w:szCs w:val="18"/>
          <w:highlight w:val="none"/>
          <w:lang w:eastAsia="zh-CN"/>
        </w:rPr>
        <w:t xml:space="preserve">rimary </w:t>
      </w:r>
      <w:r>
        <w:rPr>
          <w:rFonts w:hint="default" w:ascii="Times New Roman" w:hAnsi="Times New Roman" w:eastAsia="宋体" w:cs="Times New Roman"/>
          <w:color w:val="auto"/>
          <w:sz w:val="18"/>
          <w:szCs w:val="18"/>
          <w:highlight w:val="none"/>
          <w:lang w:val="en-US" w:eastAsia="zh-CN"/>
        </w:rPr>
        <w:t>p</w:t>
      </w:r>
      <w:r>
        <w:rPr>
          <w:rFonts w:hint="default" w:ascii="Times New Roman" w:hAnsi="Times New Roman" w:eastAsia="宋体" w:cs="Times New Roman"/>
          <w:color w:val="auto"/>
          <w:sz w:val="18"/>
          <w:szCs w:val="18"/>
          <w:highlight w:val="none"/>
          <w:lang w:eastAsia="zh-CN"/>
        </w:rPr>
        <w:t xml:space="preserve">roductivity and </w:t>
      </w:r>
      <w:r>
        <w:rPr>
          <w:rFonts w:hint="default" w:ascii="Times New Roman" w:hAnsi="Times New Roman" w:eastAsia="宋体" w:cs="Times New Roman"/>
          <w:color w:val="auto"/>
          <w:sz w:val="18"/>
          <w:szCs w:val="18"/>
          <w:highlight w:val="none"/>
          <w:lang w:val="en-US" w:eastAsia="zh-CN"/>
        </w:rPr>
        <w:t>i</w:t>
      </w:r>
      <w:r>
        <w:rPr>
          <w:rFonts w:hint="default" w:ascii="Times New Roman" w:hAnsi="Times New Roman" w:eastAsia="宋体" w:cs="Times New Roman"/>
          <w:color w:val="auto"/>
          <w:sz w:val="18"/>
          <w:szCs w:val="18"/>
          <w:highlight w:val="none"/>
          <w:lang w:eastAsia="zh-CN"/>
        </w:rPr>
        <w:t xml:space="preserve">ts </w:t>
      </w:r>
      <w:r>
        <w:rPr>
          <w:rFonts w:hint="default" w:ascii="Times New Roman" w:hAnsi="Times New Roman" w:eastAsia="宋体" w:cs="Times New Roman"/>
          <w:color w:val="auto"/>
          <w:sz w:val="18"/>
          <w:szCs w:val="18"/>
          <w:highlight w:val="none"/>
          <w:lang w:val="en-US" w:eastAsia="zh-CN"/>
        </w:rPr>
        <w:t>r</w:t>
      </w:r>
      <w:r>
        <w:rPr>
          <w:rFonts w:hint="default" w:ascii="Times New Roman" w:hAnsi="Times New Roman" w:eastAsia="宋体" w:cs="Times New Roman"/>
          <w:color w:val="auto"/>
          <w:sz w:val="18"/>
          <w:szCs w:val="18"/>
          <w:highlight w:val="none"/>
          <w:lang w:eastAsia="zh-CN"/>
        </w:rPr>
        <w:t xml:space="preserve">esponse to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rought </w:t>
      </w:r>
      <w:r>
        <w:rPr>
          <w:rFonts w:hint="default" w:ascii="Times New Roman" w:hAnsi="Times New Roman" w:eastAsia="宋体" w:cs="Times New Roman"/>
          <w:color w:val="auto"/>
          <w:sz w:val="18"/>
          <w:szCs w:val="18"/>
          <w:highlight w:val="none"/>
          <w:lang w:val="en-US" w:eastAsia="zh-CN"/>
        </w:rPr>
        <w:t>c</w:t>
      </w:r>
      <w:r>
        <w:rPr>
          <w:rFonts w:hint="default" w:ascii="Times New Roman" w:hAnsi="Times New Roman" w:eastAsia="宋体" w:cs="Times New Roman"/>
          <w:color w:val="auto"/>
          <w:sz w:val="18"/>
          <w:szCs w:val="18"/>
          <w:highlight w:val="none"/>
          <w:lang w:eastAsia="zh-CN"/>
        </w:rPr>
        <w:t xml:space="preserve">hange in Guizhou Province[D]. Guiyang: Guizhou Normal University, 2022. </w:t>
      </w:r>
    </w:p>
    <w:p w14:paraId="55C0ED11">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[7] </w:t>
      </w:r>
      <w:r>
        <w:rPr>
          <w:rFonts w:hint="default" w:ascii="Times New Roman" w:hAnsi="Times New Roman" w:eastAsia="宋体" w:cs="Times New Roman"/>
          <w:color w:val="auto"/>
          <w:sz w:val="18"/>
          <w:szCs w:val="18"/>
          <w:highlight w:val="none"/>
          <w:lang w:eastAsia="zh-CN"/>
        </w:rPr>
        <w:t xml:space="preserve">SADIQI S S J, HONG E M, NAM W H, et al. Review: </w:t>
      </w:r>
      <w:r>
        <w:rPr>
          <w:rFonts w:hint="default" w:ascii="Times New Roman" w:hAnsi="Times New Roman" w:eastAsia="宋体" w:cs="Times New Roman"/>
          <w:color w:val="auto"/>
          <w:sz w:val="18"/>
          <w:szCs w:val="18"/>
          <w:highlight w:val="none"/>
          <w:lang w:val="en-US" w:eastAsia="zh-CN"/>
        </w:rPr>
        <w:t>a</w:t>
      </w:r>
      <w:r>
        <w:rPr>
          <w:rFonts w:hint="default" w:ascii="Times New Roman" w:hAnsi="Times New Roman" w:eastAsia="宋体" w:cs="Times New Roman"/>
          <w:color w:val="auto"/>
          <w:sz w:val="18"/>
          <w:szCs w:val="18"/>
          <w:highlight w:val="none"/>
          <w:lang w:eastAsia="zh-CN"/>
        </w:rPr>
        <w:t xml:space="preserve">n integrated framework for understanding ecological drought and drought resistance[J]. Science of the Total Environment, 2022, 846: 157477. </w:t>
      </w:r>
    </w:p>
    <w:p w14:paraId="311AA5C0">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[8] 陈立文. 基于多源遥感数据的扎龙湿地生态干旱识别与评估[D]. 长春: 吉林大学, 2022.</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CHEN L W. </w:t>
      </w:r>
      <w:r>
        <w:rPr>
          <w:rFonts w:hint="default" w:ascii="Times New Roman" w:hAnsi="Times New Roman" w:eastAsia="宋体" w:cs="Times New Roman"/>
          <w:color w:val="auto"/>
          <w:sz w:val="18"/>
          <w:szCs w:val="18"/>
          <w:highlight w:val="none"/>
          <w:lang w:eastAsia="zh-CN"/>
        </w:rPr>
        <w:t xml:space="preserve">Identification and </w:t>
      </w:r>
      <w:r>
        <w:rPr>
          <w:rFonts w:hint="default" w:ascii="Times New Roman" w:hAnsi="Times New Roman" w:eastAsia="宋体" w:cs="Times New Roman"/>
          <w:color w:val="auto"/>
          <w:sz w:val="18"/>
          <w:szCs w:val="18"/>
          <w:highlight w:val="none"/>
          <w:lang w:eastAsia="zh-CN"/>
        </w:rPr>
        <w:t>A</w:t>
      </w:r>
      <w:r>
        <w:rPr>
          <w:rFonts w:hint="default" w:ascii="Times New Roman" w:hAnsi="Times New Roman" w:eastAsia="宋体" w:cs="Times New Roman"/>
          <w:color w:val="auto"/>
          <w:sz w:val="18"/>
          <w:szCs w:val="18"/>
          <w:highlight w:val="none"/>
          <w:lang w:eastAsia="zh-CN"/>
        </w:rPr>
        <w:t xml:space="preserve">ssessment of </w:t>
      </w:r>
      <w:r>
        <w:rPr>
          <w:rFonts w:hint="default" w:ascii="Times New Roman" w:hAnsi="Times New Roman" w:eastAsia="宋体" w:cs="Times New Roman"/>
          <w:color w:val="auto"/>
          <w:sz w:val="18"/>
          <w:szCs w:val="18"/>
          <w:highlight w:val="none"/>
          <w:lang w:val="en-US" w:eastAsia="zh-CN"/>
        </w:rPr>
        <w:t>e</w:t>
      </w:r>
      <w:r>
        <w:rPr>
          <w:rFonts w:hint="default" w:ascii="Times New Roman" w:hAnsi="Times New Roman" w:eastAsia="宋体" w:cs="Times New Roman"/>
          <w:color w:val="auto"/>
          <w:sz w:val="18"/>
          <w:szCs w:val="18"/>
          <w:highlight w:val="none"/>
          <w:lang w:eastAsia="zh-CN"/>
        </w:rPr>
        <w:t xml:space="preserve">cological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rought of Zhalong Wetland </w:t>
      </w:r>
      <w:r>
        <w:rPr>
          <w:rFonts w:hint="default" w:ascii="Times New Roman" w:hAnsi="Times New Roman" w:eastAsia="宋体" w:cs="Times New Roman"/>
          <w:color w:val="auto"/>
          <w:sz w:val="18"/>
          <w:szCs w:val="18"/>
          <w:highlight w:val="none"/>
          <w:lang w:val="en-US" w:eastAsia="zh-CN"/>
        </w:rPr>
        <w:t>B</w:t>
      </w:r>
      <w:r>
        <w:rPr>
          <w:rFonts w:hint="default" w:ascii="Times New Roman" w:hAnsi="Times New Roman" w:eastAsia="宋体" w:cs="Times New Roman"/>
          <w:color w:val="auto"/>
          <w:sz w:val="18"/>
          <w:szCs w:val="18"/>
          <w:highlight w:val="none"/>
          <w:lang w:eastAsia="zh-CN"/>
        </w:rPr>
        <w:t xml:space="preserve">ased on </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lang w:eastAsia="zh-CN"/>
        </w:rPr>
        <w:t xml:space="preserve">ulti-source </w:t>
      </w:r>
      <w:r>
        <w:rPr>
          <w:rFonts w:hint="default" w:ascii="Times New Roman" w:hAnsi="Times New Roman" w:eastAsia="宋体" w:cs="Times New Roman"/>
          <w:color w:val="auto"/>
          <w:sz w:val="18"/>
          <w:szCs w:val="18"/>
          <w:highlight w:val="none"/>
          <w:lang w:val="en-US" w:eastAsia="zh-CN"/>
        </w:rPr>
        <w:t>R</w:t>
      </w:r>
      <w:r>
        <w:rPr>
          <w:rFonts w:hint="default" w:ascii="Times New Roman" w:hAnsi="Times New Roman" w:eastAsia="宋体" w:cs="Times New Roman"/>
          <w:color w:val="auto"/>
          <w:sz w:val="18"/>
          <w:szCs w:val="18"/>
          <w:highlight w:val="none"/>
          <w:lang w:eastAsia="zh-CN"/>
        </w:rPr>
        <w:t xml:space="preserve">emote </w:t>
      </w:r>
      <w:r>
        <w:rPr>
          <w:rFonts w:hint="default" w:ascii="Times New Roman" w:hAnsi="Times New Roman" w:eastAsia="宋体" w:cs="Times New Roman"/>
          <w:color w:val="auto"/>
          <w:sz w:val="18"/>
          <w:szCs w:val="18"/>
          <w:highlight w:val="none"/>
          <w:lang w:val="en-US" w:eastAsia="zh-CN"/>
        </w:rPr>
        <w:t>S</w:t>
      </w:r>
      <w:r>
        <w:rPr>
          <w:rFonts w:hint="default" w:ascii="Times New Roman" w:hAnsi="Times New Roman" w:eastAsia="宋体" w:cs="Times New Roman"/>
          <w:color w:val="auto"/>
          <w:sz w:val="18"/>
          <w:szCs w:val="18"/>
          <w:highlight w:val="none"/>
          <w:lang w:eastAsia="zh-CN"/>
        </w:rPr>
        <w:t xml:space="preserve">ensing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ata[D]. Changchun: Jilin University, 2022. </w:t>
      </w:r>
    </w:p>
    <w:p w14:paraId="3199C7FB">
      <w:pPr>
        <w:pStyle w:val="24"/>
        <w:keepNext w:val="0"/>
        <w:keepLines w:val="0"/>
        <w:pageBreakBefore w:val="0"/>
        <w:widowControl w:val="0"/>
        <w:numPr>
          <w:ilvl w:val="0"/>
          <w:numId w:val="0"/>
        </w:numPr>
        <w:tabs>
          <w:tab w:val="left" w:pos="527"/>
        </w:tabs>
        <w:kinsoku/>
        <w:wordWrap w:val="0"/>
        <w:overflowPunct/>
        <w:topLinePunct w:val="0"/>
        <w:autoSpaceDE/>
        <w:autoSpaceDN/>
        <w:bidi w:val="0"/>
        <w:adjustRightInd/>
        <w:snapToGrid/>
        <w:ind w:left="420" w:leftChars="0" w:hanging="42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[9]</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eastAsia="zh-CN"/>
        </w:rPr>
        <w:t>TANG H, LI Q, TAO H, et al. Analyzing the driving mechanism of drought using the ecological aridity index</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eastAsia="zh-CN"/>
        </w:rPr>
        <w:t>considering the evapotranspiration deficit：</w:t>
      </w:r>
      <w:r>
        <w:rPr>
          <w:rFonts w:hint="default" w:ascii="Times New Roman" w:hAnsi="Times New Roman" w:eastAsia="宋体" w:cs="Times New Roman"/>
          <w:color w:val="auto"/>
          <w:sz w:val="18"/>
          <w:szCs w:val="18"/>
          <w:highlight w:val="none"/>
          <w:lang w:val="en-US" w:eastAsia="zh-CN"/>
        </w:rPr>
        <w:t>A</w:t>
      </w:r>
      <w:r>
        <w:rPr>
          <w:rFonts w:hint="default" w:ascii="Times New Roman" w:hAnsi="Times New Roman" w:eastAsia="宋体" w:cs="Times New Roman"/>
          <w:color w:val="auto"/>
          <w:sz w:val="18"/>
          <w:szCs w:val="18"/>
          <w:highlight w:val="none"/>
          <w:lang w:eastAsia="zh-CN"/>
        </w:rPr>
        <w:t xml:space="preserve"> case study in Xinjiang, China[J]. Agriculture, 2025, 15(19): 2016.</w:t>
      </w:r>
    </w:p>
    <w:p w14:paraId="354AABB0">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lang w:eastAsia="zh-CN"/>
        </w:rPr>
        <w:t>ROUSE J W, HAAS R H, SCHELL J A, et al. Monitoring vegetation systems in the Great Plains with ERTS[J]. Proceedings of the Third ERTS Symposium, 1973, 3(8): 309-317.</w:t>
      </w:r>
    </w:p>
    <w:p w14:paraId="73443F13">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[11] 胡国兴, 朱骥, 陈桂珠, 等. 基于MODIS植被供水指数与植被状态指数的干旱监测研究</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eastAsia="zh-CN"/>
        </w:rPr>
        <w:t>以河北省为例[J]. 河北地质大学学报, 2025, 48(3): 89-97.</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HU G X, ZHU J, CHEN G Z,</w:t>
      </w:r>
      <w:r>
        <w:rPr>
          <w:rFonts w:hint="default" w:ascii="Times New Roman" w:hAnsi="Times New Roman" w:eastAsia="宋体" w:cs="Times New Roman"/>
          <w:color w:val="auto"/>
          <w:sz w:val="18"/>
          <w:szCs w:val="18"/>
          <w:highlight w:val="none"/>
          <w:lang w:eastAsia="zh-CN"/>
        </w:rPr>
        <w:t xml:space="preserve"> et al. Research on drought monitoring based on MODIS vegetation water supply index and vegetation condition index: Taking Hebei Province as an example[J]. </w:t>
      </w:r>
      <w:r>
        <w:rPr>
          <w:rFonts w:hint="default" w:ascii="Times New Roman" w:hAnsi="Times New Roman" w:eastAsia="宋体" w:cs="Times New Roman"/>
          <w:color w:val="auto"/>
          <w:sz w:val="18"/>
          <w:szCs w:val="18"/>
          <w:highlight w:val="none"/>
          <w:lang w:eastAsia="zh-CN"/>
        </w:rPr>
        <w:t>Journal of Hebei GEO University</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eastAsia="zh-CN"/>
        </w:rPr>
        <w:t xml:space="preserve"> 2025, 48(3): 89-97. </w:t>
      </w:r>
    </w:p>
    <w:p w14:paraId="743D37AA">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[12] 周星宇, 姜海玲, 赵艺源, 等. 遥感干旱指数在金沙江流域干旱监测中的适用性研究[J]. 测绘与空间地理信息, 2023, 46(1): 21-24.</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ZHOU X Y, JIANG H L, ZHAO Y Y, </w:t>
      </w:r>
      <w:r>
        <w:rPr>
          <w:rFonts w:hint="default" w:ascii="Times New Roman" w:hAnsi="Times New Roman" w:eastAsia="宋体" w:cs="Times New Roman"/>
          <w:color w:val="auto"/>
          <w:sz w:val="18"/>
          <w:szCs w:val="18"/>
          <w:highlight w:val="none"/>
          <w:lang w:eastAsia="zh-CN"/>
        </w:rPr>
        <w:t xml:space="preserve">et al. Applicability of remote sensing drought index in drought monitoring of Jinsha River Basin[J]. Geomatics &amp; Spatial Information Technology, 2023, 46(1): 21-24. </w:t>
      </w:r>
    </w:p>
    <w:p w14:paraId="2D98BA80">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[13] 时淑悦. 内蒙古典型草原气象—水文—生态干旱多尺度协同演变特征研究[D]. 呼和浩特: 内蒙古农业大学, 2024.</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SHI S Y. </w:t>
      </w:r>
      <w:r>
        <w:rPr>
          <w:rFonts w:hint="default" w:ascii="Times New Roman" w:hAnsi="Times New Roman" w:eastAsia="宋体" w:cs="Times New Roman"/>
          <w:color w:val="auto"/>
          <w:sz w:val="18"/>
          <w:szCs w:val="18"/>
          <w:highlight w:val="none"/>
          <w:lang w:eastAsia="zh-CN"/>
        </w:rPr>
        <w:t xml:space="preserve">Study on the </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lang w:eastAsia="zh-CN"/>
        </w:rPr>
        <w:t xml:space="preserve">ulti-Scale </w:t>
      </w:r>
      <w:r>
        <w:rPr>
          <w:rFonts w:hint="default" w:ascii="Times New Roman" w:hAnsi="Times New Roman" w:eastAsia="宋体" w:cs="Times New Roman"/>
          <w:color w:val="auto"/>
          <w:sz w:val="18"/>
          <w:szCs w:val="18"/>
          <w:highlight w:val="none"/>
          <w:lang w:val="en-US" w:eastAsia="zh-CN"/>
        </w:rPr>
        <w:t>S</w:t>
      </w:r>
      <w:r>
        <w:rPr>
          <w:rFonts w:hint="default" w:ascii="Times New Roman" w:hAnsi="Times New Roman" w:eastAsia="宋体" w:cs="Times New Roman"/>
          <w:color w:val="auto"/>
          <w:sz w:val="18"/>
          <w:szCs w:val="18"/>
          <w:highlight w:val="none"/>
          <w:lang w:eastAsia="zh-CN"/>
        </w:rPr>
        <w:t xml:space="preserve">ynergistic </w:t>
      </w:r>
      <w:r>
        <w:rPr>
          <w:rFonts w:hint="default" w:ascii="Times New Roman" w:hAnsi="Times New Roman" w:eastAsia="宋体" w:cs="Times New Roman"/>
          <w:color w:val="auto"/>
          <w:sz w:val="18"/>
          <w:szCs w:val="18"/>
          <w:highlight w:val="none"/>
          <w:lang w:val="en-US" w:eastAsia="zh-CN"/>
        </w:rPr>
        <w:t>E</w:t>
      </w:r>
      <w:r>
        <w:rPr>
          <w:rFonts w:hint="default" w:ascii="Times New Roman" w:hAnsi="Times New Roman" w:eastAsia="宋体" w:cs="Times New Roman"/>
          <w:color w:val="auto"/>
          <w:sz w:val="18"/>
          <w:szCs w:val="18"/>
          <w:highlight w:val="none"/>
          <w:lang w:eastAsia="zh-CN"/>
        </w:rPr>
        <w:t xml:space="preserve">volution </w:t>
      </w:r>
      <w:r>
        <w:rPr>
          <w:rFonts w:hint="default" w:ascii="Times New Roman" w:hAnsi="Times New Roman" w:eastAsia="宋体" w:cs="Times New Roman"/>
          <w:color w:val="auto"/>
          <w:sz w:val="18"/>
          <w:szCs w:val="18"/>
          <w:highlight w:val="none"/>
          <w:lang w:val="en-US" w:eastAsia="zh-CN"/>
        </w:rPr>
        <w:t>C</w:t>
      </w:r>
      <w:r>
        <w:rPr>
          <w:rFonts w:hint="default" w:ascii="Times New Roman" w:hAnsi="Times New Roman" w:eastAsia="宋体" w:cs="Times New Roman"/>
          <w:color w:val="auto"/>
          <w:sz w:val="18"/>
          <w:szCs w:val="18"/>
          <w:highlight w:val="none"/>
          <w:lang w:eastAsia="zh-CN"/>
        </w:rPr>
        <w:t xml:space="preserve">haracteristics of </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lang w:eastAsia="zh-CN"/>
        </w:rPr>
        <w:t>eteorological-</w:t>
      </w:r>
      <w:r>
        <w:rPr>
          <w:rFonts w:hint="default" w:ascii="Times New Roman" w:hAnsi="Times New Roman" w:eastAsia="宋体" w:cs="Times New Roman"/>
          <w:color w:val="auto"/>
          <w:sz w:val="18"/>
          <w:szCs w:val="18"/>
          <w:highlight w:val="none"/>
          <w:lang w:val="en-US" w:eastAsia="zh-CN"/>
        </w:rPr>
        <w:t>H</w:t>
      </w:r>
      <w:r>
        <w:rPr>
          <w:rFonts w:hint="default" w:ascii="Times New Roman" w:hAnsi="Times New Roman" w:eastAsia="宋体" w:cs="Times New Roman"/>
          <w:color w:val="auto"/>
          <w:sz w:val="18"/>
          <w:szCs w:val="18"/>
          <w:highlight w:val="none"/>
          <w:lang w:eastAsia="zh-CN"/>
        </w:rPr>
        <w:t>ydrological-</w:t>
      </w:r>
      <w:r>
        <w:rPr>
          <w:rFonts w:hint="default" w:ascii="Times New Roman" w:hAnsi="Times New Roman" w:eastAsia="宋体" w:cs="Times New Roman"/>
          <w:color w:val="auto"/>
          <w:sz w:val="18"/>
          <w:szCs w:val="18"/>
          <w:highlight w:val="none"/>
          <w:lang w:val="en-US" w:eastAsia="zh-CN"/>
        </w:rPr>
        <w:t>E</w:t>
      </w:r>
      <w:r>
        <w:rPr>
          <w:rFonts w:hint="default" w:ascii="Times New Roman" w:hAnsi="Times New Roman" w:eastAsia="宋体" w:cs="Times New Roman"/>
          <w:color w:val="auto"/>
          <w:sz w:val="18"/>
          <w:szCs w:val="18"/>
          <w:highlight w:val="none"/>
          <w:lang w:eastAsia="zh-CN"/>
        </w:rPr>
        <w:t xml:space="preserve">cological </w:t>
      </w:r>
      <w:r>
        <w:rPr>
          <w:rFonts w:hint="default" w:ascii="Times New Roman" w:hAnsi="Times New Roman" w:eastAsia="宋体" w:cs="Times New Roman"/>
          <w:color w:val="auto"/>
          <w:sz w:val="18"/>
          <w:szCs w:val="18"/>
          <w:highlight w:val="none"/>
          <w:lang w:val="en-US" w:eastAsia="zh-CN"/>
        </w:rPr>
        <w:t>D</w:t>
      </w:r>
      <w:r>
        <w:rPr>
          <w:rFonts w:hint="default" w:ascii="Times New Roman" w:hAnsi="Times New Roman" w:eastAsia="宋体" w:cs="Times New Roman"/>
          <w:color w:val="auto"/>
          <w:sz w:val="18"/>
          <w:szCs w:val="18"/>
          <w:highlight w:val="none"/>
          <w:lang w:eastAsia="zh-CN"/>
        </w:rPr>
        <w:t xml:space="preserve">rought In </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eastAsia="宋体" w:cs="Times New Roman"/>
          <w:color w:val="auto"/>
          <w:sz w:val="18"/>
          <w:szCs w:val="18"/>
          <w:highlight w:val="none"/>
          <w:lang w:eastAsia="zh-CN"/>
        </w:rPr>
        <w:t xml:space="preserve">ypical </w:t>
      </w:r>
      <w:r>
        <w:rPr>
          <w:rFonts w:hint="default" w:ascii="Times New Roman" w:hAnsi="Times New Roman" w:eastAsia="宋体" w:cs="Times New Roman"/>
          <w:color w:val="auto"/>
          <w:sz w:val="18"/>
          <w:szCs w:val="18"/>
          <w:highlight w:val="none"/>
          <w:lang w:val="en-US" w:eastAsia="zh-CN"/>
        </w:rPr>
        <w:t>G</w:t>
      </w:r>
      <w:r>
        <w:rPr>
          <w:rFonts w:hint="default" w:ascii="Times New Roman" w:hAnsi="Times New Roman" w:eastAsia="宋体" w:cs="Times New Roman"/>
          <w:color w:val="auto"/>
          <w:sz w:val="18"/>
          <w:szCs w:val="18"/>
          <w:highlight w:val="none"/>
          <w:lang w:eastAsia="zh-CN"/>
        </w:rPr>
        <w:t>rassland of Inner Mongolia[D]. Hohhot: Inner Mongolia Agricultural University, 2024</w:t>
      </w:r>
      <w:r>
        <w:rPr>
          <w:rFonts w:hint="default" w:ascii="Times New Roman" w:hAnsi="Times New Roman" w:eastAsia="宋体" w:cs="Times New Roman"/>
          <w:color w:val="auto"/>
          <w:sz w:val="18"/>
          <w:szCs w:val="18"/>
          <w:highlight w:val="none"/>
          <w:lang w:val="en-US" w:eastAsia="zh-CN"/>
        </w:rPr>
        <w:t>.</w:t>
      </w:r>
    </w:p>
    <w:p w14:paraId="6B4ACCB5">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[14] SANDHOLT I, RASMUSSEN K, ANDERSEN J. A simple interpretation of the surface temperature</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eastAsia="zh-CN"/>
        </w:rPr>
        <w:t>vegetation index space for assessment of surface moisture status[J]. Remote Sensing of Environment, 2002, 79(2</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eastAsia="zh-CN"/>
        </w:rPr>
        <w:t xml:space="preserve">3): 213-224. </w:t>
      </w:r>
    </w:p>
    <w:p w14:paraId="4A5A70D9">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[15] 陆杰英, 孙丽颖, 王春林, 等. 基于PDSI指数的近40年广东干旱特征分析[J]. 气象研究与应用, 202</w:t>
      </w:r>
      <w:r>
        <w:rPr>
          <w:rFonts w:hint="default" w:ascii="Times New Roman" w:hAnsi="Times New Roman" w:eastAsia="宋体" w:cs="Times New Roman"/>
          <w:color w:val="auto"/>
          <w:sz w:val="18"/>
          <w:szCs w:val="18"/>
          <w:highlight w:val="none"/>
          <w:lang w:eastAsia="zh-CN"/>
        </w:rPr>
        <w:t>2,</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eastAsia="zh-CN"/>
        </w:rPr>
        <w:t>43(</w:t>
      </w:r>
      <w:r>
        <w:rPr>
          <w:rFonts w:hint="default" w:ascii="Times New Roman" w:hAnsi="Times New Roman" w:eastAsia="宋体" w:cs="Times New Roman"/>
          <w:color w:val="auto"/>
          <w:sz w:val="18"/>
          <w:szCs w:val="18"/>
          <w:highlight w:val="none"/>
          <w:lang w:eastAsia="zh-CN"/>
        </w:rPr>
        <w:t>1): 36-40.</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LU J Y, SUN L Y, WANG C L, et al. Analysis of drought characteristics in Guangdong in recent 40 years based on PDSI index[J]. Journal of Meteorological Research and Application, 2022, </w:t>
      </w:r>
      <w:r>
        <w:rPr>
          <w:rFonts w:hint="default" w:ascii="Times New Roman" w:hAnsi="Times New Roman" w:eastAsia="宋体" w:cs="Times New Roman"/>
          <w:color w:val="auto"/>
          <w:sz w:val="18"/>
          <w:szCs w:val="18"/>
          <w:highlight w:val="none"/>
          <w:lang w:eastAsia="zh-CN"/>
        </w:rPr>
        <w:t>43(1</w:t>
      </w:r>
      <w:r>
        <w:rPr>
          <w:rFonts w:hint="default" w:ascii="Times New Roman" w:hAnsi="Times New Roman" w:eastAsia="宋体" w:cs="Times New Roman"/>
          <w:color w:val="auto"/>
          <w:sz w:val="18"/>
          <w:szCs w:val="18"/>
          <w:highlight w:val="none"/>
          <w:lang w:eastAsia="zh-CN"/>
        </w:rPr>
        <w:t xml:space="preserve">): 36-40. </w:t>
      </w:r>
    </w:p>
    <w:p w14:paraId="1B98F6AB">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[16] RAGHAV P, KUMAR M. Are the ecosystem-level evaporative stress indices representative of evaporative stress of vegetation</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eastAsia="zh-CN"/>
        </w:rPr>
        <w:t xml:space="preserve">[J]. Agricultural and Forest Meteorology, 2024, 357: 110195. </w:t>
      </w:r>
    </w:p>
    <w:p w14:paraId="05A4913F">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[17] JIANG T L, SU X L, SINGH V P, et al. A novel index for ecological drought monitoring based on ecological water deficit[J]. Ecological Indicators, 2021, 129: 107804. </w:t>
      </w:r>
    </w:p>
    <w:p w14:paraId="18BD7867">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[18] KOGAN F N. Application of vegetation index and brightness temperature for drought detection[J]. Advances in Space Research, 1995, 15(11): 91-100. </w:t>
      </w:r>
    </w:p>
    <w:p w14:paraId="088B5FA6">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[19] 米娜, 温学发, 蔡福, 等. 季节性干旱对千烟洲人工林水分利用效率的影响[J]. 林业科学, 2014, 50(12): 24-31.</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MI N, WEN X F, CAI F, </w:t>
      </w:r>
      <w:r>
        <w:rPr>
          <w:rFonts w:hint="default" w:ascii="Times New Roman" w:hAnsi="Times New Roman" w:eastAsia="宋体" w:cs="Times New Roman"/>
          <w:color w:val="auto"/>
          <w:sz w:val="18"/>
          <w:szCs w:val="18"/>
          <w:highlight w:val="none"/>
          <w:lang w:eastAsia="zh-CN"/>
        </w:rPr>
        <w:t xml:space="preserve">et al. Effects of seasonal drought on the water use efficiency of </w:t>
      </w:r>
      <w:r>
        <w:rPr>
          <w:rFonts w:hint="default" w:ascii="Times New Roman" w:hAnsi="Times New Roman" w:eastAsia="宋体" w:cs="Times New Roman"/>
          <w:color w:val="auto"/>
          <w:sz w:val="18"/>
          <w:szCs w:val="18"/>
          <w:highlight w:val="none"/>
          <w:lang w:val="en-US" w:eastAsia="zh-CN"/>
        </w:rPr>
        <w:t>Q</w:t>
      </w:r>
      <w:r>
        <w:rPr>
          <w:rFonts w:hint="default" w:ascii="Times New Roman" w:hAnsi="Times New Roman" w:eastAsia="宋体" w:cs="Times New Roman"/>
          <w:color w:val="auto"/>
          <w:sz w:val="18"/>
          <w:szCs w:val="18"/>
          <w:highlight w:val="none"/>
          <w:lang w:eastAsia="zh-CN"/>
        </w:rPr>
        <w:t xml:space="preserve">ianyanzhou plantation[J]. Scientia Silvae Sinicae, 2014, 50(12): 24-31. </w:t>
      </w:r>
    </w:p>
    <w:p w14:paraId="3F51841E">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[20]</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eastAsia="zh-CN"/>
        </w:rPr>
        <w:t>薛联青, 肖颖, 刘远洪, 等. 黄河流域植被水分利用效率对干旱的时空累积响应[J]. 水资源保护, 2023, 39(4): 32-41.</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XUE L Q, XIAO Y, LIU Y H, et al. Spatiotemporal accumulation response of vegetation water use efficiency to drought in the Yellow River Basin[J]. Water Resources Protection, 202</w:t>
      </w:r>
      <w:r>
        <w:rPr>
          <w:rFonts w:hint="default" w:ascii="Times New Roman" w:hAnsi="Times New Roman" w:eastAsia="宋体" w:cs="Times New Roman"/>
          <w:color w:val="auto"/>
          <w:sz w:val="18"/>
          <w:szCs w:val="18"/>
          <w:highlight w:val="none"/>
          <w:lang w:eastAsia="zh-CN"/>
        </w:rPr>
        <w:t xml:space="preserve">3, 39(4): 32-41. </w:t>
      </w:r>
    </w:p>
    <w:p w14:paraId="7E8B64B2">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[21] 王中圆, 徐</w:t>
      </w:r>
      <w:r>
        <w:rPr>
          <w:rFonts w:hint="default" w:ascii="Times New Roman" w:hAnsi="Times New Roman" w:eastAsia="宋体" w:cs="Times New Roman"/>
          <w:color w:val="auto"/>
          <w:sz w:val="18"/>
          <w:szCs w:val="18"/>
          <w:highlight w:val="none"/>
          <w:lang w:eastAsia="zh-CN"/>
        </w:rPr>
        <w:t xml:space="preserve">天齐, 刘赫航, 等. 基于DSSAT的黑龙江省玉米水分利用效率时空分布研究[J]. 农业与技术, 2025, 45(11): 34-38. </w:t>
      </w:r>
    </w:p>
    <w:p w14:paraId="34EC67C5">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[22]吴光明,徐筱雯,李奇锦,等.近40年中国植被绿度对干旱胁迫的响应及其驱动因素[J].生态学报,2026,46(7):3489-3504.</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WU G M, XU X W, LI Q J, et al. Sensitivity of vegetation greenness to drought stress and its driving factors over the past four decades in China[J]. Acta Ecologica Sinica, </w:t>
      </w:r>
      <w:r>
        <w:rPr>
          <w:rFonts w:hint="default" w:ascii="Times New Roman" w:hAnsi="Times New Roman" w:eastAsia="宋体" w:cs="Times New Roman"/>
          <w:color w:val="auto"/>
          <w:sz w:val="18"/>
          <w:szCs w:val="18"/>
          <w:highlight w:val="none"/>
          <w:lang w:eastAsia="zh-CN"/>
        </w:rPr>
        <w:t>,2026,46(7):3489-3504.</w:t>
      </w:r>
    </w:p>
    <w:p w14:paraId="23A5994B">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[23] YU X J, YIN Q, ZHAO T T, et al. Detecting ecosystem water use efficiency responses to drought from long-term remote sensing data[J]. Ecological Indicators, 2025, 177: 113734. </w:t>
      </w:r>
    </w:p>
    <w:p w14:paraId="4487CA0D">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9"/>
          <w:szCs w:val="19"/>
          <w:highlight w:val="none"/>
          <w:shd w:val="clear" w:color="auto" w:fill="FFFFFF"/>
          <w:lang w:eastAsia="zh-CN"/>
        </w:rPr>
        <w:t>[24] LIU S H, XUE L Q, XIAO Y, et al. Dynamic process of ecosystem water use efficiency and response to drought in the Yellow River Basin, China[J]. Science of the Total Environment, 2024, 934: 173339.</w:t>
      </w:r>
      <w:r>
        <w:rPr>
          <w:rFonts w:hint="default" w:ascii="Times New Roman" w:hAnsi="Times New Roman" w:eastAsia="宋体" w:cs="Times New Roman"/>
          <w:color w:val="auto"/>
          <w:sz w:val="18"/>
          <w:szCs w:val="18"/>
          <w:highlight w:val="none"/>
          <w:lang w:eastAsia="zh-CN"/>
        </w:rPr>
        <w:t xml:space="preserve"> </w:t>
      </w:r>
    </w:p>
    <w:p w14:paraId="5382B192">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[25] 邹杰, 丁建丽, 秦艳, 等. 遥感分析中亚地区生态系统水分利用效率对干旱的响应[J]</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eastAsia="zh-CN"/>
        </w:rPr>
        <w:t xml:space="preserve"> 农业工程学报, 2018</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eastAsia="zh-CN"/>
        </w:rPr>
        <w:t>34(9): 145-152.</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ZOU J, DING J L, QIN Y, et al. Response of water use efficiency of Central Asia ecosystem to drought based on remote sensing data[J]. Transactions of the Chinese Society of Agricultural Engineering, 2018, </w:t>
      </w:r>
      <w:r>
        <w:rPr>
          <w:rFonts w:hint="default" w:ascii="Times New Roman" w:hAnsi="Times New Roman" w:eastAsia="宋体" w:cs="Times New Roman"/>
          <w:color w:val="auto"/>
          <w:sz w:val="18"/>
          <w:szCs w:val="18"/>
          <w:highlight w:val="none"/>
          <w:lang w:eastAsia="zh-CN"/>
        </w:rPr>
        <w:t>34(9</w:t>
      </w:r>
      <w:r>
        <w:rPr>
          <w:rFonts w:hint="default" w:ascii="Times New Roman" w:hAnsi="Times New Roman" w:eastAsia="宋体" w:cs="Times New Roman"/>
          <w:color w:val="auto"/>
          <w:sz w:val="18"/>
          <w:szCs w:val="18"/>
          <w:highlight w:val="none"/>
          <w:lang w:eastAsia="zh-CN"/>
        </w:rPr>
        <w:t>): 145-152.</w:t>
      </w:r>
    </w:p>
    <w:p w14:paraId="68A53988">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[26] HUANG L, HE B, HAN L, et al. A global examination of the response of ecosystem water-use efficiency to drought based on MODIS data[J]. Science of the Total Environment, 2017, 601: 1097-1107. </w:t>
      </w:r>
    </w:p>
    <w:p w14:paraId="65EECA31">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[27] 刘轩, 粟晓玲, 姜田亮, 等. 基于水分利用效率的生态干旱敏感性评估[J]. 西北农林科技大学学报(自然科学版), 2023, 51(6): 81-90.</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LIU X, SU X L, JIANG T L, et</w:t>
      </w:r>
      <w:r>
        <w:rPr>
          <w:rFonts w:hint="default" w:ascii="Times New Roman" w:hAnsi="Times New Roman" w:eastAsia="宋体" w:cs="Times New Roman"/>
          <w:color w:val="auto"/>
          <w:sz w:val="18"/>
          <w:szCs w:val="18"/>
          <w:highlight w:val="none"/>
          <w:lang w:eastAsia="zh-CN"/>
        </w:rPr>
        <w:t xml:space="preserve"> al. Assessment of ecological drought sensitivity based on water use efficiency[J]. Journal of Northwest A&amp;F University (Natural Science Edition), 2023, 51(6): 81-90. </w:t>
      </w:r>
    </w:p>
    <w:p w14:paraId="051E89D4">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[28] 宋佳, 徐长春, 杨媛媛, 等. 基于MODIS16的新疆干湿气候时空变化及影响因素[J]. 水土保持研究, 2019, 26(5): 210-214.</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SONG J, XU C C, YANG Y Y, et a</w:t>
      </w:r>
      <w:r>
        <w:rPr>
          <w:rFonts w:hint="default" w:ascii="Times New Roman" w:hAnsi="Times New Roman" w:eastAsia="宋体" w:cs="Times New Roman"/>
          <w:color w:val="auto"/>
          <w:sz w:val="18"/>
          <w:szCs w:val="18"/>
          <w:highlight w:val="none"/>
          <w:lang w:eastAsia="zh-CN"/>
        </w:rPr>
        <w:t xml:space="preserve">l. Temporal and spatial variation characteristics of evapotranspiration and dry-wet climate in Xinjiang based on MODIS16[J]. Research of Soil and Water Conservation, 2019, 26(5): 210-214. </w:t>
      </w:r>
    </w:p>
    <w:p w14:paraId="52DDAB9D">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[29] 肖潇, 邱新法, 徐金勤. </w:t>
      </w:r>
      <w:r>
        <w:rPr>
          <w:rFonts w:hint="default" w:ascii="Times New Roman" w:hAnsi="Times New Roman" w:eastAsia="宋体" w:cs="Times New Roman"/>
          <w:color w:val="auto"/>
          <w:sz w:val="18"/>
          <w:szCs w:val="18"/>
          <w:highlight w:val="none"/>
          <w:lang w:eastAsia="zh-CN"/>
        </w:rPr>
        <w:t>基于TerraClimate数据集的1960—2019年中国干湿气候变化特征[J]. 长江科学院院报, 2023,</w:t>
      </w:r>
      <w:r>
        <w:rPr>
          <w:rFonts w:hint="default" w:ascii="Times New Roman" w:hAnsi="Times New Roman" w:eastAsia="宋体" w:cs="Times New Roman"/>
          <w:color w:val="auto"/>
          <w:sz w:val="18"/>
          <w:szCs w:val="18"/>
          <w:highlight w:val="none"/>
          <w:lang w:eastAsia="zh-CN"/>
        </w:rPr>
        <w:t>40(2): 27-33.</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XIAO X, QIU X F, XU J Q. Characteristics of dry and wet climate change in China from 1960 to 2019 based on TerraClimate dataset[J]. Journal of Changjiang River Scientific Research</w:t>
      </w:r>
      <w:r>
        <w:rPr>
          <w:rFonts w:hint="default" w:ascii="Times New Roman" w:hAnsi="Times New Roman" w:eastAsia="宋体" w:cs="Times New Roman"/>
          <w:color w:val="auto"/>
          <w:sz w:val="18"/>
          <w:szCs w:val="18"/>
          <w:highlight w:val="none"/>
          <w:lang w:eastAsia="zh-CN"/>
        </w:rPr>
        <w:t xml:space="preserve"> Institute, 2023, 40(2): 27-33. </w:t>
      </w:r>
    </w:p>
    <w:p w14:paraId="137245A7">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[30] KIM D, BAIK J, UMAIR M, et al. Water use efficiency in terrestrial ecosystem over East Asia: </w:t>
      </w:r>
      <w:r>
        <w:rPr>
          <w:rFonts w:hint="default" w:ascii="Times New Roman" w:hAnsi="Times New Roman" w:eastAsia="宋体" w:cs="Times New Roman"/>
          <w:color w:val="auto"/>
          <w:sz w:val="18"/>
          <w:szCs w:val="18"/>
          <w:highlight w:val="none"/>
          <w:lang w:val="en-US" w:eastAsia="zh-CN"/>
        </w:rPr>
        <w:t>e</w:t>
      </w:r>
      <w:r>
        <w:rPr>
          <w:rFonts w:hint="default" w:ascii="Times New Roman" w:hAnsi="Times New Roman" w:eastAsia="宋体" w:cs="Times New Roman"/>
          <w:color w:val="auto"/>
          <w:sz w:val="18"/>
          <w:szCs w:val="18"/>
          <w:highlight w:val="none"/>
          <w:lang w:eastAsia="zh-CN"/>
        </w:rPr>
        <w:t xml:space="preserve">ffects of climate regimes and land cover types[J]. Science of the Total Environment, 2021, 773: 145519. </w:t>
      </w:r>
    </w:p>
    <w:p w14:paraId="46CEF712">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[31] 杜晓铮, 赵祥, 王昊宇, 等. 陆地生态系统水分利用效率对气候变化的响应研究进展[J]. 生态学报, 2018, 38(23): 8296-8305.</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DU X Z, ZHAO X, WANG H Y, et </w:t>
      </w:r>
      <w:r>
        <w:rPr>
          <w:rFonts w:hint="default" w:ascii="Times New Roman" w:hAnsi="Times New Roman" w:eastAsia="宋体" w:cs="Times New Roman"/>
          <w:color w:val="auto"/>
          <w:sz w:val="18"/>
          <w:szCs w:val="18"/>
          <w:highlight w:val="none"/>
          <w:lang w:eastAsia="zh-CN"/>
        </w:rPr>
        <w:t xml:space="preserve">al. Responses of terrestrial ecosystem water use efficiency to climate change: A review[J]. Acta Ecologica Sinica, 2018, 38(23): 8296-8305. </w:t>
      </w:r>
    </w:p>
    <w:p w14:paraId="5BFB2BF0">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[32] GRINGORTEN I I. A plotting rule for extreme probability paper[J]. Journal of Geophysical Research, 1963, 68(3): 813-814. </w:t>
      </w:r>
    </w:p>
    <w:p w14:paraId="310A1C1C">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[33] 粟晓玲, 梁晓萱, 吴海江, 等. 表征生态状况的综合干旱指数构建及干旱风险分析[J]. 水资源保护, 2023，</w:t>
      </w:r>
      <w:r>
        <w:rPr>
          <w:rFonts w:hint="default" w:ascii="Times New Roman" w:hAnsi="Times New Roman" w:eastAsia="宋体" w:cs="Times New Roman"/>
          <w:color w:val="auto"/>
          <w:sz w:val="18"/>
          <w:szCs w:val="18"/>
          <w:highlight w:val="none"/>
          <w:lang w:eastAsia="zh-CN"/>
        </w:rPr>
        <w:t>39(2)</w:t>
      </w:r>
      <w:r>
        <w:rPr>
          <w:rFonts w:hint="default" w:ascii="Times New Roman" w:hAnsi="Times New Roman" w:eastAsia="宋体" w:cs="Times New Roman"/>
          <w:color w:val="auto"/>
          <w:sz w:val="18"/>
          <w:szCs w:val="18"/>
          <w:highlight w:val="none"/>
          <w:lang w:eastAsia="zh-CN"/>
        </w:rPr>
        <w:t>: 50-58.</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SU X L, LIANG X X, WU H J, et al. Construction of comprehensive drought index representing ecological condition and drought risk analysis[J]. Water Resources Protecti</w:t>
      </w:r>
      <w:r>
        <w:rPr>
          <w:rFonts w:hint="default" w:ascii="Times New Roman" w:hAnsi="Times New Roman" w:eastAsia="宋体" w:cs="Times New Roman"/>
          <w:color w:val="auto"/>
          <w:sz w:val="18"/>
          <w:szCs w:val="18"/>
          <w:highlight w:val="none"/>
          <w:lang w:eastAsia="zh-CN"/>
        </w:rPr>
        <w:t>on, 2023, 39(2): 5</w:t>
      </w:r>
      <w:r>
        <w:rPr>
          <w:rFonts w:hint="default" w:ascii="Times New Roman" w:hAnsi="Times New Roman" w:eastAsia="宋体" w:cs="Times New Roman"/>
          <w:color w:val="auto"/>
          <w:sz w:val="18"/>
          <w:szCs w:val="18"/>
          <w:highlight w:val="none"/>
          <w:lang w:eastAsia="zh-CN"/>
        </w:rPr>
        <w:t xml:space="preserve">0-58. </w:t>
      </w:r>
    </w:p>
    <w:p w14:paraId="3E4368D6">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[34] 汤连盟, 吕伟才, 蒲涛, 等. 西北地区干旱时空动态分布及成因分析[J]. 遥感信息, 2023, 38(5): 66-72.</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TANG L M,</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val="en-US" w:eastAsia="zh-CN"/>
        </w:rPr>
        <w:t>LV</w:t>
      </w:r>
      <w:r>
        <w:rPr>
          <w:rFonts w:hint="default" w:ascii="Times New Roman" w:hAnsi="Times New Roman" w:eastAsia="宋体" w:cs="Times New Roman"/>
          <w:color w:val="auto"/>
          <w:sz w:val="18"/>
          <w:szCs w:val="18"/>
          <w:highlight w:val="none"/>
          <w:lang w:eastAsia="zh-CN"/>
        </w:rPr>
        <w:t xml:space="preserve"> </w:t>
      </w:r>
      <w:r>
        <w:rPr>
          <w:rFonts w:hint="default" w:ascii="Times New Roman" w:hAnsi="Times New Roman" w:eastAsia="宋体" w:cs="Times New Roman"/>
          <w:color w:val="auto"/>
          <w:sz w:val="18"/>
          <w:szCs w:val="18"/>
          <w:highlight w:val="none"/>
          <w:lang w:eastAsia="zh-CN"/>
        </w:rPr>
        <w:t>W C, PU T</w:t>
      </w:r>
      <w:r>
        <w:rPr>
          <w:rFonts w:hint="default" w:ascii="Times New Roman" w:hAnsi="Times New Roman" w:eastAsia="宋体" w:cs="Times New Roman"/>
          <w:color w:val="auto"/>
          <w:sz w:val="18"/>
          <w:szCs w:val="18"/>
          <w:highlight w:val="none"/>
          <w:lang w:eastAsia="zh-CN"/>
        </w:rPr>
        <w:t xml:space="preserve">, et al. Spatio-temporal dynamic distribution and cause analysis of drought in </w:t>
      </w: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eastAsia="zh-CN"/>
        </w:rPr>
        <w:t xml:space="preserve">orthwest China[J]. Remote Sensing Information, 2023, 38(5): 66-72. </w:t>
      </w:r>
    </w:p>
    <w:p w14:paraId="3541567E">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[35] 高晓宇, 郝海超, 张雪琪, 等. 中国西北干旱区植被水分利用效率变化对气象要素的响应：</w:t>
      </w:r>
      <w:r>
        <w:rPr>
          <w:rFonts w:hint="default" w:ascii="Times New Roman" w:hAnsi="Times New Roman" w:eastAsia="宋体" w:cs="Times New Roman"/>
          <w:color w:val="auto"/>
          <w:sz w:val="18"/>
          <w:szCs w:val="18"/>
          <w:highlight w:val="none"/>
          <w:lang w:eastAsia="zh-CN"/>
        </w:rPr>
        <w:t xml:space="preserve">以新疆为例[J]. 干旱区地理, </w:t>
      </w:r>
      <w:r>
        <w:rPr>
          <w:rFonts w:hint="default" w:ascii="Times New Roman" w:hAnsi="Times New Roman" w:eastAsia="宋体" w:cs="Times New Roman"/>
          <w:color w:val="auto"/>
          <w:sz w:val="18"/>
          <w:szCs w:val="18"/>
          <w:highlight w:val="none"/>
          <w:lang w:eastAsia="zh-CN"/>
        </w:rPr>
        <w:t>2023, 46(7): 1111-1120.</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GAO X Y, HAO H C, ZHANG X Q, et al. Responses of vegetation water use efficiency to meteorological factors in arid areas of northwest China: A case of Xinjiang[J]. Arid Land Geograph</w:t>
      </w:r>
      <w:r>
        <w:rPr>
          <w:rFonts w:hint="default" w:ascii="Times New Roman" w:hAnsi="Times New Roman" w:eastAsia="宋体" w:cs="Times New Roman"/>
          <w:color w:val="auto"/>
          <w:sz w:val="18"/>
          <w:szCs w:val="18"/>
          <w:highlight w:val="none"/>
          <w:lang w:eastAsia="zh-CN"/>
        </w:rPr>
        <w:t>y, 2023, 46(7): 1111-1120.</w:t>
      </w:r>
    </w:p>
    <w:p w14:paraId="03D673EB">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[36] HAN Q F, LUO G P, LI C F, et al. Modeling grassland net primary productivity and water-use efficiency along an elevational gradient of the Northern Tianshan Mountains[J]. Journal of Arid Land, 2013, 5(3): 354-365.</w:t>
      </w:r>
    </w:p>
    <w:p w14:paraId="4A8EF434">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[37] BAI Y J, ZHA T S, BOURQUE C P A, et al. Variation in ecosystem water use efficiency along a southwest-to-northeast aridity gradient in China[J]. Ecological Indicators, 2020, 110: 105932. </w:t>
      </w:r>
    </w:p>
    <w:p w14:paraId="7BCB8EFC">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[38] </w:t>
      </w:r>
      <w:r>
        <w:rPr>
          <w:rFonts w:hint="default" w:ascii="Times New Roman" w:hAnsi="Times New Roman" w:eastAsia="宋体" w:cs="Times New Roman"/>
          <w:color w:val="auto"/>
          <w:sz w:val="18"/>
          <w:szCs w:val="18"/>
          <w:highlight w:val="none"/>
          <w:lang w:eastAsia="zh-CN"/>
        </w:rPr>
        <w:t>XU Q.</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eastAsia="zh-CN"/>
        </w:rPr>
        <w:t>S</w:t>
      </w:r>
      <w:r>
        <w:rPr>
          <w:rFonts w:hint="default" w:ascii="Times New Roman" w:hAnsi="Times New Roman" w:eastAsia="宋体" w:cs="Times New Roman"/>
          <w:color w:val="auto"/>
          <w:sz w:val="18"/>
          <w:szCs w:val="18"/>
          <w:highlight w:val="none"/>
          <w:lang w:eastAsia="zh-CN"/>
        </w:rPr>
        <w:t>patiotemporal variation of water use efficiency and its influencing factors in arid and semi-arid areas of China[J]. Geographical Science Research, 2021, 10</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eastAsia="zh-CN"/>
        </w:rPr>
        <w:t xml:space="preserve">126-136. </w:t>
      </w:r>
    </w:p>
    <w:p w14:paraId="470ADA66">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[39] 李晓鹏, 李康, 雷双, 等. 基于TVDI的新疆地区干旱时空变化特征[J]. 干旱区研究, 2025, 42(4): 589-599.</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LI X P, LI K, LEI S, </w:t>
      </w:r>
      <w:r>
        <w:rPr>
          <w:rFonts w:hint="default" w:ascii="Times New Roman" w:hAnsi="Times New Roman" w:eastAsia="宋体" w:cs="Times New Roman"/>
          <w:color w:val="auto"/>
          <w:sz w:val="18"/>
          <w:szCs w:val="18"/>
          <w:highlight w:val="none"/>
          <w:lang w:eastAsia="zh-CN"/>
        </w:rPr>
        <w:t xml:space="preserve">et al. Spatiotemporal variations in drought conditions in Xinjiang based on TVDI[J]. Arid Zone Research, 2025, 42(4): 589-599. </w:t>
      </w:r>
    </w:p>
    <w:p w14:paraId="1E6E5B84">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[40] 张秀霞, 韩丽莎, 党星海, 等. 西北干旱区近30 a植被覆盖的时空变化及其对气候因子的响应[J]. 干旱区研究, 2</w:t>
      </w:r>
      <w:r>
        <w:rPr>
          <w:rFonts w:hint="default" w:ascii="Times New Roman" w:hAnsi="Times New Roman" w:eastAsia="宋体" w:cs="Times New Roman"/>
          <w:color w:val="auto"/>
          <w:sz w:val="18"/>
          <w:szCs w:val="18"/>
          <w:highlight w:val="none"/>
          <w:lang w:eastAsia="zh-CN"/>
        </w:rPr>
        <w:t>025,</w:t>
      </w:r>
      <w:r>
        <w:rPr>
          <w:rFonts w:hint="default" w:ascii="Times New Roman" w:hAnsi="Times New Roman" w:eastAsia="宋体" w:cs="Times New Roman"/>
          <w:color w:val="auto"/>
          <w:sz w:val="18"/>
          <w:szCs w:val="18"/>
          <w:highlight w:val="none"/>
          <w:lang w:eastAsia="zh-CN"/>
        </w:rPr>
        <w:t>42(6): 1067-1079.</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ZHANG X X, HAN L S, DANG X H, et al. Spatiotemporal changes in vegetation coverage in the arid regions of Northwest China over the past 30 years and their response to climatic factors[J]. Arid Zone Research, 2025</w:t>
      </w:r>
      <w:r>
        <w:rPr>
          <w:rFonts w:hint="default" w:ascii="Times New Roman" w:hAnsi="Times New Roman" w:eastAsia="宋体" w:cs="Times New Roman"/>
          <w:color w:val="auto"/>
          <w:sz w:val="18"/>
          <w:szCs w:val="18"/>
          <w:highlight w:val="none"/>
          <w:lang w:eastAsia="zh-CN"/>
        </w:rPr>
        <w:t xml:space="preserve">, 42(6): 1067-1079. </w:t>
      </w:r>
    </w:p>
    <w:p w14:paraId="27F9A345">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[41] 黄静, 张运, 汪明秀, 等. 近17年新疆干旱时空分布特征及影响因素[J]. 生态学报, 2020, 40(3): 1077-1088.</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HUANG J, ZHANG Y, WANG M X, et al. </w:t>
      </w:r>
      <w:r>
        <w:rPr>
          <w:rFonts w:hint="default" w:ascii="Times New Roman" w:hAnsi="Times New Roman" w:eastAsia="宋体" w:cs="Times New Roman"/>
          <w:color w:val="auto"/>
          <w:sz w:val="18"/>
          <w:szCs w:val="18"/>
          <w:highlight w:val="none"/>
          <w:lang w:eastAsia="zh-CN"/>
        </w:rPr>
        <w:t xml:space="preserve">Spatial and temporal distribution characteristics of drought and its relationship with meteorological factors in Xinjiang in last 17 years[J]. Acta Ecologica Sinica, 2020, 40(3): 1077-1088. </w:t>
      </w:r>
    </w:p>
    <w:p w14:paraId="4B2F0633">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[42] 胡毅, 张刘东, 谢慧, 等</w:t>
      </w:r>
      <w:r>
        <w:rPr>
          <w:rFonts w:hint="default"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eastAsia="zh-CN"/>
        </w:rPr>
        <w:t>2001—2020年云南省植被水分利用效率与干旱特征分析[J]. 中国水土保持科学(中英文), 2025, 23(6): 229-241.</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HU Y, ZHANG L D, XIE H, et al. Analysis of vegetation water use efficiency and drought characteristics in Yunnan Province from 2001 to 2020[J]. Science of Soil and Water Conservation, 2025, 23(6): 229-241. </w:t>
      </w:r>
    </w:p>
    <w:p w14:paraId="3D72A5C4">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 xml:space="preserve">[43] YANG S S, ZHANG J H, HAN J Q, et al. Evaluating global ecosystem water use efficiency response to drought based on multi-model analysis[J]. Science of the Total Environment, 2021, 778: 146356. </w:t>
      </w:r>
    </w:p>
    <w:p w14:paraId="39CD9098">
      <w:pPr>
        <w:pStyle w:val="24"/>
        <w:numPr>
          <w:ilvl w:val="0"/>
          <w:numId w:val="0"/>
        </w:numPr>
        <w:tabs>
          <w:tab w:val="left" w:pos="527"/>
        </w:tabs>
        <w:wordWrap w:val="0"/>
        <w:ind w:left="420" w:leftChars="0" w:hanging="420" w:firstLineChars="0"/>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[44] 赵秋, 高凡, 何兵, 等. 阿克苏河流域农田水分利用效率时空格局研究[J]. 干旱区地理, 2026, 49(2): 369-380.</w:t>
      </w:r>
      <w:r>
        <w:rPr>
          <w:rFonts w:hint="default" w:ascii="Times New Roman" w:hAnsi="Times New Roman" w:eastAsia="宋体" w:cs="Times New Roman"/>
          <w:i w:val="0"/>
          <w:color w:val="auto"/>
          <w:sz w:val="18"/>
          <w:szCs w:val="18"/>
          <w:highlight w:val="none"/>
          <w:lang w:eastAsia="zh-CN"/>
        </w:rPr>
        <w:br w:type="textWrapping"/>
      </w:r>
      <w:r>
        <w:rPr>
          <w:rFonts w:hint="default" w:ascii="Times New Roman" w:hAnsi="Times New Roman" w:eastAsia="宋体" w:cs="Times New Roman"/>
          <w:color w:val="auto"/>
          <w:sz w:val="18"/>
          <w:szCs w:val="18"/>
          <w:highlight w:val="none"/>
          <w:lang w:eastAsia="zh-CN"/>
        </w:rPr>
        <w:t xml:space="preserve">ZHAO Q, GAO F, HE B, et </w:t>
      </w:r>
      <w:r>
        <w:rPr>
          <w:rFonts w:hint="default" w:ascii="Times New Roman" w:hAnsi="Times New Roman" w:eastAsia="宋体" w:cs="Times New Roman"/>
          <w:color w:val="auto"/>
          <w:sz w:val="18"/>
          <w:szCs w:val="18"/>
          <w:highlight w:val="none"/>
          <w:lang w:eastAsia="zh-CN"/>
        </w:rPr>
        <w:t xml:space="preserve">al. Spatiotemporal patterns of cropland water use efficiency in the Aksu River Basin[J]. Arid Land Geography, 2026, 49(2): 369-380. </w:t>
      </w:r>
    </w:p>
    <w:p w14:paraId="722C4B6C">
      <w:pPr>
        <w:pStyle w:val="24"/>
        <w:tabs>
          <w:tab w:val="left" w:pos="420"/>
          <w:tab w:val="left" w:pos="527"/>
        </w:tabs>
        <w:ind w:left="0" w:leftChars="0" w:firstLine="0" w:firstLineChars="0"/>
        <w:rPr>
          <w:rFonts w:hint="default" w:ascii="Times New Roman" w:hAnsi="Times New Roman" w:eastAsia="宋体" w:cs="Times New Roman"/>
          <w:color w:val="auto"/>
          <w:sz w:val="15"/>
          <w:szCs w:val="15"/>
          <w:highlight w:val="none"/>
          <w:lang w:eastAsia="zh-CN"/>
        </w:rPr>
      </w:pPr>
    </w:p>
    <w:sectPr>
      <w:footerReference r:id="rId4" w:type="default"/>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D3A6">
    <w:pPr>
      <w:pStyle w:val="11"/>
      <w:adjustRightInd w:val="0"/>
      <w:ind w:firstLine="900" w:firstLineChars="500"/>
      <w:rPr>
        <w:rFonts w:ascii="Times New Roman" w:hAnsi="Times New Roman"/>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157055C">
      <w:pPr>
        <w:pStyle w:val="11"/>
        <w:adjustRightInd w:val="0"/>
        <w:rPr>
          <w:color w:val="auto"/>
        </w:rPr>
      </w:pPr>
      <w:r>
        <w:rPr>
          <w:rFonts w:hint="eastAsia"/>
          <w:color w:val="auto"/>
        </w:rPr>
        <w:t>收稿日期：2026-03-16；修回日期：2026-04-16；录用日期：2026-04-20；网络出版日期：</w:t>
      </w:r>
    </w:p>
    <w:p w14:paraId="54CF3A1C">
      <w:pPr>
        <w:pStyle w:val="11"/>
        <w:adjustRightInd w:val="0"/>
        <w:rPr>
          <w:rFonts w:ascii="Times New Roman" w:hAnsi="Times New Roman"/>
          <w:sz w:val="15"/>
          <w:szCs w:val="15"/>
        </w:rPr>
      </w:pPr>
      <w:r>
        <w:rPr>
          <w:rFonts w:ascii="Times New Roman" w:hAnsi="Times New Roman" w:eastAsia="黑体"/>
          <w:sz w:val="15"/>
          <w:szCs w:val="15"/>
        </w:rPr>
        <w:t>基金项目：</w:t>
      </w:r>
      <w:r>
        <w:rPr>
          <w:rFonts w:ascii="Times New Roman" w:hAnsi="Times New Roman"/>
          <w:sz w:val="15"/>
          <w:szCs w:val="15"/>
        </w:rPr>
        <w:t>国家自然科学基金项目(5226900</w:t>
      </w:r>
      <w:r>
        <w:rPr>
          <w:rFonts w:hint="eastAsia" w:ascii="Times New Roman" w:hAnsi="Times New Roman"/>
          <w:sz w:val="15"/>
          <w:szCs w:val="15"/>
        </w:rPr>
        <w:t>5，52569007</w:t>
      </w:r>
      <w:r>
        <w:rPr>
          <w:rFonts w:ascii="Times New Roman" w:hAnsi="Times New Roman"/>
          <w:sz w:val="15"/>
          <w:szCs w:val="15"/>
        </w:rPr>
        <w:t>)</w:t>
      </w:r>
      <w:r>
        <w:rPr>
          <w:rFonts w:hint="eastAsia" w:ascii="Times New Roman" w:hAnsi="Times New Roman"/>
          <w:sz w:val="15"/>
          <w:szCs w:val="15"/>
        </w:rPr>
        <w:t>，；新疆维吾尔自治区自然科学基金资助项目（2025D01D18）</w:t>
      </w:r>
    </w:p>
    <w:p w14:paraId="682E652D">
      <w:pPr>
        <w:pStyle w:val="11"/>
        <w:adjustRightInd w:val="0"/>
        <w:rPr>
          <w:rFonts w:ascii="Times New Roman" w:hAnsi="Times New Roman"/>
          <w:sz w:val="15"/>
          <w:szCs w:val="15"/>
        </w:rPr>
      </w:pPr>
      <w:r>
        <w:rPr>
          <w:rFonts w:ascii="Times New Roman" w:hAnsi="Times New Roman" w:eastAsia="黑体"/>
          <w:sz w:val="15"/>
          <w:szCs w:val="15"/>
        </w:rPr>
        <w:t>作者简介：</w:t>
      </w:r>
      <w:r>
        <w:rPr>
          <w:rFonts w:hint="eastAsia" w:ascii="Times New Roman" w:hAnsi="Times New Roman"/>
          <w:sz w:val="15"/>
          <w:szCs w:val="15"/>
        </w:rPr>
        <w:t>宋志林（</w:t>
      </w:r>
      <w:r>
        <w:rPr>
          <w:rFonts w:ascii="Times New Roman" w:hAnsi="Times New Roman"/>
          <w:sz w:val="15"/>
          <w:szCs w:val="15"/>
        </w:rPr>
        <w:t>2001</w:t>
      </w:r>
      <w:r>
        <w:rPr>
          <w:rFonts w:hint="eastAsia" w:ascii="Times New Roman" w:hAnsi="Times New Roman"/>
          <w:sz w:val="15"/>
          <w:szCs w:val="15"/>
        </w:rPr>
        <w:t>—）</w:t>
      </w:r>
      <w:r>
        <w:rPr>
          <w:rFonts w:ascii="Times New Roman" w:hAnsi="Times New Roman"/>
          <w:sz w:val="15"/>
          <w:szCs w:val="15"/>
        </w:rPr>
        <w:t>，</w:t>
      </w:r>
      <w:r>
        <w:rPr>
          <w:rFonts w:hint="eastAsia" w:ascii="Times New Roman" w:hAnsi="Times New Roman"/>
          <w:sz w:val="15"/>
          <w:szCs w:val="15"/>
        </w:rPr>
        <w:t>女</w:t>
      </w:r>
      <w:r>
        <w:rPr>
          <w:rFonts w:ascii="Times New Roman" w:hAnsi="Times New Roman"/>
          <w:sz w:val="15"/>
          <w:szCs w:val="15"/>
        </w:rPr>
        <w:t>，硕士研究生，主要</w:t>
      </w:r>
      <w:r>
        <w:rPr>
          <w:rFonts w:hint="eastAsia" w:ascii="Times New Roman" w:hAnsi="Times New Roman"/>
          <w:sz w:val="15"/>
          <w:szCs w:val="15"/>
        </w:rPr>
        <w:t>从事水文学及水资源研究。</w:t>
      </w:r>
      <w:r>
        <w:rPr>
          <w:rFonts w:ascii="Times New Roman" w:hAnsi="Times New Roman"/>
          <w:sz w:val="15"/>
          <w:szCs w:val="15"/>
        </w:rPr>
        <w:t xml:space="preserve">E-mail: </w:t>
      </w:r>
      <w:r>
        <w:rPr>
          <w:rFonts w:hint="eastAsia" w:ascii="Times New Roman" w:hAnsi="Times New Roman"/>
          <w:sz w:val="15"/>
          <w:szCs w:val="15"/>
        </w:rPr>
        <w:t>2044860329</w:t>
      </w:r>
      <w:r>
        <w:rPr>
          <w:rFonts w:ascii="Times New Roman" w:hAnsi="Times New Roman"/>
          <w:sz w:val="15"/>
          <w:szCs w:val="15"/>
        </w:rPr>
        <w:t xml:space="preserve">@qq.com </w:t>
      </w:r>
    </w:p>
    <w:p w14:paraId="10566EF8">
      <w:pPr>
        <w:pStyle w:val="11"/>
        <w:adjustRightInd w:val="0"/>
        <w:rPr>
          <w:rFonts w:ascii="Times New Roman" w:hAnsi="Times New Roman"/>
          <w:lang w:val="de-DE"/>
        </w:rPr>
      </w:pPr>
      <w:r>
        <w:rPr>
          <w:rFonts w:ascii="Times New Roman" w:hAnsi="Times New Roman" w:eastAsia="黑体"/>
          <w:sz w:val="15"/>
          <w:szCs w:val="15"/>
        </w:rPr>
        <w:t>通信作者</w:t>
      </w:r>
      <w:r>
        <w:rPr>
          <w:rFonts w:hint="eastAsia" w:ascii="Times New Roman" w:hAnsi="Times New Roman" w:eastAsia="黑体"/>
          <w:sz w:val="15"/>
          <w:szCs w:val="15"/>
        </w:rPr>
        <w:t>：</w:t>
      </w:r>
      <w:r>
        <w:rPr>
          <w:rFonts w:hint="eastAsia" w:ascii="Times New Roman" w:hAnsi="Times New Roman"/>
          <w:sz w:val="15"/>
          <w:szCs w:val="15"/>
        </w:rPr>
        <w:t>穆振侠（1980—），男，教授，博士，主要从事水文学及水资源研究。</w:t>
      </w:r>
      <w:r>
        <w:rPr>
          <w:rFonts w:ascii="Times New Roman" w:hAnsi="Times New Roman"/>
          <w:sz w:val="15"/>
          <w:szCs w:val="15"/>
        </w:rPr>
        <w:t>E-mail: xjmzx@xjau.edu.cn</w:t>
      </w:r>
    </w:p>
    <w:p w14:paraId="18872084">
      <w:pPr>
        <w:pStyle w:val="11"/>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hNTUxZTAwZmY4MWRhNzk1NDBjNTgxYWVlYTQyMzgifQ=="/>
  </w:docVars>
  <w:rsids>
    <w:rsidRoot w:val="00D53907"/>
    <w:rsid w:val="000C6FBE"/>
    <w:rsid w:val="000D5E09"/>
    <w:rsid w:val="0014390A"/>
    <w:rsid w:val="0016766A"/>
    <w:rsid w:val="001D1992"/>
    <w:rsid w:val="00242B19"/>
    <w:rsid w:val="002454DC"/>
    <w:rsid w:val="00283E2A"/>
    <w:rsid w:val="002C01C1"/>
    <w:rsid w:val="00394CA8"/>
    <w:rsid w:val="004E6139"/>
    <w:rsid w:val="00742F15"/>
    <w:rsid w:val="00AF23D5"/>
    <w:rsid w:val="00BF5B84"/>
    <w:rsid w:val="00D07C97"/>
    <w:rsid w:val="00D3029B"/>
    <w:rsid w:val="00D53907"/>
    <w:rsid w:val="00DA384C"/>
    <w:rsid w:val="00DC6A83"/>
    <w:rsid w:val="00E645D5"/>
    <w:rsid w:val="00F35F92"/>
    <w:rsid w:val="00F479CD"/>
    <w:rsid w:val="00FC289B"/>
    <w:rsid w:val="01195642"/>
    <w:rsid w:val="0136657D"/>
    <w:rsid w:val="014C30E5"/>
    <w:rsid w:val="018E53BB"/>
    <w:rsid w:val="024C2B81"/>
    <w:rsid w:val="037B7DA3"/>
    <w:rsid w:val="04BD1B14"/>
    <w:rsid w:val="060111FF"/>
    <w:rsid w:val="061446E8"/>
    <w:rsid w:val="06293905"/>
    <w:rsid w:val="06C16E23"/>
    <w:rsid w:val="07756B66"/>
    <w:rsid w:val="07F438F5"/>
    <w:rsid w:val="08605F4A"/>
    <w:rsid w:val="089112ED"/>
    <w:rsid w:val="08B17BE1"/>
    <w:rsid w:val="0955054E"/>
    <w:rsid w:val="097E3F67"/>
    <w:rsid w:val="09B07E99"/>
    <w:rsid w:val="0A171CC6"/>
    <w:rsid w:val="0A8D3D36"/>
    <w:rsid w:val="0B1A3BBA"/>
    <w:rsid w:val="0B361FDD"/>
    <w:rsid w:val="0B4702BF"/>
    <w:rsid w:val="0B674587"/>
    <w:rsid w:val="0BF65B48"/>
    <w:rsid w:val="0BFC5E86"/>
    <w:rsid w:val="0D564B3E"/>
    <w:rsid w:val="0E914AF4"/>
    <w:rsid w:val="0EB16245"/>
    <w:rsid w:val="0EF25545"/>
    <w:rsid w:val="0EF97BEC"/>
    <w:rsid w:val="0F3330FE"/>
    <w:rsid w:val="0F6E6A60"/>
    <w:rsid w:val="0F7733C8"/>
    <w:rsid w:val="0F8228F3"/>
    <w:rsid w:val="10320BC0"/>
    <w:rsid w:val="107B181F"/>
    <w:rsid w:val="10D53EA3"/>
    <w:rsid w:val="111151A9"/>
    <w:rsid w:val="11440F18"/>
    <w:rsid w:val="116A329C"/>
    <w:rsid w:val="11E7688A"/>
    <w:rsid w:val="126B3D8E"/>
    <w:rsid w:val="128E00E3"/>
    <w:rsid w:val="12B66520"/>
    <w:rsid w:val="12B9711C"/>
    <w:rsid w:val="13076D7C"/>
    <w:rsid w:val="13B46788"/>
    <w:rsid w:val="13D053C0"/>
    <w:rsid w:val="140329C2"/>
    <w:rsid w:val="14380823"/>
    <w:rsid w:val="146842CC"/>
    <w:rsid w:val="14986084"/>
    <w:rsid w:val="14991C55"/>
    <w:rsid w:val="14A34882"/>
    <w:rsid w:val="14DC170F"/>
    <w:rsid w:val="14ED2BE2"/>
    <w:rsid w:val="159812BB"/>
    <w:rsid w:val="15B66837"/>
    <w:rsid w:val="16050A1A"/>
    <w:rsid w:val="1617423D"/>
    <w:rsid w:val="1707750E"/>
    <w:rsid w:val="172A65EE"/>
    <w:rsid w:val="175C6DC2"/>
    <w:rsid w:val="176C4CFB"/>
    <w:rsid w:val="17BB729F"/>
    <w:rsid w:val="17C61143"/>
    <w:rsid w:val="1876442F"/>
    <w:rsid w:val="18AD0940"/>
    <w:rsid w:val="18F356AC"/>
    <w:rsid w:val="190873AA"/>
    <w:rsid w:val="19776CD1"/>
    <w:rsid w:val="19B250D3"/>
    <w:rsid w:val="19C600D6"/>
    <w:rsid w:val="1A4A3BED"/>
    <w:rsid w:val="1AD02149"/>
    <w:rsid w:val="1B804D5C"/>
    <w:rsid w:val="1BBB0077"/>
    <w:rsid w:val="1C942C68"/>
    <w:rsid w:val="1C9E6C12"/>
    <w:rsid w:val="1CCC163E"/>
    <w:rsid w:val="1D550C90"/>
    <w:rsid w:val="1DA72C28"/>
    <w:rsid w:val="1DA90B43"/>
    <w:rsid w:val="1E2176AD"/>
    <w:rsid w:val="1EA913EE"/>
    <w:rsid w:val="1EE30A3E"/>
    <w:rsid w:val="1EF76F5D"/>
    <w:rsid w:val="1F5C0D65"/>
    <w:rsid w:val="1F7237CF"/>
    <w:rsid w:val="1FDD1617"/>
    <w:rsid w:val="205A7A8B"/>
    <w:rsid w:val="205B696A"/>
    <w:rsid w:val="20621230"/>
    <w:rsid w:val="209C2331"/>
    <w:rsid w:val="20CE46AD"/>
    <w:rsid w:val="20FE00DB"/>
    <w:rsid w:val="21231DD3"/>
    <w:rsid w:val="215E608E"/>
    <w:rsid w:val="218C2A64"/>
    <w:rsid w:val="21A80D65"/>
    <w:rsid w:val="21AB746C"/>
    <w:rsid w:val="21BB2B53"/>
    <w:rsid w:val="21F66939"/>
    <w:rsid w:val="220D56C0"/>
    <w:rsid w:val="231F3BAE"/>
    <w:rsid w:val="2452631F"/>
    <w:rsid w:val="24836643"/>
    <w:rsid w:val="24E87B31"/>
    <w:rsid w:val="253C729D"/>
    <w:rsid w:val="25A779E3"/>
    <w:rsid w:val="25C91CB3"/>
    <w:rsid w:val="25ED0053"/>
    <w:rsid w:val="264760F4"/>
    <w:rsid w:val="26477FB5"/>
    <w:rsid w:val="265E0E77"/>
    <w:rsid w:val="26861E28"/>
    <w:rsid w:val="26C11AF3"/>
    <w:rsid w:val="26EA2865"/>
    <w:rsid w:val="27A72C93"/>
    <w:rsid w:val="280D6655"/>
    <w:rsid w:val="28721CB4"/>
    <w:rsid w:val="287B6272"/>
    <w:rsid w:val="29360519"/>
    <w:rsid w:val="29520C23"/>
    <w:rsid w:val="295A2EA5"/>
    <w:rsid w:val="2A515F5D"/>
    <w:rsid w:val="2AAF38E7"/>
    <w:rsid w:val="2AE7604B"/>
    <w:rsid w:val="2B02245B"/>
    <w:rsid w:val="2B3863D1"/>
    <w:rsid w:val="2B5527AE"/>
    <w:rsid w:val="2B62392C"/>
    <w:rsid w:val="2B911712"/>
    <w:rsid w:val="2BAA2BB4"/>
    <w:rsid w:val="2BAA609E"/>
    <w:rsid w:val="2BB37649"/>
    <w:rsid w:val="2C0B6D5F"/>
    <w:rsid w:val="2C15452F"/>
    <w:rsid w:val="2C434FF2"/>
    <w:rsid w:val="2C7E3444"/>
    <w:rsid w:val="2D2B0008"/>
    <w:rsid w:val="2D602798"/>
    <w:rsid w:val="2DD375CB"/>
    <w:rsid w:val="2DD5532E"/>
    <w:rsid w:val="2DDD3119"/>
    <w:rsid w:val="2E3A5978"/>
    <w:rsid w:val="2E567D52"/>
    <w:rsid w:val="2F37233F"/>
    <w:rsid w:val="2F634B8C"/>
    <w:rsid w:val="2F6D60D5"/>
    <w:rsid w:val="2F7C566A"/>
    <w:rsid w:val="2FB5410C"/>
    <w:rsid w:val="2FDB2CCA"/>
    <w:rsid w:val="2FE20905"/>
    <w:rsid w:val="30054C8E"/>
    <w:rsid w:val="300B5799"/>
    <w:rsid w:val="302D4B96"/>
    <w:rsid w:val="304545E8"/>
    <w:rsid w:val="309B2130"/>
    <w:rsid w:val="30D96CC6"/>
    <w:rsid w:val="316D208B"/>
    <w:rsid w:val="31A210B9"/>
    <w:rsid w:val="31A2732F"/>
    <w:rsid w:val="31A54783"/>
    <w:rsid w:val="31F42769"/>
    <w:rsid w:val="325269A5"/>
    <w:rsid w:val="325B00F2"/>
    <w:rsid w:val="32850967"/>
    <w:rsid w:val="329B2BE5"/>
    <w:rsid w:val="33024302"/>
    <w:rsid w:val="33230233"/>
    <w:rsid w:val="33552D94"/>
    <w:rsid w:val="33C23F32"/>
    <w:rsid w:val="34175E3E"/>
    <w:rsid w:val="34273F2B"/>
    <w:rsid w:val="3429686A"/>
    <w:rsid w:val="344414EC"/>
    <w:rsid w:val="3444314B"/>
    <w:rsid w:val="345214CE"/>
    <w:rsid w:val="34904894"/>
    <w:rsid w:val="34E40F2D"/>
    <w:rsid w:val="358510DE"/>
    <w:rsid w:val="35AE1A8E"/>
    <w:rsid w:val="35BD6C90"/>
    <w:rsid w:val="36C71CE7"/>
    <w:rsid w:val="37275CD5"/>
    <w:rsid w:val="3757544A"/>
    <w:rsid w:val="37F941D8"/>
    <w:rsid w:val="38244AE6"/>
    <w:rsid w:val="383B6F63"/>
    <w:rsid w:val="38685562"/>
    <w:rsid w:val="3868579B"/>
    <w:rsid w:val="387F53C0"/>
    <w:rsid w:val="38C13707"/>
    <w:rsid w:val="38EA30FF"/>
    <w:rsid w:val="392D7086"/>
    <w:rsid w:val="3A3C4CAD"/>
    <w:rsid w:val="3B326FA0"/>
    <w:rsid w:val="3B7B4BC5"/>
    <w:rsid w:val="3B8E240B"/>
    <w:rsid w:val="3BD944AD"/>
    <w:rsid w:val="3CDB01B0"/>
    <w:rsid w:val="3D107C73"/>
    <w:rsid w:val="3D1B2DBD"/>
    <w:rsid w:val="3D207F29"/>
    <w:rsid w:val="3D4C799A"/>
    <w:rsid w:val="3D743ED2"/>
    <w:rsid w:val="3D9C211B"/>
    <w:rsid w:val="3DB24744"/>
    <w:rsid w:val="3DDB18B2"/>
    <w:rsid w:val="3DF10190"/>
    <w:rsid w:val="3E01781D"/>
    <w:rsid w:val="3E6C767A"/>
    <w:rsid w:val="3F3F570A"/>
    <w:rsid w:val="3FCF799B"/>
    <w:rsid w:val="3FFB1991"/>
    <w:rsid w:val="400E0FA4"/>
    <w:rsid w:val="401D732F"/>
    <w:rsid w:val="40774FE6"/>
    <w:rsid w:val="40861612"/>
    <w:rsid w:val="414733FA"/>
    <w:rsid w:val="4162149D"/>
    <w:rsid w:val="416A59DD"/>
    <w:rsid w:val="417C49FE"/>
    <w:rsid w:val="418F600A"/>
    <w:rsid w:val="41E01949"/>
    <w:rsid w:val="42B253D9"/>
    <w:rsid w:val="43321745"/>
    <w:rsid w:val="434E55D2"/>
    <w:rsid w:val="437447FD"/>
    <w:rsid w:val="4470041B"/>
    <w:rsid w:val="44850F7D"/>
    <w:rsid w:val="458D4DB1"/>
    <w:rsid w:val="45B036E6"/>
    <w:rsid w:val="45B512C6"/>
    <w:rsid w:val="45F06D36"/>
    <w:rsid w:val="46446A83"/>
    <w:rsid w:val="4651462B"/>
    <w:rsid w:val="471B5CF0"/>
    <w:rsid w:val="47564AE9"/>
    <w:rsid w:val="47DB33A8"/>
    <w:rsid w:val="47F61118"/>
    <w:rsid w:val="48060868"/>
    <w:rsid w:val="48185B57"/>
    <w:rsid w:val="481D7ECC"/>
    <w:rsid w:val="48546794"/>
    <w:rsid w:val="48606F85"/>
    <w:rsid w:val="48A8351B"/>
    <w:rsid w:val="48F6033B"/>
    <w:rsid w:val="48F7696F"/>
    <w:rsid w:val="48FD3FCA"/>
    <w:rsid w:val="49A70CD4"/>
    <w:rsid w:val="49B748C7"/>
    <w:rsid w:val="49E97107"/>
    <w:rsid w:val="4A4723AC"/>
    <w:rsid w:val="4A9A6AFA"/>
    <w:rsid w:val="4B1533C6"/>
    <w:rsid w:val="4B1F27C8"/>
    <w:rsid w:val="4B2D0A6F"/>
    <w:rsid w:val="4B6246BD"/>
    <w:rsid w:val="4B6E1B6D"/>
    <w:rsid w:val="4BA803F5"/>
    <w:rsid w:val="4BC37408"/>
    <w:rsid w:val="4BF408C3"/>
    <w:rsid w:val="4C182E1C"/>
    <w:rsid w:val="4C43011D"/>
    <w:rsid w:val="4C436C7C"/>
    <w:rsid w:val="4CF8550F"/>
    <w:rsid w:val="4D9A1FBF"/>
    <w:rsid w:val="4D9D2AEA"/>
    <w:rsid w:val="4E9E4BE1"/>
    <w:rsid w:val="4EA34FD5"/>
    <w:rsid w:val="4ECC3BCA"/>
    <w:rsid w:val="4F1566D6"/>
    <w:rsid w:val="4F9F2005"/>
    <w:rsid w:val="4FBD1F95"/>
    <w:rsid w:val="4FE855C4"/>
    <w:rsid w:val="4FE87012"/>
    <w:rsid w:val="4FF4380F"/>
    <w:rsid w:val="4FF7291D"/>
    <w:rsid w:val="5006065B"/>
    <w:rsid w:val="50552EE4"/>
    <w:rsid w:val="5073526A"/>
    <w:rsid w:val="50B53B75"/>
    <w:rsid w:val="50CC37FF"/>
    <w:rsid w:val="5191633C"/>
    <w:rsid w:val="51A11DFF"/>
    <w:rsid w:val="51A927D1"/>
    <w:rsid w:val="51CB7DB5"/>
    <w:rsid w:val="51D36FD6"/>
    <w:rsid w:val="51E1640E"/>
    <w:rsid w:val="520F2AE8"/>
    <w:rsid w:val="52963358"/>
    <w:rsid w:val="534315F8"/>
    <w:rsid w:val="53B1333E"/>
    <w:rsid w:val="53B45D81"/>
    <w:rsid w:val="53D1600F"/>
    <w:rsid w:val="53EF2BF5"/>
    <w:rsid w:val="541C372E"/>
    <w:rsid w:val="545C3B2A"/>
    <w:rsid w:val="54D33745"/>
    <w:rsid w:val="551E5993"/>
    <w:rsid w:val="559B1132"/>
    <w:rsid w:val="55A357C3"/>
    <w:rsid w:val="55D84493"/>
    <w:rsid w:val="55DC4DFE"/>
    <w:rsid w:val="56486B4C"/>
    <w:rsid w:val="56BC6055"/>
    <w:rsid w:val="57237289"/>
    <w:rsid w:val="57522A8A"/>
    <w:rsid w:val="579E26AC"/>
    <w:rsid w:val="57AF48B9"/>
    <w:rsid w:val="58FF1513"/>
    <w:rsid w:val="59784CA2"/>
    <w:rsid w:val="59AA17DC"/>
    <w:rsid w:val="5A6F5A18"/>
    <w:rsid w:val="5AA63D51"/>
    <w:rsid w:val="5AB64537"/>
    <w:rsid w:val="5B311173"/>
    <w:rsid w:val="5B743C89"/>
    <w:rsid w:val="5BB7496F"/>
    <w:rsid w:val="5BD820EA"/>
    <w:rsid w:val="5BE75A94"/>
    <w:rsid w:val="5C2A3A08"/>
    <w:rsid w:val="5C7D2182"/>
    <w:rsid w:val="5E0627B7"/>
    <w:rsid w:val="5E103207"/>
    <w:rsid w:val="5E3F40EC"/>
    <w:rsid w:val="5ECF0410"/>
    <w:rsid w:val="5EFE79F6"/>
    <w:rsid w:val="5F2D4A41"/>
    <w:rsid w:val="5F2D4B1C"/>
    <w:rsid w:val="600B2EB7"/>
    <w:rsid w:val="611A0FF5"/>
    <w:rsid w:val="61251A8A"/>
    <w:rsid w:val="6199367E"/>
    <w:rsid w:val="61EF2140"/>
    <w:rsid w:val="620F5A8E"/>
    <w:rsid w:val="624F1CFC"/>
    <w:rsid w:val="62751A5C"/>
    <w:rsid w:val="627C6C94"/>
    <w:rsid w:val="62E64761"/>
    <w:rsid w:val="630E2FC9"/>
    <w:rsid w:val="633E406A"/>
    <w:rsid w:val="636A472B"/>
    <w:rsid w:val="636B35BD"/>
    <w:rsid w:val="640879BC"/>
    <w:rsid w:val="640B00FD"/>
    <w:rsid w:val="6412578A"/>
    <w:rsid w:val="64297A75"/>
    <w:rsid w:val="64491CA1"/>
    <w:rsid w:val="64644BB0"/>
    <w:rsid w:val="646A245E"/>
    <w:rsid w:val="64D7310C"/>
    <w:rsid w:val="64F54663"/>
    <w:rsid w:val="65520893"/>
    <w:rsid w:val="655F4AD1"/>
    <w:rsid w:val="656522CC"/>
    <w:rsid w:val="66033BB5"/>
    <w:rsid w:val="66895E84"/>
    <w:rsid w:val="66A1589D"/>
    <w:rsid w:val="67820EDE"/>
    <w:rsid w:val="67B217A3"/>
    <w:rsid w:val="67DD33C0"/>
    <w:rsid w:val="689F4499"/>
    <w:rsid w:val="68D44FA0"/>
    <w:rsid w:val="69087484"/>
    <w:rsid w:val="69A56FBC"/>
    <w:rsid w:val="69E46644"/>
    <w:rsid w:val="6A12557A"/>
    <w:rsid w:val="6A2250A9"/>
    <w:rsid w:val="6A267BE2"/>
    <w:rsid w:val="6A7F636D"/>
    <w:rsid w:val="6A913A4D"/>
    <w:rsid w:val="6AD43504"/>
    <w:rsid w:val="6AF0047E"/>
    <w:rsid w:val="6B262D38"/>
    <w:rsid w:val="6B377143"/>
    <w:rsid w:val="6B3F3281"/>
    <w:rsid w:val="6B424456"/>
    <w:rsid w:val="6B9B65B0"/>
    <w:rsid w:val="6BCF6027"/>
    <w:rsid w:val="6BE35A92"/>
    <w:rsid w:val="6C2D5008"/>
    <w:rsid w:val="6C7C12F1"/>
    <w:rsid w:val="6D1F1741"/>
    <w:rsid w:val="6D341D41"/>
    <w:rsid w:val="6D731584"/>
    <w:rsid w:val="6D8F0FD6"/>
    <w:rsid w:val="6E171CEC"/>
    <w:rsid w:val="6E384D25"/>
    <w:rsid w:val="6E461958"/>
    <w:rsid w:val="6E4C0C5C"/>
    <w:rsid w:val="6E585989"/>
    <w:rsid w:val="6E707791"/>
    <w:rsid w:val="6E881BC0"/>
    <w:rsid w:val="6EA751A5"/>
    <w:rsid w:val="6ED26D75"/>
    <w:rsid w:val="6ED36317"/>
    <w:rsid w:val="6EFD5AB2"/>
    <w:rsid w:val="6F870CA5"/>
    <w:rsid w:val="6FCF38F2"/>
    <w:rsid w:val="70004610"/>
    <w:rsid w:val="700D5835"/>
    <w:rsid w:val="7019546A"/>
    <w:rsid w:val="70D171F6"/>
    <w:rsid w:val="7194427E"/>
    <w:rsid w:val="71D952C9"/>
    <w:rsid w:val="71DC41DC"/>
    <w:rsid w:val="72A74928"/>
    <w:rsid w:val="72BB1F9F"/>
    <w:rsid w:val="72C4355A"/>
    <w:rsid w:val="72E24507"/>
    <w:rsid w:val="731851E0"/>
    <w:rsid w:val="746E717B"/>
    <w:rsid w:val="75325E01"/>
    <w:rsid w:val="75635F89"/>
    <w:rsid w:val="76321AD5"/>
    <w:rsid w:val="76341C07"/>
    <w:rsid w:val="76C22992"/>
    <w:rsid w:val="76E22E80"/>
    <w:rsid w:val="77422DAE"/>
    <w:rsid w:val="774E45B7"/>
    <w:rsid w:val="77753DA9"/>
    <w:rsid w:val="77847055"/>
    <w:rsid w:val="77885CA2"/>
    <w:rsid w:val="77FC7CE8"/>
    <w:rsid w:val="7879264D"/>
    <w:rsid w:val="78AA2807"/>
    <w:rsid w:val="78D11472"/>
    <w:rsid w:val="79563E0C"/>
    <w:rsid w:val="79E049AC"/>
    <w:rsid w:val="79EA7682"/>
    <w:rsid w:val="7A607487"/>
    <w:rsid w:val="7A706D8F"/>
    <w:rsid w:val="7B9C3452"/>
    <w:rsid w:val="7C225252"/>
    <w:rsid w:val="7C2E73B1"/>
    <w:rsid w:val="7C3D5B67"/>
    <w:rsid w:val="7C441802"/>
    <w:rsid w:val="7C611D76"/>
    <w:rsid w:val="7CAD6438"/>
    <w:rsid w:val="7CED6F05"/>
    <w:rsid w:val="7DAE2329"/>
    <w:rsid w:val="7E3037F9"/>
    <w:rsid w:val="7E7E6DA9"/>
    <w:rsid w:val="7E956949"/>
    <w:rsid w:val="7EFD7241"/>
    <w:rsid w:val="7F1E1AC3"/>
    <w:rsid w:val="7F593B85"/>
    <w:rsid w:val="7FAF4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spacing w:before="100" w:beforeAutospacing="1" w:after="100" w:afterAutospacing="1"/>
      <w:jc w:val="left"/>
      <w:outlineLvl w:val="3"/>
    </w:pPr>
    <w:rPr>
      <w:rFonts w:hint="eastAsia" w:ascii="宋体" w:hAnsi="宋体"/>
      <w:b/>
      <w:bCs/>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unhideWhenUsed/>
    <w:qFormat/>
    <w:uiPriority w:val="99"/>
    <w:pPr>
      <w:spacing w:after="120"/>
    </w:pPr>
  </w:style>
  <w:style w:type="paragraph" w:styleId="8">
    <w:name w:val="Balloon Text"/>
    <w:basedOn w:val="1"/>
    <w:link w:val="26"/>
    <w:qFormat/>
    <w:uiPriority w:val="0"/>
    <w:rPr>
      <w:sz w:val="18"/>
      <w:szCs w:val="18"/>
    </w:rPr>
  </w:style>
  <w:style w:type="paragraph" w:styleId="9">
    <w:name w:val="footer"/>
    <w:basedOn w:val="1"/>
    <w:link w:val="22"/>
    <w:qFormat/>
    <w:uiPriority w:val="0"/>
    <w:pPr>
      <w:tabs>
        <w:tab w:val="center" w:pos="4153"/>
        <w:tab w:val="right" w:pos="8306"/>
      </w:tabs>
      <w:snapToGrid w:val="0"/>
      <w:jc w:val="left"/>
    </w:pPr>
    <w:rPr>
      <w:sz w:val="18"/>
      <w:szCs w:val="18"/>
    </w:rPr>
  </w:style>
  <w:style w:type="paragraph" w:styleId="10">
    <w:name w:val="header"/>
    <w:basedOn w:val="1"/>
    <w:link w:val="23"/>
    <w:qFormat/>
    <w:uiPriority w:val="0"/>
    <w:pPr>
      <w:tabs>
        <w:tab w:val="center" w:pos="4153"/>
        <w:tab w:val="right" w:pos="8306"/>
      </w:tabs>
      <w:snapToGrid w:val="0"/>
      <w:jc w:val="center"/>
    </w:pPr>
    <w:rPr>
      <w:sz w:val="18"/>
      <w:szCs w:val="18"/>
    </w:rPr>
  </w:style>
  <w:style w:type="paragraph" w:styleId="11">
    <w:name w:val="footnote text"/>
    <w:basedOn w:val="1"/>
    <w:unhideWhenUsed/>
    <w:qFormat/>
    <w:uiPriority w:val="0"/>
    <w:pPr>
      <w:snapToGrid w:val="0"/>
      <w:jc w:val="left"/>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Title"/>
    <w:basedOn w:val="1"/>
    <w:next w:val="1"/>
    <w:qFormat/>
    <w:uiPriority w:val="10"/>
    <w:pPr>
      <w:spacing w:before="240" w:after="60"/>
      <w:jc w:val="center"/>
      <w:outlineLvl w:val="0"/>
    </w:pPr>
    <w:rPr>
      <w:rFonts w:ascii="Cambria" w:hAnsi="Cambria"/>
      <w:b/>
      <w:bCs/>
      <w:sz w:val="48"/>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character" w:styleId="20">
    <w:name w:val="footnote reference"/>
    <w:basedOn w:val="16"/>
    <w:unhideWhenUsed/>
    <w:qFormat/>
    <w:uiPriority w:val="99"/>
    <w:rPr>
      <w:vertAlign w:val="superscript"/>
    </w:rPr>
  </w:style>
  <w:style w:type="character" w:customStyle="1" w:styleId="21">
    <w:name w:val="标题 1 字符"/>
    <w:link w:val="2"/>
    <w:qFormat/>
    <w:uiPriority w:val="9"/>
    <w:rPr>
      <w:b/>
      <w:kern w:val="44"/>
      <w:sz w:val="44"/>
    </w:rPr>
  </w:style>
  <w:style w:type="character" w:customStyle="1" w:styleId="22">
    <w:name w:val="页脚 字符"/>
    <w:basedOn w:val="16"/>
    <w:link w:val="9"/>
    <w:qFormat/>
    <w:uiPriority w:val="0"/>
    <w:rPr>
      <w:rFonts w:ascii="Calibri" w:hAnsi="Calibri"/>
      <w:kern w:val="2"/>
      <w:sz w:val="18"/>
      <w:szCs w:val="18"/>
    </w:rPr>
  </w:style>
  <w:style w:type="character" w:customStyle="1" w:styleId="23">
    <w:name w:val="页眉 字符"/>
    <w:basedOn w:val="16"/>
    <w:link w:val="10"/>
    <w:qFormat/>
    <w:uiPriority w:val="0"/>
    <w:rPr>
      <w:rFonts w:ascii="Calibri" w:hAnsi="Calibri"/>
      <w:kern w:val="2"/>
      <w:sz w:val="18"/>
      <w:szCs w:val="18"/>
    </w:rPr>
  </w:style>
  <w:style w:type="paragraph" w:customStyle="1" w:styleId="24">
    <w:name w:val="EndNote Bibliography"/>
    <w:basedOn w:val="1"/>
    <w:qFormat/>
    <w:uiPriority w:val="0"/>
    <w:pPr>
      <w:ind w:left="200" w:hanging="200" w:hangingChars="200"/>
    </w:pPr>
    <w:rPr>
      <w:rFonts w:ascii="等线" w:hAnsi="等线" w:eastAsia="等线"/>
      <w:sz w:val="20"/>
    </w:rPr>
  </w:style>
  <w:style w:type="paragraph" w:customStyle="1" w:styleId="25">
    <w:name w:val="标准三号正文"/>
    <w:basedOn w:val="1"/>
    <w:qFormat/>
    <w:uiPriority w:val="0"/>
    <w:pPr>
      <w:spacing w:line="360" w:lineRule="auto"/>
      <w:ind w:firstLine="880" w:firstLineChars="200"/>
    </w:pPr>
    <w:rPr>
      <w:rFonts w:ascii="宋体" w:hAnsi="宋体" w:eastAsia="仿宋"/>
      <w:sz w:val="32"/>
    </w:rPr>
  </w:style>
  <w:style w:type="character" w:customStyle="1" w:styleId="26">
    <w:name w:val="批注框文本 字符"/>
    <w:basedOn w:val="16"/>
    <w:link w:val="8"/>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1285</Words>
  <Characters>3099</Characters>
  <Lines>194</Lines>
  <Paragraphs>54</Paragraphs>
  <TotalTime>37</TotalTime>
  <ScaleCrop>false</ScaleCrop>
  <LinksUpToDate>false</LinksUpToDate>
  <CharactersWithSpaces>3447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2026-04-22T09:24:00Z</dcterms:created>
  <dc:creator>Acer</dc:creator>
  <cp:lastModifiedBy>aaa</cp:lastModifiedBy>
  <dcterms:modified xsi:type="dcterms:W3CDTF">2026-05-12T03:40:25Z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D1E79415409E429682BC9050661915EF_13</vt:lpwstr>
  </property>
  <property fmtid="{D5CDD505-2E9C-101B-9397-08002B2CF9AE}" pid="4" name="KSOTemplateDocerSaveRecord">
    <vt:lpwstr>eyJoZGlkIjoiZGE2Mjg2YTZkZTMyMTYwY2M1OTQ5YzJlN2MyYmRjOGEiLCJ1c2VySWQiOiIyNjUyMTM2ODcifQ==</vt:lpwstr>
  </property>
</Properties>
</file>