
<file path=[Content_Types].xml><?xml version="1.0" encoding="utf-8"?>
<Types xmlns="http://schemas.openxmlformats.org/package/2006/content-types">
  <Default Extension="xml" ContentType="application/xml"/>
  <Default Extension="wmf" ContentType="image/x-wmf"/>
  <Default Extension="bin" ContentType="application/vnd.openxmlformats-officedocument.oleObject"/>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5" Type="http://schemas.openxmlformats.org/officeDocument/2006/relationships/officeDocument" Target="word/document.xml"/><Relationship Id="rId1" Type="http://schemas.openxmlformats.org/package/2006/relationships/metadata/thumbnail" Target="docProps/thumbnail.wmf"/><Relationship Id="rId3" Type="http://schemas.openxmlformats.org/package/2006/relationships/metadata/core-properties" Target="docProps/core.xml"/><Relationship Id="rId2"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CAC0610">
      <w:pPr>
        <w:ind w:firstLine="0" w:firstLineChars="0"/>
        <w:jc w:val="center"/>
        <w:rPr>
          <w:rFonts w:hint="eastAsia" w:ascii="宋体" w:hAnsi="黑体"/>
          <w:b/>
          <w:sz w:val="48"/>
          <w:szCs w:val="48"/>
        </w:rPr>
      </w:pPr>
      <w:bookmarkStart w:id="0" w:name="中文标题_2"/>
      <w:r>
        <w:rPr>
          <w:rFonts w:hint="eastAsia" w:ascii="宋体" w:hAnsi="黑体"/>
          <w:b/>
          <w:sz w:val="48"/>
          <w:szCs w:val="48"/>
          <w:highlight w:val="white"/>
        </w:rPr>
        <w:t>基于双层分解-预测-重构-残差校正的径流中长期组合预报模型</w:t>
      </w:r>
      <w:bookmarkEnd w:id="0"/>
    </w:p>
    <w:p w14:paraId="0E715BE6">
      <w:pPr>
        <w:adjustRightInd/>
        <w:snapToGrid/>
        <w:ind w:firstLine="560"/>
        <w:jc w:val="center"/>
        <w:rPr>
          <w:rFonts w:hint="eastAsia" w:ascii="楷体" w:hAnsi="楷体" w:eastAsia="楷体" w:cs="Times New Roman"/>
          <w:sz w:val="28"/>
          <w:szCs w:val="28"/>
          <w14:ligatures w14:val="none"/>
        </w:rPr>
      </w:pPr>
      <w:bookmarkStart w:id="1" w:name="中文作者_4"/>
      <w:r>
        <w:rPr>
          <w:rFonts w:hint="eastAsia" w:ascii="楷体" w:hAnsi="楷体" w:eastAsia="楷体" w:cs="Times New Roman"/>
          <w:sz w:val="28"/>
          <w:szCs w:val="28"/>
          <w:highlight w:val="white"/>
          <w14:ligatures w14:val="none"/>
        </w:rPr>
        <w:t>李继清</w:t>
      </w:r>
      <w:r>
        <w:rPr>
          <w:rFonts w:hint="eastAsia" w:eastAsia="楷体" w:cs="Times New Roman"/>
          <w:sz w:val="28"/>
          <w:szCs w:val="28"/>
          <w:highlight w:val="white"/>
          <w:vertAlign w:val="superscript"/>
          <w14:ligatures w14:val="none"/>
        </w:rPr>
        <w:t>1,2</w:t>
      </w:r>
      <w:r>
        <w:rPr>
          <w:rFonts w:hint="eastAsia" w:ascii="楷体" w:hAnsi="楷体" w:eastAsia="楷体" w:cs="Times New Roman"/>
          <w:sz w:val="28"/>
          <w:szCs w:val="28"/>
          <w:highlight w:val="white"/>
          <w14:ligatures w14:val="none"/>
        </w:rPr>
        <w:t>，程展鸿</w:t>
      </w:r>
      <w:r>
        <w:rPr>
          <w:rFonts w:hint="eastAsia" w:eastAsia="楷体" w:cs="Times New Roman"/>
          <w:sz w:val="28"/>
          <w:szCs w:val="28"/>
          <w:highlight w:val="white"/>
          <w:vertAlign w:val="superscript"/>
          <w14:ligatures w14:val="none"/>
        </w:rPr>
        <w:t>1</w:t>
      </w:r>
      <w:r>
        <w:rPr>
          <w:rFonts w:hint="eastAsia" w:ascii="楷体" w:hAnsi="楷体" w:eastAsia="楷体" w:cs="Times New Roman"/>
          <w:sz w:val="28"/>
          <w:szCs w:val="28"/>
          <w:highlight w:val="white"/>
          <w14:ligatures w14:val="none"/>
        </w:rPr>
        <w:t>，蔡博文</w:t>
      </w:r>
      <w:r>
        <w:rPr>
          <w:rFonts w:hint="eastAsia" w:eastAsia="楷体" w:cs="Times New Roman"/>
          <w:sz w:val="28"/>
          <w:szCs w:val="28"/>
          <w:highlight w:val="white"/>
          <w:vertAlign w:val="superscript"/>
          <w14:ligatures w14:val="none"/>
        </w:rPr>
        <w:t>1</w:t>
      </w:r>
      <w:r>
        <w:rPr>
          <w:rFonts w:hint="eastAsia" w:ascii="楷体" w:hAnsi="楷体" w:eastAsia="楷体" w:cs="Times New Roman"/>
          <w:sz w:val="28"/>
          <w:szCs w:val="28"/>
          <w:highlight w:val="white"/>
          <w14:ligatures w14:val="none"/>
        </w:rPr>
        <w:t>，邓心怡</w:t>
      </w:r>
      <w:r>
        <w:rPr>
          <w:rFonts w:hint="eastAsia" w:eastAsia="楷体" w:cs="Times New Roman"/>
          <w:sz w:val="28"/>
          <w:szCs w:val="28"/>
          <w:highlight w:val="white"/>
          <w:vertAlign w:val="superscript"/>
          <w14:ligatures w14:val="none"/>
        </w:rPr>
        <w:t>1</w:t>
      </w:r>
      <w:bookmarkEnd w:id="1"/>
    </w:p>
    <w:p w14:paraId="2DDF2FFE">
      <w:pPr>
        <w:ind w:firstLine="420"/>
        <w:jc w:val="center"/>
        <w:rPr>
          <w:rFonts w:eastAsia="仿宋" w:cs="Times New Roman"/>
          <w:szCs w:val="22"/>
          <w14:ligatures w14:val="none"/>
        </w:rPr>
      </w:pPr>
      <w:bookmarkStart w:id="2" w:name="中文作者单位_2"/>
      <w:r>
        <w:rPr>
          <w:rFonts w:hint="eastAsia" w:eastAsia="仿宋" w:cs="Times New Roman"/>
          <w:szCs w:val="22"/>
          <w:highlight w:val="white"/>
          <w14:ligatures w14:val="none"/>
        </w:rPr>
        <w:t>（</w:t>
      </w:r>
      <w:r>
        <w:rPr>
          <w:rFonts w:eastAsia="仿宋" w:cs="Times New Roman"/>
          <w:szCs w:val="22"/>
          <w:highlight w:val="white"/>
          <w14:ligatures w14:val="none"/>
        </w:rPr>
        <w:t>1.</w:t>
      </w:r>
      <w:r>
        <w:rPr>
          <w:rFonts w:hint="eastAsia" w:eastAsia="仿宋" w:cs="Times New Roman"/>
          <w:szCs w:val="22"/>
          <w:highlight w:val="white"/>
          <w14:ligatures w14:val="none"/>
        </w:rPr>
        <w:t xml:space="preserve"> </w:t>
      </w:r>
      <w:r>
        <w:rPr>
          <w:rFonts w:eastAsia="仿宋" w:cs="Times New Roman"/>
          <w:szCs w:val="22"/>
          <w:highlight w:val="white"/>
          <w14:ligatures w14:val="none"/>
        </w:rPr>
        <w:t>华北电力大学</w:t>
      </w:r>
      <w:r>
        <w:rPr>
          <w:rFonts w:hint="eastAsia" w:eastAsia="仿宋" w:cs="Times New Roman"/>
          <w:szCs w:val="22"/>
          <w:highlight w:val="white"/>
          <w14:ligatures w14:val="none"/>
        </w:rPr>
        <w:t xml:space="preserve"> </w:t>
      </w:r>
      <w:r>
        <w:rPr>
          <w:rFonts w:eastAsia="仿宋" w:cs="Times New Roman"/>
          <w:szCs w:val="22"/>
          <w:highlight w:val="white"/>
          <w14:ligatures w14:val="none"/>
        </w:rPr>
        <w:t xml:space="preserve">水利与水电工程学院，北京 </w:t>
      </w:r>
      <w:r>
        <w:rPr>
          <w:rFonts w:hint="eastAsia" w:eastAsia="仿宋" w:cs="Times New Roman"/>
          <w:szCs w:val="22"/>
          <w:highlight w:val="white"/>
          <w14:ligatures w14:val="none"/>
        </w:rPr>
        <w:t xml:space="preserve"> </w:t>
      </w:r>
      <w:r>
        <w:rPr>
          <w:rFonts w:eastAsia="仿宋" w:cs="Times New Roman"/>
          <w:szCs w:val="22"/>
          <w:highlight w:val="white"/>
          <w14:ligatures w14:val="none"/>
        </w:rPr>
        <w:t>102206</w:t>
      </w:r>
      <w:r>
        <w:rPr>
          <w:rFonts w:hint="eastAsia" w:eastAsia="仿宋" w:cs="Times New Roman"/>
          <w:szCs w:val="22"/>
          <w:highlight w:val="white"/>
          <w14:ligatures w14:val="none"/>
        </w:rPr>
        <w:t>；</w:t>
      </w:r>
      <w:r>
        <w:rPr>
          <w:rFonts w:eastAsia="仿宋" w:cs="Times New Roman"/>
          <w:szCs w:val="22"/>
          <w:highlight w:val="white"/>
          <w14:ligatures w14:val="none"/>
        </w:rPr>
        <w:t>2</w:t>
      </w:r>
      <w:r>
        <w:rPr>
          <w:rFonts w:hint="eastAsia" w:eastAsia="仿宋" w:cs="Times New Roman"/>
          <w:szCs w:val="22"/>
          <w:highlight w:val="white"/>
          <w14:ligatures w14:val="none"/>
        </w:rPr>
        <w:t>. 华北电力大学苏州研究院，江苏 苏州  215123）</w:t>
      </w:r>
      <w:bookmarkEnd w:id="2"/>
    </w:p>
    <w:p w14:paraId="6640E7E8">
      <w:pPr>
        <w:ind w:firstLine="420"/>
        <w:jc w:val="center"/>
        <w:rPr>
          <w:rFonts w:hint="eastAsia" w:ascii="仿宋" w:hAnsi="仿宋" w:eastAsia="仿宋" w:cs="Times New Roman"/>
          <w:szCs w:val="22"/>
          <w14:ligatures w14:val="none"/>
        </w:rPr>
      </w:pPr>
    </w:p>
    <w:p w14:paraId="630D97CE">
      <w:pPr>
        <w:ind w:firstLine="0" w:firstLineChars="0"/>
        <w:jc w:val="left"/>
      </w:pPr>
      <w:bookmarkStart w:id="3" w:name="中文摘要_2"/>
      <w:r>
        <w:rPr>
          <w:rFonts w:hint="eastAsia" w:ascii="黑体" w:hAnsi="黑体" w:eastAsia="黑体"/>
          <w:b/>
          <w:bCs/>
          <w:highlight w:val="white"/>
        </w:rPr>
        <w:t>摘  要：</w:t>
      </w:r>
      <w:r>
        <w:rPr>
          <w:rFonts w:eastAsia="楷体"/>
          <w:highlight w:val="white"/>
        </w:rPr>
        <w:t>【目的】气候变化与人类活动共同作用下，径流序列呈现显著</w:t>
      </w:r>
      <w:r>
        <w:rPr>
          <w:rFonts w:hint="eastAsia" w:eastAsia="楷体"/>
          <w:highlight w:val="white"/>
        </w:rPr>
        <w:t>的</w:t>
      </w:r>
      <w:r>
        <w:rPr>
          <w:rFonts w:eastAsia="楷体"/>
          <w:highlight w:val="white"/>
        </w:rPr>
        <w:t>非平稳性</w:t>
      </w:r>
      <w:r>
        <w:rPr>
          <w:rFonts w:hint="eastAsia" w:eastAsia="楷体"/>
          <w:highlight w:val="white"/>
        </w:rPr>
        <w:t>和</w:t>
      </w:r>
      <w:r>
        <w:rPr>
          <w:rFonts w:eastAsia="楷体"/>
          <w:highlight w:val="white"/>
        </w:rPr>
        <w:t>多尺度波动特征，中长期径流预报</w:t>
      </w:r>
      <w:r>
        <w:rPr>
          <w:rFonts w:hint="eastAsia" w:eastAsia="楷体"/>
          <w:highlight w:val="white"/>
        </w:rPr>
        <w:t>的难度</w:t>
      </w:r>
      <w:r>
        <w:rPr>
          <w:rFonts w:eastAsia="楷体"/>
          <w:highlight w:val="white"/>
        </w:rPr>
        <w:t>增加。为提</w:t>
      </w:r>
      <w:r>
        <w:rPr>
          <w:rFonts w:hint="eastAsia" w:eastAsia="楷体"/>
          <w:highlight w:val="white"/>
        </w:rPr>
        <w:t>高</w:t>
      </w:r>
      <w:r>
        <w:rPr>
          <w:rFonts w:eastAsia="楷体"/>
          <w:highlight w:val="white"/>
        </w:rPr>
        <w:t>单一模型在复杂径流条件下的预报精度，</w:t>
      </w:r>
      <w:r>
        <w:rPr>
          <w:rFonts w:hint="eastAsia" w:eastAsia="楷体" w:cs="Times New Roman"/>
          <w:szCs w:val="21"/>
          <w:highlight w:val="white"/>
        </w:rPr>
        <w:t>【方法】</w:t>
      </w:r>
      <w:r>
        <w:rPr>
          <w:rFonts w:eastAsia="楷体"/>
          <w:highlight w:val="white"/>
        </w:rPr>
        <w:t>提出一种</w:t>
      </w:r>
      <w:r>
        <w:rPr>
          <w:rFonts w:hint="eastAsia" w:eastAsia="楷体"/>
          <w:highlight w:val="white"/>
        </w:rPr>
        <w:t>“</w:t>
      </w:r>
      <w:r>
        <w:rPr>
          <w:rFonts w:eastAsia="楷体"/>
          <w:highlight w:val="white"/>
        </w:rPr>
        <w:t>双层分解</w:t>
      </w:r>
      <w:r>
        <w:rPr>
          <w:rFonts w:hint="eastAsia" w:eastAsia="楷体"/>
          <w:highlight w:val="white"/>
        </w:rPr>
        <w:t>-</w:t>
      </w:r>
      <w:r>
        <w:rPr>
          <w:rFonts w:eastAsia="楷体"/>
          <w:highlight w:val="white"/>
        </w:rPr>
        <w:t>预测</w:t>
      </w:r>
      <w:r>
        <w:rPr>
          <w:rFonts w:hint="eastAsia" w:eastAsia="楷体"/>
          <w:highlight w:val="white"/>
        </w:rPr>
        <w:t>-重构-残差</w:t>
      </w:r>
      <w:r>
        <w:rPr>
          <w:rFonts w:eastAsia="楷体"/>
          <w:highlight w:val="white"/>
        </w:rPr>
        <w:t>校正</w:t>
      </w:r>
      <w:r>
        <w:rPr>
          <w:rFonts w:hint="eastAsia" w:eastAsia="楷体"/>
          <w:highlight w:val="white"/>
        </w:rPr>
        <w:t>”</w:t>
      </w:r>
      <w:r>
        <w:rPr>
          <w:rFonts w:eastAsia="楷体"/>
          <w:highlight w:val="white"/>
        </w:rPr>
        <w:t>的一体化组合预报模型：首先采用极点对称模态分解（ESMD）将径流序列分解为多尺度振荡分量和趋势余项，并对高频波动分量应用变分模态分解（VMD）进行细化解耦</w:t>
      </w:r>
      <w:r>
        <w:rPr>
          <w:rFonts w:hint="eastAsia" w:eastAsia="楷体"/>
          <w:highlight w:val="white"/>
        </w:rPr>
        <w:t>；</w:t>
      </w:r>
      <w:r>
        <w:rPr>
          <w:rFonts w:eastAsia="楷体"/>
          <w:highlight w:val="white"/>
        </w:rPr>
        <w:t>然后利用遗传算法（GA）优化回声状态网络（ESN），对各分量</w:t>
      </w:r>
      <w:r>
        <w:rPr>
          <w:rFonts w:hint="eastAsia" w:eastAsia="楷体"/>
          <w:highlight w:val="white"/>
        </w:rPr>
        <w:t>分别</w:t>
      </w:r>
      <w:r>
        <w:rPr>
          <w:rFonts w:eastAsia="楷体"/>
          <w:highlight w:val="white"/>
        </w:rPr>
        <w:t>建模并</w:t>
      </w:r>
      <w:r>
        <w:rPr>
          <w:rFonts w:hint="eastAsia" w:eastAsia="楷体"/>
          <w:highlight w:val="white"/>
        </w:rPr>
        <w:t>加和</w:t>
      </w:r>
      <w:r>
        <w:rPr>
          <w:rFonts w:eastAsia="楷体"/>
          <w:highlight w:val="white"/>
        </w:rPr>
        <w:t>重构</w:t>
      </w:r>
      <w:r>
        <w:rPr>
          <w:rFonts w:hint="eastAsia" w:eastAsia="楷体"/>
          <w:highlight w:val="white"/>
        </w:rPr>
        <w:t>获得</w:t>
      </w:r>
      <w:r>
        <w:rPr>
          <w:rFonts w:eastAsia="楷体"/>
          <w:highlight w:val="white"/>
        </w:rPr>
        <w:t>初始预报值</w:t>
      </w:r>
      <w:r>
        <w:rPr>
          <w:rFonts w:hint="eastAsia" w:eastAsia="楷体"/>
          <w:highlight w:val="white"/>
        </w:rPr>
        <w:t>；</w:t>
      </w:r>
      <w:r>
        <w:rPr>
          <w:rFonts w:eastAsia="楷体"/>
          <w:highlight w:val="white"/>
        </w:rPr>
        <w:t>最后构建基于残差的自回归（AR）误差校正模型，利用残差序列的时序相关性预测修正项并叠加至重构结果完成后验校正，将该ESMD</w:t>
      </w:r>
      <w:r>
        <w:rPr>
          <w:rFonts w:hint="eastAsia" w:eastAsia="楷体"/>
          <w:highlight w:val="white"/>
        </w:rPr>
        <w:t>-</w:t>
      </w:r>
      <w:r>
        <w:rPr>
          <w:rFonts w:eastAsia="楷体"/>
          <w:highlight w:val="white"/>
        </w:rPr>
        <w:t>VMD</w:t>
      </w:r>
      <w:r>
        <w:rPr>
          <w:rFonts w:hint="eastAsia" w:eastAsia="楷体"/>
          <w:highlight w:val="white"/>
        </w:rPr>
        <w:t>-</w:t>
      </w:r>
      <w:r>
        <w:rPr>
          <w:rFonts w:eastAsia="楷体"/>
          <w:highlight w:val="white"/>
        </w:rPr>
        <w:t>GA</w:t>
      </w:r>
      <w:r>
        <w:rPr>
          <w:rFonts w:hint="eastAsia" w:eastAsia="楷体"/>
          <w:highlight w:val="white"/>
        </w:rPr>
        <w:t>-</w:t>
      </w:r>
      <w:r>
        <w:rPr>
          <w:rFonts w:eastAsia="楷体"/>
          <w:highlight w:val="white"/>
        </w:rPr>
        <w:t>ESN</w:t>
      </w:r>
      <w:r>
        <w:rPr>
          <w:rFonts w:hint="eastAsia" w:eastAsia="楷体"/>
          <w:highlight w:val="white"/>
        </w:rPr>
        <w:t>-</w:t>
      </w:r>
      <w:r>
        <w:rPr>
          <w:rFonts w:eastAsia="楷体"/>
          <w:highlight w:val="white"/>
        </w:rPr>
        <w:t>AR组合模型应用于黄河上游四个水文站的年、月径流预报。</w:t>
      </w:r>
      <w:r>
        <w:rPr>
          <w:rFonts w:hint="eastAsia" w:eastAsia="楷体" w:cs="Times New Roman"/>
          <w:szCs w:val="21"/>
          <w:highlight w:val="white"/>
        </w:rPr>
        <w:t>【结果】</w:t>
      </w:r>
      <w:r>
        <w:rPr>
          <w:rFonts w:eastAsia="楷体"/>
          <w:highlight w:val="white"/>
        </w:rPr>
        <w:t>结果表明，四站年、月径流预报的纳什效率系数均超过0.9，</w:t>
      </w:r>
      <w:r>
        <w:rPr>
          <w:rFonts w:hint="eastAsia" w:eastAsia="楷体"/>
          <w:highlight w:val="white"/>
        </w:rPr>
        <w:t>与其他十三种对比模型相比，有效提升了预报合格率，大幅度降低了均方根误差、平均绝对误差</w:t>
      </w:r>
      <w:r>
        <w:rPr>
          <w:rFonts w:eastAsia="楷体"/>
          <w:highlight w:val="white"/>
        </w:rPr>
        <w:t>与平均</w:t>
      </w:r>
      <w:r>
        <w:rPr>
          <w:rFonts w:hint="eastAsia" w:eastAsia="楷体"/>
          <w:highlight w:val="white"/>
        </w:rPr>
        <w:t>相对</w:t>
      </w:r>
      <w:r>
        <w:rPr>
          <w:rFonts w:eastAsia="楷体" w:cs="Times New Roman"/>
          <w:szCs w:val="21"/>
          <w:highlight w:val="white"/>
        </w:rPr>
        <w:t>误差，整体预报效果更好。【结论】</w:t>
      </w:r>
      <w:r>
        <w:rPr>
          <w:rFonts w:hint="eastAsia" w:eastAsia="楷体"/>
          <w:highlight w:val="white"/>
        </w:rPr>
        <w:t>构建的组合预报模型能够有效</w:t>
      </w:r>
      <w:r>
        <w:rPr>
          <w:rFonts w:eastAsia="楷体"/>
          <w:highlight w:val="white"/>
        </w:rPr>
        <w:t>捕捉</w:t>
      </w:r>
      <w:r>
        <w:rPr>
          <w:rFonts w:hint="eastAsia" w:eastAsia="楷体"/>
          <w:highlight w:val="white"/>
        </w:rPr>
        <w:t>径流的复杂波动特征，</w:t>
      </w:r>
      <w:r>
        <w:rPr>
          <w:rFonts w:eastAsia="楷体"/>
          <w:highlight w:val="white"/>
        </w:rPr>
        <w:t>为非平稳径流序列的中长期精细化预报提供了一种可推广的技术路径</w:t>
      </w:r>
      <w:r>
        <w:rPr>
          <w:rFonts w:hint="eastAsia" w:eastAsia="楷体"/>
          <w:highlight w:val="white"/>
        </w:rPr>
        <w:t>。</w:t>
      </w:r>
      <w:bookmarkEnd w:id="3"/>
    </w:p>
    <w:p w14:paraId="1B85A297">
      <w:pPr>
        <w:ind w:firstLine="0" w:firstLineChars="0"/>
        <w:jc w:val="left"/>
        <w:rPr>
          <w:rFonts w:hint="eastAsia" w:ascii="楷体" w:hAnsi="楷体" w:eastAsia="楷体"/>
        </w:rPr>
      </w:pPr>
      <w:bookmarkStart w:id="4" w:name="中文关键词_2"/>
      <w:r>
        <w:rPr>
          <w:rFonts w:hint="eastAsia" w:ascii="黑体" w:hAnsi="黑体" w:eastAsia="黑体"/>
          <w:b/>
          <w:bCs/>
          <w:highlight w:val="white"/>
        </w:rPr>
        <w:t>关键词：</w:t>
      </w:r>
      <w:r>
        <w:rPr>
          <w:rFonts w:hint="eastAsia" w:ascii="楷体" w:hAnsi="楷体" w:eastAsia="楷体"/>
          <w:highlight w:val="white"/>
        </w:rPr>
        <w:t>径流预报；非平稳序列；极点对称</w:t>
      </w:r>
      <w:r>
        <w:rPr>
          <w:rFonts w:ascii="楷体" w:hAnsi="楷体" w:eastAsia="楷体"/>
          <w:highlight w:val="white"/>
        </w:rPr>
        <w:t>模态分解</w:t>
      </w:r>
      <w:r>
        <w:rPr>
          <w:rFonts w:hint="eastAsia" w:ascii="楷体" w:hAnsi="楷体" w:eastAsia="楷体"/>
          <w:highlight w:val="white"/>
        </w:rPr>
        <w:t>；</w:t>
      </w:r>
      <w:r>
        <w:rPr>
          <w:rFonts w:ascii="楷体" w:hAnsi="楷体" w:eastAsia="楷体"/>
          <w:highlight w:val="white"/>
        </w:rPr>
        <w:t>变分模态分解</w:t>
      </w:r>
      <w:r>
        <w:rPr>
          <w:rFonts w:hint="eastAsia" w:ascii="楷体" w:hAnsi="楷体" w:eastAsia="楷体"/>
          <w:highlight w:val="white"/>
        </w:rPr>
        <w:t>；遗传算法；回声状态网络；</w:t>
      </w:r>
      <w:r>
        <w:rPr>
          <w:rFonts w:ascii="楷体" w:hAnsi="楷体" w:eastAsia="楷体"/>
          <w:highlight w:val="white"/>
        </w:rPr>
        <w:t>自回归误</w:t>
      </w:r>
      <w:r>
        <w:rPr>
          <w:rFonts w:hint="eastAsia" w:ascii="楷体" w:hAnsi="楷体" w:eastAsia="楷体"/>
          <w:highlight w:val="white"/>
        </w:rPr>
        <w:t>差</w:t>
      </w:r>
      <w:r>
        <w:rPr>
          <w:rFonts w:ascii="楷体" w:hAnsi="楷体" w:eastAsia="楷体"/>
          <w:highlight w:val="white"/>
        </w:rPr>
        <w:t>校正</w:t>
      </w:r>
      <w:r>
        <w:rPr>
          <w:rFonts w:hint="eastAsia" w:ascii="楷体" w:hAnsi="楷体" w:eastAsia="楷体"/>
          <w:highlight w:val="white"/>
        </w:rPr>
        <w:t>；影响因素</w:t>
      </w:r>
      <w:bookmarkEnd w:id="4"/>
    </w:p>
    <w:p w14:paraId="70BB2BC8">
      <w:pPr>
        <w:ind w:firstLine="0" w:firstLineChars="0"/>
        <w:jc w:val="left"/>
        <w:rPr>
          <w:b/>
          <w:sz w:val="18"/>
          <w:szCs w:val="18"/>
        </w:rPr>
      </w:pPr>
      <w:bookmarkStart w:id="5" w:name="中图分类号_1"/>
      <w:r>
        <w:rPr>
          <w:rFonts w:ascii="黑体" w:hAnsi="黑体" w:eastAsia="黑体"/>
          <w:b/>
          <w:bCs/>
          <w:sz w:val="18"/>
          <w:szCs w:val="18"/>
          <w:highlight w:val="white"/>
        </w:rPr>
        <w:t>中图分类号</w:t>
      </w:r>
      <w:r>
        <w:rPr>
          <w:rFonts w:hint="eastAsia" w:ascii="宋体" w:hAnsi="宋体"/>
          <w:sz w:val="18"/>
          <w:szCs w:val="18"/>
          <w:highlight w:val="white"/>
        </w:rPr>
        <w:t>：</w:t>
      </w:r>
      <w:r>
        <w:rPr>
          <w:rFonts w:hint="eastAsia" w:eastAsia="黑体" w:cs="Times New Roman"/>
          <w:sz w:val="18"/>
          <w:szCs w:val="18"/>
          <w:highlight w:val="white"/>
        </w:rPr>
        <w:t>P338</w:t>
      </w:r>
      <w:bookmarkEnd w:id="5"/>
      <w:r>
        <w:rPr>
          <w:sz w:val="18"/>
          <w:szCs w:val="18"/>
        </w:rPr>
        <w:t xml:space="preserve"> </w:t>
      </w:r>
      <w:r>
        <w:t xml:space="preserve">          </w:t>
      </w:r>
      <w:r>
        <w:rPr>
          <w:rFonts w:ascii="黑体" w:hAnsi="黑体" w:eastAsia="黑体"/>
          <w:sz w:val="18"/>
          <w:szCs w:val="18"/>
        </w:rPr>
        <w:t xml:space="preserve"> </w:t>
      </w:r>
      <w:bookmarkStart w:id="6" w:name="文献标志码_1"/>
      <w:r>
        <w:rPr>
          <w:rFonts w:ascii="黑体" w:hAnsi="黑体" w:eastAsia="黑体"/>
          <w:b/>
          <w:sz w:val="18"/>
          <w:szCs w:val="18"/>
          <w:highlight w:val="white"/>
        </w:rPr>
        <w:t>文献标志码</w:t>
      </w:r>
      <w:r>
        <w:rPr>
          <w:rFonts w:hint="eastAsia" w:ascii="宋体" w:hAnsi="宋体"/>
          <w:b/>
          <w:sz w:val="18"/>
          <w:szCs w:val="18"/>
          <w:highlight w:val="white"/>
        </w:rPr>
        <w:t>：</w:t>
      </w:r>
      <w:r>
        <w:rPr>
          <w:b/>
          <w:sz w:val="18"/>
          <w:szCs w:val="18"/>
          <w:highlight w:val="white"/>
        </w:rPr>
        <w:t>A</w:t>
      </w:r>
      <w:bookmarkEnd w:id="6"/>
    </w:p>
    <w:p w14:paraId="578B88F2">
      <w:pPr>
        <w:ind w:firstLine="0" w:firstLineChars="0"/>
        <w:jc w:val="left"/>
      </w:pPr>
    </w:p>
    <w:p w14:paraId="1F119E55">
      <w:pPr>
        <w:ind w:firstLine="0" w:firstLineChars="0"/>
        <w:jc w:val="center"/>
        <w:rPr>
          <w:b/>
          <w:bCs/>
          <w:sz w:val="18"/>
          <w:szCs w:val="18"/>
        </w:rPr>
      </w:pPr>
      <w:bookmarkStart w:id="7" w:name="英文标题_1"/>
      <w:r>
        <w:rPr>
          <w:b/>
          <w:bCs/>
          <w:sz w:val="28"/>
          <w:szCs w:val="28"/>
          <w:highlight w:val="white"/>
        </w:rPr>
        <w:t xml:space="preserve">A medium- and long-term runoff </w:t>
      </w:r>
      <w:r>
        <w:rPr>
          <w:rFonts w:hint="eastAsia"/>
          <w:b/>
          <w:bCs/>
          <w:sz w:val="28"/>
          <w:szCs w:val="28"/>
          <w:highlight w:val="white"/>
        </w:rPr>
        <w:t>ensemble</w:t>
      </w:r>
      <w:r>
        <w:rPr>
          <w:b/>
          <w:bCs/>
          <w:sz w:val="28"/>
          <w:szCs w:val="28"/>
          <w:highlight w:val="white"/>
        </w:rPr>
        <w:t xml:space="preserve"> forecasting </w:t>
      </w:r>
      <w:bookmarkStart w:id="8" w:name="MOD_1"/>
      <w:r>
        <w:rPr>
          <w:b/>
          <w:bCs/>
          <w:sz w:val="28"/>
          <w:szCs w:val="28"/>
        </w:rPr>
        <w:t>mod</w:t>
      </w:r>
      <w:bookmarkEnd w:id="8"/>
      <w:r>
        <w:rPr>
          <w:b/>
          <w:bCs/>
          <w:sz w:val="28"/>
          <w:szCs w:val="28"/>
          <w:highlight w:val="white"/>
        </w:rPr>
        <w:t>el based on two-layer decomposition</w:t>
      </w:r>
      <w:r>
        <w:rPr>
          <w:rFonts w:hint="eastAsia"/>
          <w:b/>
          <w:bCs/>
          <w:sz w:val="28"/>
          <w:szCs w:val="28"/>
          <w:highlight w:val="white"/>
        </w:rPr>
        <w:t xml:space="preserve">, </w:t>
      </w:r>
      <w:r>
        <w:rPr>
          <w:b/>
          <w:bCs/>
          <w:sz w:val="28"/>
          <w:szCs w:val="28"/>
          <w:highlight w:val="white"/>
        </w:rPr>
        <w:t>prediction</w:t>
      </w:r>
      <w:r>
        <w:rPr>
          <w:rFonts w:hint="eastAsia"/>
          <w:b/>
          <w:bCs/>
          <w:sz w:val="28"/>
          <w:szCs w:val="28"/>
          <w:highlight w:val="white"/>
        </w:rPr>
        <w:t xml:space="preserve">, </w:t>
      </w:r>
      <w:r>
        <w:rPr>
          <w:b/>
          <w:bCs/>
          <w:sz w:val="28"/>
          <w:szCs w:val="28"/>
          <w:highlight w:val="white"/>
        </w:rPr>
        <w:t>reconstruction</w:t>
      </w:r>
      <w:r>
        <w:rPr>
          <w:rFonts w:hint="eastAsia"/>
          <w:b/>
          <w:bCs/>
          <w:sz w:val="28"/>
          <w:szCs w:val="28"/>
          <w:highlight w:val="white"/>
        </w:rPr>
        <w:t>,</w:t>
      </w:r>
      <w:r>
        <w:rPr>
          <w:b/>
          <w:bCs/>
          <w:sz w:val="28"/>
          <w:szCs w:val="28"/>
          <w:highlight w:val="white"/>
        </w:rPr>
        <w:t xml:space="preserve"> and residual correction</w:t>
      </w:r>
      <w:bookmarkEnd w:id="7"/>
    </w:p>
    <w:p w14:paraId="01F3E45F">
      <w:pPr>
        <w:spacing w:line="280" w:lineRule="exact"/>
        <w:ind w:firstLine="0" w:firstLineChars="0"/>
        <w:jc w:val="center"/>
        <w:rPr>
          <w:szCs w:val="21"/>
          <w:vertAlign w:val="superscript"/>
        </w:rPr>
      </w:pPr>
      <w:bookmarkStart w:id="9" w:name="英文作者_2"/>
      <w:r>
        <w:rPr>
          <w:szCs w:val="21"/>
          <w:highlight w:val="white"/>
        </w:rPr>
        <w:t>L</w:t>
      </w:r>
      <w:r>
        <w:rPr>
          <w:rFonts w:hint="eastAsia"/>
          <w:szCs w:val="21"/>
          <w:highlight w:val="white"/>
        </w:rPr>
        <w:t>I</w:t>
      </w:r>
      <w:r>
        <w:rPr>
          <w:szCs w:val="21"/>
          <w:highlight w:val="white"/>
        </w:rPr>
        <w:t xml:space="preserve"> Jiqing</w:t>
      </w:r>
      <w:r>
        <w:rPr>
          <w:rFonts w:hint="eastAsia"/>
          <w:szCs w:val="21"/>
          <w:highlight w:val="white"/>
          <w:vertAlign w:val="superscript"/>
        </w:rPr>
        <w:t>1,2</w:t>
      </w:r>
      <w:r>
        <w:rPr>
          <w:rFonts w:hint="eastAsia" w:ascii="楷体" w:hAnsi="楷体" w:eastAsia="楷体"/>
          <w:szCs w:val="21"/>
          <w:highlight w:val="white"/>
        </w:rPr>
        <w:t>，</w:t>
      </w:r>
      <w:r>
        <w:rPr>
          <w:rFonts w:hint="eastAsia"/>
          <w:szCs w:val="21"/>
          <w:highlight w:val="white"/>
        </w:rPr>
        <w:t>CHENG Zhanhong</w:t>
      </w:r>
      <w:r>
        <w:rPr>
          <w:rFonts w:hint="eastAsia"/>
          <w:szCs w:val="21"/>
          <w:highlight w:val="white"/>
          <w:vertAlign w:val="superscript"/>
        </w:rPr>
        <w:t>1</w:t>
      </w:r>
      <w:r>
        <w:rPr>
          <w:rFonts w:hint="eastAsia" w:ascii="楷体" w:hAnsi="楷体" w:eastAsia="楷体"/>
          <w:szCs w:val="21"/>
          <w:highlight w:val="white"/>
        </w:rPr>
        <w:t>，</w:t>
      </w:r>
      <w:r>
        <w:rPr>
          <w:rFonts w:hint="eastAsia"/>
          <w:szCs w:val="21"/>
          <w:highlight w:val="white"/>
        </w:rPr>
        <w:t>CAI Bowen</w:t>
      </w:r>
      <w:r>
        <w:rPr>
          <w:rFonts w:hint="eastAsia"/>
          <w:szCs w:val="21"/>
          <w:highlight w:val="white"/>
          <w:vertAlign w:val="superscript"/>
        </w:rPr>
        <w:t>1</w:t>
      </w:r>
      <w:r>
        <w:rPr>
          <w:rFonts w:hint="eastAsia"/>
          <w:szCs w:val="21"/>
          <w:highlight w:val="white"/>
        </w:rPr>
        <w:t>，DENG Xinyi</w:t>
      </w:r>
      <w:r>
        <w:rPr>
          <w:rFonts w:hint="eastAsia"/>
          <w:szCs w:val="21"/>
          <w:highlight w:val="white"/>
          <w:vertAlign w:val="superscript"/>
        </w:rPr>
        <w:t>1</w:t>
      </w:r>
      <w:bookmarkEnd w:id="9"/>
    </w:p>
    <w:p w14:paraId="048CBA8D">
      <w:pPr>
        <w:ind w:firstLine="0" w:firstLineChars="0"/>
        <w:jc w:val="center"/>
        <w:rPr>
          <w:rFonts w:eastAsia="仿宋"/>
          <w:sz w:val="18"/>
          <w:szCs w:val="21"/>
        </w:rPr>
      </w:pPr>
      <w:bookmarkStart w:id="10" w:name="英文作者单位_2"/>
      <w:r>
        <w:rPr>
          <w:rFonts w:hint="eastAsia" w:eastAsia="仿宋"/>
          <w:sz w:val="18"/>
          <w:szCs w:val="21"/>
          <w:highlight w:val="white"/>
        </w:rPr>
        <w:t>（</w:t>
      </w:r>
      <w:r>
        <w:rPr>
          <w:rFonts w:eastAsia="仿宋"/>
          <w:sz w:val="18"/>
          <w:szCs w:val="21"/>
          <w:highlight w:val="white"/>
        </w:rPr>
        <w:t>1. School of Water Resources and Hydropower Engineering, North China Electric Power University</w:t>
      </w:r>
      <w:r>
        <w:rPr>
          <w:rFonts w:hint="eastAsia" w:eastAsia="仿宋"/>
          <w:sz w:val="18"/>
          <w:szCs w:val="21"/>
          <w:highlight w:val="white"/>
        </w:rPr>
        <w:t>,</w:t>
      </w:r>
      <w:r>
        <w:rPr>
          <w:rFonts w:eastAsia="仿宋"/>
          <w:sz w:val="18"/>
          <w:szCs w:val="21"/>
          <w:highlight w:val="white"/>
        </w:rPr>
        <w:t xml:space="preserve"> Beijing  102206, China</w:t>
      </w:r>
      <w:r>
        <w:rPr>
          <w:rFonts w:hint="eastAsia" w:eastAsia="仿宋"/>
          <w:sz w:val="18"/>
          <w:szCs w:val="21"/>
          <w:highlight w:val="white"/>
        </w:rPr>
        <w:t>;</w:t>
      </w:r>
      <w:r>
        <w:rPr>
          <w:rFonts w:eastAsia="仿宋"/>
          <w:sz w:val="18"/>
          <w:szCs w:val="21"/>
          <w:highlight w:val="white"/>
        </w:rPr>
        <w:t xml:space="preserve"> 2. Suzhou Institute of North China Electric Power University, Suzhou </w:t>
      </w:r>
      <w:r>
        <w:rPr>
          <w:rFonts w:hint="eastAsia" w:eastAsia="仿宋"/>
          <w:sz w:val="18"/>
          <w:szCs w:val="21"/>
          <w:highlight w:val="white"/>
        </w:rPr>
        <w:t xml:space="preserve"> </w:t>
      </w:r>
      <w:r>
        <w:rPr>
          <w:rFonts w:eastAsia="仿宋"/>
          <w:sz w:val="18"/>
          <w:szCs w:val="21"/>
          <w:highlight w:val="white"/>
        </w:rPr>
        <w:t>215123, Jiangsu</w:t>
      </w:r>
      <w:r>
        <w:rPr>
          <w:rFonts w:hint="eastAsia" w:eastAsia="仿宋"/>
          <w:sz w:val="18"/>
          <w:szCs w:val="21"/>
          <w:highlight w:val="white"/>
        </w:rPr>
        <w:t>,</w:t>
      </w:r>
      <w:r>
        <w:rPr>
          <w:rFonts w:eastAsia="仿宋"/>
          <w:sz w:val="18"/>
          <w:szCs w:val="21"/>
          <w:highlight w:val="white"/>
        </w:rPr>
        <w:t xml:space="preserve"> China</w:t>
      </w:r>
      <w:r>
        <w:rPr>
          <w:rFonts w:hint="eastAsia" w:eastAsia="仿宋"/>
          <w:sz w:val="18"/>
          <w:szCs w:val="21"/>
          <w:highlight w:val="white"/>
        </w:rPr>
        <w:t>）</w:t>
      </w:r>
      <w:bookmarkEnd w:id="10"/>
    </w:p>
    <w:p w14:paraId="25DD62E2">
      <w:pPr>
        <w:spacing w:line="280" w:lineRule="exact"/>
        <w:ind w:firstLine="0" w:firstLineChars="0"/>
        <w:jc w:val="center"/>
        <w:rPr>
          <w:rFonts w:eastAsia="仿宋"/>
          <w:sz w:val="18"/>
          <w:szCs w:val="18"/>
        </w:rPr>
      </w:pPr>
    </w:p>
    <w:p w14:paraId="3927304A">
      <w:pPr>
        <w:ind w:firstLine="0" w:firstLineChars="0"/>
        <w:jc w:val="left"/>
        <w:rPr>
          <w:szCs w:val="21"/>
        </w:rPr>
      </w:pPr>
      <w:bookmarkStart w:id="11" w:name="英文摘要_2"/>
      <w:r>
        <w:rPr>
          <w:b/>
          <w:bCs/>
          <w:szCs w:val="21"/>
          <w:highlight w:val="white"/>
        </w:rPr>
        <w:t>Abstract</w:t>
      </w:r>
      <w:r>
        <w:rPr>
          <w:rFonts w:hint="eastAsia"/>
          <w:b/>
          <w:bCs/>
          <w:szCs w:val="21"/>
          <w:highlight w:val="white"/>
        </w:rPr>
        <w:t>：</w:t>
      </w:r>
      <w:r>
        <w:rPr>
          <w:rStyle w:val="24"/>
          <w:bCs w:val="0"/>
          <w:highlight w:val="white"/>
        </w:rPr>
        <w:t>[Objective]</w:t>
      </w:r>
      <w:r>
        <w:rPr>
          <w:szCs w:val="21"/>
          <w:highlight w:val="white"/>
        </w:rPr>
        <w:t xml:space="preserve"> Under the combined influence of climate change and human activities, runoff series exhibit pronounced non</w:t>
      </w:r>
      <w:r>
        <w:rPr>
          <w:rFonts w:hint="eastAsia"/>
          <w:szCs w:val="21"/>
          <w:highlight w:val="white"/>
        </w:rPr>
        <w:t>-</w:t>
      </w:r>
      <w:r>
        <w:rPr>
          <w:szCs w:val="21"/>
          <w:highlight w:val="white"/>
        </w:rPr>
        <w:t>stationarity and multi-scale fluctuation characteristics, increasing the difficulty of medium- and long-term runoff forecasting. T</w:t>
      </w:r>
      <w:r>
        <w:rPr>
          <w:rFonts w:hint="eastAsia"/>
          <w:szCs w:val="21"/>
          <w:highlight w:val="white"/>
        </w:rPr>
        <w:t>he aim is to</w:t>
      </w:r>
      <w:r>
        <w:rPr>
          <w:szCs w:val="21"/>
          <w:highlight w:val="white"/>
        </w:rPr>
        <w:t xml:space="preserve"> improve the forecasting accuracy of single </w:t>
      </w:r>
      <w:bookmarkStart w:id="12" w:name="MOD_2"/>
      <w:bookmarkStart w:id="13" w:name="MOD_10"/>
      <w:r>
        <w:rPr>
          <w:szCs w:val="21"/>
        </w:rPr>
        <w:t>mod</w:t>
      </w:r>
      <w:bookmarkEnd w:id="12"/>
      <w:bookmarkEnd w:id="13"/>
      <w:r>
        <w:rPr>
          <w:szCs w:val="21"/>
          <w:highlight w:val="white"/>
        </w:rPr>
        <w:t>els under complex runoff conditions</w:t>
      </w:r>
      <w:r>
        <w:rPr>
          <w:rFonts w:hint="eastAsia"/>
          <w:szCs w:val="21"/>
          <w:highlight w:val="white"/>
        </w:rPr>
        <w:t>.</w:t>
      </w:r>
      <w:r>
        <w:rPr>
          <w:b/>
          <w:bCs/>
          <w:szCs w:val="21"/>
          <w:highlight w:val="white"/>
        </w:rPr>
        <w:t xml:space="preserve"> </w:t>
      </w:r>
      <w:r>
        <w:rPr>
          <w:rStyle w:val="24"/>
          <w:rFonts w:cs="Times New Roman"/>
          <w:bCs w:val="0"/>
          <w:highlight w:val="white"/>
        </w:rPr>
        <w:t>[Methods]</w:t>
      </w:r>
      <w:r>
        <w:rPr>
          <w:rStyle w:val="24"/>
          <w:rFonts w:hint="eastAsia" w:cs="Times New Roman"/>
          <w:b w:val="0"/>
          <w:bCs w:val="0"/>
          <w:highlight w:val="white"/>
        </w:rPr>
        <w:t xml:space="preserve"> </w:t>
      </w:r>
      <w:r>
        <w:rPr>
          <w:rFonts w:hint="eastAsia"/>
          <w:szCs w:val="21"/>
          <w:highlight w:val="white"/>
        </w:rPr>
        <w:t>An integrated</w:t>
      </w:r>
      <w:r>
        <w:rPr>
          <w:szCs w:val="21"/>
          <w:highlight w:val="white"/>
        </w:rPr>
        <w:t xml:space="preserve"> </w:t>
      </w:r>
      <w:r>
        <w:rPr>
          <w:rFonts w:hint="eastAsia"/>
          <w:szCs w:val="21"/>
          <w:highlight w:val="white"/>
        </w:rPr>
        <w:t xml:space="preserve">ensemble </w:t>
      </w:r>
      <w:r>
        <w:rPr>
          <w:szCs w:val="21"/>
          <w:highlight w:val="white"/>
        </w:rPr>
        <w:t xml:space="preserve">forecasting </w:t>
      </w:r>
      <w:bookmarkStart w:id="14" w:name="MOD_3"/>
      <w:bookmarkStart w:id="15" w:name="MOD_11"/>
      <w:r>
        <w:rPr>
          <w:szCs w:val="21"/>
        </w:rPr>
        <w:t>mod</w:t>
      </w:r>
      <w:bookmarkEnd w:id="14"/>
      <w:bookmarkEnd w:id="15"/>
      <w:r>
        <w:rPr>
          <w:szCs w:val="21"/>
          <w:highlight w:val="white"/>
        </w:rPr>
        <w:t xml:space="preserve">el </w:t>
      </w:r>
      <w:r>
        <w:rPr>
          <w:rFonts w:hint="eastAsia"/>
          <w:szCs w:val="21"/>
          <w:highlight w:val="white"/>
        </w:rPr>
        <w:t>of</w:t>
      </w:r>
      <w:r>
        <w:rPr>
          <w:szCs w:val="21"/>
          <w:highlight w:val="white"/>
        </w:rPr>
        <w:t xml:space="preserve"> “two-layer decomposition-prediction-reconstruction-residual correction” was proposed. First, </w:t>
      </w:r>
      <w:r>
        <w:rPr>
          <w:rFonts w:hint="eastAsia"/>
          <w:szCs w:val="21"/>
          <w:highlight w:val="white"/>
        </w:rPr>
        <w:t>e</w:t>
      </w:r>
      <w:r>
        <w:rPr>
          <w:szCs w:val="21"/>
          <w:highlight w:val="white"/>
        </w:rPr>
        <w:t xml:space="preserve">xtreme-point </w:t>
      </w:r>
      <w:r>
        <w:rPr>
          <w:rFonts w:hint="eastAsia"/>
          <w:szCs w:val="21"/>
          <w:highlight w:val="white"/>
        </w:rPr>
        <w:t>s</w:t>
      </w:r>
      <w:r>
        <w:rPr>
          <w:szCs w:val="21"/>
          <w:highlight w:val="white"/>
        </w:rPr>
        <w:t xml:space="preserve">ymmetric </w:t>
      </w:r>
      <w:bookmarkStart w:id="16" w:name="MOD_4"/>
      <w:bookmarkStart w:id="17" w:name="MOD_12"/>
      <w:r>
        <w:rPr>
          <w:szCs w:val="21"/>
        </w:rPr>
        <w:t>mod</w:t>
      </w:r>
      <w:bookmarkEnd w:id="16"/>
      <w:bookmarkEnd w:id="17"/>
      <w:r>
        <w:rPr>
          <w:szCs w:val="21"/>
          <w:highlight w:val="white"/>
        </w:rPr>
        <w:t xml:space="preserve">e </w:t>
      </w:r>
      <w:r>
        <w:rPr>
          <w:rFonts w:hint="eastAsia"/>
          <w:szCs w:val="21"/>
          <w:highlight w:val="white"/>
        </w:rPr>
        <w:t>d</w:t>
      </w:r>
      <w:r>
        <w:rPr>
          <w:szCs w:val="21"/>
          <w:highlight w:val="white"/>
        </w:rPr>
        <w:t>ecomposition (ESMD) was used to decompose the runoff series into multi-scale oscillatory components and a trend residual</w:t>
      </w:r>
      <w:r>
        <w:rPr>
          <w:rFonts w:hint="eastAsia"/>
          <w:szCs w:val="21"/>
          <w:highlight w:val="white"/>
        </w:rPr>
        <w:t>, and</w:t>
      </w:r>
      <w:r>
        <w:rPr>
          <w:szCs w:val="21"/>
          <w:highlight w:val="white"/>
        </w:rPr>
        <w:t xml:space="preserve"> </w:t>
      </w:r>
      <w:r>
        <w:rPr>
          <w:rFonts w:hint="eastAsia"/>
          <w:szCs w:val="21"/>
          <w:highlight w:val="white"/>
        </w:rPr>
        <w:t>v</w:t>
      </w:r>
      <w:r>
        <w:rPr>
          <w:szCs w:val="21"/>
          <w:highlight w:val="white"/>
        </w:rPr>
        <w:t xml:space="preserve">ariational </w:t>
      </w:r>
      <w:bookmarkStart w:id="18" w:name="MOD_13"/>
      <w:bookmarkStart w:id="19" w:name="MOD_5"/>
      <w:r>
        <w:rPr>
          <w:szCs w:val="21"/>
        </w:rPr>
        <w:t>mod</w:t>
      </w:r>
      <w:bookmarkEnd w:id="18"/>
      <w:bookmarkEnd w:id="19"/>
      <w:r>
        <w:rPr>
          <w:szCs w:val="21"/>
          <w:highlight w:val="white"/>
        </w:rPr>
        <w:t xml:space="preserve">e </w:t>
      </w:r>
      <w:r>
        <w:rPr>
          <w:rFonts w:hint="eastAsia"/>
          <w:szCs w:val="21"/>
          <w:highlight w:val="white"/>
        </w:rPr>
        <w:t>d</w:t>
      </w:r>
      <w:r>
        <w:rPr>
          <w:szCs w:val="21"/>
          <w:highlight w:val="white"/>
        </w:rPr>
        <w:t xml:space="preserve">ecomposition (VMD) was applied to high-frequency fluctuation components for refined decoupling. Then, a </w:t>
      </w:r>
      <w:r>
        <w:rPr>
          <w:rFonts w:hint="eastAsia"/>
          <w:szCs w:val="21"/>
          <w:highlight w:val="white"/>
        </w:rPr>
        <w:t>g</w:t>
      </w:r>
      <w:r>
        <w:rPr>
          <w:szCs w:val="21"/>
          <w:highlight w:val="white"/>
        </w:rPr>
        <w:t xml:space="preserve">enetic </w:t>
      </w:r>
      <w:r>
        <w:rPr>
          <w:rFonts w:hint="eastAsia"/>
          <w:szCs w:val="21"/>
          <w:highlight w:val="white"/>
        </w:rPr>
        <w:t>a</w:t>
      </w:r>
      <w:r>
        <w:rPr>
          <w:szCs w:val="21"/>
          <w:highlight w:val="white"/>
        </w:rPr>
        <w:t xml:space="preserve">lgorithm (GA) was employed to optimize the </w:t>
      </w:r>
      <w:r>
        <w:rPr>
          <w:rFonts w:hint="eastAsia"/>
          <w:szCs w:val="21"/>
          <w:highlight w:val="white"/>
        </w:rPr>
        <w:t>e</w:t>
      </w:r>
      <w:r>
        <w:rPr>
          <w:szCs w:val="21"/>
          <w:highlight w:val="white"/>
        </w:rPr>
        <w:t xml:space="preserve">cho </w:t>
      </w:r>
      <w:r>
        <w:rPr>
          <w:rFonts w:hint="eastAsia"/>
          <w:szCs w:val="21"/>
          <w:highlight w:val="white"/>
        </w:rPr>
        <w:t>s</w:t>
      </w:r>
      <w:r>
        <w:rPr>
          <w:szCs w:val="21"/>
          <w:highlight w:val="white"/>
        </w:rPr>
        <w:t xml:space="preserve">tate </w:t>
      </w:r>
      <w:r>
        <w:rPr>
          <w:rFonts w:hint="eastAsia"/>
          <w:szCs w:val="21"/>
          <w:highlight w:val="white"/>
        </w:rPr>
        <w:t>n</w:t>
      </w:r>
      <w:r>
        <w:rPr>
          <w:szCs w:val="21"/>
          <w:highlight w:val="white"/>
        </w:rPr>
        <w:t>etwork (ESN)</w:t>
      </w:r>
      <w:r>
        <w:rPr>
          <w:rFonts w:hint="eastAsia"/>
          <w:szCs w:val="21"/>
          <w:highlight w:val="white"/>
        </w:rPr>
        <w:t>. E</w:t>
      </w:r>
      <w:r>
        <w:rPr>
          <w:szCs w:val="21"/>
          <w:highlight w:val="white"/>
        </w:rPr>
        <w:t xml:space="preserve">ach component was </w:t>
      </w:r>
      <w:bookmarkStart w:id="20" w:name="MOD_6"/>
      <w:bookmarkStart w:id="21" w:name="MOD_14"/>
      <w:r>
        <w:rPr>
          <w:szCs w:val="21"/>
        </w:rPr>
        <w:t>mod</w:t>
      </w:r>
      <w:bookmarkEnd w:id="20"/>
      <w:bookmarkEnd w:id="21"/>
      <w:r>
        <w:rPr>
          <w:szCs w:val="21"/>
          <w:highlight w:val="white"/>
        </w:rPr>
        <w:t>eled</w:t>
      </w:r>
      <w:r>
        <w:rPr>
          <w:rFonts w:hint="eastAsia"/>
          <w:szCs w:val="21"/>
          <w:highlight w:val="white"/>
        </w:rPr>
        <w:t xml:space="preserve"> separately</w:t>
      </w:r>
      <w:r>
        <w:rPr>
          <w:szCs w:val="21"/>
          <w:highlight w:val="white"/>
        </w:rPr>
        <w:t xml:space="preserve"> by the ESN, and the outputs were summed and reconstructed to obtain the initial forecast</w:t>
      </w:r>
      <w:r>
        <w:rPr>
          <w:rFonts w:hint="eastAsia"/>
          <w:szCs w:val="21"/>
          <w:highlight w:val="white"/>
        </w:rPr>
        <w:t>ed</w:t>
      </w:r>
      <w:r>
        <w:rPr>
          <w:szCs w:val="21"/>
          <w:highlight w:val="white"/>
        </w:rPr>
        <w:t xml:space="preserve"> values. Finally, an autoregressive (AR) error correction </w:t>
      </w:r>
      <w:bookmarkStart w:id="22" w:name="MOD_7"/>
      <w:bookmarkStart w:id="23" w:name="MOD_15"/>
      <w:r>
        <w:rPr>
          <w:szCs w:val="21"/>
        </w:rPr>
        <w:t>mod</w:t>
      </w:r>
      <w:bookmarkEnd w:id="22"/>
      <w:bookmarkEnd w:id="23"/>
      <w:r>
        <w:rPr>
          <w:szCs w:val="21"/>
          <w:highlight w:val="white"/>
        </w:rPr>
        <w:t>el based on residuals was constructed. The temporal correlation of the residual series was utilized to predict the correction terms, which were then superimposed onto the reconstructed results to complete the posterior correction. The ESMD</w:t>
      </w:r>
      <w:r>
        <w:rPr>
          <w:rFonts w:hint="eastAsia"/>
          <w:szCs w:val="21"/>
          <w:highlight w:val="white"/>
        </w:rPr>
        <w:t>-</w:t>
      </w:r>
      <w:r>
        <w:rPr>
          <w:szCs w:val="21"/>
          <w:highlight w:val="white"/>
        </w:rPr>
        <w:t>VMD</w:t>
      </w:r>
      <w:r>
        <w:rPr>
          <w:rFonts w:hint="eastAsia"/>
          <w:szCs w:val="21"/>
          <w:highlight w:val="white"/>
        </w:rPr>
        <w:t>-</w:t>
      </w:r>
      <w:r>
        <w:rPr>
          <w:szCs w:val="21"/>
          <w:highlight w:val="white"/>
        </w:rPr>
        <w:t>GA</w:t>
      </w:r>
      <w:r>
        <w:rPr>
          <w:rFonts w:hint="eastAsia"/>
          <w:szCs w:val="21"/>
          <w:highlight w:val="white"/>
        </w:rPr>
        <w:t>-</w:t>
      </w:r>
      <w:r>
        <w:rPr>
          <w:szCs w:val="21"/>
          <w:highlight w:val="white"/>
        </w:rPr>
        <w:t>ESN</w:t>
      </w:r>
      <w:r>
        <w:rPr>
          <w:rFonts w:hint="eastAsia"/>
          <w:szCs w:val="21"/>
          <w:highlight w:val="white"/>
        </w:rPr>
        <w:t>-</w:t>
      </w:r>
      <w:r>
        <w:rPr>
          <w:szCs w:val="21"/>
          <w:highlight w:val="white"/>
        </w:rPr>
        <w:t>AR</w:t>
      </w:r>
      <w:r>
        <w:rPr>
          <w:rFonts w:hint="eastAsia"/>
          <w:szCs w:val="21"/>
          <w:highlight w:val="white"/>
        </w:rPr>
        <w:t xml:space="preserve"> ensemble</w:t>
      </w:r>
      <w:r>
        <w:rPr>
          <w:szCs w:val="21"/>
          <w:highlight w:val="white"/>
        </w:rPr>
        <w:t xml:space="preserve"> forecasting </w:t>
      </w:r>
      <w:bookmarkStart w:id="24" w:name="MOD_16"/>
      <w:bookmarkStart w:id="25" w:name="MOD_8"/>
      <w:r>
        <w:rPr>
          <w:szCs w:val="21"/>
        </w:rPr>
        <w:t>mod</w:t>
      </w:r>
      <w:bookmarkEnd w:id="24"/>
      <w:bookmarkEnd w:id="25"/>
      <w:r>
        <w:rPr>
          <w:szCs w:val="21"/>
          <w:highlight w:val="white"/>
        </w:rPr>
        <w:t xml:space="preserve">el was applied to annual and monthly runoff forecasting </w:t>
      </w:r>
      <w:r>
        <w:rPr>
          <w:rFonts w:hint="eastAsia"/>
          <w:szCs w:val="21"/>
          <w:highlight w:val="white"/>
        </w:rPr>
        <w:t>at</w:t>
      </w:r>
      <w:r>
        <w:rPr>
          <w:szCs w:val="21"/>
          <w:highlight w:val="white"/>
        </w:rPr>
        <w:t xml:space="preserve"> four hydrological stations in the upper </w:t>
      </w:r>
      <w:r>
        <w:rPr>
          <w:rFonts w:hint="eastAsia"/>
          <w:szCs w:val="21"/>
          <w:highlight w:val="white"/>
        </w:rPr>
        <w:t xml:space="preserve">reaches of the </w:t>
      </w:r>
      <w:r>
        <w:rPr>
          <w:szCs w:val="21"/>
          <w:highlight w:val="white"/>
        </w:rPr>
        <w:t xml:space="preserve">Yellow River. </w:t>
      </w:r>
      <w:r>
        <w:rPr>
          <w:rStyle w:val="24"/>
          <w:bCs w:val="0"/>
          <w:highlight w:val="white"/>
        </w:rPr>
        <w:t>[Results]</w:t>
      </w:r>
      <w:r>
        <w:rPr>
          <w:szCs w:val="21"/>
          <w:highlight w:val="white"/>
        </w:rPr>
        <w:t xml:space="preserve"> The results show</w:t>
      </w:r>
      <w:r>
        <w:rPr>
          <w:rFonts w:hint="eastAsia"/>
          <w:szCs w:val="21"/>
          <w:highlight w:val="white"/>
        </w:rPr>
        <w:t>ed</w:t>
      </w:r>
      <w:r>
        <w:rPr>
          <w:szCs w:val="21"/>
          <w:highlight w:val="white"/>
        </w:rPr>
        <w:t xml:space="preserve"> that the Nash</w:t>
      </w:r>
      <w:r>
        <w:rPr>
          <w:rFonts w:hint="eastAsia"/>
          <w:szCs w:val="21"/>
          <w:highlight w:val="white"/>
        </w:rPr>
        <w:t>-</w:t>
      </w:r>
      <w:r>
        <w:rPr>
          <w:szCs w:val="21"/>
          <w:highlight w:val="white"/>
        </w:rPr>
        <w:t>Sutcliffe efficiency coefficients for annual and monthly runoff forecasts at the four stations exceed</w:t>
      </w:r>
      <w:r>
        <w:rPr>
          <w:rFonts w:hint="eastAsia"/>
          <w:szCs w:val="21"/>
          <w:highlight w:val="white"/>
        </w:rPr>
        <w:t>ed</w:t>
      </w:r>
      <w:r>
        <w:rPr>
          <w:szCs w:val="21"/>
          <w:highlight w:val="white"/>
        </w:rPr>
        <w:t xml:space="preserve"> 0.90. Compared with the other thirteen benchmark </w:t>
      </w:r>
      <w:bookmarkStart w:id="26" w:name="MOD_9"/>
      <w:bookmarkStart w:id="27" w:name="MOD_17"/>
      <w:r>
        <w:rPr>
          <w:szCs w:val="21"/>
        </w:rPr>
        <w:t>mod</w:t>
      </w:r>
      <w:bookmarkEnd w:id="26"/>
      <w:bookmarkEnd w:id="27"/>
      <w:r>
        <w:rPr>
          <w:szCs w:val="21"/>
          <w:highlight w:val="white"/>
        </w:rPr>
        <w:t xml:space="preserve">els, the </w:t>
      </w:r>
      <w:r>
        <w:rPr>
          <w:rFonts w:hint="eastAsia"/>
          <w:szCs w:val="21"/>
          <w:highlight w:val="white"/>
        </w:rPr>
        <w:t>ensemble</w:t>
      </w:r>
      <w:r>
        <w:rPr>
          <w:szCs w:val="21"/>
          <w:highlight w:val="white"/>
        </w:rPr>
        <w:t xml:space="preserve"> forecasting </w:t>
      </w:r>
      <w:bookmarkStart w:id="28" w:name="MOD_18"/>
      <w:r>
        <w:rPr>
          <w:szCs w:val="21"/>
        </w:rPr>
        <w:t>mod</w:t>
      </w:r>
      <w:bookmarkEnd w:id="28"/>
      <w:r>
        <w:rPr>
          <w:szCs w:val="21"/>
          <w:highlight w:val="white"/>
        </w:rPr>
        <w:t>el effectively improve</w:t>
      </w:r>
      <w:r>
        <w:rPr>
          <w:rFonts w:hint="eastAsia"/>
          <w:szCs w:val="21"/>
          <w:highlight w:val="white"/>
        </w:rPr>
        <w:t>d</w:t>
      </w:r>
      <w:r>
        <w:rPr>
          <w:szCs w:val="21"/>
          <w:highlight w:val="white"/>
        </w:rPr>
        <w:t xml:space="preserve"> the forecast qualification rate, substantially reduced the root mean square error (</w:t>
      </w:r>
      <w:r>
        <w:rPr>
          <w:i/>
          <w:szCs w:val="21"/>
          <w:highlight w:val="white"/>
        </w:rPr>
        <w:t>RMSE</w:t>
      </w:r>
      <w:r>
        <w:rPr>
          <w:szCs w:val="21"/>
          <w:highlight w:val="white"/>
        </w:rPr>
        <w:t>), mean absolute error (</w:t>
      </w:r>
      <w:r>
        <w:rPr>
          <w:i/>
          <w:szCs w:val="21"/>
          <w:highlight w:val="white"/>
        </w:rPr>
        <w:t>MAE</w:t>
      </w:r>
      <w:r>
        <w:rPr>
          <w:szCs w:val="21"/>
          <w:highlight w:val="white"/>
        </w:rPr>
        <w:t>), and mean absolute percentage error (</w:t>
      </w:r>
      <w:r>
        <w:rPr>
          <w:i/>
          <w:szCs w:val="21"/>
          <w:highlight w:val="white"/>
        </w:rPr>
        <w:t>MAPE</w:t>
      </w:r>
      <w:r>
        <w:rPr>
          <w:szCs w:val="21"/>
          <w:highlight w:val="white"/>
        </w:rPr>
        <w:t>), and achieve</w:t>
      </w:r>
      <w:r>
        <w:rPr>
          <w:rFonts w:hint="eastAsia"/>
          <w:szCs w:val="21"/>
          <w:highlight w:val="white"/>
        </w:rPr>
        <w:t>d</w:t>
      </w:r>
      <w:r>
        <w:rPr>
          <w:szCs w:val="21"/>
          <w:highlight w:val="white"/>
        </w:rPr>
        <w:t xml:space="preserve"> better overall forecasting performance.</w:t>
      </w:r>
      <w:r>
        <w:rPr>
          <w:b/>
          <w:bCs/>
          <w:szCs w:val="21"/>
          <w:highlight w:val="white"/>
        </w:rPr>
        <w:t xml:space="preserve"> </w:t>
      </w:r>
      <w:r>
        <w:rPr>
          <w:rStyle w:val="24"/>
          <w:rFonts w:cs="Times New Roman"/>
          <w:highlight w:val="white"/>
        </w:rPr>
        <w:t>[Conclusion]</w:t>
      </w:r>
      <w:r>
        <w:rPr>
          <w:rStyle w:val="24"/>
          <w:rFonts w:hint="eastAsia" w:cs="Times New Roman"/>
          <w:highlight w:val="white"/>
        </w:rPr>
        <w:t xml:space="preserve"> </w:t>
      </w:r>
      <w:r>
        <w:rPr>
          <w:szCs w:val="21"/>
          <w:highlight w:val="white"/>
        </w:rPr>
        <w:t xml:space="preserve">The constructed </w:t>
      </w:r>
      <w:r>
        <w:rPr>
          <w:rFonts w:hint="eastAsia"/>
          <w:szCs w:val="21"/>
          <w:highlight w:val="white"/>
        </w:rPr>
        <w:t>ensemble</w:t>
      </w:r>
      <w:r>
        <w:rPr>
          <w:szCs w:val="21"/>
          <w:highlight w:val="white"/>
        </w:rPr>
        <w:t xml:space="preserve"> forecasting model can effectively capture the complex fluctuation characteristics of runoff, providing a transferable technical pathway for refined medium- to long-term forecasting of non</w:t>
      </w:r>
      <w:r>
        <w:rPr>
          <w:rFonts w:hint="eastAsia"/>
          <w:szCs w:val="21"/>
          <w:highlight w:val="white"/>
        </w:rPr>
        <w:t>-</w:t>
      </w:r>
      <w:r>
        <w:rPr>
          <w:szCs w:val="21"/>
          <w:highlight w:val="white"/>
        </w:rPr>
        <w:t>stationary runoff series.</w:t>
      </w:r>
      <w:bookmarkEnd w:id="11"/>
    </w:p>
    <w:p w14:paraId="2F745A51">
      <w:pPr>
        <w:ind w:firstLine="0" w:firstLineChars="0"/>
        <w:jc w:val="left"/>
      </w:pPr>
      <w:bookmarkStart w:id="29" w:name="英文关键词_2"/>
      <w:r>
        <w:rPr>
          <w:b/>
          <w:bCs/>
          <w:szCs w:val="21"/>
          <w:highlight w:val="white"/>
        </w:rPr>
        <w:t>Keywords:</w:t>
      </w:r>
      <w:r>
        <w:rPr>
          <w:szCs w:val="21"/>
          <w:highlight w:val="white"/>
        </w:rPr>
        <w:t xml:space="preserve"> </w:t>
      </w:r>
      <w:r>
        <w:rPr>
          <w:rFonts w:hint="eastAsia"/>
          <w:szCs w:val="21"/>
          <w:highlight w:val="white"/>
        </w:rPr>
        <w:t>r</w:t>
      </w:r>
      <w:r>
        <w:rPr>
          <w:szCs w:val="21"/>
          <w:highlight w:val="white"/>
        </w:rPr>
        <w:t>unoff forecasting;</w:t>
      </w:r>
      <w:r>
        <w:rPr>
          <w:rFonts w:hint="eastAsia"/>
          <w:highlight w:val="white"/>
        </w:rPr>
        <w:t xml:space="preserve"> </w:t>
      </w:r>
      <w:r>
        <w:rPr>
          <w:szCs w:val="21"/>
          <w:highlight w:val="white"/>
        </w:rPr>
        <w:t>non-stationary series</w:t>
      </w:r>
      <w:r>
        <w:rPr>
          <w:rFonts w:hint="eastAsia"/>
          <w:szCs w:val="21"/>
          <w:highlight w:val="white"/>
        </w:rPr>
        <w:t>;</w:t>
      </w:r>
      <w:r>
        <w:rPr>
          <w:szCs w:val="21"/>
          <w:highlight w:val="white"/>
        </w:rPr>
        <w:t xml:space="preserve"> extreme-point </w:t>
      </w:r>
      <w:r>
        <w:rPr>
          <w:rFonts w:hint="eastAsia"/>
          <w:szCs w:val="21"/>
          <w:highlight w:val="white"/>
        </w:rPr>
        <w:t>s</w:t>
      </w:r>
      <w:r>
        <w:rPr>
          <w:szCs w:val="21"/>
          <w:highlight w:val="white"/>
        </w:rPr>
        <w:t xml:space="preserve">ymmetric </w:t>
      </w:r>
      <w:bookmarkStart w:id="30" w:name="MOD_19"/>
      <w:bookmarkStart w:id="31" w:name="MOD_20"/>
      <w:r>
        <w:rPr>
          <w:szCs w:val="21"/>
        </w:rPr>
        <w:t>mod</w:t>
      </w:r>
      <w:bookmarkEnd w:id="30"/>
      <w:bookmarkEnd w:id="31"/>
      <w:r>
        <w:rPr>
          <w:szCs w:val="21"/>
          <w:highlight w:val="white"/>
        </w:rPr>
        <w:t xml:space="preserve">e </w:t>
      </w:r>
      <w:r>
        <w:rPr>
          <w:rFonts w:hint="eastAsia"/>
          <w:szCs w:val="21"/>
          <w:highlight w:val="white"/>
        </w:rPr>
        <w:t>d</w:t>
      </w:r>
      <w:r>
        <w:rPr>
          <w:szCs w:val="21"/>
          <w:highlight w:val="white"/>
        </w:rPr>
        <w:t>ecomposition</w:t>
      </w:r>
      <w:r>
        <w:rPr>
          <w:rFonts w:ascii="楷体" w:hAnsi="楷体" w:eastAsia="楷体"/>
          <w:szCs w:val="21"/>
          <w:highlight w:val="white"/>
        </w:rPr>
        <w:t xml:space="preserve">; </w:t>
      </w:r>
      <w:r>
        <w:rPr>
          <w:szCs w:val="21"/>
          <w:highlight w:val="white"/>
        </w:rPr>
        <w:t xml:space="preserve">variational </w:t>
      </w:r>
      <w:bookmarkStart w:id="32" w:name="MOD_21"/>
      <w:r>
        <w:rPr>
          <w:szCs w:val="21"/>
        </w:rPr>
        <w:t>mod</w:t>
      </w:r>
      <w:bookmarkEnd w:id="32"/>
      <w:r>
        <w:rPr>
          <w:szCs w:val="21"/>
          <w:highlight w:val="white"/>
        </w:rPr>
        <w:t xml:space="preserve">e </w:t>
      </w:r>
      <w:r>
        <w:rPr>
          <w:rFonts w:hint="eastAsia"/>
          <w:szCs w:val="21"/>
          <w:highlight w:val="white"/>
        </w:rPr>
        <w:t>d</w:t>
      </w:r>
      <w:r>
        <w:rPr>
          <w:szCs w:val="21"/>
          <w:highlight w:val="white"/>
        </w:rPr>
        <w:t>ecomposition</w:t>
      </w:r>
      <w:r>
        <w:rPr>
          <w:rFonts w:hint="eastAsia" w:ascii="楷体" w:hAnsi="楷体" w:eastAsia="楷体"/>
          <w:szCs w:val="21"/>
          <w:highlight w:val="white"/>
        </w:rPr>
        <w:t>;</w:t>
      </w:r>
      <w:r>
        <w:rPr>
          <w:rFonts w:ascii="楷体" w:hAnsi="楷体" w:eastAsia="楷体"/>
          <w:szCs w:val="21"/>
          <w:highlight w:val="white"/>
        </w:rPr>
        <w:t xml:space="preserve"> </w:t>
      </w:r>
      <w:r>
        <w:rPr>
          <w:szCs w:val="21"/>
          <w:highlight w:val="white"/>
        </w:rPr>
        <w:t>genetic algorithm</w:t>
      </w:r>
      <w:r>
        <w:rPr>
          <w:rFonts w:ascii="楷体" w:hAnsi="楷体" w:eastAsia="楷体"/>
          <w:szCs w:val="21"/>
          <w:highlight w:val="white"/>
        </w:rPr>
        <w:t xml:space="preserve">; </w:t>
      </w:r>
      <w:r>
        <w:rPr>
          <w:highlight w:val="white"/>
        </w:rPr>
        <w:t>echo</w:t>
      </w:r>
      <w:r>
        <w:rPr>
          <w:rFonts w:hint="eastAsia"/>
          <w:highlight w:val="white"/>
        </w:rPr>
        <w:t xml:space="preserve"> </w:t>
      </w:r>
      <w:r>
        <w:rPr>
          <w:highlight w:val="white"/>
        </w:rPr>
        <w:t>state network</w:t>
      </w:r>
      <w:r>
        <w:rPr>
          <w:rFonts w:hint="eastAsia" w:ascii="楷体" w:hAnsi="楷体" w:eastAsia="楷体"/>
          <w:szCs w:val="21"/>
          <w:highlight w:val="white"/>
        </w:rPr>
        <w:t xml:space="preserve">; </w:t>
      </w:r>
      <w:r>
        <w:rPr>
          <w:highlight w:val="white"/>
        </w:rPr>
        <w:t xml:space="preserve">autoregressive </w:t>
      </w:r>
      <w:r>
        <w:rPr>
          <w:rFonts w:hint="eastAsia"/>
          <w:highlight w:val="white"/>
        </w:rPr>
        <w:t>error</w:t>
      </w:r>
      <w:r>
        <w:rPr>
          <w:highlight w:val="white"/>
        </w:rPr>
        <w:t xml:space="preserve"> </w:t>
      </w:r>
      <w:r>
        <w:rPr>
          <w:rFonts w:hint="eastAsia"/>
          <w:highlight w:val="white"/>
        </w:rPr>
        <w:t>co</w:t>
      </w:r>
      <w:r>
        <w:rPr>
          <w:highlight w:val="white"/>
        </w:rPr>
        <w:t xml:space="preserve">rrection; </w:t>
      </w:r>
      <w:r>
        <w:rPr>
          <w:rFonts w:hint="eastAsia"/>
          <w:highlight w:val="white"/>
        </w:rPr>
        <w:t>influencing factors</w:t>
      </w:r>
      <w:bookmarkEnd w:id="29"/>
    </w:p>
    <w:p w14:paraId="1DB9A5E7">
      <w:pPr>
        <w:pStyle w:val="17"/>
        <w:ind w:firstLine="0" w:firstLineChars="0"/>
        <w:rPr>
          <w:rFonts w:hint="eastAsia" w:ascii="黑体" w:hAnsi="黑体" w:eastAsia="黑体"/>
          <w:b/>
          <w:bCs/>
        </w:rPr>
      </w:pPr>
    </w:p>
    <w:p w14:paraId="761E458A">
      <w:pPr>
        <w:pStyle w:val="17"/>
        <w:ind w:firstLine="0" w:firstLineChars="0"/>
        <w:rPr>
          <w:rFonts w:hint="eastAsia" w:ascii="黑体" w:hAnsi="黑体" w:eastAsia="黑体"/>
          <w:b/>
          <w:bCs/>
        </w:rPr>
      </w:pPr>
      <w:r>
        <w:rPr>
          <w:rFonts w:hint="eastAsia" w:ascii="黑体" w:hAnsi="黑体" w:eastAsia="黑体"/>
          <w:b/>
          <w:bCs/>
        </w:rPr>
        <w:t>收稿日期：</w:t>
      </w:r>
      <w:bookmarkStart w:id="33" w:name="中文收稿日期_1"/>
      <w:r>
        <w:rPr>
          <w:rFonts w:hint="eastAsia" w:eastAsia="黑体" w:cs="Times New Roman"/>
          <w:highlight w:val="white"/>
        </w:rPr>
        <w:t>2026-03-06</w:t>
      </w:r>
      <w:bookmarkEnd w:id="33"/>
      <w:r>
        <w:rPr>
          <w:rFonts w:hint="eastAsia" w:ascii="宋体" w:hAnsi="宋体"/>
        </w:rPr>
        <w:t>；</w:t>
      </w:r>
      <w:r>
        <w:rPr>
          <w:rFonts w:hint="eastAsia" w:ascii="黑体" w:hAnsi="黑体" w:eastAsia="黑体"/>
          <w:b/>
          <w:bCs/>
        </w:rPr>
        <w:t>修回日期：</w:t>
      </w:r>
      <w:bookmarkStart w:id="34" w:name="中文修订日期_1"/>
      <w:r>
        <w:rPr>
          <w:rFonts w:hint="eastAsia" w:eastAsia="黑体" w:cs="Times New Roman"/>
          <w:highlight w:val="white"/>
        </w:rPr>
        <w:t>2026-03-30</w:t>
      </w:r>
      <w:bookmarkEnd w:id="34"/>
      <w:bookmarkStart w:id="35" w:name="中文接受日期_1"/>
      <w:r>
        <w:rPr>
          <w:rFonts w:hint="eastAsia" w:ascii="仿宋" w:hAnsi="仿宋" w:eastAsia="仿宋"/>
          <w:highlight w:val="white"/>
        </w:rPr>
        <w:t>；</w:t>
      </w:r>
      <w:r>
        <w:rPr>
          <w:rFonts w:hint="eastAsia" w:ascii="黑体" w:hAnsi="黑体" w:eastAsia="黑体"/>
          <w:b/>
          <w:bCs/>
          <w:highlight w:val="white"/>
        </w:rPr>
        <w:t>录用日期：</w:t>
      </w:r>
      <w:r>
        <w:rPr>
          <w:rFonts w:hint="eastAsia" w:eastAsia="黑体" w:cs="Times New Roman"/>
          <w:highlight w:val="white"/>
        </w:rPr>
        <w:t>2026-04-02</w:t>
      </w:r>
      <w:bookmarkEnd w:id="35"/>
    </w:p>
    <w:p w14:paraId="025EA8F0">
      <w:pPr>
        <w:pStyle w:val="17"/>
        <w:ind w:firstLine="0" w:firstLineChars="0"/>
      </w:pPr>
      <w:bookmarkStart w:id="36" w:name="中文基金项目_2"/>
      <w:r>
        <w:rPr>
          <w:rFonts w:hint="eastAsia" w:ascii="黑体" w:hAnsi="黑体" w:eastAsia="黑体"/>
          <w:b/>
          <w:bCs/>
          <w:highlight w:val="white"/>
        </w:rPr>
        <w:t>基金项目：</w:t>
      </w:r>
      <w:r>
        <w:rPr>
          <w:rFonts w:hint="eastAsia"/>
          <w:highlight w:val="white"/>
        </w:rPr>
        <w:t>国家自然科学基金项目(U2243224，52579009)；国家重点实验室开放基金（2024nkzd01，2025SDG03）</w:t>
      </w:r>
      <w:bookmarkEnd w:id="36"/>
    </w:p>
    <w:p w14:paraId="04839E96">
      <w:pPr>
        <w:pStyle w:val="17"/>
        <w:ind w:firstLine="0" w:firstLineChars="0"/>
      </w:pPr>
      <w:bookmarkStart w:id="37" w:name="中文作者简介_2"/>
      <w:r>
        <w:rPr>
          <w:rFonts w:ascii="黑体" w:hAnsi="黑体" w:eastAsia="黑体"/>
          <w:b/>
          <w:bCs/>
          <w:highlight w:val="white"/>
        </w:rPr>
        <w:t>作者简介：</w:t>
      </w:r>
      <w:r>
        <w:rPr>
          <w:highlight w:val="white"/>
        </w:rPr>
        <w:t>李继清（1972</w:t>
      </w:r>
      <w:r>
        <w:rPr>
          <w:rFonts w:hint="eastAsia"/>
          <w:highlight w:val="white"/>
        </w:rPr>
        <w:t>—</w:t>
      </w:r>
      <w:r>
        <w:rPr>
          <w:highlight w:val="white"/>
        </w:rPr>
        <w:t>），女，教授，</w:t>
      </w:r>
      <w:r>
        <w:rPr>
          <w:rFonts w:hint="eastAsia"/>
          <w:highlight w:val="white"/>
        </w:rPr>
        <w:t>博士研究生导师，</w:t>
      </w:r>
      <w:r>
        <w:rPr>
          <w:highlight w:val="white"/>
        </w:rPr>
        <w:t>博士，主要从事水文水资源研究。E-mail</w:t>
      </w:r>
      <w:r>
        <w:rPr>
          <w:rFonts w:hint="eastAsia"/>
          <w:highlight w:val="white"/>
        </w:rPr>
        <w:t>：</w:t>
      </w:r>
      <w:r>
        <w:rPr>
          <w:highlight w:val="white"/>
        </w:rPr>
        <w:t>jqli6688@ncepu.edu.cn</w:t>
      </w:r>
      <w:bookmarkEnd w:id="37"/>
    </w:p>
    <w:p w14:paraId="48679817">
      <w:pPr>
        <w:ind w:firstLine="0" w:firstLineChars="0"/>
        <w:jc w:val="left"/>
      </w:pPr>
    </w:p>
    <w:p w14:paraId="494292A5">
      <w:pPr>
        <w:ind w:firstLine="0" w:firstLineChars="0"/>
        <w:jc w:val="left"/>
        <w:rPr>
          <w:sz w:val="18"/>
          <w:szCs w:val="18"/>
        </w:rPr>
      </w:pPr>
      <w:bookmarkStart w:id="320" w:name="_GoBack"/>
      <w:bookmarkEnd w:id="320"/>
    </w:p>
    <w:p w14:paraId="1A00AEDE">
      <w:pPr>
        <w:pStyle w:val="2"/>
        <w:rPr>
          <w:bCs/>
        </w:rPr>
      </w:pPr>
      <w:bookmarkStart w:id="38" w:name="一级标题序号_1"/>
      <w:bookmarkStart w:id="39" w:name="一级标题_2"/>
      <w:r>
        <w:rPr>
          <w:rFonts w:hint="eastAsia"/>
          <w:highlight w:val="white"/>
        </w:rPr>
        <w:t>0</w:t>
      </w:r>
      <w:bookmarkEnd w:id="38"/>
      <w:r>
        <w:rPr>
          <w:rFonts w:hint="eastAsia"/>
          <w:highlight w:val="white"/>
        </w:rPr>
        <w:t xml:space="preserve"> 引言</w:t>
      </w:r>
      <w:bookmarkEnd w:id="39"/>
    </w:p>
    <w:p w14:paraId="274135D8">
      <w:pPr>
        <w:ind w:firstLine="420"/>
      </w:pPr>
      <w:bookmarkStart w:id="40" w:name="正文段落_2"/>
      <w:r>
        <w:rPr>
          <w:highlight w:val="white"/>
        </w:rPr>
        <w:t>中长期径流预报是水文学的重要研究领域，其预报结果不仅可为水资源管理提供支撑，也可为防洪抗旱决策和防灾减灾措施制定提供依据</w:t>
      </w:r>
      <w:r>
        <w:rPr>
          <w:highlight w:val="white"/>
          <w:vertAlign w:val="superscript"/>
        </w:rPr>
        <w:t>[1-2]</w:t>
      </w:r>
      <w:r>
        <w:rPr>
          <w:highlight w:val="white"/>
        </w:rPr>
        <w:t>。由于降水、气温</w:t>
      </w:r>
      <w:r>
        <w:rPr>
          <w:rFonts w:hint="eastAsia"/>
          <w:highlight w:val="white"/>
        </w:rPr>
        <w:t>和</w:t>
      </w:r>
      <w:r>
        <w:rPr>
          <w:highlight w:val="white"/>
        </w:rPr>
        <w:t>人类活动等多重因素的共同作用，径流过程呈现出显著的非线性、非平稳性及多尺度波动特征，加剧了预报的不确定性</w:t>
      </w:r>
      <w:r>
        <w:rPr>
          <w:highlight w:val="white"/>
          <w:vertAlign w:val="superscript"/>
        </w:rPr>
        <w:t>[3</w:t>
      </w:r>
      <w:r>
        <w:rPr>
          <w:rFonts w:hint="eastAsia"/>
          <w:highlight w:val="white"/>
          <w:vertAlign w:val="superscript"/>
        </w:rPr>
        <w:t>-4</w:t>
      </w:r>
      <w:r>
        <w:rPr>
          <w:highlight w:val="white"/>
          <w:vertAlign w:val="superscript"/>
        </w:rPr>
        <w:t>]</w:t>
      </w:r>
      <w:r>
        <w:rPr>
          <w:highlight w:val="white"/>
        </w:rPr>
        <w:t>。现有径流预报方法按机理主要分为过程驱动与数据驱动两类</w:t>
      </w:r>
      <w:r>
        <w:rPr>
          <w:highlight w:val="white"/>
          <w:vertAlign w:val="superscript"/>
        </w:rPr>
        <w:t>[</w:t>
      </w:r>
      <w:r>
        <w:rPr>
          <w:rFonts w:hint="eastAsia"/>
          <w:highlight w:val="white"/>
          <w:vertAlign w:val="superscript"/>
        </w:rPr>
        <w:t>5-6</w:t>
      </w:r>
      <w:r>
        <w:rPr>
          <w:highlight w:val="white"/>
          <w:vertAlign w:val="superscript"/>
        </w:rPr>
        <w:t>]</w:t>
      </w:r>
      <w:r>
        <w:rPr>
          <w:rFonts w:hint="eastAsia"/>
          <w:highlight w:val="white"/>
        </w:rPr>
        <w:t>：</w:t>
      </w:r>
      <w:r>
        <w:rPr>
          <w:highlight w:val="white"/>
        </w:rPr>
        <w:t>过程驱动模型能够表征水文物理机制，但结构复杂、参数众多且依赖率定，不确定性较高，难以满足快速更新与跨区域应用需求；相比之下，数据驱动模型依托观测数据直接学习径流与影响因子的非线性关系，先验约束较少、建模效率高且便于更新移植，在径流时间序列预测中更具实用优势</w:t>
      </w:r>
      <w:r>
        <w:rPr>
          <w:rFonts w:hint="eastAsia"/>
          <w:highlight w:val="white"/>
          <w:vertAlign w:val="superscript"/>
        </w:rPr>
        <w:t>[7]</w:t>
      </w:r>
      <w:r>
        <w:rPr>
          <w:highlight w:val="white"/>
        </w:rPr>
        <w:t>。但数据驱动模型若直接对原始径流序列建模，仍易受高频噪声与非平稳扰动影响，难以稳定刻画多尺度波动细节，对含噪声与突变特征的复杂径流过程适应性不足，从而制约预报精度的提升</w:t>
      </w:r>
      <w:r>
        <w:rPr>
          <w:highlight w:val="white"/>
          <w:vertAlign w:val="superscript"/>
        </w:rPr>
        <w:t>[</w:t>
      </w:r>
      <w:r>
        <w:rPr>
          <w:rFonts w:hint="eastAsia"/>
          <w:highlight w:val="white"/>
          <w:vertAlign w:val="superscript"/>
        </w:rPr>
        <w:t>8</w:t>
      </w:r>
      <w:r>
        <w:rPr>
          <w:highlight w:val="white"/>
          <w:vertAlign w:val="superscript"/>
        </w:rPr>
        <w:t>]</w:t>
      </w:r>
      <w:r>
        <w:rPr>
          <w:highlight w:val="white"/>
        </w:rPr>
        <w:t>。</w:t>
      </w:r>
      <w:bookmarkEnd w:id="40"/>
    </w:p>
    <w:p w14:paraId="0BBB65FB">
      <w:pPr>
        <w:ind w:firstLine="420"/>
      </w:pPr>
      <w:bookmarkStart w:id="41" w:name="正文段落_4"/>
      <w:r>
        <w:rPr>
          <w:rFonts w:hint="eastAsia"/>
          <w:highlight w:val="white"/>
        </w:rPr>
        <w:t>为提高径流预报精度，研究者往往通过耦合不同方法的优势构建组合预报模型</w:t>
      </w:r>
      <w:r>
        <w:rPr>
          <w:rFonts w:hint="eastAsia"/>
          <w:highlight w:val="white"/>
          <w:vertAlign w:val="superscript"/>
        </w:rPr>
        <w:t>[9]</w:t>
      </w:r>
      <w:r>
        <w:rPr>
          <w:rFonts w:hint="eastAsia"/>
          <w:highlight w:val="white"/>
        </w:rPr>
        <w:t>。其中，基于“分解-预测-重构”思路的预报框架较为突出，其核心是利用分解技术将非平稳径流序列拆分为若干相对平稳的子序列，再结合神经网络或机器学习模型进行分项建模并重构输出，从而提升预报精度与可靠性</w:t>
      </w:r>
      <w:r>
        <w:rPr>
          <w:rFonts w:hint="eastAsia"/>
          <w:highlight w:val="white"/>
          <w:vertAlign w:val="superscript"/>
        </w:rPr>
        <w:t>[10-11]</w:t>
      </w:r>
      <w:r>
        <w:rPr>
          <w:rFonts w:hint="eastAsia"/>
          <w:highlight w:val="white"/>
        </w:rPr>
        <w:t>。相较于传统单一模型，这种分阶段的建模策略在多流域径流预报中表现出更强的适应性与可解释性</w:t>
      </w:r>
      <w:r>
        <w:rPr>
          <w:rFonts w:hint="eastAsia"/>
          <w:highlight w:val="white"/>
          <w:vertAlign w:val="superscript"/>
        </w:rPr>
        <w:t>[12-13]</w:t>
      </w:r>
      <w:r>
        <w:rPr>
          <w:rFonts w:hint="eastAsia"/>
          <w:highlight w:val="white"/>
        </w:rPr>
        <w:t>。徐军杨等</w:t>
      </w:r>
      <w:r>
        <w:rPr>
          <w:rFonts w:hint="eastAsia"/>
          <w:highlight w:val="white"/>
          <w:vertAlign w:val="superscript"/>
        </w:rPr>
        <w:t>[14]</w:t>
      </w:r>
      <w:r>
        <w:rPr>
          <w:rFonts w:hint="eastAsia"/>
          <w:highlight w:val="white"/>
        </w:rPr>
        <w:t>采用自适应噪声完备集合经验模态分解方法分解月径流序列，并结合改进算法优化时间卷积网络构建组合模型，在岷江镇江关站月径流预报中取得较好效果；郑鑫等</w:t>
      </w:r>
      <w:r>
        <w:rPr>
          <w:rFonts w:hint="eastAsia"/>
          <w:highlight w:val="white"/>
          <w:vertAlign w:val="superscript"/>
        </w:rPr>
        <w:t>[15]</w:t>
      </w:r>
      <w:r>
        <w:rPr>
          <w:rFonts w:hint="eastAsia"/>
          <w:highlight w:val="white"/>
        </w:rPr>
        <w:t>采用集合经验模态分解方法分解径流序列并以粒子群算法优化广义回归神经网络进行分量预测并重构，验证结果优于多种对比模型；赵莹玉等</w:t>
      </w:r>
      <w:r>
        <w:rPr>
          <w:rFonts w:hint="eastAsia"/>
          <w:highlight w:val="white"/>
          <w:vertAlign w:val="superscript"/>
        </w:rPr>
        <w:t>[16]</w:t>
      </w:r>
      <w:r>
        <w:rPr>
          <w:rFonts w:hint="eastAsia"/>
          <w:highlight w:val="white"/>
        </w:rPr>
        <w:t>采用变分模态分解方法对黄河唐乃亥站与兰州站月径流序列进行分解，并结合支持向量回归构建组合模型开展预测，显示出较好的预测性能。</w:t>
      </w:r>
      <w:bookmarkEnd w:id="41"/>
    </w:p>
    <w:p w14:paraId="2F43FEBD">
      <w:pPr>
        <w:ind w:firstLine="420"/>
      </w:pPr>
      <w:bookmarkStart w:id="42" w:name="正文段落_6"/>
      <w:r>
        <w:rPr>
          <w:rFonts w:hint="eastAsia"/>
          <w:highlight w:val="white"/>
        </w:rPr>
        <w:t>然而，现有研究多采用单层分解策略，对分解后波动性较强、随机扰动占比更高的高频分量缺乏进一步细化与针对性建模，容易造成高频信息表达不足或模态混叠残留，从而制约整体预报精度，关于二次分解流程对模型性能影响的系统讨论仍相对不足。此外，即便通过分解与分量建模获得初始预报值，预测残差往往仍保留显著的时序相关性与系统性偏差，若仅依赖前端分解与模型拟合，仍可能在峰谷转折、相位偏移或幅值偏差等方面留下可校正的误差空间</w:t>
      </w:r>
      <w:r>
        <w:rPr>
          <w:rFonts w:hint="eastAsia"/>
          <w:highlight w:val="white"/>
          <w:vertAlign w:val="superscript"/>
        </w:rPr>
        <w:t>[17]</w:t>
      </w:r>
      <w:r>
        <w:rPr>
          <w:rFonts w:hint="eastAsia"/>
          <w:highlight w:val="white"/>
        </w:rPr>
        <w:t>。因此，除分解预处理与前端建模外，在模型输出基础上进行误差校正已被证明是提升径流预报可靠性的有效途径</w:t>
      </w:r>
      <w:r>
        <w:rPr>
          <w:rFonts w:hint="eastAsia"/>
          <w:highlight w:val="white"/>
          <w:vertAlign w:val="superscript"/>
        </w:rPr>
        <w:t>[18]</w:t>
      </w:r>
      <w:r>
        <w:rPr>
          <w:rFonts w:hint="eastAsia"/>
          <w:highlight w:val="white"/>
        </w:rPr>
        <w:t>。误差校正的基本思想是利用误差序列的自相关结构，用历史误差外推未来误差，并将预测得到的修正项回加到同期预报值中，以削弱系统性偏差、提高结果稳定性</w:t>
      </w:r>
      <w:r>
        <w:rPr>
          <w:rFonts w:hint="eastAsia"/>
          <w:highlight w:val="white"/>
          <w:vertAlign w:val="superscript"/>
        </w:rPr>
        <w:t>[19-20]</w:t>
      </w:r>
      <w:r>
        <w:rPr>
          <w:rFonts w:hint="eastAsia"/>
          <w:highlight w:val="white"/>
        </w:rPr>
        <w:t>。常见的误差校正方法包括递推最小二乘</w:t>
      </w:r>
      <w:r>
        <w:rPr>
          <w:rFonts w:hint="eastAsia"/>
          <w:highlight w:val="white"/>
          <w:vertAlign w:val="superscript"/>
        </w:rPr>
        <w:t>[21]</w:t>
      </w:r>
      <w:r>
        <w:rPr>
          <w:rFonts w:hint="eastAsia"/>
          <w:highlight w:val="white"/>
        </w:rPr>
        <w:t>、集合卡尔曼滤波</w:t>
      </w:r>
      <w:r>
        <w:rPr>
          <w:rFonts w:hint="eastAsia"/>
          <w:highlight w:val="white"/>
          <w:vertAlign w:val="superscript"/>
        </w:rPr>
        <w:t>[22]</w:t>
      </w:r>
      <w:r>
        <w:rPr>
          <w:rFonts w:hint="eastAsia"/>
          <w:highlight w:val="white"/>
        </w:rPr>
        <w:t>等。其中，自回归（</w:t>
      </w:r>
      <w:r>
        <w:rPr>
          <w:highlight w:val="white"/>
        </w:rPr>
        <w:t xml:space="preserve">Autoregressive </w:t>
      </w:r>
      <w:bookmarkStart w:id="43" w:name="MOD_22"/>
      <w:r>
        <w:t>Mod</w:t>
      </w:r>
      <w:bookmarkEnd w:id="43"/>
      <w:r>
        <w:rPr>
          <w:highlight w:val="white"/>
        </w:rPr>
        <w:t>el</w:t>
      </w:r>
      <w:r>
        <w:rPr>
          <w:rFonts w:hint="eastAsia"/>
          <w:highlight w:val="white"/>
        </w:rPr>
        <w:t>, AR）模型形式简洁、实现方便，对平稳误差序列具有较好的刻画能力，已在不同时间尺度的径流模拟与预报中得到应用</w:t>
      </w:r>
      <w:r>
        <w:rPr>
          <w:rFonts w:hint="eastAsia"/>
          <w:highlight w:val="white"/>
          <w:vertAlign w:val="superscript"/>
        </w:rPr>
        <w:t>[23-24]</w:t>
      </w:r>
      <w:r>
        <w:rPr>
          <w:rFonts w:hint="eastAsia"/>
          <w:highlight w:val="white"/>
        </w:rPr>
        <w:t>。</w:t>
      </w:r>
      <w:bookmarkEnd w:id="42"/>
    </w:p>
    <w:p w14:paraId="5E90671C">
      <w:pPr>
        <w:ind w:firstLine="420"/>
      </w:pPr>
      <w:bookmarkStart w:id="44" w:name="正文段落_8"/>
      <w:r>
        <w:rPr>
          <w:highlight w:val="white"/>
        </w:rPr>
        <w:t>本文</w:t>
      </w:r>
      <w:r>
        <w:rPr>
          <w:rFonts w:hint="eastAsia"/>
          <w:highlight w:val="white"/>
        </w:rPr>
        <w:t>将</w:t>
      </w:r>
      <w:r>
        <w:rPr>
          <w:highlight w:val="white"/>
        </w:rPr>
        <w:t>双层分解用于前端对高频分量进行二次</w:t>
      </w:r>
      <w:r>
        <w:rPr>
          <w:rFonts w:hint="eastAsia"/>
          <w:highlight w:val="white"/>
        </w:rPr>
        <w:t>分解细化</w:t>
      </w:r>
      <w:r>
        <w:rPr>
          <w:highlight w:val="white"/>
        </w:rPr>
        <w:t>，并在后端引入残差后验校正对基准预报进行相关性误差补偿，提出一种</w:t>
      </w:r>
      <w:r>
        <w:rPr>
          <w:rFonts w:hint="eastAsia"/>
          <w:highlight w:val="white"/>
        </w:rPr>
        <w:t>“</w:t>
      </w:r>
      <w:r>
        <w:rPr>
          <w:highlight w:val="white"/>
        </w:rPr>
        <w:t>双层分解</w:t>
      </w:r>
      <w:r>
        <w:rPr>
          <w:rFonts w:hint="eastAsia"/>
          <w:highlight w:val="white"/>
        </w:rPr>
        <w:t>-</w:t>
      </w:r>
      <w:r>
        <w:rPr>
          <w:highlight w:val="white"/>
        </w:rPr>
        <w:t>预测</w:t>
      </w:r>
      <w:r>
        <w:rPr>
          <w:rFonts w:hint="eastAsia"/>
          <w:highlight w:val="white"/>
        </w:rPr>
        <w:t>-重构-残差</w:t>
      </w:r>
      <w:r>
        <w:rPr>
          <w:highlight w:val="white"/>
        </w:rPr>
        <w:t>校正</w:t>
      </w:r>
      <w:r>
        <w:rPr>
          <w:rFonts w:hint="eastAsia"/>
          <w:highlight w:val="white"/>
        </w:rPr>
        <w:t>”</w:t>
      </w:r>
      <w:r>
        <w:rPr>
          <w:highlight w:val="white"/>
        </w:rPr>
        <w:t>的一体化组合预报模型ESMD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w:t>
      </w:r>
      <w:r>
        <w:rPr>
          <w:rFonts w:hint="eastAsia"/>
          <w:highlight w:val="white"/>
        </w:rPr>
        <w:t>：</w:t>
      </w:r>
      <w:r>
        <w:rPr>
          <w:highlight w:val="white"/>
        </w:rPr>
        <w:t xml:space="preserve">首先采用极点对称模态分解方法（Extreme-point Symmetric </w:t>
      </w:r>
      <w:bookmarkStart w:id="45" w:name="MOD_23"/>
      <w:r>
        <w:t>Mod</w:t>
      </w:r>
      <w:bookmarkEnd w:id="45"/>
      <w:r>
        <w:rPr>
          <w:highlight w:val="white"/>
        </w:rPr>
        <w:t xml:space="preserve">e Decomposition, ESMD）对径流序列进行初次分解，得到多尺度振荡分量与趋势余项；并针对其中波动性更强、随机扰动更显著的高频分量，引入变分模态分解（Variational </w:t>
      </w:r>
      <w:bookmarkStart w:id="46" w:name="MOD_24"/>
      <w:r>
        <w:t>Mod</w:t>
      </w:r>
      <w:bookmarkEnd w:id="46"/>
      <w:r>
        <w:rPr>
          <w:highlight w:val="white"/>
        </w:rPr>
        <w:t>e Decomposition, VMD）进行二次解耦，以细化多尺度特征、降低模态混叠残留</w:t>
      </w:r>
      <w:r>
        <w:rPr>
          <w:rFonts w:hint="eastAsia"/>
          <w:highlight w:val="white"/>
        </w:rPr>
        <w:t>，</w:t>
      </w:r>
      <w:r>
        <w:rPr>
          <w:highlight w:val="white"/>
        </w:rPr>
        <w:t>减弱非平稳性干扰</w:t>
      </w:r>
      <w:r>
        <w:rPr>
          <w:rFonts w:hint="eastAsia"/>
          <w:highlight w:val="white"/>
        </w:rPr>
        <w:t>；</w:t>
      </w:r>
      <w:r>
        <w:rPr>
          <w:highlight w:val="white"/>
        </w:rPr>
        <w:t>随后利用遗传算法（Genetic Algorithm, GA）优化回声状态网络（Echo State Network, ESN）关键参数，对各分量分别建模预测并加和重构得到初始预报值；最后构建残差自回归 AR 校正模型，利用残差序列的时序相关性对初始预报进行后验修正，以进一步削弱系统性偏差</w:t>
      </w:r>
      <w:r>
        <w:rPr>
          <w:rFonts w:hint="eastAsia"/>
          <w:highlight w:val="white"/>
        </w:rPr>
        <w:t>，</w:t>
      </w:r>
      <w:r>
        <w:rPr>
          <w:highlight w:val="white"/>
        </w:rPr>
        <w:t>增强峰谷转折与极值过程的刻画能力。该模型为非平稳</w:t>
      </w:r>
      <w:r>
        <w:rPr>
          <w:rFonts w:hint="eastAsia"/>
          <w:highlight w:val="white"/>
        </w:rPr>
        <w:t>、</w:t>
      </w:r>
      <w:r>
        <w:rPr>
          <w:highlight w:val="white"/>
        </w:rPr>
        <w:t>多尺度径流序列的中长期预</w:t>
      </w:r>
      <w:r>
        <w:rPr>
          <w:rFonts w:hint="eastAsia"/>
          <w:highlight w:val="white"/>
        </w:rPr>
        <w:t>报</w:t>
      </w:r>
      <w:r>
        <w:rPr>
          <w:highlight w:val="white"/>
        </w:rPr>
        <w:t>提供了一种结构清晰、可扩展的技术路线。</w:t>
      </w:r>
      <w:bookmarkEnd w:id="44"/>
    </w:p>
    <w:p w14:paraId="64D07DD4">
      <w:pPr>
        <w:pStyle w:val="2"/>
      </w:pPr>
      <w:bookmarkStart w:id="47" w:name="一级标题序号_2"/>
      <w:bookmarkStart w:id="48" w:name="一级标题_4"/>
      <w:r>
        <w:rPr>
          <w:rFonts w:hint="eastAsia"/>
          <w:highlight w:val="white"/>
        </w:rPr>
        <w:t>1</w:t>
      </w:r>
      <w:bookmarkEnd w:id="47"/>
      <w:r>
        <w:rPr>
          <w:rFonts w:hint="eastAsia"/>
          <w:highlight w:val="white"/>
        </w:rPr>
        <w:t xml:space="preserve"> 理论方法</w:t>
      </w:r>
      <w:bookmarkEnd w:id="48"/>
    </w:p>
    <w:p w14:paraId="2D7813FF">
      <w:pPr>
        <w:ind w:firstLine="420"/>
      </w:pPr>
      <w:bookmarkStart w:id="49" w:name="正文段落_10"/>
      <w:r>
        <w:rPr>
          <w:highlight w:val="white"/>
        </w:rPr>
        <w:t>针对径流序列非平稳、非线性的复杂波动特征，采用双层分解降低序列复杂度，利用GA</w:t>
      </w:r>
      <w:r>
        <w:rPr>
          <w:rFonts w:hint="eastAsia"/>
          <w:highlight w:val="white"/>
        </w:rPr>
        <w:t>算法对</w:t>
      </w:r>
      <w:r>
        <w:rPr>
          <w:highlight w:val="white"/>
        </w:rPr>
        <w:t>ESN模型关键参数</w:t>
      </w:r>
      <w:r>
        <w:rPr>
          <w:rFonts w:hint="eastAsia"/>
          <w:highlight w:val="white"/>
        </w:rPr>
        <w:t>进行寻优</w:t>
      </w:r>
      <w:r>
        <w:rPr>
          <w:highlight w:val="white"/>
        </w:rPr>
        <w:t>以增强其预测能力，</w:t>
      </w:r>
      <w:r>
        <w:rPr>
          <w:rFonts w:hint="eastAsia"/>
          <w:highlight w:val="white"/>
        </w:rPr>
        <w:t>并</w:t>
      </w:r>
      <w:r>
        <w:rPr>
          <w:highlight w:val="white"/>
        </w:rPr>
        <w:t>通过AR模型对残差进行后验校正，从而进一步提高模型</w:t>
      </w:r>
      <w:r>
        <w:rPr>
          <w:rFonts w:hint="eastAsia"/>
          <w:highlight w:val="white"/>
        </w:rPr>
        <w:t>的</w:t>
      </w:r>
      <w:r>
        <w:rPr>
          <w:highlight w:val="white"/>
        </w:rPr>
        <w:t>整体预报精度。</w:t>
      </w:r>
      <w:bookmarkEnd w:id="49"/>
    </w:p>
    <w:p w14:paraId="72A3D947">
      <w:pPr>
        <w:pStyle w:val="3"/>
      </w:pPr>
      <w:bookmarkStart w:id="50" w:name="二级标题序号_3"/>
      <w:bookmarkStart w:id="51" w:name="二级标题_2"/>
      <w:r>
        <w:rPr>
          <w:rFonts w:hint="eastAsia"/>
          <w:highlight w:val="white"/>
        </w:rPr>
        <w:t>1.1</w:t>
      </w:r>
      <w:bookmarkEnd w:id="50"/>
      <w:r>
        <w:rPr>
          <w:rFonts w:hint="eastAsia"/>
          <w:highlight w:val="white"/>
        </w:rPr>
        <w:t xml:space="preserve"> 双层分解方法</w:t>
      </w:r>
      <w:bookmarkEnd w:id="51"/>
    </w:p>
    <w:p w14:paraId="12D3691D">
      <w:pPr>
        <w:ind w:firstLine="420"/>
      </w:pPr>
      <w:bookmarkStart w:id="52" w:name="正文段落_12"/>
      <w:r>
        <w:rPr>
          <w:rFonts w:hint="eastAsia"/>
          <w:highlight w:val="white"/>
        </w:rPr>
        <w:t>本文</w:t>
      </w:r>
      <w:r>
        <w:rPr>
          <w:highlight w:val="white"/>
        </w:rPr>
        <w:t>采用 ESMD+VMD 双层分解方法对径流序列进行平稳化处理：首先利用 ESMD 对原序列进行初步分解，得到若干模态分量及趋势</w:t>
      </w:r>
      <w:r>
        <w:rPr>
          <w:rFonts w:hint="eastAsia"/>
          <w:highlight w:val="white"/>
        </w:rPr>
        <w:t>余</w:t>
      </w:r>
      <w:r>
        <w:rPr>
          <w:highlight w:val="white"/>
        </w:rPr>
        <w:t>项；随后针对其中波动</w:t>
      </w:r>
      <w:r>
        <w:rPr>
          <w:rFonts w:hint="eastAsia"/>
          <w:highlight w:val="white"/>
        </w:rPr>
        <w:t>性</w:t>
      </w:r>
      <w:r>
        <w:rPr>
          <w:highlight w:val="white"/>
        </w:rPr>
        <w:t>强的高频分量，</w:t>
      </w:r>
      <w:r>
        <w:rPr>
          <w:rFonts w:hint="eastAsia"/>
          <w:highlight w:val="white"/>
        </w:rPr>
        <w:t>进一步</w:t>
      </w:r>
      <w:r>
        <w:rPr>
          <w:highlight w:val="white"/>
        </w:rPr>
        <w:t xml:space="preserve">引入 VMD </w:t>
      </w:r>
      <w:r>
        <w:rPr>
          <w:rFonts w:hint="eastAsia"/>
          <w:highlight w:val="white"/>
        </w:rPr>
        <w:t>对其</w:t>
      </w:r>
      <w:r>
        <w:rPr>
          <w:highlight w:val="white"/>
        </w:rPr>
        <w:t>进行二次分解，从而更充分提取</w:t>
      </w:r>
      <w:r>
        <w:rPr>
          <w:rFonts w:hint="eastAsia"/>
          <w:highlight w:val="white"/>
        </w:rPr>
        <w:t>其复杂波动</w:t>
      </w:r>
      <w:r>
        <w:rPr>
          <w:highlight w:val="white"/>
        </w:rPr>
        <w:t>特征。</w:t>
      </w:r>
      <w:bookmarkEnd w:id="52"/>
    </w:p>
    <w:p w14:paraId="53743BCD">
      <w:pPr>
        <w:pStyle w:val="4"/>
      </w:pPr>
      <w:bookmarkStart w:id="53" w:name="三级标题序号_4"/>
      <w:bookmarkStart w:id="54" w:name="三级标题_2"/>
      <w:r>
        <w:rPr>
          <w:rFonts w:hint="eastAsia"/>
          <w:highlight w:val="white"/>
        </w:rPr>
        <w:t>1.1.1</w:t>
      </w:r>
      <w:bookmarkEnd w:id="53"/>
      <w:r>
        <w:rPr>
          <w:rFonts w:hint="eastAsia"/>
          <w:highlight w:val="white"/>
        </w:rPr>
        <w:t xml:space="preserve"> </w:t>
      </w:r>
      <w:r>
        <w:rPr>
          <w:highlight w:val="white"/>
        </w:rPr>
        <w:t>极点对称模态分解方法</w:t>
      </w:r>
      <w:bookmarkEnd w:id="54"/>
    </w:p>
    <w:p w14:paraId="2D26FF24">
      <w:pPr>
        <w:ind w:firstLine="420"/>
      </w:pPr>
      <w:bookmarkStart w:id="55" w:name="正文段落_14"/>
      <w:r>
        <w:rPr>
          <w:highlight w:val="white"/>
        </w:rPr>
        <w:t>ESMD是一种改进的自适应时间序列分解方法，可在无需预设基函数的条件下实现对非平稳信号的多尺度分解。与传统经验模态分解</w:t>
      </w:r>
      <w:r>
        <w:rPr>
          <w:rFonts w:hint="eastAsia"/>
          <w:highlight w:val="white"/>
        </w:rPr>
        <w:t>方法</w:t>
      </w:r>
      <w:r>
        <w:rPr>
          <w:highlight w:val="white"/>
        </w:rPr>
        <w:t>相比，ESMD 采用极点对称插值构造均线，并基于最小二乘准则获得最优自适应全局均线（AGM），同时可自适应确定筛选次数，从而缓解模态混叠并提高分解稳定性</w:t>
      </w:r>
      <w:r>
        <w:rPr>
          <w:highlight w:val="white"/>
          <w:vertAlign w:val="superscript"/>
        </w:rPr>
        <w:t>[2</w:t>
      </w:r>
      <w:r>
        <w:rPr>
          <w:rFonts w:hint="eastAsia"/>
          <w:highlight w:val="white"/>
          <w:vertAlign w:val="superscript"/>
        </w:rPr>
        <w:t>5-26</w:t>
      </w:r>
      <w:r>
        <w:rPr>
          <w:highlight w:val="white"/>
          <w:vertAlign w:val="superscript"/>
        </w:rPr>
        <w:t>]</w:t>
      </w:r>
      <w:r>
        <w:rPr>
          <w:highlight w:val="white"/>
        </w:rPr>
        <w:t>。ESMD 可将原始径流序列分解为若干本征模态分量及 AGM 趋势</w:t>
      </w:r>
      <w:r>
        <w:rPr>
          <w:rFonts w:hint="eastAsia"/>
          <w:highlight w:val="white"/>
        </w:rPr>
        <w:t>余</w:t>
      </w:r>
      <w:r>
        <w:rPr>
          <w:highlight w:val="white"/>
        </w:rPr>
        <w:t>项，为后续预测模型提供更清晰、更接近平稳的输入分量。具体计算步骤如下</w:t>
      </w:r>
      <w:r>
        <w:rPr>
          <w:rFonts w:hint="eastAsia"/>
          <w:highlight w:val="white"/>
        </w:rPr>
        <w:t>。</w:t>
      </w:r>
      <w:bookmarkEnd w:id="55"/>
    </w:p>
    <w:p w14:paraId="4C16CF7C">
      <w:pPr>
        <w:ind w:firstLine="420"/>
      </w:pPr>
      <w:bookmarkStart w:id="56" w:name="正文段落_16"/>
      <w:r>
        <w:rPr>
          <w:rFonts w:hint="eastAsia"/>
          <w:highlight w:val="white"/>
        </w:rPr>
        <w:t>（1）</w:t>
      </w:r>
      <w:r>
        <w:rPr>
          <w:highlight w:val="white"/>
        </w:rPr>
        <w:t>找出径流时间序列</w:t>
      </w:r>
      <w:bookmarkStart w:id="57" w:name="公式_怀疑_文内公式_1"/>
      <w:r>
        <w:rPr>
          <w:position w:val="-10"/>
        </w:rPr>
        <w:object>
          <v:shape id="_x0000_i1025" o:spt="75" type="#_x0000_t75" style="height:15.45pt;width:23.45pt;" o:ole="t" filled="f" o:preferrelative="t" stroked="f" coordsize="21600,21600">
            <v:path/>
            <v:fill on="f" focussize="0,0"/>
            <v:stroke on="f" joinstyle="miter"/>
            <v:imagedata r:id="rId13" o:title=""/>
            <o:lock v:ext="edit" aspectratio="t"/>
            <w10:wrap type="none"/>
            <w10:anchorlock/>
          </v:shape>
          <o:OLEObject Type="Embed" ProgID="Equation.DSMT4" ShapeID="_x0000_i1025" DrawAspect="Content" ObjectID="_1468075725" r:id="rId12">
            <o:LockedField>false</o:LockedField>
          </o:OLEObject>
        </w:object>
      </w:r>
      <w:bookmarkEnd w:id="57"/>
      <w:r>
        <w:rPr>
          <w:highlight w:val="white"/>
        </w:rPr>
        <w:t>的所有极值点，依次记为</w:t>
      </w:r>
      <w:bookmarkStart w:id="58" w:name="公式_怀疑_文内公式_2"/>
      <w:r>
        <w:rPr>
          <w:position w:val="-10"/>
        </w:rPr>
        <w:object>
          <v:shape id="_x0000_i1026" o:spt="75" type="#_x0000_t75" style="height:16.55pt;width:53.85pt;" o:ole="t" filled="f" o:preferrelative="t" stroked="f" coordsize="21600,21600">
            <v:path/>
            <v:fill on="f" focussize="0,0"/>
            <v:stroke on="f" joinstyle="miter"/>
            <v:imagedata r:id="rId15" o:title=""/>
            <o:lock v:ext="edit" aspectratio="t"/>
            <w10:wrap type="none"/>
            <w10:anchorlock/>
          </v:shape>
          <o:OLEObject Type="Embed" ProgID="Equation.DSMT4" ShapeID="_x0000_i1026" DrawAspect="Content" ObjectID="_1468075726" r:id="rId14">
            <o:LockedField>false</o:LockedField>
          </o:OLEObject>
        </w:object>
      </w:r>
      <w:bookmarkEnd w:id="58"/>
      <w:r>
        <w:rPr>
          <w:rFonts w:hint="eastAsia"/>
          <w:highlight w:val="white"/>
        </w:rPr>
        <w:t>，</w:t>
      </w:r>
      <w:r>
        <w:rPr>
          <w:highlight w:val="white"/>
        </w:rPr>
        <w:t>连接相邻极值点并取线段中点记为</w:t>
      </w:r>
      <w:bookmarkStart w:id="59" w:name="公式_怀疑_文内公式_3"/>
      <w:r>
        <w:rPr>
          <w:position w:val="-10"/>
        </w:rPr>
        <w:object>
          <v:shape id="_x0000_i1027" o:spt="75" type="#_x0000_t75" style="height:16.55pt;width:66.15pt;" o:ole="t" filled="f" o:preferrelative="t" stroked="f" coordsize="21600,21600">
            <v:path/>
            <v:fill on="f" focussize="0,0"/>
            <v:stroke on="f" joinstyle="miter"/>
            <v:imagedata r:id="rId17" o:title=""/>
            <o:lock v:ext="edit" aspectratio="t"/>
            <w10:wrap type="none"/>
            <w10:anchorlock/>
          </v:shape>
          <o:OLEObject Type="Embed" ProgID="Equation.DSMT4" ShapeID="_x0000_i1027" DrawAspect="Content" ObjectID="_1468075727" r:id="rId16">
            <o:LockedField>false</o:LockedField>
          </o:OLEObject>
        </w:object>
      </w:r>
      <w:bookmarkEnd w:id="59"/>
      <w:r>
        <w:rPr>
          <w:highlight w:val="white"/>
        </w:rPr>
        <w:t>。</w:t>
      </w:r>
      <w:bookmarkEnd w:id="56"/>
    </w:p>
    <w:p w14:paraId="2222A5DC">
      <w:pPr>
        <w:ind w:firstLine="420"/>
      </w:pPr>
      <w:bookmarkStart w:id="60" w:name="正文段落_18"/>
      <w:r>
        <w:rPr>
          <w:rFonts w:hint="eastAsia"/>
          <w:highlight w:val="white"/>
        </w:rPr>
        <w:t>（2）</w:t>
      </w:r>
      <w:r>
        <w:rPr>
          <w:highlight w:val="white"/>
        </w:rPr>
        <w:t>补充左右边界中点</w:t>
      </w:r>
      <w:bookmarkStart w:id="61" w:name="公式_怀疑_文内公式_4"/>
      <w:r>
        <w:rPr>
          <w:position w:val="-10"/>
        </w:rPr>
        <w:object>
          <v:shape id="_x0000_i1028" o:spt="75" type="#_x0000_t75" style="height:16.55pt;width:13.35pt;" o:ole="t" filled="f" o:preferrelative="t" stroked="f" coordsize="21600,21600">
            <v:path/>
            <v:fill on="f" focussize="0,0"/>
            <v:stroke on="f" joinstyle="miter"/>
            <v:imagedata r:id="rId19" o:title=""/>
            <o:lock v:ext="edit" aspectratio="t"/>
            <w10:wrap type="none"/>
            <w10:anchorlock/>
          </v:shape>
          <o:OLEObject Type="Embed" ProgID="Equation.DSMT4" ShapeID="_x0000_i1028" DrawAspect="Content" ObjectID="_1468075728" r:id="rId18">
            <o:LockedField>false</o:LockedField>
          </o:OLEObject>
        </w:object>
      </w:r>
      <w:bookmarkEnd w:id="61"/>
      <w:r>
        <w:rPr>
          <w:highlight w:val="white"/>
        </w:rPr>
        <w:t>与</w:t>
      </w:r>
      <w:bookmarkStart w:id="62" w:name="公式_怀疑_文内公式_5"/>
      <w:r>
        <w:rPr>
          <w:position w:val="-10"/>
        </w:rPr>
        <w:object>
          <v:shape id="_x0000_i1029" o:spt="75" type="#_x0000_t75" style="height:16.55pt;width:13.35pt;" o:ole="t" filled="f" o:preferrelative="t" stroked="f" coordsize="21600,21600">
            <v:path/>
            <v:fill on="f" focussize="0,0"/>
            <v:stroke on="f" joinstyle="miter"/>
            <v:imagedata r:id="rId21" o:title=""/>
            <o:lock v:ext="edit" aspectratio="t"/>
            <w10:wrap type="none"/>
            <w10:anchorlock/>
          </v:shape>
          <o:OLEObject Type="Embed" ProgID="Equation.DSMT4" ShapeID="_x0000_i1029" DrawAspect="Content" ObjectID="_1468075729" r:id="rId20">
            <o:LockedField>false</o:LockedField>
          </o:OLEObject>
        </w:object>
      </w:r>
      <w:bookmarkEnd w:id="62"/>
      <w:r>
        <w:rPr>
          <w:rFonts w:hint="eastAsia"/>
          <w:highlight w:val="white"/>
        </w:rPr>
        <w:t>，</w:t>
      </w:r>
      <w:r>
        <w:rPr>
          <w:highlight w:val="white"/>
        </w:rPr>
        <w:t>由</w:t>
      </w:r>
      <w:bookmarkStart w:id="63" w:name="公式_怀疑_文内公式_6"/>
      <w:r>
        <w:rPr>
          <w:position w:val="-10"/>
        </w:rPr>
        <w:object>
          <v:shape id="_x0000_i1030" o:spt="75" type="#_x0000_t75" style="height:15.45pt;width:29.85pt;" o:ole="t" filled="f" o:preferrelative="t" stroked="f" coordsize="21600,21600">
            <v:path/>
            <v:fill on="f" focussize="0,0"/>
            <v:stroke on="f" joinstyle="miter"/>
            <v:imagedata r:id="rId23" o:title=""/>
            <o:lock v:ext="edit" aspectratio="t"/>
            <w10:wrap type="none"/>
            <w10:anchorlock/>
          </v:shape>
          <o:OLEObject Type="Embed" ProgID="Equation.DSMT4" ShapeID="_x0000_i1030" DrawAspect="Content" ObjectID="_1468075730" r:id="rId22">
            <o:LockedField>false</o:LockedField>
          </o:OLEObject>
        </w:object>
      </w:r>
      <w:bookmarkEnd w:id="63"/>
      <w:r>
        <w:rPr>
          <w:highlight w:val="white"/>
        </w:rPr>
        <w:t>个中点构造</w:t>
      </w:r>
      <w:bookmarkStart w:id="64" w:name="公式_怀疑_文内公式_7"/>
      <w:r>
        <w:rPr>
          <w:position w:val="-10"/>
        </w:rPr>
        <w:object>
          <v:shape id="_x0000_i1031" o:spt="75" type="#_x0000_t75" style="height:12.25pt;width:12.25pt;" o:ole="t" filled="f" o:preferrelative="t" stroked="f" coordsize="21600,21600">
            <v:path/>
            <v:fill on="f" focussize="0,0"/>
            <v:stroke on="f" joinstyle="miter"/>
            <v:imagedata r:id="rId25" o:title=""/>
            <o:lock v:ext="edit" aspectratio="t"/>
            <w10:wrap type="none"/>
            <w10:anchorlock/>
          </v:shape>
          <o:OLEObject Type="Embed" ProgID="Equation.DSMT4" ShapeID="_x0000_i1031" DrawAspect="Content" ObjectID="_1468075731" r:id="rId24">
            <o:LockedField>false</o:LockedField>
          </o:OLEObject>
        </w:object>
      </w:r>
      <w:bookmarkEnd w:id="64"/>
      <w:r>
        <w:rPr>
          <w:highlight w:val="white"/>
        </w:rPr>
        <w:t>条插值线</w:t>
      </w:r>
      <w:bookmarkStart w:id="65" w:name="公式_怀疑_文内公式_8"/>
      <w:r>
        <w:rPr>
          <w:position w:val="-14"/>
        </w:rPr>
        <w:object>
          <v:shape id="_x0000_i1032" o:spt="75" type="#_x0000_t75" style="height:18.15pt;width:81.05pt;" o:ole="t" filled="f" o:preferrelative="t" stroked="f" coordsize="21600,21600">
            <v:path/>
            <v:fill on="f" focussize="0,0"/>
            <v:stroke on="f" joinstyle="miter"/>
            <v:imagedata r:id="rId27" o:title=""/>
            <o:lock v:ext="edit" aspectratio="t"/>
            <w10:wrap type="none"/>
            <w10:anchorlock/>
          </v:shape>
          <o:OLEObject Type="Embed" ProgID="Equation.DSMT4" ShapeID="_x0000_i1032" DrawAspect="Content" ObjectID="_1468075732" r:id="rId26">
            <o:LockedField>false</o:LockedField>
          </o:OLEObject>
        </w:object>
      </w:r>
      <w:bookmarkEnd w:id="65"/>
      <w:r>
        <w:rPr>
          <w:highlight w:val="white"/>
        </w:rPr>
        <w:t>并计算其均值曲线</w:t>
      </w:r>
      <w:r>
        <w:rPr>
          <w:rFonts w:hint="eastAsia"/>
          <w:highlight w:val="white"/>
        </w:rPr>
        <w:t>为</w:t>
      </w:r>
      <w:bookmarkEnd w:id="60"/>
    </w:p>
    <w:p w14:paraId="2641AC49">
      <w:pPr>
        <w:pStyle w:val="49"/>
        <w:tabs>
          <w:tab w:val="center" w:pos="4536"/>
          <w:tab w:val="right" w:pos="9072"/>
          <w:tab w:val="clear" w:pos="4160"/>
          <w:tab w:val="clear" w:pos="8300"/>
        </w:tabs>
        <w:spacing w:after="0" w:line="240" w:lineRule="auto"/>
      </w:pPr>
      <w:bookmarkStart w:id="66" w:name="公式_10"/>
      <w:r>
        <w:rPr>
          <w:highlight w:val="white"/>
        </w:rPr>
        <w:tab/>
      </w:r>
      <w:r>
        <w:rPr>
          <w:position w:val="-14"/>
        </w:rPr>
        <w:object>
          <v:shape id="_x0000_i1033" o:spt="75" type="#_x0000_t75" style="height:21.35pt;width:121.05pt;" o:ole="t" filled="f" o:preferrelative="t" stroked="f" coordsize="21600,21600">
            <v:path/>
            <v:fill on="f" focussize="0,0"/>
            <v:stroke on="f" joinstyle="miter"/>
            <v:imagedata r:id="rId29" o:title=""/>
            <o:lock v:ext="edit" aspectratio="t"/>
            <w10:wrap type="none"/>
            <w10:anchorlock/>
          </v:shape>
          <o:OLEObject Type="Embed" ProgID="Equation.DSMT4" ShapeID="_x0000_i1033" DrawAspect="Content" ObjectID="_1468075733" r:id="rId28">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w:instrText>
      </w:r>
      <w:r>
        <w:fldChar w:fldCharType="end"/>
      </w:r>
      <w:bookmarkEnd w:id="66"/>
    </w:p>
    <w:p w14:paraId="407B2B4F">
      <w:pPr>
        <w:ind w:firstLine="420"/>
      </w:pPr>
      <w:bookmarkStart w:id="67" w:name="正文段落_20"/>
      <w:r>
        <w:rPr>
          <w:rFonts w:hint="eastAsia"/>
          <w:highlight w:val="white"/>
        </w:rPr>
        <w:t>（3）</w:t>
      </w:r>
      <w:r>
        <w:rPr>
          <w:highlight w:val="white"/>
        </w:rPr>
        <w:t>对序列</w:t>
      </w:r>
      <w:bookmarkStart w:id="68" w:name="公式_怀疑_文内公式_9"/>
      <w:r>
        <w:rPr>
          <w:position w:val="-10"/>
        </w:rPr>
        <w:object>
          <v:shape id="_x0000_i1034" o:spt="75" type="#_x0000_t75" style="height:18.15pt;width:57.6pt;" o:ole="t" filled="f" o:preferrelative="t" stroked="f" coordsize="21600,21600">
            <v:path/>
            <v:fill on="f" focussize="0,0"/>
            <v:stroke on="f" joinstyle="miter"/>
            <v:imagedata r:id="rId31" o:title=""/>
            <o:lock v:ext="edit" aspectratio="t"/>
            <w10:wrap type="none"/>
            <w10:anchorlock/>
          </v:shape>
          <o:OLEObject Type="Embed" ProgID="Equation.DSMT4" ShapeID="_x0000_i1034" DrawAspect="Content" ObjectID="_1468075734" r:id="rId30">
            <o:LockedField>false</o:LockedField>
          </o:OLEObject>
        </w:object>
      </w:r>
      <w:bookmarkEnd w:id="68"/>
      <w:r>
        <w:rPr>
          <w:highlight w:val="white"/>
        </w:rPr>
        <w:t>重复上述步骤，直至筛选次数达到最大值</w:t>
      </w:r>
      <w:bookmarkStart w:id="69" w:name="公式_怀疑_文内公式_10"/>
      <w:r>
        <w:rPr>
          <w:position w:val="-4"/>
        </w:rPr>
        <w:object>
          <v:shape id="_x0000_i1035" o:spt="75" type="#_x0000_t75" style="height:12.25pt;width:12.25pt;" o:ole="t" filled="f" o:preferrelative="t" stroked="f" coordsize="21600,21600">
            <v:path/>
            <v:fill on="f" focussize="0,0"/>
            <v:stroke on="f" joinstyle="miter"/>
            <v:imagedata r:id="rId33" o:title=""/>
            <o:lock v:ext="edit" aspectratio="t"/>
            <w10:wrap type="none"/>
            <w10:anchorlock/>
          </v:shape>
          <o:OLEObject Type="Embed" ProgID="Equation.DSMT4" ShapeID="_x0000_i1035" DrawAspect="Content" ObjectID="_1468075735" r:id="rId32">
            <o:LockedField>false</o:LockedField>
          </o:OLEObject>
        </w:object>
      </w:r>
      <w:bookmarkEnd w:id="69"/>
      <w:r>
        <w:rPr>
          <w:highlight w:val="white"/>
        </w:rPr>
        <w:t>或满足</w:t>
      </w:r>
      <w:bookmarkStart w:id="70" w:name="公式_怀疑_文内公式_11"/>
      <w:r>
        <w:rPr>
          <w:position w:val="-10"/>
        </w:rPr>
        <w:object>
          <v:shape id="_x0000_i1036" o:spt="75" type="#_x0000_t75" style="height:18.15pt;width:42.15pt;" o:ole="t" filled="f" o:preferrelative="t" stroked="f" coordsize="21600,21600">
            <v:path/>
            <v:fill on="f" focussize="0,0"/>
            <v:stroke on="f" joinstyle="miter"/>
            <v:imagedata r:id="rId35" o:title=""/>
            <o:lock v:ext="edit" aspectratio="t"/>
            <w10:wrap type="none"/>
            <w10:anchorlock/>
          </v:shape>
          <o:OLEObject Type="Embed" ProgID="Equation.DSMT4" ShapeID="_x0000_i1036" DrawAspect="Content" ObjectID="_1468075736" r:id="rId34">
            <o:LockedField>false</o:LockedField>
          </o:OLEObject>
        </w:object>
      </w:r>
      <w:bookmarkEnd w:id="70"/>
      <w:r>
        <w:rPr>
          <w:highlight w:val="white"/>
        </w:rPr>
        <w:t>（</w:t>
      </w:r>
      <w:bookmarkStart w:id="71" w:name="公式_怀疑_文内公式_12"/>
      <w:r>
        <w:rPr>
          <w:position w:val="-6"/>
        </w:rPr>
        <w:object>
          <v:shape id="_x0000_i1037" o:spt="75" type="#_x0000_t75" style="height:11.75pt;width:9.6pt;" o:ole="t" filled="f" o:preferrelative="t" stroked="f" coordsize="21600,21600">
            <v:path/>
            <v:fill on="f" focussize="0,0"/>
            <v:stroke on="f" joinstyle="miter"/>
            <v:imagedata r:id="rId37" o:title=""/>
            <o:lock v:ext="edit" aspectratio="t"/>
            <w10:wrap type="none"/>
            <w10:anchorlock/>
          </v:shape>
          <o:OLEObject Type="Embed" ProgID="Equation.DSMT4" ShapeID="_x0000_i1037" DrawAspect="Content" ObjectID="_1468075737" r:id="rId36">
            <o:LockedField>false</o:LockedField>
          </o:OLEObject>
        </w:object>
      </w:r>
      <w:bookmarkEnd w:id="71"/>
      <w:r>
        <w:rPr>
          <w:highlight w:val="white"/>
        </w:rPr>
        <w:t>为允许误差），得到第一个经验模态</w:t>
      </w:r>
      <w:bookmarkStart w:id="72" w:name="公式_怀疑_文内公式_13"/>
      <w:r>
        <w:rPr>
          <w:position w:val="-10"/>
        </w:rPr>
        <w:object>
          <v:shape id="_x0000_i1038" o:spt="75" type="#_x0000_t75" style="height:16.55pt;width:16.55pt;" o:ole="t" filled="f" o:preferrelative="t" stroked="f" coordsize="21600,21600">
            <v:path/>
            <v:fill on="f" focussize="0,0"/>
            <v:stroke on="f" joinstyle="miter"/>
            <v:imagedata r:id="rId39" o:title=""/>
            <o:lock v:ext="edit" aspectratio="t"/>
            <w10:wrap type="none"/>
            <w10:anchorlock/>
          </v:shape>
          <o:OLEObject Type="Embed" ProgID="Equation.DSMT4" ShapeID="_x0000_i1038" DrawAspect="Content" ObjectID="_1468075738" r:id="rId38">
            <o:LockedField>false</o:LockedField>
          </o:OLEObject>
        </w:object>
      </w:r>
      <w:bookmarkEnd w:id="72"/>
      <w:r>
        <w:rPr>
          <w:highlight w:val="white"/>
        </w:rPr>
        <w:t>。随后对</w:t>
      </w:r>
      <w:bookmarkStart w:id="73" w:name="公式_怀疑_文内公式_14"/>
      <w:r>
        <w:rPr>
          <w:position w:val="-10"/>
        </w:rPr>
        <w:object>
          <v:shape id="_x0000_i1039" o:spt="75" type="#_x0000_t75" style="height:16.55pt;width:53.85pt;" o:ole="t" filled="f" o:preferrelative="t" stroked="f" coordsize="21600,21600">
            <v:path/>
            <v:fill on="f" focussize="0,0"/>
            <v:stroke on="f" joinstyle="miter"/>
            <v:imagedata r:id="rId41" o:title=""/>
            <o:lock v:ext="edit" aspectratio="t"/>
            <w10:wrap type="none"/>
            <w10:anchorlock/>
          </v:shape>
          <o:OLEObject Type="Embed" ProgID="Equation.DSMT4" ShapeID="_x0000_i1039" DrawAspect="Content" ObjectID="_1468075739" r:id="rId40">
            <o:LockedField>false</o:LockedField>
          </o:OLEObject>
        </w:object>
      </w:r>
      <w:bookmarkEnd w:id="73"/>
      <w:r>
        <w:rPr>
          <w:highlight w:val="white"/>
        </w:rPr>
        <w:t>重复筛分，依次得到</w:t>
      </w:r>
      <w:bookmarkStart w:id="74" w:name="公式_怀疑_文内公式_15"/>
      <w:r>
        <w:rPr>
          <w:position w:val="-10"/>
        </w:rPr>
        <w:object>
          <v:shape id="_x0000_i1040" o:spt="75" type="#_x0000_t75" style="height:16.55pt;width:45.35pt;" o:ole="t" filled="f" o:preferrelative="t" stroked="f" coordsize="21600,21600">
            <v:path/>
            <v:fill on="f" focussize="0,0"/>
            <v:stroke on="f" joinstyle="miter"/>
            <v:imagedata r:id="rId43" o:title=""/>
            <o:lock v:ext="edit" aspectratio="t"/>
            <w10:wrap type="none"/>
            <w10:anchorlock/>
          </v:shape>
          <o:OLEObject Type="Embed" ProgID="Equation.DSMT4" ShapeID="_x0000_i1040" DrawAspect="Content" ObjectID="_1468075740" r:id="rId42">
            <o:LockedField>false</o:LockedField>
          </o:OLEObject>
        </w:object>
      </w:r>
      <w:bookmarkEnd w:id="74"/>
      <w:r>
        <w:rPr>
          <w:highlight w:val="white"/>
        </w:rPr>
        <w:t>，直到趋势余项</w:t>
      </w:r>
      <w:bookmarkStart w:id="75" w:name="公式_怀疑_文内公式_16"/>
      <w:r>
        <w:rPr>
          <w:position w:val="-6"/>
        </w:rPr>
        <w:object>
          <v:shape id="_x0000_i1041" o:spt="75" type="#_x0000_t75" style="height:13.35pt;width:23.45pt;" o:ole="t" filled="f" o:preferrelative="t" stroked="f" coordsize="21600,21600">
            <v:path/>
            <v:fill on="f" focussize="0,0"/>
            <v:stroke on="f" joinstyle="miter"/>
            <v:imagedata r:id="rId45" o:title=""/>
            <o:lock v:ext="edit" aspectratio="t"/>
            <w10:wrap type="none"/>
            <w10:anchorlock/>
          </v:shape>
          <o:OLEObject Type="Embed" ProgID="Equation.DSMT4" ShapeID="_x0000_i1041" DrawAspect="Content" ObjectID="_1468075741" r:id="rId44">
            <o:LockedField>false</o:LockedField>
          </o:OLEObject>
        </w:object>
      </w:r>
      <w:bookmarkEnd w:id="75"/>
      <w:r>
        <w:rPr>
          <w:highlight w:val="white"/>
        </w:rPr>
        <w:t>仅剩符合预设极点数的分量。</w:t>
      </w:r>
      <w:bookmarkEnd w:id="67"/>
    </w:p>
    <w:p w14:paraId="503957C8">
      <w:pPr>
        <w:ind w:firstLine="420"/>
      </w:pPr>
      <w:bookmarkStart w:id="76" w:name="正文段落_22"/>
      <w:r>
        <w:rPr>
          <w:rFonts w:hint="eastAsia"/>
          <w:highlight w:val="white"/>
        </w:rPr>
        <w:t>（4）</w:t>
      </w:r>
      <w:r>
        <w:rPr>
          <w:highlight w:val="white"/>
        </w:rPr>
        <w:t>给定最大筛选次数</w:t>
      </w:r>
      <w:bookmarkStart w:id="77" w:name="公式_怀疑_文内公式_17"/>
      <w:r>
        <w:rPr>
          <w:position w:val="-10"/>
        </w:rPr>
        <w:object>
          <v:shape id="_x0000_i1042" o:spt="75" type="#_x0000_t75" style="height:16.55pt;width:71.45pt;" o:ole="t" filled="f" o:preferrelative="t" stroked="f" coordsize="21600,21600">
            <v:path/>
            <v:fill on="f" focussize="0,0"/>
            <v:stroke on="f" joinstyle="miter"/>
            <v:imagedata r:id="rId47" o:title=""/>
            <o:lock v:ext="edit" aspectratio="t"/>
            <w10:wrap type="none"/>
            <w10:anchorlock/>
          </v:shape>
          <o:OLEObject Type="Embed" ProgID="Equation.DSMT4" ShapeID="_x0000_i1042" DrawAspect="Content" ObjectID="_1468075742" r:id="rId46">
            <o:LockedField>false</o:LockedField>
          </o:OLEObject>
        </w:object>
      </w:r>
      <w:bookmarkEnd w:id="77"/>
      <w:r>
        <w:rPr>
          <w:highlight w:val="white"/>
        </w:rPr>
        <w:t>，计算方差比率</w:t>
      </w:r>
      <w:bookmarkStart w:id="78" w:name="公式_怀疑_文内公式_18"/>
      <w:r>
        <w:rPr>
          <w:position w:val="-4"/>
        </w:rPr>
        <w:object>
          <v:shape id="_x0000_i1043" o:spt="75" type="#_x0000_t75" style="height:12.25pt;width:13.35pt;" o:ole="t" filled="f" o:preferrelative="t" stroked="f" coordsize="21600,21600">
            <v:path/>
            <v:fill on="f" focussize="0,0"/>
            <v:stroke on="f" joinstyle="miter"/>
            <v:imagedata r:id="rId49" o:title=""/>
            <o:lock v:ext="edit" aspectratio="t"/>
            <w10:wrap type="none"/>
            <w10:anchorlock/>
          </v:shape>
          <o:OLEObject Type="Embed" ProgID="Equation.DSMT4" ShapeID="_x0000_i1043" DrawAspect="Content" ObjectID="_1468075743" r:id="rId48">
            <o:LockedField>false</o:LockedField>
          </o:OLEObject>
        </w:object>
      </w:r>
      <w:bookmarkEnd w:id="78"/>
      <w:r>
        <w:rPr>
          <w:rFonts w:hint="eastAsia"/>
          <w:highlight w:val="white"/>
        </w:rPr>
        <w:t>为</w:t>
      </w:r>
      <w:bookmarkEnd w:id="76"/>
    </w:p>
    <w:p w14:paraId="42E96494">
      <w:pPr>
        <w:pStyle w:val="49"/>
        <w:tabs>
          <w:tab w:val="center" w:pos="4536"/>
          <w:tab w:val="right" w:pos="9072"/>
          <w:tab w:val="clear" w:pos="4160"/>
          <w:tab w:val="clear" w:pos="8300"/>
        </w:tabs>
        <w:spacing w:after="0" w:line="240" w:lineRule="auto"/>
      </w:pPr>
      <w:bookmarkStart w:id="79" w:name="公式_20"/>
      <w:r>
        <w:rPr>
          <w:highlight w:val="white"/>
        </w:rPr>
        <w:tab/>
      </w:r>
      <w:r>
        <w:rPr>
          <w:position w:val="-14"/>
        </w:rPr>
        <w:object>
          <v:shape id="_x0000_i1044" o:spt="75" type="#_x0000_t75" style="height:16.55pt;width:48pt;" o:ole="t" filled="f" o:preferrelative="t" stroked="f" coordsize="21600,21600">
            <v:path/>
            <v:fill on="f" focussize="0,0"/>
            <v:stroke on="f" joinstyle="miter"/>
            <v:imagedata r:id="rId51" o:title=""/>
            <o:lock v:ext="edit" aspectratio="t"/>
            <w10:wrap type="none"/>
            <w10:anchorlock/>
          </v:shape>
          <o:OLEObject Type="Embed" ProgID="Equation.DSMT4" ShapeID="_x0000_i1044" DrawAspect="Content" ObjectID="_1468075744" r:id="rId50">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(2)</w:instrText>
      </w:r>
      <w:r>
        <w:fldChar w:fldCharType="end"/>
      </w:r>
      <w:bookmarkEnd w:id="79"/>
    </w:p>
    <w:p w14:paraId="0EC46234">
      <w:pPr>
        <w:ind w:firstLine="0" w:firstLineChars="0"/>
      </w:pPr>
      <w:bookmarkStart w:id="80" w:name="正文段落_24"/>
      <w:r>
        <w:rPr>
          <w:highlight w:val="white"/>
        </w:rPr>
        <w:t>式中</w:t>
      </w:r>
      <w:r>
        <w:rPr>
          <w:rFonts w:hint="eastAsia"/>
          <w:highlight w:val="white"/>
        </w:rPr>
        <w:t>，</w:t>
      </w:r>
      <w:bookmarkStart w:id="81" w:name="公式_怀疑_文内公式_19"/>
      <w:r>
        <w:rPr>
          <w:position w:val="-6"/>
        </w:rPr>
        <w:object>
          <v:shape id="_x0000_i1045" o:spt="75" type="#_x0000_t75" style="height:11.75pt;width:11.75pt;" o:ole="t" filled="f" o:preferrelative="t" stroked="f" coordsize="21600,21600">
            <v:path/>
            <v:fill on="f" focussize="0,0"/>
            <v:stroke on="f" joinstyle="miter"/>
            <v:imagedata r:id="rId53" o:title=""/>
            <o:lock v:ext="edit" aspectratio="t"/>
            <w10:wrap type="none"/>
            <w10:anchorlock/>
          </v:shape>
          <o:OLEObject Type="Embed" ProgID="Equation.DSMT4" ShapeID="_x0000_i1045" DrawAspect="Content" ObjectID="_1468075745" r:id="rId52">
            <o:LockedField>false</o:LockedField>
          </o:OLEObject>
        </w:object>
      </w:r>
      <w:bookmarkEnd w:id="81"/>
      <w:r>
        <w:rPr>
          <w:highlight w:val="white"/>
        </w:rPr>
        <w:t>为</w:t>
      </w:r>
      <w:bookmarkStart w:id="82" w:name="公式_怀疑_文内公式_20"/>
      <w:r>
        <w:rPr>
          <w:position w:val="-10"/>
        </w:rPr>
        <w:object>
          <v:shape id="_x0000_i1046" o:spt="75" type="#_x0000_t75" style="height:15.45pt;width:60.25pt;" o:ole="t" filled="f" o:preferrelative="t" stroked="f" coordsize="21600,21600">
            <v:path/>
            <v:fill on="f" focussize="0,0"/>
            <v:stroke on="f" joinstyle="miter"/>
            <v:imagedata r:id="rId55" o:title=""/>
            <o:lock v:ext="edit" aspectratio="t"/>
            <w10:wrap type="none"/>
            <w10:anchorlock/>
          </v:shape>
          <o:OLEObject Type="Embed" ProgID="Equation.DSMT4" ShapeID="_x0000_i1046" DrawAspect="Content" ObjectID="_1468075746" r:id="rId54">
            <o:LockedField>false</o:LockedField>
          </o:OLEObject>
        </w:object>
      </w:r>
      <w:bookmarkEnd w:id="82"/>
      <w:r>
        <w:rPr>
          <w:highlight w:val="white"/>
        </w:rPr>
        <w:t>的标准差</w:t>
      </w:r>
      <w:r>
        <w:rPr>
          <w:rFonts w:hint="eastAsia"/>
          <w:highlight w:val="white"/>
        </w:rPr>
        <w:t>；</w:t>
      </w:r>
      <w:bookmarkStart w:id="83" w:name="公式_怀疑_文内公式_21"/>
      <w:r>
        <w:rPr>
          <w:position w:val="-10"/>
        </w:rPr>
        <w:object>
          <v:shape id="_x0000_i1047" o:spt="75" type="#_x0000_t75" style="height:16.55pt;width:13.35pt;" o:ole="t" filled="f" o:preferrelative="t" stroked="f" coordsize="21600,21600">
            <v:path/>
            <v:fill on="f" focussize="0,0"/>
            <v:stroke on="f" joinstyle="miter"/>
            <v:imagedata r:id="rId57" o:title=""/>
            <o:lock v:ext="edit" aspectratio="t"/>
            <w10:wrap type="none"/>
            <w10:anchorlock/>
          </v:shape>
          <o:OLEObject Type="Embed" ProgID="Equation.DSMT4" ShapeID="_x0000_i1047" DrawAspect="Content" ObjectID="_1468075747" r:id="rId56">
            <o:LockedField>false</o:LockedField>
          </o:OLEObject>
        </w:object>
      </w:r>
      <w:bookmarkEnd w:id="83"/>
      <w:r>
        <w:rPr>
          <w:highlight w:val="white"/>
        </w:rPr>
        <w:t>为</w:t>
      </w:r>
      <w:bookmarkStart w:id="84" w:name="公式_怀疑_文内公式_22"/>
      <w:r>
        <w:rPr>
          <w:position w:val="-10"/>
        </w:rPr>
        <w:object>
          <v:shape id="_x0000_i1048" o:spt="75" type="#_x0000_t75" style="height:15.45pt;width:22.95pt;" o:ole="t" filled="f" o:preferrelative="t" stroked="f" coordsize="21600,21600">
            <v:path/>
            <v:fill on="f" focussize="0,0"/>
            <v:stroke on="f" joinstyle="miter"/>
            <v:imagedata r:id="rId59" o:title=""/>
            <o:lock v:ext="edit" aspectratio="t"/>
            <w10:wrap type="none"/>
            <w10:anchorlock/>
          </v:shape>
          <o:OLEObject Type="Embed" ProgID="Equation.DSMT4" ShapeID="_x0000_i1048" DrawAspect="Content" ObjectID="_1468075748" r:id="rId58">
            <o:LockedField>false</o:LockedField>
          </o:OLEObject>
        </w:object>
      </w:r>
      <w:bookmarkEnd w:id="84"/>
      <w:r>
        <w:rPr>
          <w:highlight w:val="white"/>
        </w:rPr>
        <w:t>的标准差。</w:t>
      </w:r>
      <w:bookmarkEnd w:id="80"/>
    </w:p>
    <w:p w14:paraId="1EF80F9A">
      <w:pPr>
        <w:ind w:firstLine="420"/>
      </w:pPr>
      <w:bookmarkStart w:id="85" w:name="正文段落_26"/>
      <w:r>
        <w:rPr>
          <w:rFonts w:hint="eastAsia"/>
          <w:highlight w:val="white"/>
        </w:rPr>
        <w:t>（5）</w:t>
      </w:r>
      <w:r>
        <w:rPr>
          <w:highlight w:val="white"/>
        </w:rPr>
        <w:t>绘制</w:t>
      </w:r>
      <w:bookmarkStart w:id="86" w:name="公式_怀疑_文内公式_23"/>
      <w:r>
        <w:rPr>
          <w:position w:val="-4"/>
        </w:rPr>
        <w:object>
          <v:shape id="_x0000_i1049" o:spt="75" type="#_x0000_t75" style="height:12.25pt;width:13.35pt;" o:ole="t" filled="f" o:preferrelative="t" stroked="f" coordsize="21600,21600">
            <v:path/>
            <v:fill on="f" focussize="0,0"/>
            <v:stroke on="f" joinstyle="miter"/>
            <v:imagedata r:id="rId61" o:title=""/>
            <o:lock v:ext="edit" aspectratio="t"/>
            <w10:wrap type="none"/>
            <w10:anchorlock/>
          </v:shape>
          <o:OLEObject Type="Embed" ProgID="Equation.DSMT4" ShapeID="_x0000_i1049" DrawAspect="Content" ObjectID="_1468075749" r:id="rId60">
            <o:LockedField>false</o:LockedField>
          </o:OLEObject>
        </w:object>
      </w:r>
      <w:bookmarkEnd w:id="86"/>
      <w:r>
        <w:rPr>
          <w:highlight w:val="white"/>
        </w:rPr>
        <w:t>随</w:t>
      </w:r>
      <w:bookmarkStart w:id="87" w:name="公式_怀疑_文内公式_24"/>
      <w:r>
        <w:rPr>
          <w:position w:val="-4"/>
        </w:rPr>
        <w:object>
          <v:shape id="_x0000_i1050" o:spt="75" type="#_x0000_t75" style="height:12.25pt;width:12.25pt;" o:ole="t" filled="f" o:preferrelative="t" stroked="f" coordsize="21600,21600">
            <v:path/>
            <v:fill on="f" focussize="0,0"/>
            <v:stroke on="f" joinstyle="miter"/>
            <v:imagedata r:id="rId63" o:title=""/>
            <o:lock v:ext="edit" aspectratio="t"/>
            <w10:wrap type="none"/>
            <w10:anchorlock/>
          </v:shape>
          <o:OLEObject Type="Embed" ProgID="Equation.DSMT4" ShapeID="_x0000_i1050" DrawAspect="Content" ObjectID="_1468075750" r:id="rId62">
            <o:LockedField>false</o:LockedField>
          </o:OLEObject>
        </w:object>
      </w:r>
      <w:bookmarkEnd w:id="87"/>
      <w:r>
        <w:rPr>
          <w:highlight w:val="white"/>
        </w:rPr>
        <w:t>的变化曲线，选取最小方差比率对应的最大筛选次数</w:t>
      </w:r>
      <w:bookmarkStart w:id="88" w:name="公式_怀疑_文内公式_25"/>
      <w:r>
        <w:rPr>
          <w:position w:val="-10"/>
        </w:rPr>
        <w:object>
          <v:shape id="_x0000_i1051" o:spt="75" type="#_x0000_t75" style="height:16.55pt;width:14.95pt;" o:ole="t" filled="f" o:preferrelative="t" stroked="f" coordsize="21600,21600">
            <v:path/>
            <v:fill on="f" focussize="0,0"/>
            <v:stroke on="f" joinstyle="miter"/>
            <v:imagedata r:id="rId65" o:title=""/>
            <o:lock v:ext="edit" aspectratio="t"/>
            <w10:wrap type="none"/>
            <w10:anchorlock/>
          </v:shape>
          <o:OLEObject Type="Embed" ProgID="Equation.DSMT4" ShapeID="_x0000_i1051" DrawAspect="Content" ObjectID="_1468075751" r:id="rId64">
            <o:LockedField>false</o:LockedField>
          </o:OLEObject>
        </w:object>
      </w:r>
      <w:bookmarkEnd w:id="88"/>
      <w:r>
        <w:rPr>
          <w:highlight w:val="white"/>
        </w:rPr>
        <w:t>。此时的</w:t>
      </w:r>
      <w:bookmarkStart w:id="89" w:name="公式_怀疑_文内公式_26"/>
      <w:r>
        <w:rPr>
          <w:position w:val="-6"/>
        </w:rPr>
        <w:object>
          <v:shape id="_x0000_i1052" o:spt="75" type="#_x0000_t75" style="height:13.35pt;width:23.45pt;" o:ole="t" filled="f" o:preferrelative="t" stroked="f" coordsize="21600,21600">
            <v:path/>
            <v:fill on="f" focussize="0,0"/>
            <v:stroke on="f" joinstyle="miter"/>
            <v:imagedata r:id="rId67" o:title=""/>
            <o:lock v:ext="edit" aspectratio="t"/>
            <w10:wrap type="none"/>
            <w10:anchorlock/>
          </v:shape>
          <o:OLEObject Type="Embed" ProgID="Equation.DSMT4" ShapeID="_x0000_i1052" DrawAspect="Content" ObjectID="_1468075752" r:id="rId66">
            <o:LockedField>false</o:LockedField>
          </o:OLEObject>
        </w:object>
      </w:r>
      <w:bookmarkEnd w:id="89"/>
      <w:r>
        <w:rPr>
          <w:highlight w:val="white"/>
        </w:rPr>
        <w:t>为序列的最佳拟合曲线；在</w:t>
      </w:r>
      <w:bookmarkStart w:id="90" w:name="公式_怀疑_文内公式_27"/>
      <w:r>
        <w:rPr>
          <w:position w:val="-10"/>
        </w:rPr>
        <w:object>
          <v:shape id="_x0000_i1053" o:spt="75" type="#_x0000_t75" style="height:16.55pt;width:14.95pt;" o:ole="t" filled="f" o:preferrelative="t" stroked="f" coordsize="21600,21600">
            <v:path/>
            <v:fill on="f" focussize="0,0"/>
            <v:stroke on="f" joinstyle="miter"/>
            <v:imagedata r:id="rId69" o:title=""/>
            <o:lock v:ext="edit" aspectratio="t"/>
            <w10:wrap type="none"/>
            <w10:anchorlock/>
          </v:shape>
          <o:OLEObject Type="Embed" ProgID="Equation.DSMT4" ShapeID="_x0000_i1053" DrawAspect="Content" ObjectID="_1468075753" r:id="rId68">
            <o:LockedField>false</o:LockedField>
          </o:OLEObject>
        </w:object>
      </w:r>
      <w:bookmarkEnd w:id="90"/>
      <w:r>
        <w:rPr>
          <w:highlight w:val="white"/>
        </w:rPr>
        <w:t>下重复上述步骤即可得到一系列模态分量与趋势余项。分解结果满足</w:t>
      </w:r>
      <w:bookmarkEnd w:id="85"/>
    </w:p>
    <w:p w14:paraId="2D7B4EF4">
      <w:pPr>
        <w:pStyle w:val="49"/>
        <w:tabs>
          <w:tab w:val="center" w:pos="4536"/>
          <w:tab w:val="center" w:pos="9072"/>
          <w:tab w:val="clear" w:pos="4160"/>
          <w:tab w:val="clear" w:pos="8300"/>
        </w:tabs>
        <w:spacing w:after="0" w:line="240" w:lineRule="auto"/>
      </w:pPr>
      <w:bookmarkStart w:id="91" w:name="公式_29"/>
      <w:r>
        <w:rPr>
          <w:highlight w:val="white"/>
        </w:rPr>
        <w:tab/>
      </w:r>
      <w:r>
        <w:rPr>
          <w:position w:val="-12"/>
        </w:rPr>
        <w:object>
          <v:shape id="_x0000_i1054" o:spt="75" type="#_x0000_t75" style="height:18.15pt;width:89.05pt;" o:ole="t" filled="f" o:preferrelative="t" stroked="f" coordsize="21600,21600">
            <v:path/>
            <v:fill on="f" focussize="0,0"/>
            <v:stroke on="f" joinstyle="miter"/>
            <v:imagedata r:id="rId71" o:title=""/>
            <o:lock v:ext="edit" aspectratio="t"/>
            <w10:wrap type="none"/>
            <w10:anchorlock/>
          </v:shape>
          <o:OLEObject Type="Embed" ProgID="Equation.DSMT4" ShapeID="_x0000_i1054" DrawAspect="Content" ObjectID="_1468075754" r:id="rId70">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(3)</w:instrText>
      </w:r>
      <w:r>
        <w:fldChar w:fldCharType="end"/>
      </w:r>
      <w:bookmarkEnd w:id="91"/>
    </w:p>
    <w:p w14:paraId="6E90AF78">
      <w:pPr>
        <w:ind w:firstLine="0" w:firstLineChars="0"/>
      </w:pPr>
      <w:bookmarkStart w:id="92" w:name="正文段落_28"/>
      <w:r>
        <w:rPr>
          <w:highlight w:val="white"/>
        </w:rPr>
        <w:t>式中</w:t>
      </w:r>
      <w:r>
        <w:rPr>
          <w:rFonts w:hint="eastAsia"/>
          <w:highlight w:val="white"/>
        </w:rPr>
        <w:t>，</w:t>
      </w:r>
      <w:bookmarkStart w:id="93" w:name="公式_怀疑_文内公式_28"/>
      <w:r>
        <w:rPr>
          <w:position w:val="-10"/>
        </w:rPr>
        <w:object>
          <v:shape id="_x0000_i1055" o:spt="75" type="#_x0000_t75" style="height:16.55pt;width:16.55pt;" o:ole="t" filled="f" o:preferrelative="t" stroked="f" coordsize="21600,21600">
            <v:path/>
            <v:fill on="f" focussize="0,0"/>
            <v:stroke on="f" joinstyle="miter"/>
            <v:imagedata r:id="rId73" o:title=""/>
            <o:lock v:ext="edit" aspectratio="t"/>
            <w10:wrap type="none"/>
            <w10:anchorlock/>
          </v:shape>
          <o:OLEObject Type="Embed" ProgID="Equation.DSMT4" ShapeID="_x0000_i1055" DrawAspect="Content" ObjectID="_1468075755" r:id="rId72">
            <o:LockedField>false</o:LockedField>
          </o:OLEObject>
        </w:object>
      </w:r>
      <w:bookmarkEnd w:id="93"/>
      <w:r>
        <w:rPr>
          <w:highlight w:val="white"/>
        </w:rPr>
        <w:t>为径流序列在不同时间尺度下的模态分量；</w:t>
      </w:r>
      <w:bookmarkStart w:id="94" w:name="公式_怀疑_文内公式_29"/>
      <w:r>
        <w:rPr>
          <w:position w:val="-6"/>
        </w:rPr>
        <w:object>
          <v:shape id="_x0000_i1056" o:spt="75" type="#_x0000_t75" style="height:13.35pt;width:22.95pt;" o:ole="t" filled="f" o:preferrelative="t" stroked="f" coordsize="21600,21600">
            <v:path/>
            <v:fill on="f" focussize="0,0"/>
            <v:stroke on="f" joinstyle="miter"/>
            <v:imagedata r:id="rId75" o:title=""/>
            <o:lock v:ext="edit" aspectratio="t"/>
            <w10:wrap type="none"/>
            <w10:anchorlock/>
          </v:shape>
          <o:OLEObject Type="Embed" ProgID="Equation.DSMT4" ShapeID="_x0000_i1056" DrawAspect="Content" ObjectID="_1468075756" r:id="rId74">
            <o:LockedField>false</o:LockedField>
          </o:OLEObject>
        </w:object>
      </w:r>
      <w:bookmarkEnd w:id="94"/>
      <w:r>
        <w:rPr>
          <w:highlight w:val="white"/>
        </w:rPr>
        <w:t>为径流序列分解后得到的趋势余项，即最佳自适应全局均线。</w:t>
      </w:r>
      <w:bookmarkEnd w:id="92"/>
    </w:p>
    <w:p w14:paraId="3FA87DB6">
      <w:pPr>
        <w:pStyle w:val="4"/>
      </w:pPr>
      <w:bookmarkStart w:id="95" w:name="三级标题序号_5"/>
      <w:bookmarkStart w:id="96" w:name="三级标题_4"/>
      <w:r>
        <w:rPr>
          <w:rFonts w:hint="eastAsia"/>
          <w:highlight w:val="white"/>
        </w:rPr>
        <w:t>1.1.2</w:t>
      </w:r>
      <w:bookmarkEnd w:id="95"/>
      <w:r>
        <w:rPr>
          <w:rFonts w:hint="eastAsia"/>
          <w:highlight w:val="white"/>
        </w:rPr>
        <w:t xml:space="preserve"> </w:t>
      </w:r>
      <w:r>
        <w:rPr>
          <w:highlight w:val="white"/>
        </w:rPr>
        <w:t>变分模态分解</w:t>
      </w:r>
      <w:r>
        <w:rPr>
          <w:rFonts w:hint="eastAsia"/>
          <w:highlight w:val="white"/>
        </w:rPr>
        <w:t>方法</w:t>
      </w:r>
      <w:bookmarkEnd w:id="96"/>
    </w:p>
    <w:p w14:paraId="3DEB9758">
      <w:pPr>
        <w:ind w:firstLine="420"/>
      </w:pPr>
      <w:bookmarkStart w:id="97" w:name="正文段落_30"/>
      <w:r>
        <w:rPr>
          <w:highlight w:val="white"/>
        </w:rPr>
        <w:t>VMD是一种完全非递归的自适应信号分解方法</w:t>
      </w:r>
      <w:r>
        <w:rPr>
          <w:rFonts w:hint="eastAsia"/>
          <w:highlight w:val="white"/>
        </w:rPr>
        <w:t>，</w:t>
      </w:r>
      <w:r>
        <w:rPr>
          <w:highlight w:val="white"/>
        </w:rPr>
        <w:t>将非平稳信号</w:t>
      </w:r>
      <w:bookmarkStart w:id="98" w:name="公式_怀疑_文内公式_30"/>
      <w:r>
        <w:rPr>
          <w:position w:val="-10"/>
        </w:rPr>
        <w:object>
          <v:shape id="_x0000_i1057" o:spt="75" type="#_x0000_t75" style="height:14.95pt;width:20.8pt;" o:ole="t" filled="f" o:preferrelative="t" stroked="f" coordsize="21600,21600">
            <v:path/>
            <v:fill on="f" focussize="0,0"/>
            <v:stroke on="f" joinstyle="miter"/>
            <v:imagedata r:id="rId77" o:title=""/>
            <o:lock v:ext="edit" aspectratio="t"/>
            <w10:wrap type="none"/>
            <w10:anchorlock/>
          </v:shape>
          <o:OLEObject Type="Embed" ProgID="Equation.DSMT4" ShapeID="_x0000_i1057" DrawAspect="Content" ObjectID="_1468075757" r:id="rId76">
            <o:LockedField>false</o:LockedField>
          </o:OLEObject>
        </w:object>
      </w:r>
      <w:bookmarkEnd w:id="98"/>
      <w:r>
        <w:rPr>
          <w:highlight w:val="white"/>
        </w:rPr>
        <w:t>分解为有限个调幅</w:t>
      </w:r>
      <w:r>
        <w:rPr>
          <w:rFonts w:hint="eastAsia"/>
          <w:highlight w:val="white"/>
        </w:rPr>
        <w:t>-</w:t>
      </w:r>
      <w:r>
        <w:rPr>
          <w:highlight w:val="white"/>
        </w:rPr>
        <w:t>调频本征模态分量</w:t>
      </w:r>
      <w:bookmarkStart w:id="99" w:name="公式_怀疑_文内公式_31"/>
      <w:r>
        <w:rPr>
          <w:position w:val="-10"/>
        </w:rPr>
        <w:object>
          <v:shape id="_x0000_i1058" o:spt="75" type="#_x0000_t75" style="height:16.55pt;width:24pt;" o:ole="t" filled="f" o:preferrelative="t" stroked="f" coordsize="21600,21600">
            <v:path/>
            <v:fill on="f" focussize="0,0"/>
            <v:stroke on="f" joinstyle="miter"/>
            <v:imagedata r:id="rId79" o:title=""/>
            <o:lock v:ext="edit" aspectratio="t"/>
            <w10:wrap type="none"/>
            <w10:anchorlock/>
          </v:shape>
          <o:OLEObject Type="Embed" ProgID="Equation.DSMT4" ShapeID="_x0000_i1058" DrawAspect="Content" ObjectID="_1468075758" r:id="rId78">
            <o:LockedField>false</o:LockedField>
          </o:OLEObject>
        </w:object>
      </w:r>
      <w:bookmarkEnd w:id="99"/>
      <w:r>
        <w:rPr>
          <w:highlight w:val="white"/>
        </w:rPr>
        <w:t>，各模态分量在频域上具有相对集中的窄带特征，并满足模态叠加可实现对原信号的重构。VMD的核心在于：通过构建以“各模态带宽之和最小”为目标的约束变分优化模型，在迭代过程中同步估计每个模态的中心频率</w:t>
      </w:r>
      <w:bookmarkStart w:id="100" w:name="公式_怀疑_文内公式_32"/>
      <w:r>
        <w:rPr>
          <w:position w:val="-10"/>
        </w:rPr>
        <w:object>
          <v:shape id="_x0000_i1059" o:spt="75" type="#_x0000_t75" style="height:16.55pt;width:13.35pt;" o:ole="t" filled="f" o:preferrelative="t" stroked="f" coordsize="21600,21600">
            <v:path/>
            <v:fill on="f" focussize="0,0"/>
            <v:stroke on="f" joinstyle="miter"/>
            <v:imagedata r:id="rId81" o:title=""/>
            <o:lock v:ext="edit" aspectratio="t"/>
            <w10:wrap type="none"/>
            <w10:anchorlock/>
          </v:shape>
          <o:OLEObject Type="Embed" ProgID="Equation.DSMT4" ShapeID="_x0000_i1059" DrawAspect="Content" ObjectID="_1468075759" r:id="rId80">
            <o:LockedField>false</o:LockedField>
          </o:OLEObject>
        </w:object>
      </w:r>
      <w:bookmarkEnd w:id="100"/>
      <w:r>
        <w:rPr>
          <w:highlight w:val="white"/>
        </w:rPr>
        <w:t>，从而实现不同频带成分的有效分离。求解时通常引入二次惩罚因子与拉格朗日乘子，将约束问题转化为增广拉格朗日形式，并采用交替方向乘子法（ADMM）在频域进行迭代更新，直至满足收敛判据得到最终分解结果</w:t>
      </w:r>
      <w:r>
        <w:rPr>
          <w:rFonts w:hint="eastAsia"/>
          <w:highlight w:val="white"/>
          <w:vertAlign w:val="superscript"/>
        </w:rPr>
        <w:t>[27]</w:t>
      </w:r>
      <w:r>
        <w:rPr>
          <w:highlight w:val="white"/>
        </w:rPr>
        <w:t>。其频域迭代更新公式为</w:t>
      </w:r>
      <w:bookmarkEnd w:id="97"/>
    </w:p>
    <w:p w14:paraId="1219D7D9">
      <w:pPr>
        <w:pStyle w:val="49"/>
        <w:tabs>
          <w:tab w:val="center" w:pos="4536"/>
          <w:tab w:val="right" w:pos="9072"/>
          <w:tab w:val="clear" w:pos="4160"/>
          <w:tab w:val="clear" w:pos="8300"/>
        </w:tabs>
        <w:spacing w:after="0" w:line="240" w:lineRule="auto"/>
      </w:pPr>
      <w:bookmarkStart w:id="101" w:name="公式_34"/>
      <w:r>
        <w:rPr>
          <w:highlight w:val="white"/>
        </w:rPr>
        <w:tab/>
      </w:r>
      <w:r>
        <w:rPr>
          <w:position w:val="-30"/>
        </w:rPr>
        <w:object>
          <v:shape id="_x0000_i1060" o:spt="75" type="#_x0000_t75" style="height:41.05pt;width:174.95pt;" o:ole="t" filled="f" o:preferrelative="t" stroked="f" coordsize="21600,21600">
            <v:path/>
            <v:fill on="f" focussize="0,0"/>
            <v:stroke on="f" joinstyle="miter"/>
            <v:imagedata r:id="rId83" o:title=""/>
            <o:lock v:ext="edit" aspectratio="t"/>
            <w10:wrap type="none"/>
            <w10:anchorlock/>
          </v:shape>
          <o:OLEObject Type="Embed" ProgID="Equation.DSMT4" ShapeID="_x0000_i1060" DrawAspect="Content" ObjectID="_1468075760" r:id="rId82">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(4)</w:instrText>
      </w:r>
      <w:r>
        <w:fldChar w:fldCharType="end"/>
      </w:r>
      <w:bookmarkEnd w:id="101"/>
    </w:p>
    <w:p w14:paraId="047A6140">
      <w:pPr>
        <w:pStyle w:val="49"/>
        <w:tabs>
          <w:tab w:val="center" w:pos="4536"/>
          <w:tab w:val="right" w:pos="9072"/>
          <w:tab w:val="clear" w:pos="4160"/>
          <w:tab w:val="clear" w:pos="8300"/>
        </w:tabs>
        <w:spacing w:after="0" w:line="240" w:lineRule="auto"/>
      </w:pPr>
      <w:bookmarkStart w:id="102" w:name="公式_36"/>
      <w:r>
        <w:rPr>
          <w:highlight w:val="white"/>
        </w:rPr>
        <w:tab/>
      </w:r>
      <w:r>
        <w:rPr>
          <w:position w:val="-44"/>
        </w:rPr>
        <w:object>
          <v:shape id="_x0000_i1061" o:spt="75" type="#_x0000_t75" style="height:49.05pt;width:124.25pt;" o:ole="t" filled="f" o:preferrelative="t" stroked="f" coordsize="21600,21600">
            <v:path/>
            <v:fill on="f" focussize="0,0"/>
            <v:stroke on="f" joinstyle="miter"/>
            <v:imagedata r:id="rId85" o:title=""/>
            <o:lock v:ext="edit" aspectratio="t"/>
            <w10:wrap type="none"/>
            <w10:anchorlock/>
          </v:shape>
          <o:OLEObject Type="Embed" ProgID="Equation.DSMT4" ShapeID="_x0000_i1061" DrawAspect="Content" ObjectID="_1468075761" r:id="rId84">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(5)</w:instrText>
      </w:r>
      <w:r>
        <w:fldChar w:fldCharType="end"/>
      </w:r>
      <w:bookmarkEnd w:id="102"/>
    </w:p>
    <w:p w14:paraId="65F17751">
      <w:pPr>
        <w:pStyle w:val="49"/>
        <w:tabs>
          <w:tab w:val="center" w:pos="4536"/>
          <w:tab w:val="right" w:pos="9072"/>
          <w:tab w:val="clear" w:pos="4160"/>
          <w:tab w:val="clear" w:pos="8300"/>
        </w:tabs>
        <w:spacing w:after="0" w:line="240" w:lineRule="auto"/>
      </w:pPr>
      <w:bookmarkStart w:id="103" w:name="公式_38"/>
      <w:r>
        <w:rPr>
          <w:highlight w:val="white"/>
        </w:rPr>
        <w:tab/>
      </w:r>
      <w:r>
        <w:rPr>
          <w:position w:val="-26"/>
        </w:rPr>
        <w:object>
          <v:shape id="_x0000_i1062" o:spt="75" type="#_x0000_t75" style="height:29.85pt;width:172.8pt;" o:ole="t" filled="f" o:preferrelative="t" stroked="f" coordsize="21600,21600">
            <v:path/>
            <v:fill on="f" focussize="0,0"/>
            <v:stroke on="f" joinstyle="miter"/>
            <v:imagedata r:id="rId87" o:title=""/>
            <o:lock v:ext="edit" aspectratio="t"/>
            <w10:wrap type="none"/>
            <w10:anchorlock/>
          </v:shape>
          <o:OLEObject Type="Embed" ProgID="Equation.DSMT4" ShapeID="_x0000_i1062" DrawAspect="Content" ObjectID="_1468075762" r:id="rId86">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(6)</w:instrText>
      </w:r>
      <w:r>
        <w:fldChar w:fldCharType="end"/>
      </w:r>
      <w:bookmarkEnd w:id="103"/>
    </w:p>
    <w:p w14:paraId="7B7B3890">
      <w:pPr>
        <w:ind w:firstLine="0" w:firstLineChars="0"/>
      </w:pPr>
      <w:bookmarkStart w:id="104" w:name="正文段落_32"/>
      <w:r>
        <w:rPr>
          <w:highlight w:val="white"/>
        </w:rPr>
        <w:t>式中</w:t>
      </w:r>
      <w:r>
        <w:rPr>
          <w:rFonts w:hint="eastAsia"/>
          <w:highlight w:val="white"/>
        </w:rPr>
        <w:t>，</w:t>
      </w:r>
      <w:bookmarkStart w:id="105" w:name="公式_怀疑_文内公式_33"/>
      <w:r>
        <w:rPr>
          <w:position w:val="-10"/>
        </w:rPr>
        <w:object>
          <v:shape id="_x0000_i1063" o:spt="75" type="#_x0000_t75" style="height:13.35pt;width:9.05pt;" o:ole="t" filled="f" o:preferrelative="t" stroked="f" coordsize="21600,21600">
            <v:path/>
            <v:fill on="f" focussize="0,0"/>
            <v:stroke on="f" joinstyle="miter"/>
            <v:imagedata r:id="rId89" o:title=""/>
            <o:lock v:ext="edit" aspectratio="t"/>
            <w10:wrap type="none"/>
            <w10:anchorlock/>
          </v:shape>
          <o:OLEObject Type="Embed" ProgID="Equation.DSMT4" ShapeID="_x0000_i1063" DrawAspect="Content" ObjectID="_1468075763" r:id="rId88">
            <o:LockedField>false</o:LockedField>
          </o:OLEObject>
        </w:object>
      </w:r>
      <w:bookmarkEnd w:id="105"/>
      <w:r>
        <w:rPr>
          <w:highlight w:val="white"/>
        </w:rPr>
        <w:t>为迭代次数；</w:t>
      </w:r>
      <w:bookmarkStart w:id="106" w:name="公式_怀疑_文内公式_34"/>
      <w:r>
        <w:rPr>
          <w:position w:val="-6"/>
        </w:rPr>
        <w:object>
          <v:shape id="_x0000_i1064" o:spt="75" type="#_x0000_t75" style="height:13.35pt;width:9.05pt;" o:ole="t" filled="f" o:preferrelative="t" stroked="f" coordsize="21600,21600">
            <v:path/>
            <v:fill on="f" focussize="0,0"/>
            <v:stroke on="f" joinstyle="miter"/>
            <v:imagedata r:id="rId91" o:title=""/>
            <o:lock v:ext="edit" aspectratio="t"/>
            <w10:wrap type="none"/>
            <w10:anchorlock/>
          </v:shape>
          <o:OLEObject Type="Embed" ProgID="Equation.DSMT4" ShapeID="_x0000_i1064" DrawAspect="Content" ObjectID="_1468075764" r:id="rId90">
            <o:LockedField>false</o:LockedField>
          </o:OLEObject>
        </w:object>
      </w:r>
      <w:bookmarkEnd w:id="106"/>
      <w:r>
        <w:rPr>
          <w:highlight w:val="white"/>
        </w:rPr>
        <w:t>为模态序号（模态数量为</w:t>
      </w:r>
      <w:bookmarkStart w:id="107" w:name="公式_怀疑_文内公式_35"/>
      <w:r>
        <w:rPr>
          <w:position w:val="-4"/>
        </w:rPr>
        <w:object>
          <v:shape id="_x0000_i1065" o:spt="75" type="#_x0000_t75" style="height:12.25pt;width:12.25pt;" o:ole="t" filled="f" o:preferrelative="t" stroked="f" coordsize="21600,21600">
            <v:path/>
            <v:fill on="f" focussize="0,0"/>
            <v:stroke on="f" joinstyle="miter"/>
            <v:imagedata r:id="rId93" o:title=""/>
            <o:lock v:ext="edit" aspectratio="t"/>
            <w10:wrap type="none"/>
            <w10:anchorlock/>
          </v:shape>
          <o:OLEObject Type="Embed" ProgID="Equation.DSMT4" ShapeID="_x0000_i1065" DrawAspect="Content" ObjectID="_1468075765" r:id="rId92">
            <o:LockedField>false</o:LockedField>
          </o:OLEObject>
        </w:object>
      </w:r>
      <w:bookmarkEnd w:id="107"/>
      <w:r>
        <w:rPr>
          <w:highlight w:val="white"/>
        </w:rPr>
        <w:t>）；</w:t>
      </w:r>
      <w:bookmarkStart w:id="108" w:name="公式_怀疑_文内公式_36"/>
      <w:r>
        <w:rPr>
          <w:position w:val="-10"/>
        </w:rPr>
        <w:object>
          <v:shape id="_x0000_i1066" o:spt="75" type="#_x0000_t75" style="height:20.8pt;width:41.05pt;" o:ole="t" filled="f" o:preferrelative="t" stroked="f" coordsize="21600,21600">
            <v:path/>
            <v:fill on="f" focussize="0,0"/>
            <v:stroke on="f" joinstyle="miter"/>
            <v:imagedata r:id="rId95" o:title=""/>
            <o:lock v:ext="edit" aspectratio="t"/>
            <w10:wrap type="none"/>
            <w10:anchorlock/>
          </v:shape>
          <o:OLEObject Type="Embed" ProgID="Equation.DSMT4" ShapeID="_x0000_i1066" DrawAspect="Content" ObjectID="_1468075766" r:id="rId94">
            <o:LockedField>false</o:LockedField>
          </o:OLEObject>
        </w:object>
      </w:r>
      <w:bookmarkEnd w:id="108"/>
      <w:r>
        <w:rPr>
          <w:highlight w:val="white"/>
        </w:rPr>
        <w:t>、</w:t>
      </w:r>
      <w:bookmarkStart w:id="109" w:name="公式_怀疑_文内公式_37"/>
      <w:r>
        <w:rPr>
          <w:position w:val="-10"/>
        </w:rPr>
        <w:object>
          <v:shape id="_x0000_i1067" o:spt="75" type="#_x0000_t75" style="height:20.8pt;width:25.6pt;" o:ole="t" filled="f" o:preferrelative="t" stroked="f" coordsize="21600,21600">
            <v:path/>
            <v:fill on="f" focussize="0,0"/>
            <v:stroke on="f" joinstyle="miter"/>
            <v:imagedata r:id="rId97" o:title=""/>
            <o:lock v:ext="edit" aspectratio="t"/>
            <w10:wrap type="none"/>
            <w10:anchorlock/>
          </v:shape>
          <o:OLEObject Type="Embed" ProgID="Equation.DSMT4" ShapeID="_x0000_i1067" DrawAspect="Content" ObjectID="_1468075767" r:id="rId96">
            <o:LockedField>false</o:LockedField>
          </o:OLEObject>
        </w:object>
      </w:r>
      <w:bookmarkEnd w:id="109"/>
      <w:r>
        <w:rPr>
          <w:highlight w:val="white"/>
        </w:rPr>
        <w:t>、</w:t>
      </w:r>
      <w:bookmarkStart w:id="110" w:name="公式_怀疑_文内公式_38"/>
      <w:r>
        <w:rPr>
          <w:position w:val="-10"/>
        </w:rPr>
        <w:object>
          <v:shape id="_x0000_i1068" o:spt="75" type="#_x0000_t75" style="height:20.8pt;width:25.6pt;" o:ole="t" filled="f" o:preferrelative="t" stroked="f" coordsize="21600,21600">
            <v:path/>
            <v:fill on="f" focussize="0,0"/>
            <v:stroke on="f" joinstyle="miter"/>
            <v:imagedata r:id="rId99" o:title=""/>
            <o:lock v:ext="edit" aspectratio="t"/>
            <w10:wrap type="none"/>
            <w10:anchorlock/>
          </v:shape>
          <o:OLEObject Type="Embed" ProgID="Equation.DSMT4" ShapeID="_x0000_i1068" DrawAspect="Content" ObjectID="_1468075768" r:id="rId98">
            <o:LockedField>false</o:LockedField>
          </o:OLEObject>
        </w:object>
      </w:r>
      <w:bookmarkEnd w:id="110"/>
      <w:r>
        <w:rPr>
          <w:highlight w:val="white"/>
        </w:rPr>
        <w:t>、</w:t>
      </w:r>
      <w:bookmarkStart w:id="111" w:name="公式_怀疑_文内公式_39"/>
      <w:r>
        <w:rPr>
          <w:position w:val="-14"/>
        </w:rPr>
        <w:object>
          <v:shape id="_x0000_i1069" o:spt="75" type="#_x0000_t75" style="height:24pt;width:27.2pt;" o:ole="t" filled="f" o:preferrelative="t" stroked="f" coordsize="21600,21600">
            <v:path/>
            <v:fill on="f" focussize="0,0"/>
            <v:stroke on="f" joinstyle="miter"/>
            <v:imagedata r:id="rId101" o:title=""/>
            <o:lock v:ext="edit" aspectratio="t"/>
            <w10:wrap type="none"/>
            <w10:anchorlock/>
          </v:shape>
          <o:OLEObject Type="Embed" ProgID="Equation.DSMT4" ShapeID="_x0000_i1069" DrawAspect="Content" ObjectID="_1468075769" r:id="rId100">
            <o:LockedField>false</o:LockedField>
          </o:OLEObject>
        </w:object>
      </w:r>
      <w:bookmarkEnd w:id="111"/>
      <w:r>
        <w:rPr>
          <w:highlight w:val="white"/>
        </w:rPr>
        <w:t>分别为</w:t>
      </w:r>
      <w:bookmarkStart w:id="112" w:name="公式_怀疑_文内公式_40"/>
      <w:r>
        <w:rPr>
          <w:position w:val="-14"/>
        </w:rPr>
        <w:object>
          <v:shape id="_x0000_i1070" o:spt="75" type="#_x0000_t75" style="height:18.15pt;width:35.2pt;" o:ole="t" filled="f" o:preferrelative="t" stroked="f" coordsize="21600,21600">
            <v:path/>
            <v:fill on="f" focussize="0,0"/>
            <v:stroke on="f" joinstyle="miter"/>
            <v:imagedata r:id="rId103" o:title=""/>
            <o:lock v:ext="edit" aspectratio="t"/>
            <w10:wrap type="none"/>
            <w10:anchorlock/>
          </v:shape>
          <o:OLEObject Type="Embed" ProgID="Equation.DSMT4" ShapeID="_x0000_i1070" DrawAspect="Content" ObjectID="_1468075770" r:id="rId102">
            <o:LockedField>false</o:LockedField>
          </o:OLEObject>
        </w:object>
      </w:r>
      <w:bookmarkEnd w:id="112"/>
      <w:r>
        <w:rPr>
          <w:highlight w:val="white"/>
        </w:rPr>
        <w:t>、</w:t>
      </w:r>
      <w:bookmarkStart w:id="113" w:name="公式_怀疑_文内公式_41"/>
      <w:r>
        <w:rPr>
          <w:position w:val="-10"/>
        </w:rPr>
        <w:object>
          <v:shape id="_x0000_i1071" o:spt="75" type="#_x0000_t75" style="height:14.95pt;width:20.8pt;" o:ole="t" filled="f" o:preferrelative="t" stroked="f" coordsize="21600,21600">
            <v:path/>
            <v:fill on="f" focussize="0,0"/>
            <v:stroke on="f" joinstyle="miter"/>
            <v:imagedata r:id="rId105" o:title=""/>
            <o:lock v:ext="edit" aspectratio="t"/>
            <w10:wrap type="none"/>
            <w10:anchorlock/>
          </v:shape>
          <o:OLEObject Type="Embed" ProgID="Equation.DSMT4" ShapeID="_x0000_i1071" DrawAspect="Content" ObjectID="_1468075771" r:id="rId104">
            <o:LockedField>false</o:LockedField>
          </o:OLEObject>
        </w:object>
      </w:r>
      <w:bookmarkEnd w:id="113"/>
      <w:r>
        <w:rPr>
          <w:highlight w:val="white"/>
        </w:rPr>
        <w:t>、</w:t>
      </w:r>
      <w:bookmarkStart w:id="114" w:name="公式_怀疑_文内公式_42"/>
      <w:r>
        <w:rPr>
          <w:position w:val="-10"/>
        </w:rPr>
        <w:object>
          <v:shape id="_x0000_i1072" o:spt="75" type="#_x0000_t75" style="height:16.55pt;width:20.8pt;" o:ole="t" filled="f" o:preferrelative="t" stroked="f" coordsize="21600,21600">
            <v:path/>
            <v:fill on="f" focussize="0,0"/>
            <v:stroke on="f" joinstyle="miter"/>
            <v:imagedata r:id="rId107" o:title=""/>
            <o:lock v:ext="edit" aspectratio="t"/>
            <w10:wrap type="none"/>
            <w10:anchorlock/>
          </v:shape>
          <o:OLEObject Type="Embed" ProgID="Equation.DSMT4" ShapeID="_x0000_i1072" DrawAspect="Content" ObjectID="_1468075772" r:id="rId106">
            <o:LockedField>false</o:LockedField>
          </o:OLEObject>
        </w:object>
      </w:r>
      <w:bookmarkEnd w:id="114"/>
      <w:r>
        <w:rPr>
          <w:highlight w:val="white"/>
        </w:rPr>
        <w:t>及拉格朗日乘子项</w:t>
      </w:r>
      <w:bookmarkStart w:id="115" w:name="公式_怀疑_文内公式_43"/>
      <w:r>
        <w:rPr>
          <w:position w:val="-14"/>
        </w:rPr>
        <w:object>
          <v:shape id="_x0000_i1073" o:spt="75" type="#_x0000_t75" style="height:18.15pt;width:24pt;" o:ole="t" filled="f" o:preferrelative="t" stroked="f" coordsize="21600,21600">
            <v:path/>
            <v:fill on="f" focussize="0,0"/>
            <v:stroke on="f" joinstyle="miter"/>
            <v:imagedata r:id="rId109" o:title=""/>
            <o:lock v:ext="edit" aspectratio="t"/>
            <w10:wrap type="none"/>
            <w10:anchorlock/>
          </v:shape>
          <o:OLEObject Type="Embed" ProgID="Equation.DSMT4" ShapeID="_x0000_i1073" DrawAspect="Content" ObjectID="_1468075773" r:id="rId108">
            <o:LockedField>false</o:LockedField>
          </o:OLEObject>
        </w:object>
      </w:r>
      <w:bookmarkEnd w:id="115"/>
      <w:r>
        <w:rPr>
          <w:highlight w:val="white"/>
        </w:rPr>
        <w:t>的傅里叶变换；</w:t>
      </w:r>
      <w:bookmarkStart w:id="116" w:name="公式_怀疑_文内公式_44"/>
      <w:r>
        <w:rPr>
          <w:position w:val="-6"/>
        </w:rPr>
        <w:object>
          <v:shape id="_x0000_i1074" o:spt="75" type="#_x0000_t75" style="height:11.2pt;width:11.2pt;" o:ole="t" filled="f" o:preferrelative="t" stroked="f" coordsize="21600,21600">
            <v:path/>
            <v:fill on="f" focussize="0,0"/>
            <v:stroke on="f" joinstyle="miter"/>
            <v:imagedata r:id="rId111" o:title=""/>
            <o:lock v:ext="edit" aspectratio="t"/>
            <w10:wrap type="none"/>
            <w10:anchorlock/>
          </v:shape>
          <o:OLEObject Type="Embed" ProgID="Equation.DSMT4" ShapeID="_x0000_i1074" DrawAspect="Content" ObjectID="_1468075774" r:id="rId110">
            <o:LockedField>false</o:LockedField>
          </o:OLEObject>
        </w:object>
      </w:r>
      <w:bookmarkEnd w:id="116"/>
      <w:r>
        <w:rPr>
          <w:highlight w:val="white"/>
        </w:rPr>
        <w:t>为惩罚因子；</w:t>
      </w:r>
      <w:bookmarkStart w:id="117" w:name="公式_怀疑_文内公式_45"/>
      <w:r>
        <w:rPr>
          <w:position w:val="-6"/>
        </w:rPr>
        <w:object>
          <v:shape id="_x0000_i1075" o:spt="75" type="#_x0000_t75" style="height:11.2pt;width:9.05pt;" o:ole="t" filled="f" o:preferrelative="t" stroked="f" coordsize="21600,21600">
            <v:path/>
            <v:fill on="f" focussize="0,0"/>
            <v:stroke on="f" joinstyle="miter"/>
            <v:imagedata r:id="rId113" o:title=""/>
            <o:lock v:ext="edit" aspectratio="t"/>
            <w10:wrap type="none"/>
            <w10:anchorlock/>
          </v:shape>
          <o:OLEObject Type="Embed" ProgID="Equation.DSMT4" ShapeID="_x0000_i1075" DrawAspect="Content" ObjectID="_1468075775" r:id="rId112">
            <o:LockedField>false</o:LockedField>
          </o:OLEObject>
        </w:object>
      </w:r>
      <w:bookmarkEnd w:id="117"/>
      <w:r>
        <w:rPr>
          <w:highlight w:val="white"/>
        </w:rPr>
        <w:t>为拉格朗日乘子项更新步长（噪声容忍度）。</w:t>
      </w:r>
      <w:bookmarkEnd w:id="104"/>
    </w:p>
    <w:p w14:paraId="4135D9DC">
      <w:pPr>
        <w:ind w:firstLine="420"/>
      </w:pPr>
      <w:bookmarkStart w:id="118" w:name="正文段落_34"/>
      <w:r>
        <w:rPr>
          <w:highlight w:val="white"/>
        </w:rPr>
        <w:t>迭代停止条件为</w:t>
      </w:r>
      <w:bookmarkEnd w:id="118"/>
    </w:p>
    <w:p w14:paraId="49F395FA">
      <w:pPr>
        <w:pStyle w:val="49"/>
        <w:tabs>
          <w:tab w:val="center" w:pos="4536"/>
          <w:tab w:val="center" w:pos="9072"/>
          <w:tab w:val="clear" w:pos="4160"/>
          <w:tab w:val="clear" w:pos="8300"/>
        </w:tabs>
        <w:spacing w:after="0" w:line="240" w:lineRule="auto"/>
      </w:pPr>
      <w:bookmarkStart w:id="119" w:name="公式_47"/>
      <w:r>
        <w:rPr>
          <w:highlight w:val="white"/>
        </w:rPr>
        <w:tab/>
      </w:r>
      <w:r>
        <w:rPr>
          <w:position w:val="-40"/>
        </w:rPr>
        <w:object>
          <v:shape id="_x0000_i1076" o:spt="75" type="#_x0000_t75" style="height:44.8pt;width:99.2pt;" o:ole="t" filled="f" o:preferrelative="t" stroked="f" coordsize="21600,21600">
            <v:path/>
            <v:fill on="f" focussize="0,0"/>
            <v:stroke on="f" joinstyle="miter"/>
            <v:imagedata r:id="rId115" o:title=""/>
            <o:lock v:ext="edit" aspectratio="t"/>
            <w10:wrap type="none"/>
            <w10:anchorlock/>
          </v:shape>
          <o:OLEObject Type="Embed" ProgID="Equation.DSMT4" ShapeID="_x0000_i1076" DrawAspect="Content" ObjectID="_1468075776" r:id="rId114">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(7)</w:instrText>
      </w:r>
      <w:r>
        <w:fldChar w:fldCharType="end"/>
      </w:r>
      <w:bookmarkEnd w:id="119"/>
    </w:p>
    <w:p w14:paraId="20CD757C">
      <w:pPr>
        <w:ind w:firstLine="0" w:firstLineChars="0"/>
      </w:pPr>
      <w:bookmarkStart w:id="120" w:name="正文段落_36"/>
      <w:r>
        <w:rPr>
          <w:rFonts w:hint="eastAsia"/>
          <w:highlight w:val="white"/>
        </w:rPr>
        <w:t>式中，</w:t>
      </w:r>
      <w:bookmarkStart w:id="121" w:name="公式_怀疑_文内公式_47"/>
      <w:r>
        <w:rPr>
          <w:position w:val="-10"/>
        </w:rPr>
        <w:object>
          <v:shape id="_x0000_i1077" o:spt="75" type="#_x0000_t75" style="height:12.25pt;width:11.2pt;" o:ole="t" filled="f" o:preferrelative="t" stroked="f" coordsize="21600,21600">
            <v:path/>
            <v:fill on="f" focussize="0,0"/>
            <v:stroke on="f" joinstyle="miter"/>
            <v:imagedata r:id="rId117" o:title=""/>
            <o:lock v:ext="edit" aspectratio="t"/>
            <w10:wrap type="none"/>
            <w10:anchorlock/>
          </v:shape>
          <o:OLEObject Type="Embed" ProgID="Equation.DSMT4" ShapeID="_x0000_i1077" DrawAspect="Content" ObjectID="_1468075777" r:id="rId116">
            <o:LockedField>false</o:LockedField>
          </o:OLEObject>
        </w:object>
      </w:r>
      <w:bookmarkEnd w:id="121"/>
      <w:r>
        <w:rPr>
          <w:highlight w:val="white"/>
        </w:rPr>
        <w:t xml:space="preserve">为收敛判断参数，通常取 </w:t>
      </w:r>
      <w:bookmarkStart w:id="122" w:name="公式_怀疑_文内公式_46"/>
      <m:oMath>
        <m:r>
          <m:rPr/>
          <w:rPr>
            <w:rFonts w:ascii="Cambria Math" w:hAnsi="Cambria Math"/>
          </w:rPr>
          <m:t>1×</m:t>
        </m:r>
        <m:sSup>
          <m:sSupPr>
            <m:ctrlPr>
              <w:rPr>
                <w:rFonts w:ascii="Cambria Math" w:hAnsi="Cambria Math"/>
              </w:rPr>
            </m:ctrlPr>
          </m:sSupPr>
          <m:e>
            <m:r>
              <m:rPr/>
              <w:rPr>
                <w:rFonts w:ascii="Cambria Math" w:hAnsi="Cambria Math"/>
              </w:rPr>
              <m:t>10</m:t>
            </m:r>
            <m:ctrlPr>
              <w:rPr>
                <w:rFonts w:ascii="Cambria Math" w:hAnsi="Cambria Math"/>
              </w:rPr>
            </m:ctrlPr>
          </m:e>
          <m:sup>
            <m:r>
              <m:rPr/>
              <w:rPr>
                <w:rFonts w:ascii="Cambria Math" w:hAnsi="Cambria Math"/>
              </w:rPr>
              <m:t>−6</m:t>
            </m:r>
            <m:ctrlPr>
              <w:rPr>
                <w:rFonts w:ascii="Cambria Math" w:hAnsi="Cambria Math"/>
              </w:rPr>
            </m:ctrlPr>
            <w:bookmarkEnd w:id="122"/>
          </m:sup>
        </m:sSup>
      </m:oMath>
      <w:r>
        <w:rPr>
          <w:highlight w:val="white"/>
        </w:rPr>
        <w:t>。</w:t>
      </w:r>
      <w:bookmarkEnd w:id="120"/>
    </w:p>
    <w:p w14:paraId="0520CB7A">
      <w:pPr>
        <w:pStyle w:val="3"/>
      </w:pPr>
      <w:bookmarkStart w:id="123" w:name="二级标题序号_6"/>
      <w:bookmarkStart w:id="124" w:name="二级标题_4"/>
      <w:r>
        <w:rPr>
          <w:highlight w:val="white"/>
        </w:rPr>
        <w:t>1.</w:t>
      </w:r>
      <w:r>
        <w:rPr>
          <w:rFonts w:hint="eastAsia"/>
          <w:highlight w:val="white"/>
        </w:rPr>
        <w:t>2</w:t>
      </w:r>
      <w:bookmarkEnd w:id="123"/>
      <w:r>
        <w:rPr>
          <w:highlight w:val="white"/>
        </w:rPr>
        <w:t xml:space="preserve"> 遗传算法</w:t>
      </w:r>
      <w:bookmarkEnd w:id="124"/>
    </w:p>
    <w:p w14:paraId="562AA7FD">
      <w:pPr>
        <w:ind w:firstLine="420"/>
      </w:pPr>
      <w:bookmarkStart w:id="125" w:name="正文段落_38"/>
      <w:r>
        <w:rPr>
          <w:highlight w:val="white"/>
        </w:rPr>
        <w:t>GA</w:t>
      </w:r>
      <w:r>
        <w:rPr>
          <w:rFonts w:hint="eastAsia"/>
          <w:highlight w:val="white"/>
        </w:rPr>
        <w:t>算法</w:t>
      </w:r>
      <w:r>
        <w:rPr>
          <w:highlight w:val="white"/>
        </w:rPr>
        <w:t>是一种模拟自然选择与遗传机制的随机全局优化算法，通过种群初始化并迭代执行选择、交叉和变异等操作，使个体在进化过程中不断向更优解方向搜索，从而实现对复杂问题的全局寻优</w:t>
      </w:r>
      <w:r>
        <w:rPr>
          <w:highlight w:val="white"/>
          <w:vertAlign w:val="superscript"/>
        </w:rPr>
        <w:t>[2</w:t>
      </w:r>
      <w:r>
        <w:rPr>
          <w:rFonts w:hint="eastAsia"/>
          <w:highlight w:val="white"/>
          <w:vertAlign w:val="superscript"/>
        </w:rPr>
        <w:t>8</w:t>
      </w:r>
      <w:r>
        <w:rPr>
          <w:highlight w:val="white"/>
          <w:vertAlign w:val="superscript"/>
        </w:rPr>
        <w:t>]</w:t>
      </w:r>
      <w:r>
        <w:rPr>
          <w:rFonts w:hint="eastAsia"/>
          <w:highlight w:val="white"/>
        </w:rPr>
        <w:t>，</w:t>
      </w:r>
      <w:r>
        <w:rPr>
          <w:highlight w:val="white"/>
        </w:rPr>
        <w:t>具有搜索范围广、对目标函数形式要求较低等特点，可用于模型参数优化，提升模型预测性能</w:t>
      </w:r>
      <w:r>
        <w:rPr>
          <w:rFonts w:hint="eastAsia"/>
          <w:highlight w:val="white"/>
        </w:rPr>
        <w:t>和</w:t>
      </w:r>
      <w:r>
        <w:rPr>
          <w:highlight w:val="white"/>
        </w:rPr>
        <w:t>结果稳定性。</w:t>
      </w:r>
      <w:bookmarkEnd w:id="125"/>
    </w:p>
    <w:p w14:paraId="3D7B763E">
      <w:pPr>
        <w:pStyle w:val="3"/>
      </w:pPr>
      <w:bookmarkStart w:id="126" w:name="二级标题序号_7"/>
      <w:bookmarkStart w:id="127" w:name="二级标题_6"/>
      <w:r>
        <w:rPr>
          <w:rFonts w:hint="eastAsia"/>
          <w:highlight w:val="white"/>
        </w:rPr>
        <w:t>1.3</w:t>
      </w:r>
      <w:bookmarkEnd w:id="126"/>
      <w:r>
        <w:rPr>
          <w:rFonts w:hint="eastAsia"/>
          <w:highlight w:val="white"/>
        </w:rPr>
        <w:t xml:space="preserve"> 回声状态网络</w:t>
      </w:r>
      <w:bookmarkEnd w:id="127"/>
    </w:p>
    <w:p w14:paraId="4474007D">
      <w:pPr>
        <w:ind w:firstLine="420"/>
      </w:pPr>
      <w:bookmarkStart w:id="128" w:name="正文段落_40"/>
      <w:r>
        <w:rPr>
          <w:highlight w:val="white"/>
        </w:rPr>
        <w:t>ESN是一类典型的储备池计算模型，其结构包含输入层、动态储备池和输出层</w:t>
      </w:r>
      <w:r>
        <w:rPr>
          <w:rFonts w:hint="eastAsia"/>
          <w:highlight w:val="white"/>
          <w:vertAlign w:val="superscript"/>
        </w:rPr>
        <w:t>[29]</w:t>
      </w:r>
      <w:r>
        <w:rPr>
          <w:highlight w:val="white"/>
        </w:rPr>
        <w:t>。该网络的核心在于动态储备池，其由大量稀疏连接且具有随机权重的隐含层神经元构成，可在高维空间中映射并刻画径流序列的非线性动态特征。训练阶段通常仅需估计输出层权重，因而具有较高的训练效率与结果稳定性，适用于中长期</w:t>
      </w:r>
      <w:r>
        <w:rPr>
          <w:rFonts w:hint="eastAsia"/>
          <w:highlight w:val="white"/>
        </w:rPr>
        <w:t>径流</w:t>
      </w:r>
      <w:r>
        <w:rPr>
          <w:highlight w:val="white"/>
        </w:rPr>
        <w:t>预</w:t>
      </w:r>
      <w:r>
        <w:rPr>
          <w:rFonts w:hint="eastAsia"/>
          <w:highlight w:val="white"/>
        </w:rPr>
        <w:t>报</w:t>
      </w:r>
      <w:r>
        <w:rPr>
          <w:highlight w:val="white"/>
        </w:rPr>
        <w:t>。</w:t>
      </w:r>
      <w:bookmarkEnd w:id="128"/>
    </w:p>
    <w:p w14:paraId="31439EB1">
      <w:pPr>
        <w:pStyle w:val="3"/>
      </w:pPr>
      <w:bookmarkStart w:id="129" w:name="二级标题序号_8"/>
      <w:bookmarkStart w:id="130" w:name="二级标题_8"/>
      <w:r>
        <w:rPr>
          <w:rFonts w:hint="eastAsia"/>
          <w:highlight w:val="white"/>
        </w:rPr>
        <w:t>1.4</w:t>
      </w:r>
      <w:bookmarkEnd w:id="129"/>
      <w:r>
        <w:rPr>
          <w:rFonts w:hint="eastAsia"/>
          <w:highlight w:val="white"/>
        </w:rPr>
        <w:t xml:space="preserve"> 自回归误差校正方法</w:t>
      </w:r>
      <w:bookmarkEnd w:id="130"/>
    </w:p>
    <w:p w14:paraId="0A2BB9A1">
      <w:pPr>
        <w:ind w:firstLine="420"/>
      </w:pPr>
      <w:bookmarkStart w:id="131" w:name="正文段落_42"/>
      <w:r>
        <w:rPr>
          <w:highlight w:val="white"/>
        </w:rPr>
        <w:t>AR是一类利用序列自身滞后项刻画线性时序依赖结构的经典时间序列方法，能够对具有显著自相关特征的序列进行建模与外推。径流预报过程中</w:t>
      </w:r>
      <w:r>
        <w:rPr>
          <w:rFonts w:hint="eastAsia"/>
          <w:highlight w:val="white"/>
        </w:rPr>
        <w:t>，模型</w:t>
      </w:r>
      <w:r>
        <w:rPr>
          <w:highlight w:val="white"/>
        </w:rPr>
        <w:t>得到的初始预报值与</w:t>
      </w:r>
      <w:r>
        <w:rPr>
          <w:rFonts w:hint="eastAsia"/>
          <w:highlight w:val="white"/>
        </w:rPr>
        <w:t>观测值</w:t>
      </w:r>
      <w:r>
        <w:rPr>
          <w:highlight w:val="white"/>
        </w:rPr>
        <w:t>之间可构造残差序列，残差中往往仍包含由径流过程滞后性与持续性引起的相关结构，表现为“非白噪声”的可预测成分。基于 AR 对自相关结构的刻画能力，对残差序列建立 AR 模型并对其进行外推，将得到的残差修正项回加至同期初始预报，从而实现后验误差校正</w:t>
      </w:r>
      <w:r>
        <w:rPr>
          <w:rFonts w:hint="eastAsia"/>
          <w:highlight w:val="white"/>
          <w:vertAlign w:val="superscript"/>
        </w:rPr>
        <w:t>[30]</w:t>
      </w:r>
      <w:r>
        <w:rPr>
          <w:rFonts w:hint="eastAsia"/>
          <w:highlight w:val="white"/>
        </w:rPr>
        <w:t>。</w:t>
      </w:r>
      <w:r>
        <w:rPr>
          <w:highlight w:val="white"/>
        </w:rPr>
        <w:t>具体步骤如下</w:t>
      </w:r>
      <w:r>
        <w:rPr>
          <w:rFonts w:hint="eastAsia"/>
          <w:highlight w:val="white"/>
        </w:rPr>
        <w:t>。</w:t>
      </w:r>
      <w:bookmarkEnd w:id="131"/>
    </w:p>
    <w:p w14:paraId="4A7D1A59">
      <w:pPr>
        <w:ind w:firstLine="420" w:firstLineChars="0"/>
      </w:pPr>
      <w:bookmarkStart w:id="132" w:name="正文段落_44"/>
      <w:r>
        <w:rPr>
          <w:rFonts w:hint="eastAsia"/>
          <w:highlight w:val="white"/>
        </w:rPr>
        <w:t>（1）</w:t>
      </w:r>
      <w:r>
        <w:rPr>
          <w:highlight w:val="white"/>
        </w:rPr>
        <w:t>构建残差序列</w:t>
      </w:r>
      <w:bookmarkEnd w:id="132"/>
    </w:p>
    <w:p w14:paraId="3C689F66">
      <w:pPr>
        <w:pStyle w:val="49"/>
        <w:tabs>
          <w:tab w:val="center" w:pos="4536"/>
          <w:tab w:val="right" w:pos="9072"/>
          <w:tab w:val="clear" w:pos="4160"/>
          <w:tab w:val="clear" w:pos="8300"/>
        </w:tabs>
        <w:spacing w:after="0" w:line="240" w:lineRule="auto"/>
      </w:pPr>
      <w:bookmarkStart w:id="133" w:name="公式_49"/>
      <w:r>
        <w:rPr>
          <w:highlight w:val="white"/>
        </w:rPr>
        <w:tab/>
      </w:r>
      <w:r>
        <w:rPr>
          <w:position w:val="-10"/>
        </w:rPr>
        <w:object>
          <v:shape id="_x0000_i1078" o:spt="75" type="#_x0000_t75" style="height:22.95pt;width:52.8pt;" o:ole="t" filled="f" o:preferrelative="t" stroked="f" coordsize="21600,21600">
            <v:path/>
            <v:fill on="f" focussize="0,0"/>
            <v:stroke on="f" joinstyle="miter"/>
            <v:imagedata r:id="rId119" o:title=""/>
            <o:lock v:ext="edit" aspectratio="t"/>
            <w10:wrap type="none"/>
            <w10:anchorlock/>
          </v:shape>
          <o:OLEObject Type="Embed" ProgID="Equation.DSMT4" ShapeID="_x0000_i1078" DrawAspect="Content" ObjectID="_1468075778" r:id="rId118">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(8)</w:instrText>
      </w:r>
      <w:r>
        <w:fldChar w:fldCharType="end"/>
      </w:r>
      <w:bookmarkEnd w:id="133"/>
    </w:p>
    <w:p w14:paraId="14B7E872">
      <w:pPr>
        <w:ind w:firstLine="0" w:firstLineChars="0"/>
      </w:pPr>
      <w:bookmarkStart w:id="134" w:name="正文段落_46"/>
      <w:r>
        <w:rPr>
          <w:rFonts w:hint="eastAsia"/>
          <w:highlight w:val="white"/>
        </w:rPr>
        <w:t>式中，</w:t>
      </w:r>
      <w:bookmarkStart w:id="135" w:name="公式_怀疑_文内公式_48"/>
      <w:r>
        <w:rPr>
          <w:position w:val="-10"/>
        </w:rPr>
        <w:object>
          <v:shape id="_x0000_i1079" o:spt="75" type="#_x0000_t75" style="height:16.55pt;width:13.35pt;" o:ole="t" filled="f" o:preferrelative="t" stroked="f" coordsize="21600,21600">
            <v:path/>
            <v:fill on="f" focussize="0,0"/>
            <v:stroke on="f" joinstyle="miter"/>
            <v:imagedata r:id="rId121" o:title=""/>
            <o:lock v:ext="edit" aspectratio="t"/>
            <w10:wrap type="none"/>
            <w10:anchorlock/>
          </v:shape>
          <o:OLEObject Type="Embed" ProgID="Equation.DSMT4" ShapeID="_x0000_i1079" DrawAspect="Content" ObjectID="_1468075779" r:id="rId120">
            <o:LockedField>false</o:LockedField>
          </o:OLEObject>
        </w:object>
      </w:r>
      <w:bookmarkEnd w:id="135"/>
      <w:r>
        <w:rPr>
          <w:highlight w:val="white"/>
        </w:rPr>
        <w:t>为残差</w:t>
      </w:r>
      <w:r>
        <w:rPr>
          <w:rFonts w:hint="eastAsia"/>
          <w:highlight w:val="white"/>
        </w:rPr>
        <w:t>；</w:t>
      </w:r>
      <w:bookmarkStart w:id="136" w:name="公式_怀疑_文内公式_49"/>
      <w:r>
        <w:rPr>
          <w:position w:val="-10"/>
        </w:rPr>
        <w:object>
          <v:shape id="_x0000_i1080" o:spt="75" type="#_x0000_t75" style="height:16.55pt;width:13.35pt;" o:ole="t" filled="f" o:preferrelative="t" stroked="f" coordsize="21600,21600">
            <v:path/>
            <v:fill on="f" focussize="0,0"/>
            <v:stroke on="f" joinstyle="miter"/>
            <v:imagedata r:id="rId123" o:title=""/>
            <o:lock v:ext="edit" aspectratio="t"/>
            <w10:wrap type="none"/>
            <w10:anchorlock/>
          </v:shape>
          <o:OLEObject Type="Embed" ProgID="Equation.DSMT4" ShapeID="_x0000_i1080" DrawAspect="Content" ObjectID="_1468075780" r:id="rId122">
            <o:LockedField>false</o:LockedField>
          </o:OLEObject>
        </w:object>
      </w:r>
      <w:bookmarkEnd w:id="136"/>
      <w:r>
        <w:rPr>
          <w:rFonts w:hint="eastAsia"/>
          <w:highlight w:val="white"/>
        </w:rPr>
        <w:t>与</w:t>
      </w:r>
      <w:bookmarkStart w:id="137" w:name="公式_怀疑_文内公式_50"/>
      <w:r>
        <w:rPr>
          <w:position w:val="-10"/>
        </w:rPr>
        <w:object>
          <v:shape id="_x0000_i1081" o:spt="75" type="#_x0000_t75" style="height:22.95pt;width:11.2pt;" o:ole="t" filled="f" o:preferrelative="t" stroked="f" coordsize="21600,21600">
            <v:path/>
            <v:fill on="f" focussize="0,0"/>
            <v:stroke on="f" joinstyle="miter"/>
            <v:imagedata r:id="rId125" o:title=""/>
            <o:lock v:ext="edit" aspectratio="t"/>
            <w10:wrap type="none"/>
            <w10:anchorlock/>
          </v:shape>
          <o:OLEObject Type="Embed" ProgID="Equation.DSMT4" ShapeID="_x0000_i1081" DrawAspect="Content" ObjectID="_1468075781" r:id="rId124">
            <o:LockedField>false</o:LockedField>
          </o:OLEObject>
        </w:object>
      </w:r>
      <w:bookmarkEnd w:id="137"/>
      <w:r>
        <w:rPr>
          <w:highlight w:val="white"/>
        </w:rPr>
        <w:t>分别表示</w:t>
      </w:r>
      <w:bookmarkStart w:id="138" w:name="公式_怀疑_文内公式_51"/>
      <w:r>
        <w:rPr>
          <w:position w:val="-6"/>
        </w:rPr>
        <w:object>
          <v:shape id="_x0000_i1082" o:spt="75" type="#_x0000_t75" style="height:11.2pt;width:7.45pt;" o:ole="t" filled="f" o:preferrelative="t" stroked="f" coordsize="21600,21600">
            <v:path/>
            <v:fill on="f" focussize="0,0"/>
            <v:stroke on="f" joinstyle="miter"/>
            <v:imagedata r:id="rId127" o:title=""/>
            <o:lock v:ext="edit" aspectratio="t"/>
            <w10:wrap type="none"/>
            <w10:anchorlock/>
          </v:shape>
          <o:OLEObject Type="Embed" ProgID="Equation.DSMT4" ShapeID="_x0000_i1082" DrawAspect="Content" ObjectID="_1468075782" r:id="rId126">
            <o:LockedField>false</o:LockedField>
          </o:OLEObject>
        </w:object>
      </w:r>
      <w:bookmarkEnd w:id="138"/>
      <w:r>
        <w:rPr>
          <w:highlight w:val="white"/>
        </w:rPr>
        <w:t>时刻径流</w:t>
      </w:r>
      <w:r>
        <w:rPr>
          <w:rFonts w:hint="eastAsia"/>
          <w:highlight w:val="white"/>
        </w:rPr>
        <w:t>观测值</w:t>
      </w:r>
      <w:r>
        <w:rPr>
          <w:highlight w:val="white"/>
        </w:rPr>
        <w:t>与</w:t>
      </w:r>
      <w:r>
        <w:rPr>
          <w:rFonts w:hint="eastAsia"/>
          <w:highlight w:val="white"/>
        </w:rPr>
        <w:t>初始</w:t>
      </w:r>
      <w:r>
        <w:rPr>
          <w:highlight w:val="white"/>
        </w:rPr>
        <w:t>预报</w:t>
      </w:r>
      <w:r>
        <w:rPr>
          <w:rFonts w:hint="eastAsia"/>
          <w:highlight w:val="white"/>
        </w:rPr>
        <w:t>值</w:t>
      </w:r>
      <w:r>
        <w:rPr>
          <w:highlight w:val="white"/>
        </w:rPr>
        <w:t>。</w:t>
      </w:r>
      <w:bookmarkEnd w:id="134"/>
    </w:p>
    <w:p w14:paraId="6E5D0F77">
      <w:pPr>
        <w:ind w:firstLine="420"/>
      </w:pPr>
      <w:bookmarkStart w:id="139" w:name="正文段落_48"/>
      <w:r>
        <w:rPr>
          <w:rFonts w:hint="eastAsia"/>
          <w:highlight w:val="white"/>
        </w:rPr>
        <w:t>（2）</w:t>
      </w:r>
      <w:r>
        <w:rPr>
          <w:highlight w:val="white"/>
        </w:rPr>
        <w:t>为保证AR建模有效性，对残差序列进行统计检验：采用 ADF</w:t>
      </w:r>
      <w:r>
        <w:rPr>
          <w:rFonts w:hint="eastAsia"/>
          <w:highlight w:val="white"/>
        </w:rPr>
        <w:t>检验方法</w:t>
      </w:r>
      <w:r>
        <w:rPr>
          <w:highlight w:val="white"/>
        </w:rPr>
        <w:t>检验其平稳性</w:t>
      </w:r>
      <w:r>
        <w:rPr>
          <w:rFonts w:hint="eastAsia"/>
          <w:highlight w:val="white"/>
        </w:rPr>
        <w:t>，</w:t>
      </w:r>
      <w:r>
        <w:rPr>
          <w:highlight w:val="white"/>
        </w:rPr>
        <w:t>若不平稳则通过差分等方法平稳化处理</w:t>
      </w:r>
      <w:r>
        <w:rPr>
          <w:rFonts w:hint="eastAsia"/>
          <w:highlight w:val="white"/>
        </w:rPr>
        <w:t>，平稳性检验通过后再</w:t>
      </w:r>
      <w:r>
        <w:rPr>
          <w:highlight w:val="white"/>
        </w:rPr>
        <w:t>采用 Ljung–Box 检验</w:t>
      </w:r>
      <w:r>
        <w:rPr>
          <w:rFonts w:hint="eastAsia"/>
          <w:highlight w:val="white"/>
          <w:vertAlign w:val="superscript"/>
        </w:rPr>
        <w:t>[31]</w:t>
      </w:r>
      <w:r>
        <w:rPr>
          <w:highlight w:val="white"/>
        </w:rPr>
        <w:t>判断</w:t>
      </w:r>
      <w:r>
        <w:rPr>
          <w:rFonts w:hint="eastAsia"/>
          <w:i/>
          <w:iCs/>
          <w:highlight w:val="white"/>
        </w:rPr>
        <w:t>E</w:t>
      </w:r>
      <w:r>
        <w:rPr>
          <w:rFonts w:hint="eastAsia"/>
          <w:i/>
          <w:iCs/>
          <w:highlight w:val="white"/>
          <w:vertAlign w:val="subscript"/>
        </w:rPr>
        <w:t>t</w:t>
      </w:r>
      <w:r>
        <w:rPr>
          <w:highlight w:val="white"/>
        </w:rPr>
        <w:t>是否为白噪声，若非白噪声则表明残差存在自相关结构。在满足“平稳且非白噪声”的条件下，建立 AR(</w:t>
      </w:r>
      <m:oMath>
        <w:bookmarkStart w:id="140" w:name="公式_怀疑_文内公式_52"/>
        <m:r>
          <m:rPr/>
          <w:rPr>
            <w:rFonts w:ascii="Cambria Math" w:hAnsi="Cambria Math"/>
          </w:rPr>
          <m:t>p</m:t>
        </m:r>
      </m:oMath>
      <w:bookmarkEnd w:id="140"/>
      <w:r>
        <w:rPr>
          <w:highlight w:val="white"/>
        </w:rPr>
        <w:t>) 模型</w:t>
      </w:r>
      <w:r>
        <w:rPr>
          <w:rFonts w:hint="eastAsia"/>
          <w:highlight w:val="white"/>
        </w:rPr>
        <w:t>，具体为</w:t>
      </w:r>
      <w:bookmarkEnd w:id="139"/>
    </w:p>
    <w:p w14:paraId="03272EF6">
      <w:pPr>
        <w:pStyle w:val="49"/>
        <w:tabs>
          <w:tab w:val="center" w:pos="4536"/>
          <w:tab w:val="right" w:pos="9072"/>
          <w:tab w:val="clear" w:pos="4160"/>
          <w:tab w:val="clear" w:pos="8300"/>
        </w:tabs>
        <w:spacing w:after="0" w:line="240" w:lineRule="auto"/>
      </w:pPr>
      <w:bookmarkStart w:id="141" w:name="公式_54"/>
      <w:r>
        <w:rPr>
          <w:highlight w:val="white"/>
        </w:rPr>
        <w:tab/>
      </w:r>
      <w:r>
        <w:rPr>
          <w:position w:val="-26"/>
        </w:rPr>
        <w:object>
          <v:shape id="_x0000_i1083" o:spt="75" type="#_x0000_t75" style="height:31.45pt;width:90.15pt;" o:ole="t" filled="f" o:preferrelative="t" stroked="f" coordsize="21600,21600">
            <v:path/>
            <v:fill on="f" focussize="0,0"/>
            <v:stroke on="f" joinstyle="miter"/>
            <v:imagedata r:id="rId129" o:title=""/>
            <o:lock v:ext="edit" aspectratio="t"/>
            <w10:wrap type="none"/>
            <w10:anchorlock/>
          </v:shape>
          <o:OLEObject Type="Embed" ProgID="Equation.DSMT4" ShapeID="_x0000_i1083" DrawAspect="Content" ObjectID="_1468075783" r:id="rId128">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(9)</w:instrText>
      </w:r>
      <w:r>
        <w:fldChar w:fldCharType="end"/>
      </w:r>
      <w:bookmarkEnd w:id="141"/>
    </w:p>
    <w:p w14:paraId="1141480C">
      <w:pPr>
        <w:ind w:firstLine="0" w:firstLineChars="0"/>
      </w:pPr>
      <w:bookmarkStart w:id="142" w:name="正文段落_50"/>
      <w:r>
        <w:rPr>
          <w:highlight w:val="white"/>
        </w:rPr>
        <w:t>式中</w:t>
      </w:r>
      <w:r>
        <w:rPr>
          <w:rFonts w:hint="eastAsia"/>
          <w:highlight w:val="white"/>
        </w:rPr>
        <w:t>，</w:t>
      </w:r>
      <w:bookmarkStart w:id="143" w:name="公式_怀疑_文内公式_53"/>
      <w:r>
        <w:rPr>
          <w:position w:val="-6"/>
        </w:rPr>
        <w:object>
          <v:shape id="_x0000_i1084" o:spt="75" type="#_x0000_t75" style="height:11.2pt;width:9.05pt;" o:ole="t" filled="f" o:preferrelative="t" stroked="f" coordsize="21600,21600">
            <v:path/>
            <v:fill on="f" focussize="0,0"/>
            <v:stroke on="f" joinstyle="miter"/>
            <v:imagedata r:id="rId131" o:title=""/>
            <o:lock v:ext="edit" aspectratio="t"/>
            <w10:wrap type="none"/>
            <w10:anchorlock/>
          </v:shape>
          <o:OLEObject Type="Embed" ProgID="Equation.DSMT4" ShapeID="_x0000_i1084" DrawAspect="Content" ObjectID="_1468075784" r:id="rId130">
            <o:LockedField>false</o:LockedField>
          </o:OLEObject>
        </w:object>
      </w:r>
      <w:bookmarkEnd w:id="143"/>
      <w:r>
        <w:rPr>
          <w:highlight w:val="white"/>
        </w:rPr>
        <w:t>为常数项</w:t>
      </w:r>
      <w:r>
        <w:rPr>
          <w:rFonts w:hint="eastAsia"/>
          <w:highlight w:val="white"/>
        </w:rPr>
        <w:t>；</w:t>
      </w:r>
      <w:bookmarkStart w:id="144" w:name="公式_怀疑_文内公式_54"/>
      <w:r>
        <w:rPr>
          <w:position w:val="-10"/>
        </w:rPr>
        <w:object>
          <v:shape id="_x0000_i1085" o:spt="75" type="#_x0000_t75" style="height:12.25pt;width:11.2pt;" o:ole="t" filled="f" o:preferrelative="t" stroked="f" coordsize="21600,21600">
            <v:path/>
            <v:fill on="f" focussize="0,0"/>
            <v:stroke on="f" joinstyle="miter"/>
            <v:imagedata r:id="rId133" o:title=""/>
            <o:lock v:ext="edit" aspectratio="t"/>
            <w10:wrap type="none"/>
            <w10:anchorlock/>
          </v:shape>
          <o:OLEObject Type="Embed" ProgID="Equation.DSMT4" ShapeID="_x0000_i1085" DrawAspect="Content" ObjectID="_1468075785" r:id="rId132">
            <o:LockedField>false</o:LockedField>
          </o:OLEObject>
        </w:object>
      </w:r>
      <w:bookmarkEnd w:id="144"/>
      <w:r>
        <w:rPr>
          <w:highlight w:val="white"/>
        </w:rPr>
        <w:t>为阶数</w:t>
      </w:r>
      <w:r>
        <w:rPr>
          <w:rFonts w:hint="eastAsia"/>
          <w:highlight w:val="white"/>
        </w:rPr>
        <w:t>；</w:t>
      </w:r>
      <w:bookmarkStart w:id="145" w:name="公式_怀疑_文内公式_55"/>
      <w:r>
        <w:rPr>
          <w:position w:val="-10"/>
        </w:rPr>
        <w:object>
          <v:shape id="_x0000_i1086" o:spt="75" type="#_x0000_t75" style="height:16.55pt;width:11.2pt;" o:ole="t" filled="f" o:preferrelative="t" stroked="f" coordsize="21600,21600">
            <v:path/>
            <v:fill on="f" focussize="0,0"/>
            <v:stroke on="f" joinstyle="miter"/>
            <v:imagedata r:id="rId135" o:title=""/>
            <o:lock v:ext="edit" aspectratio="t"/>
            <w10:wrap type="none"/>
            <w10:anchorlock/>
          </v:shape>
          <o:OLEObject Type="Embed" ProgID="Equation.DSMT4" ShapeID="_x0000_i1086" DrawAspect="Content" ObjectID="_1468075786" r:id="rId134">
            <o:LockedField>false</o:LockedField>
          </o:OLEObject>
        </w:object>
      </w:r>
      <w:bookmarkEnd w:id="145"/>
      <w:r>
        <w:rPr>
          <w:highlight w:val="white"/>
        </w:rPr>
        <w:t>为参数</w:t>
      </w:r>
      <w:r>
        <w:rPr>
          <w:rFonts w:hint="eastAsia"/>
          <w:highlight w:val="white"/>
        </w:rPr>
        <w:t>；</w:t>
      </w:r>
      <w:bookmarkStart w:id="146" w:name="公式_怀疑_文内公式_56"/>
      <w:r>
        <w:rPr>
          <w:position w:val="-10"/>
        </w:rPr>
        <w:object>
          <v:shape id="_x0000_i1087" o:spt="75" type="#_x0000_t75" style="height:16.55pt;width:11.2pt;" o:ole="t" filled="f" o:preferrelative="t" stroked="f" coordsize="21600,21600">
            <v:path/>
            <v:fill on="f" focussize="0,0"/>
            <v:stroke on="f" joinstyle="miter"/>
            <v:imagedata r:id="rId137" o:title=""/>
            <o:lock v:ext="edit" aspectratio="t"/>
            <w10:wrap type="none"/>
            <w10:anchorlock/>
          </v:shape>
          <o:OLEObject Type="Embed" ProgID="Equation.DSMT4" ShapeID="_x0000_i1087" DrawAspect="Content" ObjectID="_1468075787" r:id="rId136">
            <o:LockedField>false</o:LockedField>
          </o:OLEObject>
        </w:object>
      </w:r>
      <w:bookmarkEnd w:id="146"/>
      <w:r>
        <w:rPr>
          <w:highlight w:val="white"/>
        </w:rPr>
        <w:t>为白噪声扰动项</w:t>
      </w:r>
      <w:r>
        <w:rPr>
          <w:rFonts w:hint="eastAsia"/>
          <w:highlight w:val="white"/>
        </w:rPr>
        <w:t>；</w:t>
      </w:r>
      <w:r>
        <w:rPr>
          <w:highlight w:val="white"/>
        </w:rPr>
        <w:t>阶数</w:t>
      </w:r>
      <w:bookmarkStart w:id="147" w:name="公式_怀疑_文内公式_57"/>
      <w:r>
        <w:rPr>
          <w:position w:val="-10"/>
        </w:rPr>
        <w:object>
          <v:shape id="_x0000_i1088" o:spt="75" type="#_x0000_t75" style="height:12.25pt;width:11.2pt;" o:ole="t" filled="f" o:preferrelative="t" stroked="f" coordsize="21600,21600">
            <v:path/>
            <v:fill on="f" focussize="0,0"/>
            <v:stroke on="f" joinstyle="miter"/>
            <v:imagedata r:id="rId139" o:title=""/>
            <o:lock v:ext="edit" aspectratio="t"/>
            <w10:wrap type="none"/>
            <w10:anchorlock/>
          </v:shape>
          <o:OLEObject Type="Embed" ProgID="Equation.DSMT4" ShapeID="_x0000_i1088" DrawAspect="Content" ObjectID="_1468075788" r:id="rId138">
            <o:LockedField>false</o:LockedField>
          </o:OLEObject>
        </w:object>
      </w:r>
      <w:bookmarkEnd w:id="147"/>
      <w:r>
        <w:rPr>
          <w:highlight w:val="white"/>
        </w:rPr>
        <w:t>由AIC或BIC等信息准则确定。</w:t>
      </w:r>
      <w:bookmarkEnd w:id="142"/>
    </w:p>
    <w:p w14:paraId="10759C14">
      <w:pPr>
        <w:ind w:firstLine="420"/>
      </w:pPr>
      <w:bookmarkStart w:id="148" w:name="正文段落_52"/>
      <w:r>
        <w:rPr>
          <w:rFonts w:hint="eastAsia"/>
          <w:highlight w:val="white"/>
        </w:rPr>
        <w:t>（3）</w:t>
      </w:r>
      <w:r>
        <w:rPr>
          <w:highlight w:val="white"/>
        </w:rPr>
        <w:t>利用训练期拟合得到的 AR(</w:t>
      </w:r>
      <w:r>
        <w:rPr>
          <w:i/>
          <w:iCs/>
          <w:highlight w:val="white"/>
        </w:rPr>
        <w:t>p</w:t>
      </w:r>
      <w:r>
        <w:rPr>
          <w:highlight w:val="white"/>
        </w:rPr>
        <w:t>) 模型预测第</w:t>
      </w:r>
      <w:bookmarkStart w:id="149" w:name="公式_怀疑_文内公式_58"/>
      <w:r>
        <w:rPr>
          <w:position w:val="-6"/>
        </w:rPr>
        <w:object>
          <v:shape id="_x0000_i1089" o:spt="75" type="#_x0000_t75" style="height:12.25pt;width:7.45pt;" o:ole="t" filled="f" o:preferrelative="t" stroked="f" coordsize="21600,21600">
            <v:path/>
            <v:fill on="f" focussize="0,0"/>
            <v:stroke on="f" joinstyle="miter"/>
            <v:imagedata r:id="rId141" o:title=""/>
            <o:lock v:ext="edit" aspectratio="t"/>
            <w10:wrap type="none"/>
            <w10:anchorlock/>
          </v:shape>
          <o:OLEObject Type="Embed" ProgID="Equation.DSMT4" ShapeID="_x0000_i1089" DrawAspect="Content" ObjectID="_1468075789" r:id="rId140">
            <o:LockedField>false</o:LockedField>
          </o:OLEObject>
        </w:object>
      </w:r>
      <w:bookmarkEnd w:id="149"/>
      <w:r>
        <w:rPr>
          <w:highlight w:val="white"/>
        </w:rPr>
        <w:t>时刻残差</w:t>
      </w:r>
      <w:bookmarkStart w:id="150" w:name="公式_怀疑_文内公式_59"/>
      <w:r>
        <w:rPr>
          <w:position w:val="-12"/>
        </w:rPr>
        <w:object>
          <v:shape id="_x0000_i1090" o:spt="75" type="#_x0000_t75" style="height:18.15pt;width:11.2pt;" o:ole="t" filled="f" o:preferrelative="t" stroked="f" coordsize="21600,21600">
            <v:path/>
            <v:fill on="f" focussize="0,0"/>
            <v:stroke on="f" joinstyle="miter"/>
            <v:imagedata r:id="rId143" o:title=""/>
            <o:lock v:ext="edit" aspectratio="t"/>
            <w10:wrap type="none"/>
            <w10:anchorlock/>
          </v:shape>
          <o:OLEObject Type="Embed" ProgID="Equation.DSMT4" ShapeID="_x0000_i1090" DrawAspect="Content" ObjectID="_1468075790" r:id="rId142">
            <o:LockedField>false</o:LockedField>
          </o:OLEObject>
        </w:object>
      </w:r>
      <w:bookmarkEnd w:id="150"/>
      <w:r>
        <w:rPr>
          <w:highlight w:val="white"/>
        </w:rPr>
        <w:t>，并在每一步完成后用已观测到的真实残差更新滞后项，以递推预测下一时刻残差</w:t>
      </w:r>
      <w:r>
        <w:rPr>
          <w:rFonts w:hint="eastAsia"/>
          <w:highlight w:val="white"/>
        </w:rPr>
        <w:t>，并</w:t>
      </w:r>
      <w:r>
        <w:rPr>
          <w:highlight w:val="white"/>
        </w:rPr>
        <w:t>将得到的残差修正项回加至同期初始预报中</w:t>
      </w:r>
      <w:bookmarkEnd w:id="148"/>
    </w:p>
    <w:p w14:paraId="0AF159BA">
      <w:pPr>
        <w:pStyle w:val="49"/>
        <w:tabs>
          <w:tab w:val="center" w:pos="4536"/>
          <w:tab w:val="right" w:pos="9072"/>
          <w:tab w:val="clear" w:pos="4160"/>
          <w:tab w:val="clear" w:pos="8300"/>
        </w:tabs>
        <w:spacing w:after="0" w:line="240" w:lineRule="auto"/>
      </w:pPr>
      <w:bookmarkStart w:id="151" w:name="公式_61"/>
      <w:r>
        <w:rPr>
          <w:highlight w:val="white"/>
        </w:rPr>
        <w:tab/>
      </w:r>
      <w:r>
        <w:rPr>
          <w:position w:val="-10"/>
        </w:rPr>
        <w:object>
          <v:shape id="_x0000_i1091" o:spt="75" type="#_x0000_t75" style="height:20.8pt;width:46.4pt;" o:ole="t" filled="f" o:preferrelative="t" stroked="f" coordsize="21600,21600">
            <v:path/>
            <v:fill on="f" focussize="0,0"/>
            <v:stroke on="f" joinstyle="miter"/>
            <v:imagedata r:id="rId145" o:title=""/>
            <o:lock v:ext="edit" aspectratio="t"/>
            <w10:wrap type="none"/>
            <w10:anchorlock/>
          </v:shape>
          <o:OLEObject Type="Embed" ProgID="Equation.DSMT4" ShapeID="_x0000_i1091" DrawAspect="Content" ObjectID="_1468075791" r:id="rId144">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(10)</w:instrText>
      </w:r>
      <w:r>
        <w:fldChar w:fldCharType="end"/>
      </w:r>
      <w:bookmarkEnd w:id="151"/>
    </w:p>
    <w:p w14:paraId="680BD95C">
      <w:pPr>
        <w:ind w:firstLine="0" w:firstLineChars="0"/>
      </w:pPr>
      <w:bookmarkStart w:id="152" w:name="正文段落_54"/>
      <w:r>
        <w:rPr>
          <w:rFonts w:hint="eastAsia"/>
          <w:highlight w:val="white"/>
        </w:rPr>
        <w:t>式中，</w:t>
      </w:r>
      <w:bookmarkStart w:id="153" w:name="公式_怀疑_文内公式_60"/>
      <w:r>
        <w:rPr>
          <w:position w:val="-10"/>
        </w:rPr>
        <w:object>
          <v:shape id="_x0000_i1092" o:spt="75" type="#_x0000_t75" style="height:14.95pt;width:11.2pt;" o:ole="t" filled="f" o:preferrelative="t" stroked="f" coordsize="21600,21600">
            <v:path/>
            <v:fill on="f" focussize="0,0"/>
            <v:stroke on="f" joinstyle="miter"/>
            <v:imagedata r:id="rId147" o:title=""/>
            <o:lock v:ext="edit" aspectratio="t"/>
            <w10:wrap type="none"/>
            <w10:anchorlock/>
          </v:shape>
          <o:OLEObject Type="Embed" ProgID="Equation.DSMT4" ShapeID="_x0000_i1092" DrawAspect="Content" ObjectID="_1468075792" r:id="rId146">
            <o:LockedField>false</o:LockedField>
          </o:OLEObject>
        </w:object>
      </w:r>
      <w:bookmarkEnd w:id="153"/>
      <w:r>
        <w:rPr>
          <w:highlight w:val="white"/>
        </w:rPr>
        <w:t>为残差AR校正后的径流预报值。</w:t>
      </w:r>
      <w:bookmarkEnd w:id="152"/>
    </w:p>
    <w:p w14:paraId="299E7F61">
      <w:pPr>
        <w:pStyle w:val="2"/>
      </w:pPr>
      <w:bookmarkStart w:id="154" w:name="一级标题序号_9"/>
      <w:bookmarkStart w:id="155" w:name="一级标题_6"/>
      <w:r>
        <w:rPr>
          <w:rFonts w:hint="eastAsia"/>
          <w:highlight w:val="white"/>
        </w:rPr>
        <w:t>2</w:t>
      </w:r>
      <w:bookmarkEnd w:id="154"/>
      <w:r>
        <w:rPr>
          <w:rFonts w:hint="eastAsia"/>
          <w:highlight w:val="white"/>
        </w:rPr>
        <w:t xml:space="preserve"> ESMD-VMD-GA-ESN-AR组合预报模型</w:t>
      </w:r>
      <w:bookmarkEnd w:id="155"/>
    </w:p>
    <w:p w14:paraId="408987BA">
      <w:pPr>
        <w:ind w:firstLine="420"/>
      </w:pPr>
      <w:bookmarkStart w:id="156" w:name="正文段落_56"/>
      <w:r>
        <w:rPr>
          <w:highlight w:val="white"/>
        </w:rPr>
        <w:t>基于“双层分解</w:t>
      </w:r>
      <w:r>
        <w:rPr>
          <w:rFonts w:hint="eastAsia"/>
          <w:highlight w:val="white"/>
        </w:rPr>
        <w:t>-</w:t>
      </w:r>
      <w:r>
        <w:rPr>
          <w:highlight w:val="white"/>
        </w:rPr>
        <w:t>预测</w:t>
      </w:r>
      <w:r>
        <w:rPr>
          <w:rFonts w:hint="eastAsia"/>
          <w:highlight w:val="white"/>
        </w:rPr>
        <w:t>-</w:t>
      </w:r>
      <w:r>
        <w:rPr>
          <w:highlight w:val="white"/>
        </w:rPr>
        <w:t>重构</w:t>
      </w:r>
      <w:r>
        <w:rPr>
          <w:rFonts w:hint="eastAsia"/>
          <w:highlight w:val="white"/>
        </w:rPr>
        <w:t>-</w:t>
      </w:r>
      <w:r>
        <w:rPr>
          <w:highlight w:val="white"/>
        </w:rPr>
        <w:t>残差校正”的总体思路，</w:t>
      </w:r>
      <w:r>
        <w:rPr>
          <w:rFonts w:hint="eastAsia"/>
          <w:highlight w:val="white"/>
        </w:rPr>
        <w:t>耦合</w:t>
      </w:r>
      <w:r>
        <w:rPr>
          <w:highlight w:val="white"/>
        </w:rPr>
        <w:t>ESMD+VMD双层分解、GA</w:t>
      </w:r>
      <w:r>
        <w:rPr>
          <w:rFonts w:hint="eastAsia"/>
          <w:highlight w:val="white"/>
        </w:rPr>
        <w:t>参数寻优</w:t>
      </w:r>
      <w:r>
        <w:rPr>
          <w:highlight w:val="white"/>
        </w:rPr>
        <w:t>、ESN模型</w:t>
      </w:r>
      <w:r>
        <w:rPr>
          <w:rFonts w:hint="eastAsia"/>
          <w:highlight w:val="white"/>
        </w:rPr>
        <w:t>预测</w:t>
      </w:r>
      <w:r>
        <w:rPr>
          <w:highlight w:val="white"/>
        </w:rPr>
        <w:t>与AR</w:t>
      </w:r>
      <w:r>
        <w:rPr>
          <w:rFonts w:hint="eastAsia"/>
          <w:highlight w:val="white"/>
        </w:rPr>
        <w:t>后验</w:t>
      </w:r>
      <w:r>
        <w:rPr>
          <w:highlight w:val="white"/>
        </w:rPr>
        <w:t>校正，构建适用于非平稳径流序列预测的ESMD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AR组合预报模型，并</w:t>
      </w:r>
      <w:r>
        <w:rPr>
          <w:rFonts w:hint="eastAsia"/>
          <w:highlight w:val="white"/>
        </w:rPr>
        <w:t>选取</w:t>
      </w:r>
      <w:r>
        <w:rPr>
          <w:highlight w:val="white"/>
        </w:rPr>
        <w:t>多种评价指标</w:t>
      </w:r>
      <w:r>
        <w:rPr>
          <w:rFonts w:hint="eastAsia"/>
          <w:highlight w:val="white"/>
        </w:rPr>
        <w:t>量化模型</w:t>
      </w:r>
      <w:r>
        <w:rPr>
          <w:highlight w:val="white"/>
        </w:rPr>
        <w:t>预报</w:t>
      </w:r>
      <w:r>
        <w:rPr>
          <w:rFonts w:hint="eastAsia"/>
          <w:highlight w:val="white"/>
        </w:rPr>
        <w:t>效果</w:t>
      </w:r>
      <w:r>
        <w:rPr>
          <w:highlight w:val="white"/>
        </w:rPr>
        <w:t>。</w:t>
      </w:r>
      <w:bookmarkEnd w:id="156"/>
    </w:p>
    <w:p w14:paraId="7728BC17">
      <w:pPr>
        <w:pStyle w:val="3"/>
      </w:pPr>
      <w:bookmarkStart w:id="157" w:name="二级标题序号_10"/>
      <w:bookmarkStart w:id="158" w:name="二级标题_10"/>
      <w:r>
        <w:rPr>
          <w:rFonts w:hint="eastAsia"/>
          <w:highlight w:val="white"/>
        </w:rPr>
        <w:t>2.1</w:t>
      </w:r>
      <w:bookmarkEnd w:id="157"/>
      <w:r>
        <w:rPr>
          <w:rFonts w:hint="eastAsia"/>
          <w:highlight w:val="white"/>
        </w:rPr>
        <w:t xml:space="preserve"> 模型构建</w:t>
      </w:r>
      <w:bookmarkEnd w:id="158"/>
    </w:p>
    <w:p w14:paraId="70C4B02B">
      <w:pPr>
        <w:ind w:firstLine="420"/>
      </w:pPr>
      <w:bookmarkStart w:id="159" w:name="正文段落_58"/>
      <w:r>
        <w:rPr>
          <w:rFonts w:hint="eastAsia"/>
          <w:highlight w:val="white"/>
        </w:rPr>
        <w:t>本文</w:t>
      </w:r>
      <w:r>
        <w:rPr>
          <w:highlight w:val="white"/>
        </w:rPr>
        <w:t>将原始径流序列的直接预测转化为若干相对平稳分量的分解预测：前端通过ESMD+VMD双层分解降低非平稳性并细化多尺度特征，中段对各分量分别建模预测并</w:t>
      </w:r>
      <w:r>
        <w:rPr>
          <w:rFonts w:hint="eastAsia"/>
          <w:highlight w:val="white"/>
        </w:rPr>
        <w:t>加和</w:t>
      </w:r>
      <w:r>
        <w:rPr>
          <w:highlight w:val="white"/>
        </w:rPr>
        <w:t>重构得到初始预报，后端利用残差序列的时序相关性开展后验误差校正</w:t>
      </w:r>
      <w:r>
        <w:rPr>
          <w:rFonts w:hint="eastAsia"/>
          <w:highlight w:val="white"/>
        </w:rPr>
        <w:t>，由此</w:t>
      </w:r>
      <w:r>
        <w:rPr>
          <w:highlight w:val="white"/>
        </w:rPr>
        <w:t>构建ESMD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AR组合预报模型。具体而言</w:t>
      </w:r>
      <w:r>
        <w:rPr>
          <w:rFonts w:hint="eastAsia"/>
          <w:highlight w:val="white"/>
        </w:rPr>
        <w:t>，</w:t>
      </w:r>
      <w:r>
        <w:rPr>
          <w:highlight w:val="white"/>
        </w:rPr>
        <w:t>ESMD可自适应提取不同频率模态及趋势</w:t>
      </w:r>
      <w:r>
        <w:rPr>
          <w:rFonts w:hint="eastAsia"/>
          <w:highlight w:val="white"/>
        </w:rPr>
        <w:t>余</w:t>
      </w:r>
      <w:r>
        <w:rPr>
          <w:highlight w:val="white"/>
        </w:rPr>
        <w:t>项，实现序列的初步平稳化；VMD可获得频带集中的窄带模态，用于对关键高频波动</w:t>
      </w:r>
      <w:r>
        <w:rPr>
          <w:rFonts w:hint="eastAsia"/>
          <w:highlight w:val="white"/>
        </w:rPr>
        <w:t>分量的</w:t>
      </w:r>
      <w:r>
        <w:rPr>
          <w:highlight w:val="white"/>
        </w:rPr>
        <w:t>进一步细化解耦；ESN</w:t>
      </w:r>
      <w:r>
        <w:rPr>
          <w:rFonts w:hint="eastAsia"/>
          <w:highlight w:val="white"/>
        </w:rPr>
        <w:t>拥有</w:t>
      </w:r>
      <w:r>
        <w:rPr>
          <w:highlight w:val="white"/>
        </w:rPr>
        <w:t>训练效率高、具备动态记忆与非线性映射能力等优势</w:t>
      </w:r>
      <w:r>
        <w:rPr>
          <w:rFonts w:hint="eastAsia"/>
          <w:highlight w:val="white"/>
        </w:rPr>
        <w:t>，</w:t>
      </w:r>
      <w:r>
        <w:rPr>
          <w:highlight w:val="white"/>
        </w:rPr>
        <w:t>适用于各尺度分量的预测；GA 用于对ESN</w:t>
      </w:r>
      <w:r>
        <w:rPr>
          <w:rFonts w:hint="eastAsia"/>
          <w:highlight w:val="white"/>
        </w:rPr>
        <w:t>的四个</w:t>
      </w:r>
      <w:r>
        <w:rPr>
          <w:highlight w:val="white"/>
        </w:rPr>
        <w:t>关键超参数</w:t>
      </w:r>
      <w:r>
        <w:rPr>
          <w:rFonts w:hint="eastAsia"/>
          <w:highlight w:val="white"/>
        </w:rPr>
        <w:t>：</w:t>
      </w:r>
      <w:r>
        <w:rPr>
          <w:highlight w:val="white"/>
        </w:rPr>
        <w:t>隐藏层神经元数量、谱半径、泄露率和正则化系数进行全局寻优，以提升模型稳定性与泛化能力；AR可刻画残差自相关结构，用于削弱初始预报中的系统性偏差。为</w:t>
      </w:r>
      <w:r>
        <w:rPr>
          <w:rFonts w:hint="eastAsia"/>
          <w:highlight w:val="white"/>
        </w:rPr>
        <w:t>对比评估ESMD与VMD分解、GA参数寻优和AR校正改进策略</w:t>
      </w:r>
      <w:r>
        <w:rPr>
          <w:highlight w:val="white"/>
        </w:rPr>
        <w:t>对预报结果的</w:t>
      </w:r>
      <w:r>
        <w:rPr>
          <w:rFonts w:hint="eastAsia"/>
          <w:highlight w:val="white"/>
        </w:rPr>
        <w:t>影响，</w:t>
      </w:r>
      <w:r>
        <w:rPr>
          <w:highlight w:val="white"/>
        </w:rPr>
        <w:t>采用</w:t>
      </w:r>
      <w:r>
        <w:rPr>
          <w:rFonts w:hint="eastAsia"/>
          <w:highlight w:val="white"/>
        </w:rPr>
        <w:t>改进策略</w:t>
      </w:r>
      <w:r>
        <w:rPr>
          <w:highlight w:val="white"/>
        </w:rPr>
        <w:t>组合叠加的思路构建</w:t>
      </w:r>
      <w:r>
        <w:rPr>
          <w:rFonts w:hint="eastAsia"/>
          <w:highlight w:val="white"/>
        </w:rPr>
        <w:t>了十三种</w:t>
      </w:r>
      <w:r>
        <w:rPr>
          <w:highlight w:val="white"/>
        </w:rPr>
        <w:t>对比</w:t>
      </w:r>
      <w:r>
        <w:rPr>
          <w:rFonts w:hint="eastAsia"/>
          <w:highlight w:val="white"/>
        </w:rPr>
        <w:t>模型：</w:t>
      </w:r>
      <w:r>
        <w:rPr>
          <w:highlight w:val="white"/>
        </w:rPr>
        <w:t>ESN、VMD</w:t>
      </w:r>
      <w:r>
        <w:rPr>
          <w:rFonts w:hint="eastAsia"/>
          <w:highlight w:val="white"/>
        </w:rPr>
        <w:t>-</w:t>
      </w:r>
      <w:r>
        <w:rPr>
          <w:highlight w:val="white"/>
        </w:rPr>
        <w:t>ESN、ESMD-ESN、</w:t>
      </w:r>
      <w:r>
        <w:rPr>
          <w:rFonts w:hint="eastAsia"/>
          <w:highlight w:val="white"/>
        </w:rPr>
        <w:t>VMD-ESN-AR、ESMD-ESN-AR、ESMD-VMD-ESN、ESMD-VMD-ESN-AR、</w:t>
      </w:r>
      <w:r>
        <w:rPr>
          <w:highlight w:val="white"/>
        </w:rPr>
        <w:t>GA-ESN、VMD-GA-ESN、ESMD-GA-ESN</w:t>
      </w:r>
      <w:r>
        <w:rPr>
          <w:rFonts w:hint="eastAsia"/>
          <w:highlight w:val="white"/>
        </w:rPr>
        <w:t>、VMD-GA-ESN-AR、ESMD-GA-ESN-AR和</w:t>
      </w:r>
      <w:r>
        <w:rPr>
          <w:highlight w:val="white"/>
        </w:rPr>
        <w:t>ESMD-VMD-GA-ESN</w:t>
      </w:r>
      <w:r>
        <w:rPr>
          <w:rFonts w:hint="eastAsia"/>
          <w:highlight w:val="white"/>
        </w:rPr>
        <w:t>，</w:t>
      </w:r>
      <w:r>
        <w:rPr>
          <w:highlight w:val="white"/>
        </w:rPr>
        <w:t>用于比较不同组合方案下的预报性能差异</w:t>
      </w:r>
      <w:r>
        <w:rPr>
          <w:rFonts w:hint="eastAsia"/>
          <w:highlight w:val="white"/>
        </w:rPr>
        <w:t>。</w:t>
      </w:r>
      <w:r>
        <w:rPr>
          <w:highlight w:val="white"/>
        </w:rPr>
        <w:t>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AR组合</w:t>
      </w:r>
      <w:r>
        <w:rPr>
          <w:rFonts w:hint="eastAsia"/>
          <w:highlight w:val="white"/>
        </w:rPr>
        <w:t>预报</w:t>
      </w:r>
      <w:r>
        <w:rPr>
          <w:highlight w:val="white"/>
        </w:rPr>
        <w:t>模型</w:t>
      </w:r>
      <w:r>
        <w:rPr>
          <w:rFonts w:hint="eastAsia"/>
          <w:highlight w:val="white"/>
        </w:rPr>
        <w:t>流程如图1所示，具体步骤</w:t>
      </w:r>
      <w:r>
        <w:rPr>
          <w:highlight w:val="white"/>
        </w:rPr>
        <w:t>如下</w:t>
      </w:r>
      <w:r>
        <w:rPr>
          <w:rFonts w:hint="eastAsia"/>
          <w:highlight w:val="white"/>
        </w:rPr>
        <w:t>。</w:t>
      </w:r>
      <w:bookmarkEnd w:id="159"/>
    </w:p>
    <w:p w14:paraId="44A75E87">
      <w:pPr>
        <w:ind w:firstLine="420"/>
      </w:pPr>
      <w:bookmarkStart w:id="160" w:name="正文段落_60"/>
      <w:r>
        <w:rPr>
          <w:rFonts w:hint="eastAsia"/>
          <w:highlight w:val="white"/>
        </w:rPr>
        <w:t>（1）ESMD一层分解。采用 ESMD 对原始径流序列进行自适应分解，将序列分解为有限个本征模态分量（IMF1，IMF2，…，IMFn）及趋势余项（RES）。各模态分量按频率由高到低排列，体现径流序列的多尺度波动特征，从而实现对非平稳序列的初步平稳化处理。</w:t>
      </w:r>
      <w:bookmarkEnd w:id="160"/>
    </w:p>
    <w:p w14:paraId="63E23316">
      <w:pPr>
        <w:ind w:firstLine="420"/>
      </w:pPr>
      <w:bookmarkStart w:id="161" w:name="正文段落_62"/>
      <w:r>
        <w:rPr>
          <w:rFonts w:hint="eastAsia"/>
          <w:highlight w:val="white"/>
        </w:rPr>
        <w:t>（2）VMD 二层细化分解。针对 ESMD 分解中波动性强、随机扰动占比更高的关键高频分量，进一步采用 VMD 进行二次分解，得到若干围绕不同中心频率的窄带子模态，实现对高频扰动分量的细致、多尺度解耦，降低分量混叠与非平稳性对建模的干扰。</w:t>
      </w:r>
      <w:bookmarkEnd w:id="161"/>
    </w:p>
    <w:p w14:paraId="77CECF38">
      <w:pPr>
        <w:ind w:firstLine="420"/>
      </w:pPr>
      <w:bookmarkStart w:id="162" w:name="正文段落_64"/>
      <w:r>
        <w:rPr>
          <w:rFonts w:hint="eastAsia"/>
          <w:highlight w:val="white"/>
        </w:rPr>
        <w:t>（3）模型分量预测与重构。将 ESMD 分解得到的中低频模态与趋势分量，以及经 VMD 二次分解得到的高频窄带子模态，分别进行归一化处理作为模型预测对象；</w:t>
      </w:r>
      <w:r>
        <w:rPr>
          <w:highlight w:val="white"/>
        </w:rPr>
        <w:t>采用GA</w:t>
      </w:r>
      <w:r>
        <w:rPr>
          <w:rFonts w:hint="eastAsia"/>
          <w:highlight w:val="white"/>
        </w:rPr>
        <w:t>算法</w:t>
      </w:r>
      <w:r>
        <w:rPr>
          <w:highlight w:val="white"/>
        </w:rPr>
        <w:t>对ESN模型的</w:t>
      </w:r>
      <w:r>
        <w:rPr>
          <w:rFonts w:hint="eastAsia"/>
          <w:highlight w:val="white"/>
        </w:rPr>
        <w:t>四个</w:t>
      </w:r>
      <w:r>
        <w:rPr>
          <w:highlight w:val="white"/>
        </w:rPr>
        <w:t>关键参数进行</w:t>
      </w:r>
      <w:r>
        <w:rPr>
          <w:rFonts w:hint="eastAsia"/>
          <w:highlight w:val="white"/>
        </w:rPr>
        <w:t>寻优，利用优化后的 ESN 对各分量分别进行预测获得其预测值；最后对各分量预测结果进行加和重构，得到组合模型的初始预报序列。</w:t>
      </w:r>
      <w:bookmarkEnd w:id="162"/>
    </w:p>
    <w:p w14:paraId="53F09DB0">
      <w:pPr>
        <w:ind w:firstLine="420"/>
      </w:pPr>
      <w:bookmarkStart w:id="163" w:name="正文段落_66"/>
      <w:r>
        <w:rPr>
          <w:rFonts w:hint="eastAsia"/>
          <w:highlight w:val="white"/>
        </w:rPr>
        <w:t>（4）残差AR后验校正与模型对比评价。以实际径流值与初始预报值之差构建残差序列，在训练段残差上拟合AR模型，预测残差修正项并回加到初始预报中，得到最终校正预报结果，并与构建得到的十三种对比模型的预报结果进行比较分析。</w:t>
      </w:r>
      <w:bookmarkEnd w:id="163"/>
    </w:p>
    <w:p w14:paraId="50DE5D00">
      <w:pPr>
        <w:pStyle w:val="57"/>
      </w:pPr>
      <w:bookmarkStart w:id="164" w:name="嵌入式图形_1"/>
      <w:r>
        <w:drawing>
          <wp:inline distT="0" distB="0" distL="0" distR="0">
            <wp:extent cx="5277485" cy="2221865"/>
            <wp:effectExtent l="0" t="0" r="0" b="6985"/>
            <wp:docPr id="13309704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970403" name="图片 2"/>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a:xfrm>
                      <a:off x="0" y="0"/>
                      <a:ext cx="5277600" cy="2222281"/>
                    </a:xfrm>
                    <a:prstGeom prst="rect">
                      <a:avLst/>
                    </a:prstGeom>
                    <a:noFill/>
                    <a:ln>
                      <a:noFill/>
                    </a:ln>
                  </pic:spPr>
                </pic:pic>
              </a:graphicData>
            </a:graphic>
          </wp:inline>
        </w:drawing>
      </w:r>
      <w:bookmarkEnd w:id="164"/>
    </w:p>
    <w:p w14:paraId="7DA2B0B3">
      <w:pPr>
        <w:pStyle w:val="57"/>
      </w:pPr>
      <w:bookmarkStart w:id="165" w:name="中文图序_1"/>
      <w:bookmarkStart w:id="166" w:name="中文图题_1"/>
      <w:r>
        <w:rPr>
          <w:rFonts w:hint="eastAsia"/>
          <w:highlight w:val="white"/>
        </w:rPr>
        <w:t>图1</w:t>
      </w:r>
      <w:bookmarkEnd w:id="165"/>
      <w:r>
        <w:rPr>
          <w:rFonts w:hint="eastAsia"/>
          <w:highlight w:val="white"/>
        </w:rPr>
        <w:t xml:space="preserve"> ESMD-VMD-GA-ESN-AR组合预报模型流程</w:t>
      </w:r>
      <w:bookmarkEnd w:id="166"/>
    </w:p>
    <w:p w14:paraId="6561ABDA">
      <w:pPr>
        <w:pStyle w:val="57"/>
      </w:pPr>
      <w:bookmarkStart w:id="167" w:name="英文图序_13"/>
      <w:bookmarkStart w:id="168" w:name="英文图题_1"/>
      <w:r>
        <w:rPr>
          <w:highlight w:val="white"/>
        </w:rPr>
        <w:t>Fig.1</w:t>
      </w:r>
      <w:bookmarkEnd w:id="167"/>
      <w:r>
        <w:rPr>
          <w:highlight w:val="white"/>
        </w:rPr>
        <w:t xml:space="preserve"> Flowchart of 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 xml:space="preserve">AR </w:t>
      </w:r>
      <w:r>
        <w:rPr>
          <w:rFonts w:hint="eastAsia"/>
          <w:highlight w:val="white"/>
        </w:rPr>
        <w:t>ensemble</w:t>
      </w:r>
      <w:r>
        <w:rPr>
          <w:highlight w:val="white"/>
        </w:rPr>
        <w:t xml:space="preserve"> forecasting </w:t>
      </w:r>
      <w:bookmarkStart w:id="169" w:name="MOD_25"/>
      <w:r>
        <w:t>mod</w:t>
      </w:r>
      <w:bookmarkEnd w:id="169"/>
      <w:r>
        <w:rPr>
          <w:highlight w:val="white"/>
        </w:rPr>
        <w:t>el</w:t>
      </w:r>
      <w:bookmarkEnd w:id="168"/>
    </w:p>
    <w:p w14:paraId="6F0AA887">
      <w:pPr>
        <w:pStyle w:val="3"/>
      </w:pPr>
      <w:bookmarkStart w:id="170" w:name="二级标题序号_11"/>
      <w:bookmarkStart w:id="171" w:name="二级标题_12"/>
      <w:r>
        <w:rPr>
          <w:rFonts w:hint="eastAsia"/>
          <w:highlight w:val="white"/>
        </w:rPr>
        <w:t>2.2</w:t>
      </w:r>
      <w:bookmarkEnd w:id="170"/>
      <w:r>
        <w:rPr>
          <w:rFonts w:hint="eastAsia"/>
          <w:highlight w:val="white"/>
        </w:rPr>
        <w:t xml:space="preserve"> 模型评价指标</w:t>
      </w:r>
      <w:bookmarkEnd w:id="171"/>
    </w:p>
    <w:p w14:paraId="06F03730">
      <w:pPr>
        <w:ind w:firstLine="420"/>
      </w:pPr>
      <w:bookmarkStart w:id="172" w:name="正文段落_68"/>
      <w:r>
        <w:rPr>
          <w:highlight w:val="white"/>
        </w:rPr>
        <w:t>为评估径流预报模型性能，选取均方根误差（Root Mean Square Error，</w:t>
      </w:r>
      <w:r>
        <w:rPr>
          <w:i/>
          <w:iCs/>
          <w:highlight w:val="white"/>
        </w:rPr>
        <w:t>RMSE</w:t>
      </w:r>
      <w:r>
        <w:rPr>
          <w:highlight w:val="white"/>
        </w:rPr>
        <w:t>）、平均绝对误差（Mean Absolute Error，</w:t>
      </w:r>
      <w:r>
        <w:rPr>
          <w:i/>
          <w:iCs/>
          <w:highlight w:val="white"/>
        </w:rPr>
        <w:t>MAE</w:t>
      </w:r>
      <w:r>
        <w:rPr>
          <w:highlight w:val="white"/>
        </w:rPr>
        <w:t>）、平均</w:t>
      </w:r>
      <w:r>
        <w:rPr>
          <w:rFonts w:hint="eastAsia"/>
          <w:highlight w:val="white"/>
        </w:rPr>
        <w:t>相对</w:t>
      </w:r>
      <w:r>
        <w:rPr>
          <w:highlight w:val="white"/>
        </w:rPr>
        <w:t>误差（Mean Absolute Percentage Error，</w:t>
      </w:r>
      <w:r>
        <w:rPr>
          <w:i/>
          <w:iCs/>
          <w:highlight w:val="white"/>
        </w:rPr>
        <w:t>MAPE</w:t>
      </w:r>
      <w:r>
        <w:rPr>
          <w:highlight w:val="white"/>
        </w:rPr>
        <w:t>）、纳什效率系数（Nash</w:t>
      </w:r>
      <w:r>
        <w:rPr>
          <w:rFonts w:hint="eastAsia"/>
          <w:highlight w:val="white"/>
        </w:rPr>
        <w:t>-</w:t>
      </w:r>
      <w:r>
        <w:rPr>
          <w:highlight w:val="white"/>
        </w:rPr>
        <w:t>Sutcliffe Efficiency，</w:t>
      </w:r>
      <w:r>
        <w:rPr>
          <w:i/>
          <w:iCs/>
          <w:highlight w:val="white"/>
        </w:rPr>
        <w:t>NSE</w:t>
      </w:r>
      <w:r>
        <w:rPr>
          <w:highlight w:val="white"/>
        </w:rPr>
        <w:t>）和预报合格率（Qualified Rate，</w:t>
      </w:r>
      <w:r>
        <w:rPr>
          <w:i/>
          <w:iCs/>
          <w:highlight w:val="white"/>
        </w:rPr>
        <w:t>QR</w:t>
      </w:r>
      <w:r>
        <w:rPr>
          <w:highlight w:val="white"/>
        </w:rPr>
        <w:t>）作为评价指标</w:t>
      </w:r>
      <w:r>
        <w:rPr>
          <w:rFonts w:hint="eastAsia"/>
          <w:highlight w:val="white"/>
        </w:rPr>
        <w:t>来对模型预报效果进行量化评价。</w:t>
      </w:r>
      <w:r>
        <w:rPr>
          <w:i/>
          <w:iCs/>
          <w:highlight w:val="white"/>
        </w:rPr>
        <w:t>RMSE</w:t>
      </w:r>
      <w:r>
        <w:rPr>
          <w:rFonts w:hint="eastAsia"/>
          <w:highlight w:val="white"/>
        </w:rPr>
        <w:t>、</w:t>
      </w:r>
      <w:r>
        <w:rPr>
          <w:i/>
          <w:iCs/>
          <w:highlight w:val="white"/>
        </w:rPr>
        <w:t>MAE</w:t>
      </w:r>
      <w:r>
        <w:rPr>
          <w:rFonts w:hint="eastAsia"/>
          <w:highlight w:val="white"/>
        </w:rPr>
        <w:t>、</w:t>
      </w:r>
      <w:r>
        <w:rPr>
          <w:i/>
          <w:iCs/>
          <w:highlight w:val="white"/>
        </w:rPr>
        <w:t>MAPE</w:t>
      </w:r>
      <w:r>
        <w:rPr>
          <w:rFonts w:hint="eastAsia"/>
          <w:highlight w:val="white"/>
        </w:rPr>
        <w:t>、</w:t>
      </w:r>
      <w:r>
        <w:rPr>
          <w:i/>
          <w:iCs/>
          <w:highlight w:val="white"/>
        </w:rPr>
        <w:t>NSE</w:t>
      </w:r>
      <w:r>
        <w:rPr>
          <w:rFonts w:hint="eastAsia"/>
          <w:highlight w:val="white"/>
        </w:rPr>
        <w:t>计算公式分别为</w:t>
      </w:r>
      <w:bookmarkEnd w:id="172"/>
    </w:p>
    <w:p w14:paraId="4881CE88">
      <w:pPr>
        <w:pStyle w:val="49"/>
        <w:tabs>
          <w:tab w:val="center" w:pos="4536"/>
          <w:tab w:val="right" w:pos="9072"/>
          <w:tab w:val="clear" w:pos="4160"/>
          <w:tab w:val="clear" w:pos="8300"/>
        </w:tabs>
        <w:spacing w:after="0" w:line="240" w:lineRule="auto"/>
      </w:pPr>
      <w:bookmarkStart w:id="173" w:name="公式_63"/>
      <w:r>
        <w:rPr>
          <w:highlight w:val="white"/>
        </w:rPr>
        <w:tab/>
      </w:r>
      <w:r>
        <w:rPr>
          <w:position w:val="-28"/>
        </w:rPr>
        <w:object>
          <v:shape id="_x0000_i1093" o:spt="75" type="#_x0000_t75" style="height:34.65pt;width:114.15pt;" o:ole="t" filled="f" o:preferrelative="t" stroked="f" coordsize="21600,21600">
            <v:path/>
            <v:fill on="f" focussize="0,0"/>
            <v:stroke on="f" joinstyle="miter"/>
            <v:imagedata r:id="rId150" o:title=""/>
            <o:lock v:ext="edit" aspectratio="t"/>
            <w10:wrap type="none"/>
            <w10:anchorlock/>
          </v:shape>
          <o:OLEObject Type="Embed" ProgID="Equation.DSMT4" ShapeID="_x0000_i1093" DrawAspect="Content" ObjectID="_1468075793" r:id="rId149">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(11)</w:instrText>
      </w:r>
      <w:r>
        <w:fldChar w:fldCharType="end"/>
      </w:r>
      <w:bookmarkEnd w:id="173"/>
    </w:p>
    <w:p w14:paraId="36DD03AF">
      <w:pPr>
        <w:pStyle w:val="49"/>
        <w:tabs>
          <w:tab w:val="center" w:pos="4536"/>
          <w:tab w:val="right" w:pos="9072"/>
          <w:tab w:val="clear" w:pos="4160"/>
          <w:tab w:val="clear" w:pos="8300"/>
        </w:tabs>
        <w:spacing w:after="0" w:line="240" w:lineRule="auto"/>
      </w:pPr>
      <w:bookmarkStart w:id="174" w:name="公式_65"/>
      <w:r>
        <w:rPr>
          <w:highlight w:val="white"/>
        </w:rPr>
        <w:tab/>
      </w:r>
      <w:r>
        <w:rPr>
          <w:position w:val="-26"/>
        </w:rPr>
        <w:object>
          <v:shape id="_x0000_i1094" o:spt="75" type="#_x0000_t75" style="height:30.95pt;width:96pt;" o:ole="t" filled="f" o:preferrelative="t" stroked="f" coordsize="21600,21600">
            <v:path/>
            <v:fill on="f" focussize="0,0"/>
            <v:stroke on="f" joinstyle="miter"/>
            <v:imagedata r:id="rId152" o:title=""/>
            <o:lock v:ext="edit" aspectratio="t"/>
            <w10:wrap type="none"/>
            <w10:anchorlock/>
          </v:shape>
          <o:OLEObject Type="Embed" ProgID="Equation.DSMT4" ShapeID="_x0000_i1094" DrawAspect="Content" ObjectID="_1468075794" r:id="rId151">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(12)</w:instrText>
      </w:r>
      <w:r>
        <w:fldChar w:fldCharType="end"/>
      </w:r>
      <w:bookmarkEnd w:id="174"/>
    </w:p>
    <w:p w14:paraId="57E326F7">
      <w:pPr>
        <w:pStyle w:val="49"/>
        <w:tabs>
          <w:tab w:val="center" w:pos="4536"/>
          <w:tab w:val="right" w:pos="9072"/>
          <w:tab w:val="clear" w:pos="4160"/>
          <w:tab w:val="clear" w:pos="8300"/>
        </w:tabs>
        <w:spacing w:after="0" w:line="240" w:lineRule="auto"/>
      </w:pPr>
      <w:bookmarkStart w:id="175" w:name="公式_67"/>
      <w:r>
        <w:rPr>
          <w:highlight w:val="white"/>
        </w:rPr>
        <w:tab/>
      </w:r>
      <w:r>
        <w:rPr>
          <w:position w:val="-28"/>
        </w:rPr>
        <w:object>
          <v:shape id="_x0000_i1095" o:spt="75" type="#_x0000_t75" style="height:31.45pt;width:118.4pt;" o:ole="t" filled="f" o:preferrelative="t" stroked="f" coordsize="21600,21600">
            <v:path/>
            <v:fill on="f" focussize="0,0"/>
            <v:stroke on="f" joinstyle="miter"/>
            <v:imagedata r:id="rId154" o:title=""/>
            <o:lock v:ext="edit" aspectratio="t"/>
            <w10:wrap type="none"/>
            <w10:anchorlock/>
          </v:shape>
          <o:OLEObject Type="Embed" ProgID="Equation.DSMT4" ShapeID="_x0000_i1095" DrawAspect="Content" ObjectID="_1468075795" r:id="rId153">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(13)</w:instrText>
      </w:r>
      <w:r>
        <w:fldChar w:fldCharType="end"/>
      </w:r>
      <w:bookmarkEnd w:id="175"/>
    </w:p>
    <w:p w14:paraId="405ABC21">
      <w:pPr>
        <w:pStyle w:val="49"/>
        <w:tabs>
          <w:tab w:val="center" w:pos="4536"/>
          <w:tab w:val="right" w:pos="9072"/>
          <w:tab w:val="clear" w:pos="4160"/>
          <w:tab w:val="clear" w:pos="8300"/>
        </w:tabs>
        <w:spacing w:after="0" w:line="240" w:lineRule="auto"/>
      </w:pPr>
      <w:bookmarkStart w:id="176" w:name="公式_69"/>
      <w:r>
        <w:rPr>
          <w:highlight w:val="white"/>
        </w:rPr>
        <w:tab/>
      </w:r>
      <w:r>
        <w:rPr>
          <w:position w:val="-54"/>
        </w:rPr>
        <w:object>
          <v:shape id="_x0000_i1096" o:spt="75" type="#_x0000_t75" style="height:59.2pt;width:101.85pt;" o:ole="t" filled="f" o:preferrelative="t" stroked="f" coordsize="21600,21600">
            <v:path/>
            <v:fill on="f" focussize="0,0"/>
            <v:stroke on="f" joinstyle="miter"/>
            <v:imagedata r:id="rId156" o:title=""/>
            <o:lock v:ext="edit" aspectratio="t"/>
            <w10:wrap type="none"/>
            <w10:anchorlock/>
          </v:shape>
          <o:OLEObject Type="Embed" ProgID="Equation.DSMT4" ShapeID="_x0000_i1096" DrawAspect="Content" ObjectID="_1468075796" r:id="rId155">
            <o:LockedField>false</o:LockedField>
          </o:OLEObject>
        </w:object>
      </w:r>
      <w:r>
        <w:rPr>
          <w:highlight w:val="white"/>
        </w:rPr>
        <w:tab/>
      </w:r>
      <w:r>
        <w:fldChar w:fldCharType="begin"/>
      </w:r>
      <w:r>
        <w:rPr>
          <w:highlight w:val="white"/>
        </w:rPr>
        <w:instrText xml:space="preserve"> MACROBUTTON MTPlaceRef \* MERGEFORMAT </w:instrText>
      </w:r>
      <w:r>
        <w:fldChar w:fldCharType="begin"/>
      </w:r>
      <w:r>
        <w:rPr>
          <w:highlight w:val="white"/>
        </w:rPr>
        <w:instrText xml:space="preserve"> SEQ MTEqn \h \* MERGEFORMAT </w:instrText>
      </w:r>
      <w:r>
        <w:fldChar w:fldCharType="separate"/>
      </w:r>
      <w:r>
        <w:fldChar w:fldCharType="end"/>
      </w:r>
      <w:r>
        <w:rPr>
          <w:highlight w:val="white"/>
        </w:rPr>
        <w:instrText xml:space="preserve">(14)</w:instrText>
      </w:r>
      <w:r>
        <w:fldChar w:fldCharType="end"/>
      </w:r>
      <w:bookmarkEnd w:id="176"/>
    </w:p>
    <w:p w14:paraId="73F01521">
      <w:pPr>
        <w:ind w:firstLine="0" w:firstLineChars="0"/>
      </w:pPr>
      <w:bookmarkStart w:id="177" w:name="正文段落_70"/>
      <w:r>
        <w:rPr>
          <w:rFonts w:hint="eastAsia"/>
          <w:highlight w:val="white"/>
        </w:rPr>
        <w:t>式中，</w:t>
      </w:r>
      <w:bookmarkStart w:id="178" w:name="公式_怀疑_文内公式_61"/>
      <w:r>
        <w:rPr>
          <w:position w:val="-10"/>
        </w:rPr>
        <w:object>
          <v:shape id="_x0000_i1097" o:spt="75" type="#_x0000_t75" style="height:16.55pt;width:13.35pt;" o:ole="t" filled="f" o:preferrelative="t" stroked="f" coordsize="21600,21600">
            <v:path/>
            <v:fill on="f" focussize="0,0"/>
            <v:stroke on="f" joinstyle="miter"/>
            <v:imagedata r:id="rId158" o:title=""/>
            <o:lock v:ext="edit" aspectratio="t"/>
            <w10:wrap type="none"/>
            <w10:anchorlock/>
          </v:shape>
          <o:OLEObject Type="Embed" ProgID="Equation.DSMT4" ShapeID="_x0000_i1097" DrawAspect="Content" ObjectID="_1468075797" r:id="rId157">
            <o:LockedField>false</o:LockedField>
          </o:OLEObject>
        </w:object>
      </w:r>
      <w:bookmarkEnd w:id="178"/>
      <w:r>
        <w:rPr>
          <w:rFonts w:hint="eastAsia"/>
          <w:highlight w:val="white"/>
        </w:rPr>
        <w:t>为第</w:t>
      </w:r>
      <w:bookmarkStart w:id="179" w:name="公式_怀疑_文内公式_62"/>
      <w:r>
        <w:rPr>
          <w:position w:val="-6"/>
        </w:rPr>
        <w:object>
          <v:shape id="_x0000_i1098" o:spt="75" type="#_x0000_t75" style="height:11.2pt;width:7.45pt;" o:ole="t" filled="f" o:preferrelative="t" stroked="f" coordsize="21600,21600">
            <v:path/>
            <v:fill on="f" focussize="0,0"/>
            <v:stroke on="f" joinstyle="miter"/>
            <v:imagedata r:id="rId160" o:title=""/>
            <o:lock v:ext="edit" aspectratio="t"/>
            <w10:wrap type="none"/>
            <w10:anchorlock/>
          </v:shape>
          <o:OLEObject Type="Embed" ProgID="Equation.DSMT4" ShapeID="_x0000_i1098" DrawAspect="Content" ObjectID="_1468075798" r:id="rId159">
            <o:LockedField>false</o:LockedField>
          </o:OLEObject>
        </w:object>
      </w:r>
      <w:bookmarkEnd w:id="179"/>
      <w:r>
        <w:rPr>
          <w:rFonts w:hint="eastAsia"/>
          <w:highlight w:val="white"/>
        </w:rPr>
        <w:t>个样本的实测值；</w:t>
      </w:r>
      <w:bookmarkStart w:id="180" w:name="公式_怀疑_文内公式_63"/>
      <w:r>
        <w:rPr>
          <w:position w:val="-10"/>
        </w:rPr>
        <w:object>
          <v:shape id="_x0000_i1099" o:spt="75" type="#_x0000_t75" style="height:16.55pt;width:11.2pt;" o:ole="t" filled="f" o:preferrelative="t" stroked="f" coordsize="21600,21600">
            <v:path/>
            <v:fill on="f" focussize="0,0"/>
            <v:stroke on="f" joinstyle="miter"/>
            <v:imagedata r:id="rId162" o:title=""/>
            <o:lock v:ext="edit" aspectratio="t"/>
            <w10:wrap type="none"/>
            <w10:anchorlock/>
          </v:shape>
          <o:OLEObject Type="Embed" ProgID="Equation.DSMT4" ShapeID="_x0000_i1099" DrawAspect="Content" ObjectID="_1468075799" r:id="rId161">
            <o:LockedField>false</o:LockedField>
          </o:OLEObject>
        </w:object>
      </w:r>
      <w:bookmarkEnd w:id="180"/>
      <w:r>
        <w:rPr>
          <w:rFonts w:hint="eastAsia"/>
          <w:highlight w:val="white"/>
        </w:rPr>
        <w:t>为第</w:t>
      </w:r>
      <w:bookmarkStart w:id="181" w:name="公式_怀疑_文内公式_64"/>
      <w:r>
        <w:rPr>
          <w:position w:val="-6"/>
        </w:rPr>
        <w:object>
          <v:shape id="_x0000_i1100" o:spt="75" type="#_x0000_t75" style="height:11.2pt;width:7.45pt;" o:ole="t" filled="f" o:preferrelative="t" stroked="f" coordsize="21600,21600">
            <v:path/>
            <v:fill on="f" focussize="0,0"/>
            <v:stroke on="f" joinstyle="miter"/>
            <v:imagedata r:id="rId164" o:title=""/>
            <o:lock v:ext="edit" aspectratio="t"/>
            <w10:wrap type="none"/>
            <w10:anchorlock/>
          </v:shape>
          <o:OLEObject Type="Embed" ProgID="Equation.DSMT4" ShapeID="_x0000_i1100" DrawAspect="Content" ObjectID="_1468075800" r:id="rId163">
            <o:LockedField>false</o:LockedField>
          </o:OLEObject>
        </w:object>
      </w:r>
      <w:bookmarkEnd w:id="181"/>
      <w:r>
        <w:rPr>
          <w:rFonts w:hint="eastAsia"/>
          <w:highlight w:val="white"/>
        </w:rPr>
        <w:t>个样本的预测值；</w:t>
      </w:r>
      <w:bookmarkStart w:id="182" w:name="公式_怀疑_文内公式_65"/>
      <w:r>
        <w:rPr>
          <w:position w:val="-10"/>
        </w:rPr>
        <w:object>
          <v:shape id="_x0000_i1101" o:spt="75" type="#_x0000_t75" style="height:18.15pt;width:11.2pt;" o:ole="t" filled="f" o:preferrelative="t" stroked="f" coordsize="21600,21600">
            <v:path/>
            <v:fill on="f" focussize="0,0"/>
            <v:stroke on="f" joinstyle="miter"/>
            <v:imagedata r:id="rId166" o:title=""/>
            <o:lock v:ext="edit" aspectratio="t"/>
            <w10:wrap type="none"/>
            <w10:anchorlock/>
          </v:shape>
          <o:OLEObject Type="Embed" ProgID="Equation.DSMT4" ShapeID="_x0000_i1101" DrawAspect="Content" ObjectID="_1468075801" r:id="rId165">
            <o:LockedField>false</o:LockedField>
          </o:OLEObject>
        </w:object>
      </w:r>
      <w:bookmarkEnd w:id="182"/>
      <w:r>
        <w:rPr>
          <w:rFonts w:hint="eastAsia"/>
          <w:highlight w:val="white"/>
        </w:rPr>
        <w:t>为所有实测值的平均值。</w:t>
      </w:r>
      <w:bookmarkEnd w:id="177"/>
    </w:p>
    <w:p w14:paraId="5C677658">
      <w:pPr>
        <w:ind w:firstLine="420"/>
      </w:pPr>
      <w:bookmarkStart w:id="183" w:name="正文段落_72"/>
      <w:r>
        <w:rPr>
          <w:highlight w:val="white"/>
        </w:rPr>
        <w:t>依据</w:t>
      </w:r>
      <w:r>
        <w:rPr>
          <w:rFonts w:hint="eastAsia"/>
          <w:highlight w:val="white"/>
        </w:rPr>
        <w:t>《水文情报预报规范》（GB/T 22482—2008）</w:t>
      </w:r>
      <w:r>
        <w:rPr>
          <w:highlight w:val="white"/>
        </w:rPr>
        <w:t>，</w:t>
      </w:r>
      <w:r>
        <w:rPr>
          <w:rFonts w:hint="eastAsia"/>
          <w:highlight w:val="white"/>
        </w:rPr>
        <w:t>选取径流</w:t>
      </w:r>
      <w:r>
        <w:rPr>
          <w:highlight w:val="white"/>
        </w:rPr>
        <w:t>多年同期实测变幅的</w:t>
      </w:r>
      <w:r>
        <w:rPr>
          <w:rFonts w:hint="eastAsia"/>
          <w:highlight w:val="white"/>
        </w:rPr>
        <w:t>2</w:t>
      </w:r>
      <w:r>
        <w:rPr>
          <w:highlight w:val="white"/>
        </w:rPr>
        <w:t>0%作为许可误差</w:t>
      </w:r>
      <w:r>
        <w:rPr>
          <w:rFonts w:hint="eastAsia"/>
          <w:highlight w:val="white"/>
        </w:rPr>
        <w:t>，</w:t>
      </w:r>
      <w:r>
        <w:rPr>
          <w:highlight w:val="white"/>
        </w:rPr>
        <w:t>据此统计预报合格率</w:t>
      </w:r>
      <w:r>
        <w:rPr>
          <w:i/>
          <w:iCs/>
          <w:highlight w:val="white"/>
        </w:rPr>
        <w:t>QR</w:t>
      </w:r>
      <w:r>
        <w:rPr>
          <w:rFonts w:hint="eastAsia"/>
          <w:highlight w:val="white"/>
        </w:rPr>
        <w:t>，其计算公式为</w:t>
      </w:r>
      <w:bookmarkEnd w:id="183"/>
    </w:p>
    <w:p w14:paraId="0833E26B">
      <w:pPr>
        <w:pStyle w:val="49"/>
        <w:tabs>
          <w:tab w:val="center" w:pos="4536"/>
          <w:tab w:val="right" w:pos="9072"/>
          <w:tab w:val="clear" w:pos="4160"/>
          <w:tab w:val="clear" w:pos="8300"/>
        </w:tabs>
        <w:spacing w:after="0" w:line="240" w:lineRule="auto"/>
        <w:rPr>
          <w:snapToGrid w:val="0"/>
        </w:rPr>
      </w:pPr>
      <w:bookmarkStart w:id="184" w:name="公式_71"/>
      <w:r>
        <w:rPr>
          <w:highlight w:val="white"/>
        </w:rPr>
        <w:tab/>
      </w:r>
      <w:r>
        <w:rPr>
          <w:position w:val="-24"/>
        </w:rPr>
        <w:object>
          <v:shape id="_x0000_i1102" o:spt="75" type="#_x0000_t75" style="height:30.95pt;width:79.45pt;" o:ole="t" filled="f" o:preferrelative="t" stroked="f" coordsize="21600,21600">
            <v:path/>
            <v:fill on="f" focussize="0,0"/>
            <v:stroke on="f" joinstyle="miter"/>
            <v:imagedata r:id="rId168" o:title=""/>
            <o:lock v:ext="edit" aspectratio="t"/>
            <w10:wrap type="none"/>
            <w10:anchorlock/>
          </v:shape>
          <o:OLEObject Type="Embed" ProgID="Equation.DSMT4" ShapeID="_x0000_i1102" DrawAspect="Content" ObjectID="_1468075802" r:id="rId167">
            <o:LockedField>false</o:LockedField>
          </o:OLEObject>
        </w:object>
      </w:r>
      <w:r>
        <w:rPr>
          <w:snapToGrid w:val="0"/>
          <w:highlight w:val="white"/>
        </w:rPr>
        <w:tab/>
      </w:r>
      <w:r>
        <w:rPr>
          <w:snapToGrid w:val="0"/>
        </w:rPr>
        <w:fldChar w:fldCharType="begin"/>
      </w:r>
      <w:r>
        <w:rPr>
          <w:snapToGrid w:val="0"/>
          <w:highlight w:val="white"/>
        </w:rPr>
        <w:instrText xml:space="preserve"> MACROBUTTON MTPlaceRef \* MERGEFORMAT </w:instrText>
      </w:r>
      <w:r>
        <w:rPr>
          <w:snapToGrid w:val="0"/>
        </w:rPr>
        <w:fldChar w:fldCharType="begin"/>
      </w:r>
      <w:r>
        <w:rPr>
          <w:snapToGrid w:val="0"/>
          <w:highlight w:val="white"/>
        </w:rPr>
        <w:instrText xml:space="preserve"> SEQ MTEqn \h \* MERGEFORMAT </w:instrText>
      </w:r>
      <w:r>
        <w:rPr>
          <w:snapToGrid w:val="0"/>
        </w:rPr>
        <w:fldChar w:fldCharType="separate"/>
      </w:r>
      <w:r>
        <w:rPr>
          <w:snapToGrid w:val="0"/>
        </w:rPr>
        <w:fldChar w:fldCharType="end"/>
      </w:r>
      <w:r>
        <w:rPr>
          <w:snapToGrid w:val="0"/>
          <w:highlight w:val="white"/>
        </w:rPr>
        <w:instrText xml:space="preserve">(15)</w:instrText>
      </w:r>
      <w:r>
        <w:rPr>
          <w:snapToGrid w:val="0"/>
        </w:rPr>
        <w:fldChar w:fldCharType="end"/>
      </w:r>
      <w:bookmarkEnd w:id="184"/>
    </w:p>
    <w:p w14:paraId="4981CB2F">
      <w:pPr>
        <w:ind w:firstLine="0" w:firstLineChars="0"/>
      </w:pPr>
      <w:bookmarkStart w:id="185" w:name="正文段落_74"/>
      <w:r>
        <w:rPr>
          <w:rFonts w:hint="eastAsia"/>
          <w:highlight w:val="white"/>
        </w:rPr>
        <w:t>式中，</w:t>
      </w:r>
      <w:bookmarkStart w:id="186" w:name="公式_怀疑_文内公式_66"/>
      <w:r>
        <w:rPr>
          <w:position w:val="-6"/>
        </w:rPr>
        <w:object>
          <v:shape id="_x0000_i1103" o:spt="75" type="#_x0000_t75" style="height:11.2pt;width:9.05pt;" o:ole="t" filled="f" o:preferrelative="t" stroked="f" coordsize="21600,21600">
            <v:path/>
            <v:fill on="f" focussize="0,0"/>
            <v:stroke on="f" joinstyle="miter"/>
            <v:imagedata r:id="rId170" o:title=""/>
            <o:lock v:ext="edit" aspectratio="t"/>
            <w10:wrap type="none"/>
            <w10:anchorlock/>
          </v:shape>
          <o:OLEObject Type="Embed" ProgID="Equation.DSMT4" ShapeID="_x0000_i1103" DrawAspect="Content" ObjectID="_1468075803" r:id="rId169">
            <o:LockedField>false</o:LockedField>
          </o:OLEObject>
        </w:object>
      </w:r>
      <w:bookmarkEnd w:id="186"/>
      <w:r>
        <w:rPr>
          <w:highlight w:val="white"/>
        </w:rPr>
        <w:t>为合格预报次数</w:t>
      </w:r>
      <w:r>
        <w:rPr>
          <w:rFonts w:hint="eastAsia"/>
          <w:highlight w:val="white"/>
        </w:rPr>
        <w:t>；</w:t>
      </w:r>
      <w:bookmarkStart w:id="187" w:name="公式_怀疑_文内公式_67"/>
      <w:r>
        <w:rPr>
          <w:position w:val="-6"/>
        </w:rPr>
        <w:object>
          <v:shape id="_x0000_i1104" o:spt="75" type="#_x0000_t75" style="height:15pt;width:15pt;" o:ole="t" filled="f" o:preferrelative="t" stroked="f" coordsize="21600,21600">
            <v:path/>
            <v:fill on="f" focussize="0,0"/>
            <v:stroke on="f" joinstyle="miter"/>
            <v:imagedata r:id="rId172" o:title=""/>
            <o:lock v:ext="edit" aspectratio="t"/>
            <w10:wrap type="none"/>
            <w10:anchorlock/>
          </v:shape>
          <o:OLEObject Type="Embed" ProgID="Equation.DSMT4" ShapeID="_x0000_i1104" DrawAspect="Content" ObjectID="_1468075804" r:id="rId171">
            <o:LockedField>false</o:LockedField>
          </o:OLEObject>
        </w:object>
      </w:r>
      <w:bookmarkEnd w:id="187"/>
      <w:r>
        <w:rPr>
          <w:highlight w:val="white"/>
        </w:rPr>
        <w:t>为总预报次数</w:t>
      </w:r>
      <w:r>
        <w:rPr>
          <w:rFonts w:hint="eastAsia"/>
          <w:highlight w:val="white"/>
        </w:rPr>
        <w:t>。</w:t>
      </w:r>
      <w:bookmarkEnd w:id="185"/>
    </w:p>
    <w:p w14:paraId="135C9947">
      <w:pPr>
        <w:pStyle w:val="2"/>
      </w:pPr>
      <w:bookmarkStart w:id="188" w:name="一级标题序号_12"/>
      <w:bookmarkStart w:id="189" w:name="一级标题_8"/>
      <w:r>
        <w:rPr>
          <w:rFonts w:hint="eastAsia"/>
          <w:highlight w:val="white"/>
        </w:rPr>
        <w:t>3</w:t>
      </w:r>
      <w:bookmarkEnd w:id="188"/>
      <w:r>
        <w:rPr>
          <w:rFonts w:hint="eastAsia"/>
          <w:highlight w:val="white"/>
        </w:rPr>
        <w:t xml:space="preserve"> 实例应用</w:t>
      </w:r>
      <w:bookmarkEnd w:id="189"/>
    </w:p>
    <w:p w14:paraId="6270EC0B">
      <w:pPr>
        <w:ind w:firstLine="420"/>
      </w:pPr>
      <w:bookmarkStart w:id="190" w:name="正文段落_76"/>
      <w:r>
        <w:rPr>
          <w:highlight w:val="white"/>
        </w:rPr>
        <w:t>黄河上游河源</w:t>
      </w:r>
      <w:r>
        <w:rPr>
          <w:rFonts w:hint="eastAsia"/>
          <w:highlight w:val="white"/>
        </w:rPr>
        <w:t>至</w:t>
      </w:r>
      <w:r>
        <w:rPr>
          <w:highlight w:val="white"/>
        </w:rPr>
        <w:t>兰州段位于</w:t>
      </w:r>
      <w:r>
        <w:rPr>
          <w:rFonts w:hint="eastAsia"/>
          <w:highlight w:val="white"/>
        </w:rPr>
        <w:t>32ºN—38ºN、97ºE—104ºE</w:t>
      </w:r>
      <w:r>
        <w:rPr>
          <w:highlight w:val="white"/>
        </w:rPr>
        <w:t>之间，流域面积约22.3</w:t>
      </w:r>
      <w:r>
        <w:rPr>
          <w:rFonts w:hint="eastAsia"/>
          <w:highlight w:val="white"/>
        </w:rPr>
        <w:t>万</w:t>
      </w:r>
      <w:r>
        <w:rPr>
          <w:highlight w:val="white"/>
        </w:rPr>
        <w:t xml:space="preserve"> km²，约占黄河流域总面积的29.7%，干流</w:t>
      </w:r>
      <w:r>
        <w:rPr>
          <w:rFonts w:hint="eastAsia"/>
          <w:highlight w:val="white"/>
        </w:rPr>
        <w:t>河长</w:t>
      </w:r>
      <w:r>
        <w:rPr>
          <w:highlight w:val="white"/>
        </w:rPr>
        <w:t>约2119 km。本文自上游至下游依次选取唐乃亥、贵德</w:t>
      </w:r>
      <w:r>
        <w:rPr>
          <w:rFonts w:hint="eastAsia"/>
          <w:highlight w:val="white"/>
        </w:rPr>
        <w:t>、</w:t>
      </w:r>
      <w:r>
        <w:rPr>
          <w:highlight w:val="white"/>
        </w:rPr>
        <w:t>循化和兰州四个水文站为研究对象：唐乃亥站位于黄河源区附近，是上游重要控制站，可反映源区水文变化特征；贵德站处于峡谷与盆地过渡带，</w:t>
      </w:r>
      <w:r>
        <w:rPr>
          <w:rFonts w:hint="eastAsia"/>
          <w:highlight w:val="white"/>
        </w:rPr>
        <w:t>具有代表性的</w:t>
      </w:r>
      <w:r>
        <w:rPr>
          <w:highlight w:val="white"/>
        </w:rPr>
        <w:t>水文</w:t>
      </w:r>
      <w:r>
        <w:rPr>
          <w:rFonts w:hint="eastAsia"/>
          <w:highlight w:val="white"/>
        </w:rPr>
        <w:t>特征</w:t>
      </w:r>
      <w:r>
        <w:rPr>
          <w:highlight w:val="white"/>
        </w:rPr>
        <w:t>；循化站位于黄河干流关键节点，可揭示区域径流及泥沙演变规律；兰州站为河源</w:t>
      </w:r>
      <w:r>
        <w:rPr>
          <w:rFonts w:hint="eastAsia"/>
          <w:highlight w:val="white"/>
        </w:rPr>
        <w:t>—</w:t>
      </w:r>
      <w:r>
        <w:rPr>
          <w:highlight w:val="white"/>
        </w:rPr>
        <w:t>兰州段末端的重要控制站，控制流域面积大，对上游水资源管理与调控具有重要意义。四个水文站的基本资料</w:t>
      </w:r>
      <w:r>
        <w:rPr>
          <w:rFonts w:hint="eastAsia"/>
          <w:highlight w:val="white"/>
        </w:rPr>
        <w:t>如</w:t>
      </w:r>
      <w:r>
        <w:rPr>
          <w:highlight w:val="white"/>
        </w:rPr>
        <w:t>表1</w:t>
      </w:r>
      <w:r>
        <w:rPr>
          <w:rFonts w:hint="eastAsia"/>
          <w:highlight w:val="white"/>
        </w:rPr>
        <w:t>所列</w:t>
      </w:r>
      <w:r>
        <w:rPr>
          <w:highlight w:val="white"/>
        </w:rPr>
        <w:t>，地理位置</w:t>
      </w:r>
      <w:r>
        <w:rPr>
          <w:rFonts w:hint="eastAsia"/>
          <w:highlight w:val="white"/>
        </w:rPr>
        <w:t>如</w:t>
      </w:r>
      <w:r>
        <w:rPr>
          <w:highlight w:val="white"/>
        </w:rPr>
        <w:t>图2</w:t>
      </w:r>
      <w:r>
        <w:rPr>
          <w:rFonts w:hint="eastAsia"/>
          <w:highlight w:val="white"/>
        </w:rPr>
        <w:t>所示。</w:t>
      </w:r>
      <w:bookmarkEnd w:id="190"/>
    </w:p>
    <w:p w14:paraId="211C4521">
      <w:pPr>
        <w:pStyle w:val="57"/>
      </w:pPr>
      <w:bookmarkStart w:id="191" w:name="中文表序_1"/>
      <w:bookmarkStart w:id="192" w:name="中文表题_2"/>
      <w:r>
        <w:rPr>
          <w:rFonts w:hint="eastAsia"/>
          <w:highlight w:val="white"/>
        </w:rPr>
        <w:t>表1</w:t>
      </w:r>
      <w:bookmarkEnd w:id="191"/>
      <w:r>
        <w:rPr>
          <w:rFonts w:hint="eastAsia"/>
          <w:highlight w:val="white"/>
        </w:rPr>
        <w:t xml:space="preserve"> 黄河上游四个水文站基本资料</w:t>
      </w:r>
      <w:bookmarkEnd w:id="192"/>
    </w:p>
    <w:p w14:paraId="5494C260">
      <w:pPr>
        <w:pStyle w:val="57"/>
      </w:pPr>
      <w:bookmarkStart w:id="193" w:name="英文表序_3"/>
      <w:bookmarkStart w:id="194" w:name="英文表题_2"/>
      <w:r>
        <w:rPr>
          <w:highlight w:val="white"/>
        </w:rPr>
        <w:t>Table</w:t>
      </w:r>
      <w:bookmarkEnd w:id="193"/>
      <w:r>
        <w:rPr>
          <w:highlight w:val="white"/>
        </w:rPr>
        <w:t xml:space="preserve"> 1</w:t>
      </w:r>
      <w:r>
        <w:rPr>
          <w:rFonts w:hint="eastAsia"/>
          <w:highlight w:val="white"/>
        </w:rPr>
        <w:t xml:space="preserve"> </w:t>
      </w:r>
      <w:r>
        <w:rPr>
          <w:highlight w:val="white"/>
        </w:rPr>
        <w:t xml:space="preserve">Basic information of four hydrological stations in </w:t>
      </w:r>
      <w:r>
        <w:rPr>
          <w:rFonts w:hint="eastAsia"/>
          <w:highlight w:val="white"/>
        </w:rPr>
        <w:t xml:space="preserve">the </w:t>
      </w:r>
      <w:r>
        <w:rPr>
          <w:highlight w:val="white"/>
        </w:rPr>
        <w:t xml:space="preserve">upper </w:t>
      </w:r>
      <w:r>
        <w:rPr>
          <w:rFonts w:hint="eastAsia"/>
          <w:highlight w:val="white"/>
        </w:rPr>
        <w:t xml:space="preserve">reaches of </w:t>
      </w:r>
      <w:r>
        <w:rPr>
          <w:highlight w:val="white"/>
        </w:rPr>
        <w:t>Yellow River Basin</w:t>
      </w:r>
      <w:bookmarkEnd w:id="194"/>
    </w:p>
    <w:tbl>
      <w:tblPr>
        <w:tblStyle w:val="58"/>
        <w:tblW w:w="5000" w:type="pct"/>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21"/>
        <w:gridCol w:w="955"/>
        <w:gridCol w:w="1192"/>
        <w:gridCol w:w="2280"/>
        <w:gridCol w:w="2108"/>
        <w:gridCol w:w="1272"/>
      </w:tblGrid>
      <w:tr w14:paraId="1AFA9525">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23" w:type="pct"/>
            <w:tcBorders>
              <w:top w:val="single" w:color="auto" w:sz="12" w:space="0"/>
              <w:left w:val="nil"/>
              <w:bottom w:val="single" w:color="auto" w:sz="4" w:space="0"/>
              <w:right w:val="nil"/>
              <w:insideH w:val="single" w:sz="4" w:space="0"/>
              <w:insideV w:val="nil"/>
              <w:tl2br w:val="nil"/>
              <w:tr2bl w:val="nil"/>
            </w:tcBorders>
            <w:vAlign w:val="center"/>
          </w:tcPr>
          <w:p w14:paraId="69F1D056">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序号</w:t>
            </w:r>
            <w:bookmarkStart w:id="195" w:name="表格_1"/>
          </w:p>
        </w:tc>
        <w:tc>
          <w:tcPr>
            <w:tcW w:w="560" w:type="pct"/>
            <w:tcBorders>
              <w:top w:val="single" w:color="auto" w:sz="12" w:space="0"/>
              <w:bottom w:val="single" w:color="auto" w:sz="4" w:space="0"/>
              <w:right w:val="nil"/>
              <w:insideH w:val="single" w:sz="4" w:space="0"/>
              <w:insideV w:val="nil"/>
              <w:tl2br w:val="nil"/>
              <w:tr2bl w:val="nil"/>
            </w:tcBorders>
            <w:vAlign w:val="center"/>
          </w:tcPr>
          <w:p w14:paraId="7CD26FEB">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水文站</w:t>
            </w:r>
          </w:p>
        </w:tc>
        <w:tc>
          <w:tcPr>
            <w:tcW w:w="699" w:type="pct"/>
            <w:tcBorders>
              <w:top w:val="single" w:color="auto" w:sz="12" w:space="0"/>
              <w:bottom w:val="single" w:color="auto" w:sz="4" w:space="0"/>
              <w:right w:val="nil"/>
              <w:insideH w:val="single" w:sz="4" w:space="0"/>
              <w:insideV w:val="nil"/>
              <w:tl2br w:val="nil"/>
              <w:tr2bl w:val="nil"/>
            </w:tcBorders>
            <w:vAlign w:val="center"/>
          </w:tcPr>
          <w:p w14:paraId="301C942A">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行政区域</w:t>
            </w:r>
          </w:p>
        </w:tc>
        <w:tc>
          <w:tcPr>
            <w:tcW w:w="1337" w:type="pct"/>
            <w:tcBorders>
              <w:top w:val="single" w:color="auto" w:sz="12" w:space="0"/>
              <w:bottom w:val="single" w:color="auto" w:sz="4" w:space="0"/>
              <w:right w:val="nil"/>
              <w:insideH w:val="single" w:sz="4" w:space="0"/>
              <w:insideV w:val="nil"/>
              <w:tl2br w:val="nil"/>
              <w:tr2bl w:val="nil"/>
            </w:tcBorders>
            <w:vAlign w:val="center"/>
          </w:tcPr>
          <w:p w14:paraId="536CEA98">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经纬度</w:t>
            </w:r>
          </w:p>
        </w:tc>
        <w:tc>
          <w:tcPr>
            <w:tcW w:w="1236" w:type="pct"/>
            <w:tcBorders>
              <w:top w:val="single" w:color="auto" w:sz="12" w:space="0"/>
              <w:bottom w:val="single" w:color="auto" w:sz="4" w:space="0"/>
              <w:right w:val="nil"/>
              <w:insideH w:val="single" w:sz="4" w:space="0"/>
              <w:insideV w:val="nil"/>
              <w:tl2br w:val="nil"/>
              <w:tr2bl w:val="nil"/>
            </w:tcBorders>
            <w:vAlign w:val="center"/>
          </w:tcPr>
          <w:p w14:paraId="1470B32C">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控制流域面积</w:t>
            </w:r>
            <w:r>
              <w:rPr>
                <w:rFonts w:ascii="Times New Roman" w:hAnsi="Times New Roman" w:eastAsia="宋体"/>
                <w:b w:val="0"/>
                <w:i w:val="0"/>
                <w:sz w:val="15"/>
                <w:szCs w:val="15"/>
              </w:rPr>
              <w:t>/km²</w:t>
            </w:r>
          </w:p>
        </w:tc>
        <w:tc>
          <w:tcPr>
            <w:tcW w:w="745" w:type="pct"/>
            <w:tcBorders>
              <w:top w:val="single" w:color="auto" w:sz="12" w:space="0"/>
              <w:bottom w:val="single" w:color="auto" w:sz="4" w:space="0"/>
              <w:right w:val="nil"/>
              <w:insideH w:val="single" w:sz="4" w:space="0"/>
              <w:insideV w:val="nil"/>
              <w:tl2br w:val="nil"/>
              <w:tr2bl w:val="nil"/>
            </w:tcBorders>
            <w:vAlign w:val="center"/>
          </w:tcPr>
          <w:p w14:paraId="42964C51">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数据年份</w:t>
            </w:r>
          </w:p>
        </w:tc>
      </w:tr>
      <w:tr w14:paraId="4B6C9537">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23" w:type="pct"/>
            <w:vAlign w:val="center"/>
          </w:tcPr>
          <w:p w14:paraId="1A387E7E">
            <w:pPr>
              <w:adjustRightInd/>
              <w:snapToGrid/>
              <w:ind w:firstLine="0" w:firstLineChars="0"/>
              <w:jc w:val="center"/>
              <w:rPr>
                <w:sz w:val="15"/>
                <w:szCs w:val="15"/>
              </w:rPr>
            </w:pPr>
            <w:r>
              <w:rPr>
                <w:sz w:val="15"/>
                <w:szCs w:val="15"/>
              </w:rPr>
              <w:t>1</w:t>
            </w:r>
          </w:p>
        </w:tc>
        <w:tc>
          <w:tcPr>
            <w:tcW w:w="560" w:type="pct"/>
            <w:vAlign w:val="center"/>
          </w:tcPr>
          <w:p w14:paraId="04595748">
            <w:pPr>
              <w:adjustRightInd/>
              <w:snapToGrid/>
              <w:ind w:firstLine="0" w:firstLineChars="0"/>
              <w:jc w:val="center"/>
              <w:rPr>
                <w:sz w:val="15"/>
                <w:szCs w:val="15"/>
              </w:rPr>
            </w:pPr>
            <w:r>
              <w:rPr>
                <w:rFonts w:hint="eastAsia"/>
                <w:sz w:val="15"/>
                <w:szCs w:val="15"/>
              </w:rPr>
              <w:t>唐乃亥</w:t>
            </w:r>
          </w:p>
        </w:tc>
        <w:tc>
          <w:tcPr>
            <w:tcW w:w="699" w:type="pct"/>
            <w:vAlign w:val="center"/>
          </w:tcPr>
          <w:p w14:paraId="72761EC6">
            <w:pPr>
              <w:adjustRightInd/>
              <w:snapToGrid/>
              <w:ind w:firstLine="0" w:firstLineChars="0"/>
              <w:jc w:val="center"/>
              <w:rPr>
                <w:sz w:val="15"/>
                <w:szCs w:val="15"/>
              </w:rPr>
            </w:pPr>
            <w:r>
              <w:rPr>
                <w:rFonts w:hint="eastAsia"/>
                <w:sz w:val="15"/>
                <w:szCs w:val="15"/>
              </w:rPr>
              <w:t>青海省</w:t>
            </w:r>
          </w:p>
        </w:tc>
        <w:tc>
          <w:tcPr>
            <w:tcW w:w="1337" w:type="pct"/>
            <w:vAlign w:val="center"/>
          </w:tcPr>
          <w:p w14:paraId="388785EB">
            <w:pPr>
              <w:adjustRightInd/>
              <w:snapToGrid/>
              <w:ind w:firstLine="0" w:firstLineChars="0"/>
              <w:jc w:val="center"/>
              <w:rPr>
                <w:sz w:val="15"/>
                <w:szCs w:val="15"/>
              </w:rPr>
            </w:pPr>
            <w:r>
              <w:rPr>
                <w:sz w:val="15"/>
                <w:szCs w:val="15"/>
              </w:rPr>
              <w:t>35°30′</w:t>
            </w:r>
            <w:r>
              <w:rPr>
                <w:rFonts w:hint="eastAsia"/>
                <w:sz w:val="15"/>
                <w:szCs w:val="15"/>
              </w:rPr>
              <w:t xml:space="preserve"> </w:t>
            </w:r>
            <w:r>
              <w:rPr>
                <w:sz w:val="15"/>
                <w:szCs w:val="15"/>
              </w:rPr>
              <w:t>N</w:t>
            </w:r>
            <w:r>
              <w:rPr>
                <w:rFonts w:hint="eastAsia"/>
                <w:sz w:val="15"/>
                <w:szCs w:val="15"/>
              </w:rPr>
              <w:t>，</w:t>
            </w:r>
            <w:r>
              <w:rPr>
                <w:sz w:val="15"/>
                <w:szCs w:val="15"/>
              </w:rPr>
              <w:t>100°09′</w:t>
            </w:r>
            <w:r>
              <w:rPr>
                <w:rFonts w:hint="eastAsia"/>
                <w:sz w:val="15"/>
                <w:szCs w:val="15"/>
              </w:rPr>
              <w:t xml:space="preserve"> </w:t>
            </w:r>
            <w:r>
              <w:rPr>
                <w:sz w:val="15"/>
                <w:szCs w:val="15"/>
              </w:rPr>
              <w:t>E</w:t>
            </w:r>
          </w:p>
        </w:tc>
        <w:tc>
          <w:tcPr>
            <w:tcW w:w="1236" w:type="pct"/>
            <w:vAlign w:val="center"/>
          </w:tcPr>
          <w:p w14:paraId="4229691B">
            <w:pPr>
              <w:adjustRightInd/>
              <w:snapToGrid/>
              <w:ind w:firstLine="0" w:firstLineChars="0"/>
              <w:jc w:val="center"/>
              <w:rPr>
                <w:sz w:val="15"/>
                <w:szCs w:val="15"/>
              </w:rPr>
            </w:pPr>
            <w:r>
              <w:rPr>
                <w:sz w:val="15"/>
                <w:szCs w:val="15"/>
              </w:rPr>
              <w:t>121972</w:t>
            </w:r>
          </w:p>
        </w:tc>
        <w:tc>
          <w:tcPr>
            <w:tcW w:w="745" w:type="pct"/>
            <w:vAlign w:val="center"/>
          </w:tcPr>
          <w:p w14:paraId="49B1F764">
            <w:pPr>
              <w:adjustRightInd/>
              <w:snapToGrid/>
              <w:ind w:firstLine="0" w:firstLineChars="0"/>
              <w:jc w:val="center"/>
              <w:rPr>
                <w:sz w:val="15"/>
                <w:szCs w:val="15"/>
              </w:rPr>
            </w:pPr>
            <w:r>
              <w:rPr>
                <w:sz w:val="15"/>
                <w:szCs w:val="15"/>
              </w:rPr>
              <w:t>1956</w:t>
            </w:r>
            <w:r>
              <w:rPr>
                <w:rFonts w:hint="eastAsia"/>
                <w:sz w:val="15"/>
                <w:szCs w:val="15"/>
              </w:rPr>
              <w:t>—</w:t>
            </w:r>
            <w:r>
              <w:rPr>
                <w:sz w:val="15"/>
                <w:szCs w:val="15"/>
              </w:rPr>
              <w:t>2022</w:t>
            </w:r>
          </w:p>
        </w:tc>
      </w:tr>
      <w:tr w14:paraId="46B93EAC">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23" w:type="pct"/>
            <w:vAlign w:val="center"/>
          </w:tcPr>
          <w:p w14:paraId="1FA52950">
            <w:pPr>
              <w:adjustRightInd/>
              <w:snapToGrid/>
              <w:ind w:firstLine="0" w:firstLineChars="0"/>
              <w:jc w:val="center"/>
              <w:rPr>
                <w:sz w:val="15"/>
                <w:szCs w:val="15"/>
              </w:rPr>
            </w:pPr>
            <w:r>
              <w:rPr>
                <w:sz w:val="15"/>
                <w:szCs w:val="15"/>
              </w:rPr>
              <w:t>2</w:t>
            </w:r>
          </w:p>
        </w:tc>
        <w:tc>
          <w:tcPr>
            <w:tcW w:w="560" w:type="pct"/>
            <w:vAlign w:val="center"/>
          </w:tcPr>
          <w:p w14:paraId="1E2E9CBC">
            <w:pPr>
              <w:adjustRightInd/>
              <w:snapToGrid/>
              <w:ind w:firstLine="0" w:firstLineChars="0"/>
              <w:jc w:val="center"/>
              <w:rPr>
                <w:sz w:val="15"/>
                <w:szCs w:val="15"/>
              </w:rPr>
            </w:pPr>
            <w:r>
              <w:rPr>
                <w:rFonts w:hint="eastAsia"/>
                <w:sz w:val="15"/>
                <w:szCs w:val="15"/>
              </w:rPr>
              <w:t>贵德</w:t>
            </w:r>
          </w:p>
        </w:tc>
        <w:tc>
          <w:tcPr>
            <w:tcW w:w="699" w:type="pct"/>
            <w:vAlign w:val="center"/>
          </w:tcPr>
          <w:p w14:paraId="7D3F9463">
            <w:pPr>
              <w:adjustRightInd/>
              <w:snapToGrid/>
              <w:ind w:firstLine="0" w:firstLineChars="0"/>
              <w:jc w:val="center"/>
              <w:rPr>
                <w:sz w:val="15"/>
                <w:szCs w:val="15"/>
              </w:rPr>
            </w:pPr>
            <w:r>
              <w:rPr>
                <w:rFonts w:hint="eastAsia"/>
                <w:sz w:val="15"/>
                <w:szCs w:val="15"/>
              </w:rPr>
              <w:t>青海省</w:t>
            </w:r>
          </w:p>
        </w:tc>
        <w:tc>
          <w:tcPr>
            <w:tcW w:w="1337" w:type="pct"/>
            <w:vAlign w:val="center"/>
          </w:tcPr>
          <w:p w14:paraId="0B2C8DBC">
            <w:pPr>
              <w:adjustRightInd/>
              <w:snapToGrid/>
              <w:ind w:firstLine="0" w:firstLineChars="0"/>
              <w:jc w:val="center"/>
              <w:rPr>
                <w:sz w:val="15"/>
                <w:szCs w:val="15"/>
              </w:rPr>
            </w:pPr>
            <w:r>
              <w:rPr>
                <w:sz w:val="15"/>
                <w:szCs w:val="15"/>
              </w:rPr>
              <w:t>36°02′</w:t>
            </w:r>
            <w:r>
              <w:rPr>
                <w:rFonts w:hint="eastAsia"/>
                <w:sz w:val="15"/>
                <w:szCs w:val="15"/>
              </w:rPr>
              <w:t xml:space="preserve"> </w:t>
            </w:r>
            <w:r>
              <w:rPr>
                <w:sz w:val="15"/>
                <w:szCs w:val="15"/>
              </w:rPr>
              <w:t>N</w:t>
            </w:r>
            <w:r>
              <w:rPr>
                <w:rFonts w:hint="eastAsia"/>
                <w:sz w:val="15"/>
                <w:szCs w:val="15"/>
              </w:rPr>
              <w:t>，</w:t>
            </w:r>
            <w:r>
              <w:rPr>
                <w:sz w:val="15"/>
                <w:szCs w:val="15"/>
              </w:rPr>
              <w:t>101°24′</w:t>
            </w:r>
            <w:r>
              <w:rPr>
                <w:rFonts w:hint="eastAsia"/>
                <w:sz w:val="15"/>
                <w:szCs w:val="15"/>
              </w:rPr>
              <w:t xml:space="preserve"> </w:t>
            </w:r>
            <w:r>
              <w:rPr>
                <w:sz w:val="15"/>
                <w:szCs w:val="15"/>
              </w:rPr>
              <w:t>E</w:t>
            </w:r>
          </w:p>
        </w:tc>
        <w:tc>
          <w:tcPr>
            <w:tcW w:w="1236" w:type="pct"/>
            <w:vAlign w:val="center"/>
          </w:tcPr>
          <w:p w14:paraId="47460AD6">
            <w:pPr>
              <w:adjustRightInd/>
              <w:snapToGrid/>
              <w:ind w:firstLine="0" w:firstLineChars="0"/>
              <w:jc w:val="center"/>
              <w:rPr>
                <w:sz w:val="15"/>
                <w:szCs w:val="15"/>
              </w:rPr>
            </w:pPr>
            <w:r>
              <w:rPr>
                <w:sz w:val="15"/>
                <w:szCs w:val="15"/>
              </w:rPr>
              <w:t>133650</w:t>
            </w:r>
          </w:p>
        </w:tc>
        <w:tc>
          <w:tcPr>
            <w:tcW w:w="745" w:type="pct"/>
            <w:vAlign w:val="center"/>
          </w:tcPr>
          <w:p w14:paraId="651A8DA7">
            <w:pPr>
              <w:adjustRightInd/>
              <w:snapToGrid/>
              <w:ind w:firstLine="0" w:firstLineChars="0"/>
              <w:jc w:val="center"/>
              <w:rPr>
                <w:sz w:val="15"/>
                <w:szCs w:val="15"/>
              </w:rPr>
            </w:pPr>
            <w:r>
              <w:rPr>
                <w:sz w:val="15"/>
                <w:szCs w:val="15"/>
              </w:rPr>
              <w:t>1956</w:t>
            </w:r>
            <w:r>
              <w:rPr>
                <w:rFonts w:hint="eastAsia"/>
                <w:sz w:val="15"/>
                <w:szCs w:val="15"/>
              </w:rPr>
              <w:t>—</w:t>
            </w:r>
            <w:r>
              <w:rPr>
                <w:sz w:val="15"/>
                <w:szCs w:val="15"/>
              </w:rPr>
              <w:t>2022</w:t>
            </w:r>
          </w:p>
        </w:tc>
      </w:tr>
      <w:tr w14:paraId="475D6CEE">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23" w:type="pct"/>
            <w:vAlign w:val="center"/>
          </w:tcPr>
          <w:p w14:paraId="4BA621C1">
            <w:pPr>
              <w:adjustRightInd/>
              <w:snapToGrid/>
              <w:ind w:firstLine="0" w:firstLineChars="0"/>
              <w:jc w:val="center"/>
              <w:rPr>
                <w:sz w:val="15"/>
                <w:szCs w:val="15"/>
              </w:rPr>
            </w:pPr>
            <w:r>
              <w:rPr>
                <w:sz w:val="15"/>
                <w:szCs w:val="15"/>
              </w:rPr>
              <w:t>3</w:t>
            </w:r>
          </w:p>
        </w:tc>
        <w:tc>
          <w:tcPr>
            <w:tcW w:w="560" w:type="pct"/>
            <w:vAlign w:val="center"/>
          </w:tcPr>
          <w:p w14:paraId="3F69B7B7">
            <w:pPr>
              <w:adjustRightInd/>
              <w:snapToGrid/>
              <w:ind w:firstLine="0" w:firstLineChars="0"/>
              <w:jc w:val="center"/>
              <w:rPr>
                <w:sz w:val="15"/>
                <w:szCs w:val="15"/>
              </w:rPr>
            </w:pPr>
            <w:r>
              <w:rPr>
                <w:rFonts w:hint="eastAsia"/>
                <w:sz w:val="15"/>
                <w:szCs w:val="15"/>
              </w:rPr>
              <w:t>循化</w:t>
            </w:r>
          </w:p>
        </w:tc>
        <w:tc>
          <w:tcPr>
            <w:tcW w:w="699" w:type="pct"/>
            <w:vAlign w:val="center"/>
          </w:tcPr>
          <w:p w14:paraId="55B9AFB6">
            <w:pPr>
              <w:adjustRightInd/>
              <w:snapToGrid/>
              <w:ind w:firstLine="0" w:firstLineChars="0"/>
              <w:jc w:val="center"/>
              <w:rPr>
                <w:sz w:val="15"/>
                <w:szCs w:val="15"/>
              </w:rPr>
            </w:pPr>
            <w:r>
              <w:rPr>
                <w:rFonts w:hint="eastAsia"/>
                <w:sz w:val="15"/>
                <w:szCs w:val="15"/>
              </w:rPr>
              <w:t>青海省</w:t>
            </w:r>
          </w:p>
        </w:tc>
        <w:tc>
          <w:tcPr>
            <w:tcW w:w="1337" w:type="pct"/>
            <w:vAlign w:val="center"/>
          </w:tcPr>
          <w:p w14:paraId="4F96B6DA">
            <w:pPr>
              <w:adjustRightInd/>
              <w:snapToGrid/>
              <w:ind w:firstLine="0" w:firstLineChars="0"/>
              <w:jc w:val="center"/>
              <w:rPr>
                <w:sz w:val="15"/>
                <w:szCs w:val="15"/>
              </w:rPr>
            </w:pPr>
            <w:r>
              <w:rPr>
                <w:sz w:val="15"/>
                <w:szCs w:val="15"/>
              </w:rPr>
              <w:t>35°50′</w:t>
            </w:r>
            <w:r>
              <w:rPr>
                <w:rFonts w:hint="eastAsia"/>
                <w:sz w:val="15"/>
                <w:szCs w:val="15"/>
              </w:rPr>
              <w:t xml:space="preserve"> </w:t>
            </w:r>
            <w:r>
              <w:rPr>
                <w:sz w:val="15"/>
                <w:szCs w:val="15"/>
              </w:rPr>
              <w:t>N</w:t>
            </w:r>
            <w:r>
              <w:rPr>
                <w:rFonts w:hint="eastAsia"/>
                <w:sz w:val="15"/>
                <w:szCs w:val="15"/>
              </w:rPr>
              <w:t>，</w:t>
            </w:r>
            <w:r>
              <w:rPr>
                <w:sz w:val="15"/>
                <w:szCs w:val="15"/>
              </w:rPr>
              <w:t>102°30′</w:t>
            </w:r>
            <w:r>
              <w:rPr>
                <w:rFonts w:hint="eastAsia"/>
                <w:sz w:val="15"/>
                <w:szCs w:val="15"/>
              </w:rPr>
              <w:t xml:space="preserve"> </w:t>
            </w:r>
            <w:r>
              <w:rPr>
                <w:sz w:val="15"/>
                <w:szCs w:val="15"/>
              </w:rPr>
              <w:t>E</w:t>
            </w:r>
          </w:p>
        </w:tc>
        <w:tc>
          <w:tcPr>
            <w:tcW w:w="1236" w:type="pct"/>
            <w:vAlign w:val="center"/>
          </w:tcPr>
          <w:p w14:paraId="63F1ABF3">
            <w:pPr>
              <w:adjustRightInd/>
              <w:snapToGrid/>
              <w:ind w:firstLine="0" w:firstLineChars="0"/>
              <w:jc w:val="center"/>
              <w:rPr>
                <w:sz w:val="15"/>
                <w:szCs w:val="15"/>
              </w:rPr>
            </w:pPr>
            <w:r>
              <w:rPr>
                <w:sz w:val="15"/>
                <w:szCs w:val="15"/>
              </w:rPr>
              <w:t>145459</w:t>
            </w:r>
          </w:p>
        </w:tc>
        <w:tc>
          <w:tcPr>
            <w:tcW w:w="745" w:type="pct"/>
            <w:vAlign w:val="center"/>
          </w:tcPr>
          <w:p w14:paraId="495E728D">
            <w:pPr>
              <w:adjustRightInd/>
              <w:snapToGrid/>
              <w:ind w:firstLine="0" w:firstLineChars="0"/>
              <w:jc w:val="center"/>
              <w:rPr>
                <w:sz w:val="15"/>
                <w:szCs w:val="15"/>
              </w:rPr>
            </w:pPr>
            <w:r>
              <w:rPr>
                <w:sz w:val="15"/>
                <w:szCs w:val="15"/>
              </w:rPr>
              <w:t>1956</w:t>
            </w:r>
            <w:r>
              <w:rPr>
                <w:rFonts w:hint="eastAsia"/>
                <w:sz w:val="15"/>
                <w:szCs w:val="15"/>
              </w:rPr>
              <w:t>—</w:t>
            </w:r>
            <w:r>
              <w:rPr>
                <w:sz w:val="15"/>
                <w:szCs w:val="15"/>
              </w:rPr>
              <w:t>2022</w:t>
            </w:r>
          </w:p>
        </w:tc>
      </w:tr>
      <w:tr w14:paraId="683754CB">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23" w:type="pct"/>
            <w:vAlign w:val="center"/>
          </w:tcPr>
          <w:p w14:paraId="6628BAE7">
            <w:pPr>
              <w:adjustRightInd/>
              <w:snapToGrid/>
              <w:ind w:firstLine="0" w:firstLineChars="0"/>
              <w:jc w:val="center"/>
              <w:rPr>
                <w:sz w:val="15"/>
                <w:szCs w:val="15"/>
              </w:rPr>
            </w:pPr>
            <w:r>
              <w:rPr>
                <w:sz w:val="15"/>
                <w:szCs w:val="15"/>
              </w:rPr>
              <w:t>4</w:t>
            </w:r>
          </w:p>
        </w:tc>
        <w:tc>
          <w:tcPr>
            <w:tcW w:w="560" w:type="pct"/>
            <w:vAlign w:val="center"/>
          </w:tcPr>
          <w:p w14:paraId="439724F5">
            <w:pPr>
              <w:adjustRightInd/>
              <w:snapToGrid/>
              <w:ind w:firstLine="0" w:firstLineChars="0"/>
              <w:jc w:val="center"/>
              <w:rPr>
                <w:sz w:val="15"/>
                <w:szCs w:val="15"/>
              </w:rPr>
            </w:pPr>
            <w:r>
              <w:rPr>
                <w:rFonts w:hint="eastAsia"/>
                <w:sz w:val="15"/>
                <w:szCs w:val="15"/>
              </w:rPr>
              <w:t>兰州</w:t>
            </w:r>
          </w:p>
        </w:tc>
        <w:tc>
          <w:tcPr>
            <w:tcW w:w="699" w:type="pct"/>
            <w:vAlign w:val="center"/>
          </w:tcPr>
          <w:p w14:paraId="18719A35">
            <w:pPr>
              <w:adjustRightInd/>
              <w:snapToGrid/>
              <w:ind w:firstLine="0" w:firstLineChars="0"/>
              <w:jc w:val="center"/>
              <w:rPr>
                <w:sz w:val="15"/>
                <w:szCs w:val="15"/>
              </w:rPr>
            </w:pPr>
            <w:r>
              <w:rPr>
                <w:rFonts w:hint="eastAsia"/>
                <w:sz w:val="15"/>
                <w:szCs w:val="15"/>
              </w:rPr>
              <w:t>甘肃省</w:t>
            </w:r>
          </w:p>
        </w:tc>
        <w:tc>
          <w:tcPr>
            <w:tcW w:w="1337" w:type="pct"/>
            <w:vAlign w:val="center"/>
          </w:tcPr>
          <w:p w14:paraId="59359681">
            <w:pPr>
              <w:adjustRightInd/>
              <w:snapToGrid/>
              <w:ind w:firstLine="0" w:firstLineChars="0"/>
              <w:jc w:val="center"/>
              <w:rPr>
                <w:sz w:val="15"/>
                <w:szCs w:val="15"/>
              </w:rPr>
            </w:pPr>
            <w:r>
              <w:rPr>
                <w:sz w:val="15"/>
                <w:szCs w:val="15"/>
              </w:rPr>
              <w:t>36°04′</w:t>
            </w:r>
            <w:r>
              <w:rPr>
                <w:rFonts w:hint="eastAsia"/>
                <w:sz w:val="15"/>
                <w:szCs w:val="15"/>
              </w:rPr>
              <w:t xml:space="preserve"> </w:t>
            </w:r>
            <w:r>
              <w:rPr>
                <w:sz w:val="15"/>
                <w:szCs w:val="15"/>
              </w:rPr>
              <w:t>N</w:t>
            </w:r>
            <w:r>
              <w:rPr>
                <w:rFonts w:hint="eastAsia"/>
                <w:sz w:val="15"/>
                <w:szCs w:val="15"/>
              </w:rPr>
              <w:t>，</w:t>
            </w:r>
            <w:r>
              <w:rPr>
                <w:sz w:val="15"/>
                <w:szCs w:val="15"/>
              </w:rPr>
              <w:t>103°49′</w:t>
            </w:r>
            <w:r>
              <w:rPr>
                <w:rFonts w:hint="eastAsia"/>
                <w:sz w:val="15"/>
                <w:szCs w:val="15"/>
              </w:rPr>
              <w:t xml:space="preserve"> </w:t>
            </w:r>
            <w:r>
              <w:rPr>
                <w:sz w:val="15"/>
                <w:szCs w:val="15"/>
              </w:rPr>
              <w:t>E</w:t>
            </w:r>
          </w:p>
        </w:tc>
        <w:tc>
          <w:tcPr>
            <w:tcW w:w="1236" w:type="pct"/>
            <w:vAlign w:val="center"/>
          </w:tcPr>
          <w:p w14:paraId="77DBB5FE">
            <w:pPr>
              <w:adjustRightInd/>
              <w:snapToGrid/>
              <w:ind w:firstLine="0" w:firstLineChars="0"/>
              <w:jc w:val="center"/>
              <w:rPr>
                <w:sz w:val="15"/>
                <w:szCs w:val="15"/>
              </w:rPr>
            </w:pPr>
            <w:r>
              <w:rPr>
                <w:sz w:val="15"/>
                <w:szCs w:val="15"/>
              </w:rPr>
              <w:t>222</w:t>
            </w:r>
            <w:r>
              <w:rPr>
                <w:rFonts w:hint="eastAsia"/>
                <w:sz w:val="15"/>
                <w:szCs w:val="15"/>
              </w:rPr>
              <w:t>551</w:t>
            </w:r>
          </w:p>
        </w:tc>
        <w:tc>
          <w:tcPr>
            <w:tcW w:w="745" w:type="pct"/>
            <w:vAlign w:val="center"/>
          </w:tcPr>
          <w:p w14:paraId="42E1B707">
            <w:pPr>
              <w:adjustRightInd/>
              <w:snapToGrid/>
              <w:ind w:firstLine="0" w:firstLineChars="0"/>
              <w:jc w:val="center"/>
              <w:rPr>
                <w:sz w:val="15"/>
                <w:szCs w:val="15"/>
              </w:rPr>
            </w:pPr>
            <w:r>
              <w:rPr>
                <w:sz w:val="15"/>
                <w:szCs w:val="15"/>
              </w:rPr>
              <w:t>1956</w:t>
            </w:r>
            <w:r>
              <w:rPr>
                <w:rFonts w:hint="eastAsia"/>
                <w:sz w:val="15"/>
                <w:szCs w:val="15"/>
              </w:rPr>
              <w:t>—</w:t>
            </w:r>
            <w:r>
              <w:rPr>
                <w:sz w:val="15"/>
                <w:szCs w:val="15"/>
              </w:rPr>
              <w:t>2022</w:t>
            </w:r>
            <w:bookmarkEnd w:id="195"/>
          </w:p>
        </w:tc>
      </w:tr>
    </w:tbl>
    <w:p w14:paraId="2DBCD400">
      <w:pPr>
        <w:pStyle w:val="57"/>
      </w:pPr>
      <w:r>
        <w:drawing>
          <wp:inline distT="0" distB="0" distL="0" distR="0">
            <wp:extent cx="2591435" cy="1831975"/>
            <wp:effectExtent l="0" t="0" r="0" b="0"/>
            <wp:docPr id="1540524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24541" name="图片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a:xfrm>
                      <a:off x="0" y="0"/>
                      <a:ext cx="2592000" cy="1832050"/>
                    </a:xfrm>
                    <a:prstGeom prst="rect">
                      <a:avLst/>
                    </a:prstGeom>
                    <a:noFill/>
                    <a:ln>
                      <a:noFill/>
                    </a:ln>
                  </pic:spPr>
                </pic:pic>
              </a:graphicData>
            </a:graphic>
          </wp:inline>
        </w:drawing>
      </w:r>
    </w:p>
    <w:p w14:paraId="401DDF30">
      <w:pPr>
        <w:pStyle w:val="57"/>
      </w:pPr>
      <w:bookmarkStart w:id="196" w:name="中文图序_2"/>
      <w:bookmarkStart w:id="197" w:name="中文图题_2"/>
      <w:r>
        <w:rPr>
          <w:rFonts w:hint="eastAsia"/>
          <w:highlight w:val="white"/>
        </w:rPr>
        <w:t>图2</w:t>
      </w:r>
      <w:bookmarkEnd w:id="196"/>
      <w:r>
        <w:rPr>
          <w:highlight w:val="white"/>
        </w:rPr>
        <w:t xml:space="preserve"> </w:t>
      </w:r>
      <w:r>
        <w:rPr>
          <w:rFonts w:hint="eastAsia"/>
          <w:highlight w:val="white"/>
        </w:rPr>
        <w:t>黄河上游四个水文站地理位置</w:t>
      </w:r>
      <w:bookmarkEnd w:id="197"/>
    </w:p>
    <w:p w14:paraId="55081073">
      <w:pPr>
        <w:pStyle w:val="57"/>
      </w:pPr>
      <w:bookmarkStart w:id="198" w:name="英文图序_14"/>
      <w:bookmarkStart w:id="199" w:name="英文图题_2"/>
      <w:r>
        <w:rPr>
          <w:highlight w:val="white"/>
        </w:rPr>
        <w:t>Fig.2</w:t>
      </w:r>
      <w:bookmarkEnd w:id="198"/>
      <w:r>
        <w:rPr>
          <w:rFonts w:hint="eastAsia"/>
          <w:highlight w:val="white"/>
        </w:rPr>
        <w:t xml:space="preserve"> </w:t>
      </w:r>
      <w:r>
        <w:rPr>
          <w:highlight w:val="white"/>
        </w:rPr>
        <w:t xml:space="preserve">Geographical locations of four hydrological stations in </w:t>
      </w:r>
      <w:r>
        <w:rPr>
          <w:rFonts w:hint="eastAsia"/>
          <w:highlight w:val="white"/>
        </w:rPr>
        <w:t xml:space="preserve">the </w:t>
      </w:r>
      <w:r>
        <w:rPr>
          <w:highlight w:val="white"/>
        </w:rPr>
        <w:t xml:space="preserve">upper </w:t>
      </w:r>
      <w:r>
        <w:rPr>
          <w:rFonts w:hint="eastAsia"/>
          <w:highlight w:val="white"/>
        </w:rPr>
        <w:t xml:space="preserve">reaches of </w:t>
      </w:r>
      <w:r>
        <w:rPr>
          <w:highlight w:val="white"/>
        </w:rPr>
        <w:t>Yellow River Basin</w:t>
      </w:r>
      <w:bookmarkEnd w:id="199"/>
    </w:p>
    <w:p w14:paraId="316BE7B7">
      <w:pPr>
        <w:pStyle w:val="3"/>
      </w:pPr>
      <w:bookmarkStart w:id="200" w:name="二级标题序号_13"/>
      <w:bookmarkStart w:id="201" w:name="二级标题_14"/>
      <w:r>
        <w:rPr>
          <w:rFonts w:hint="eastAsia"/>
          <w:highlight w:val="white"/>
        </w:rPr>
        <w:t>3.1</w:t>
      </w:r>
      <w:bookmarkEnd w:id="200"/>
      <w:r>
        <w:rPr>
          <w:rFonts w:hint="eastAsia"/>
          <w:highlight w:val="white"/>
        </w:rPr>
        <w:t xml:space="preserve"> 径流序列双层分解</w:t>
      </w:r>
      <w:bookmarkEnd w:id="201"/>
    </w:p>
    <w:p w14:paraId="13A52C74">
      <w:pPr>
        <w:ind w:firstLine="420"/>
      </w:pPr>
      <w:bookmarkStart w:id="202" w:name="正文段落_78"/>
      <w:r>
        <w:rPr>
          <w:rFonts w:hint="eastAsia"/>
          <w:highlight w:val="white"/>
        </w:rPr>
        <w:t>为降低黄河上游四个水文站原始径流序列的整体复杂度，利用ESMD方法对四站年、月径流序列进行初次分解，结果如图3所示。</w:t>
      </w:r>
      <w:r>
        <w:rPr>
          <w:highlight w:val="white"/>
        </w:rPr>
        <w:t>由图</w:t>
      </w:r>
      <w:r>
        <w:rPr>
          <w:rFonts w:hint="eastAsia"/>
          <w:highlight w:val="white"/>
        </w:rPr>
        <w:t>3</w:t>
      </w:r>
      <w:r>
        <w:rPr>
          <w:highlight w:val="white"/>
        </w:rPr>
        <w:t>可知，四站年、月径流序列经ESMD分解后均得到若干个模态分量和1个趋势余项，其中年径流分解为3~4个模态分量，月径流分解为7个模态分量。将各模态分量与趋势余项加和重构后，可得到与原始</w:t>
      </w:r>
      <w:r>
        <w:rPr>
          <w:rFonts w:hint="eastAsia"/>
          <w:highlight w:val="white"/>
        </w:rPr>
        <w:t>径流</w:t>
      </w:r>
      <w:r>
        <w:rPr>
          <w:highlight w:val="white"/>
        </w:rPr>
        <w:t>序列完全一致的重构序列，表明ESMD分解与重构过程可靠，分解结果有效，也为后续各分量预测</w:t>
      </w:r>
      <w:r>
        <w:rPr>
          <w:rFonts w:hint="eastAsia"/>
          <w:highlight w:val="white"/>
        </w:rPr>
        <w:t>、</w:t>
      </w:r>
      <w:r>
        <w:rPr>
          <w:highlight w:val="white"/>
        </w:rPr>
        <w:t>加和重构提供了</w:t>
      </w:r>
      <w:r>
        <w:rPr>
          <w:rFonts w:hint="eastAsia"/>
          <w:highlight w:val="white"/>
        </w:rPr>
        <w:t>理论</w:t>
      </w:r>
      <w:r>
        <w:rPr>
          <w:highlight w:val="white"/>
        </w:rPr>
        <w:t>基础。</w:t>
      </w:r>
      <w:r>
        <w:rPr>
          <w:rFonts w:hint="eastAsia"/>
          <w:highlight w:val="white"/>
        </w:rPr>
        <w:t>分解得到的</w:t>
      </w:r>
      <w:r>
        <w:rPr>
          <w:highlight w:val="white"/>
        </w:rPr>
        <w:t>各分量由</w:t>
      </w:r>
      <w:r>
        <w:rPr>
          <w:rFonts w:hint="eastAsia"/>
          <w:highlight w:val="white"/>
        </w:rPr>
        <w:t>IMF1</w:t>
      </w:r>
      <w:r>
        <w:rPr>
          <w:highlight w:val="white"/>
        </w:rPr>
        <w:t>至</w:t>
      </w:r>
      <w:r>
        <w:rPr>
          <w:rFonts w:hint="eastAsia"/>
          <w:highlight w:val="white"/>
        </w:rPr>
        <w:t>RES依次表现为</w:t>
      </w:r>
      <w:r>
        <w:rPr>
          <w:highlight w:val="white"/>
        </w:rPr>
        <w:t>振荡频率逐步降低、波动幅度逐渐减弱，表明原始径流序列中不同时间尺度的波动成分得到了有效分离。其中，IMF1在年、月尺度上均表现出最强的振荡和波动特征，集中了较多高频扰动与随机信息，是各分量中复杂度最高、预测难度最大的关键分量；相较之下，其余IMF分量及RES变化过程逐渐趋于平缓，规律性相对</w:t>
      </w:r>
      <w:r>
        <w:rPr>
          <w:rFonts w:hint="eastAsia"/>
          <w:highlight w:val="white"/>
        </w:rPr>
        <w:t>较</w:t>
      </w:r>
      <w:r>
        <w:rPr>
          <w:highlight w:val="white"/>
        </w:rPr>
        <w:t>强。</w:t>
      </w:r>
      <w:r>
        <w:rPr>
          <w:rFonts w:hint="eastAsia"/>
          <w:highlight w:val="white"/>
        </w:rPr>
        <w:t>因单一ESN模型预测性能不够稳定，预报精度较低，故</w:t>
      </w:r>
      <w:r>
        <w:rPr>
          <w:highlight w:val="white"/>
        </w:rPr>
        <w:t>对</w:t>
      </w:r>
      <w:r>
        <w:rPr>
          <w:rFonts w:hint="eastAsia"/>
          <w:highlight w:val="white"/>
        </w:rPr>
        <w:t>ESMD分解得到的</w:t>
      </w:r>
      <w:r>
        <w:rPr>
          <w:highlight w:val="white"/>
        </w:rPr>
        <w:t>各分量分别采用GA</w:t>
      </w:r>
      <w:r>
        <w:rPr>
          <w:rFonts w:hint="eastAsia"/>
          <w:highlight w:val="white"/>
        </w:rPr>
        <w:t>-</w:t>
      </w:r>
      <w:r>
        <w:rPr>
          <w:highlight w:val="white"/>
        </w:rPr>
        <w:t>ESN</w:t>
      </w:r>
      <w:r>
        <w:rPr>
          <w:rFonts w:hint="eastAsia"/>
          <w:highlight w:val="white"/>
        </w:rPr>
        <w:t>模型</w:t>
      </w:r>
      <w:r>
        <w:rPr>
          <w:highlight w:val="white"/>
        </w:rPr>
        <w:t>进行预测，并以</w:t>
      </w:r>
      <w:r>
        <w:rPr>
          <w:i/>
          <w:iCs/>
          <w:highlight w:val="white"/>
        </w:rPr>
        <w:t>NSE</w:t>
      </w:r>
      <w:r>
        <w:rPr>
          <w:highlight w:val="white"/>
        </w:rPr>
        <w:t>作为评价指标，结果</w:t>
      </w:r>
      <w:r>
        <w:rPr>
          <w:rFonts w:hint="eastAsia"/>
          <w:highlight w:val="white"/>
        </w:rPr>
        <w:t>如</w:t>
      </w:r>
      <w:r>
        <w:rPr>
          <w:highlight w:val="white"/>
        </w:rPr>
        <w:t>表2</w:t>
      </w:r>
      <w:r>
        <w:rPr>
          <w:rFonts w:hint="eastAsia"/>
          <w:highlight w:val="white"/>
        </w:rPr>
        <w:t>所列</w:t>
      </w:r>
      <w:r>
        <w:rPr>
          <w:highlight w:val="white"/>
        </w:rPr>
        <w:t>。由表2可知，除IMF1外，四站年、月径流其余分量均取得了较高预报精度，其中年径流IMF2</w:t>
      </w:r>
      <w:r>
        <w:rPr>
          <w:rFonts w:hint="eastAsia"/>
          <w:highlight w:val="white"/>
        </w:rPr>
        <w:t>~</w:t>
      </w:r>
      <w:r>
        <w:rPr>
          <w:highlight w:val="white"/>
        </w:rPr>
        <w:t>RES的</w:t>
      </w:r>
      <w:r>
        <w:rPr>
          <w:i/>
          <w:iCs/>
          <w:highlight w:val="white"/>
        </w:rPr>
        <w:t>NSE</w:t>
      </w:r>
      <w:r>
        <w:rPr>
          <w:highlight w:val="white"/>
        </w:rPr>
        <w:t>总体为0.913~0.999，月径流IMF2~RES的</w:t>
      </w:r>
      <w:r>
        <w:rPr>
          <w:i/>
          <w:iCs/>
          <w:highlight w:val="white"/>
        </w:rPr>
        <w:t>NSE</w:t>
      </w:r>
      <w:r>
        <w:rPr>
          <w:highlight w:val="white"/>
        </w:rPr>
        <w:t>总体为0.832~0.999，说明经ESMD分解</w:t>
      </w:r>
      <w:r>
        <w:rPr>
          <w:rFonts w:hint="eastAsia"/>
          <w:highlight w:val="white"/>
        </w:rPr>
        <w:t>得到的</w:t>
      </w:r>
      <w:r>
        <w:rPr>
          <w:highlight w:val="white"/>
        </w:rPr>
        <w:t>中低频分量</w:t>
      </w:r>
      <w:r>
        <w:rPr>
          <w:rFonts w:hint="eastAsia"/>
          <w:highlight w:val="white"/>
        </w:rPr>
        <w:t>和</w:t>
      </w:r>
      <w:r>
        <w:rPr>
          <w:highlight w:val="white"/>
        </w:rPr>
        <w:t>趋势</w:t>
      </w:r>
      <w:r>
        <w:rPr>
          <w:rFonts w:hint="eastAsia"/>
          <w:highlight w:val="white"/>
        </w:rPr>
        <w:t>余</w:t>
      </w:r>
      <w:r>
        <w:rPr>
          <w:highlight w:val="white"/>
        </w:rPr>
        <w:t>项的可预测性较好；相比之下，IMF1的预报效果明显偏低，年径流IMF1的</w:t>
      </w:r>
      <w:r>
        <w:rPr>
          <w:i/>
          <w:iCs/>
          <w:highlight w:val="white"/>
        </w:rPr>
        <w:t>NSE</w:t>
      </w:r>
      <w:r>
        <w:rPr>
          <w:highlight w:val="white"/>
        </w:rPr>
        <w:t>为0.694~0.787，月径流IMF1仅为0.512~0.760，表明IMF1仍保留了较强的高频波动和随机扰动特征，是制约整体预报精度提升的主要分量。</w:t>
      </w:r>
      <w:r>
        <w:rPr>
          <w:rFonts w:hint="eastAsia"/>
          <w:highlight w:val="white"/>
        </w:rPr>
        <w:t>因此，</w:t>
      </w:r>
      <w:r>
        <w:rPr>
          <w:highlight w:val="white"/>
        </w:rPr>
        <w:t>需要对四站 IMF1 进行二次分解，以进一步剥离其中混杂的高频多尺度波动</w:t>
      </w:r>
      <w:r>
        <w:rPr>
          <w:rFonts w:hint="eastAsia"/>
          <w:highlight w:val="white"/>
        </w:rPr>
        <w:t>成分</w:t>
      </w:r>
      <w:r>
        <w:rPr>
          <w:highlight w:val="white"/>
        </w:rPr>
        <w:t>与随机扰动</w:t>
      </w:r>
      <w:r>
        <w:rPr>
          <w:rFonts w:hint="eastAsia"/>
          <w:highlight w:val="white"/>
        </w:rPr>
        <w:t>信息</w:t>
      </w:r>
      <w:r>
        <w:rPr>
          <w:highlight w:val="white"/>
        </w:rPr>
        <w:t>，降低</w:t>
      </w:r>
      <w:r>
        <w:rPr>
          <w:rFonts w:hint="eastAsia"/>
          <w:highlight w:val="white"/>
        </w:rPr>
        <w:t>其</w:t>
      </w:r>
      <w:r>
        <w:rPr>
          <w:highlight w:val="white"/>
        </w:rPr>
        <w:t>非平稳性与</w:t>
      </w:r>
      <w:r>
        <w:rPr>
          <w:rFonts w:hint="eastAsia"/>
          <w:highlight w:val="white"/>
        </w:rPr>
        <w:t xml:space="preserve">复杂度。 </w:t>
      </w:r>
      <w:bookmarkEnd w:id="202"/>
    </w:p>
    <w:p w14:paraId="42A710DE">
      <w:pPr>
        <w:ind w:firstLine="0" w:firstLineChars="0"/>
        <w:jc w:val="center"/>
      </w:pPr>
      <w:bookmarkStart w:id="203" w:name="嵌入式图形_3"/>
      <w:r>
        <w:drawing>
          <wp:inline distT="0" distB="0" distL="0" distR="0">
            <wp:extent cx="5278120" cy="2663825"/>
            <wp:effectExtent l="0" t="0" r="0" b="3175"/>
            <wp:docPr id="12743406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340632" name="图片 1"/>
                    <pic:cNvPicPr>
                      <a:picLocks noChangeAspect="1"/>
                    </pic:cNvPicPr>
                  </pic:nvPicPr>
                  <pic:blipFill>
                    <a:blip r:embed="rId174"/>
                    <a:stretch>
                      <a:fillRect/>
                    </a:stretch>
                  </pic:blipFill>
                  <pic:spPr>
                    <a:xfrm>
                      <a:off x="0" y="0"/>
                      <a:ext cx="5278120" cy="2663825"/>
                    </a:xfrm>
                    <a:prstGeom prst="rect">
                      <a:avLst/>
                    </a:prstGeom>
                  </pic:spPr>
                </pic:pic>
              </a:graphicData>
            </a:graphic>
          </wp:inline>
        </w:drawing>
      </w:r>
      <w:bookmarkEnd w:id="203"/>
    </w:p>
    <w:p w14:paraId="1E3EED5E">
      <w:pPr>
        <w:pStyle w:val="57"/>
      </w:pPr>
      <w:bookmarkStart w:id="204" w:name="中文图序_3"/>
      <w:bookmarkStart w:id="205" w:name="中文图题_3"/>
      <w:r>
        <w:rPr>
          <w:rFonts w:hint="eastAsia"/>
          <w:highlight w:val="white"/>
        </w:rPr>
        <w:t>图3</w:t>
      </w:r>
      <w:bookmarkEnd w:id="204"/>
      <w:r>
        <w:rPr>
          <w:rFonts w:hint="eastAsia"/>
          <w:highlight w:val="white"/>
        </w:rPr>
        <w:t xml:space="preserve"> 四站年、月径流序列ESMD分解结果</w:t>
      </w:r>
      <w:bookmarkEnd w:id="205"/>
    </w:p>
    <w:p w14:paraId="6F24E505">
      <w:pPr>
        <w:pStyle w:val="57"/>
      </w:pPr>
      <w:bookmarkStart w:id="206" w:name="英文图序_15"/>
      <w:bookmarkStart w:id="207" w:name="英文图题_3"/>
      <w:r>
        <w:rPr>
          <w:rFonts w:hint="eastAsia"/>
          <w:highlight w:val="white"/>
        </w:rPr>
        <w:t>Fig.3</w:t>
      </w:r>
      <w:bookmarkEnd w:id="206"/>
      <w:r>
        <w:rPr>
          <w:rFonts w:hint="eastAsia"/>
          <w:highlight w:val="white"/>
        </w:rPr>
        <w:t xml:space="preserve"> </w:t>
      </w:r>
      <w:r>
        <w:rPr>
          <w:highlight w:val="white"/>
        </w:rPr>
        <w:t>ESMD decomposition results of annual and monthly runoff series at four stations</w:t>
      </w:r>
      <w:bookmarkEnd w:id="207"/>
    </w:p>
    <w:p w14:paraId="7572E1A8">
      <w:pPr>
        <w:pStyle w:val="57"/>
      </w:pPr>
    </w:p>
    <w:p w14:paraId="5347D926">
      <w:pPr>
        <w:pStyle w:val="57"/>
      </w:pPr>
      <w:bookmarkStart w:id="208" w:name="中文表序_2"/>
      <w:bookmarkStart w:id="209" w:name="中文表题_4"/>
      <w:r>
        <w:rPr>
          <w:rFonts w:hint="eastAsia"/>
          <w:highlight w:val="white"/>
        </w:rPr>
        <w:t>表2</w:t>
      </w:r>
      <w:bookmarkEnd w:id="208"/>
      <w:r>
        <w:rPr>
          <w:rFonts w:hint="eastAsia"/>
          <w:highlight w:val="white"/>
        </w:rPr>
        <w:t xml:space="preserve"> 基于ESMD分解的</w:t>
      </w:r>
      <w:r>
        <w:rPr>
          <w:highlight w:val="white"/>
        </w:rPr>
        <w:t>四站年、月径流各分量预报纳什效率系数</w:t>
      </w:r>
      <w:bookmarkEnd w:id="209"/>
    </w:p>
    <w:p w14:paraId="06626F09">
      <w:pPr>
        <w:pStyle w:val="57"/>
      </w:pPr>
      <w:bookmarkStart w:id="210" w:name="英文表序_4"/>
      <w:bookmarkStart w:id="211" w:name="英文表题_4"/>
      <w:r>
        <w:rPr>
          <w:rFonts w:hint="eastAsia"/>
          <w:highlight w:val="white"/>
        </w:rPr>
        <w:t>Table</w:t>
      </w:r>
      <w:bookmarkEnd w:id="210"/>
      <w:r>
        <w:rPr>
          <w:highlight w:val="white"/>
        </w:rPr>
        <w:t xml:space="preserve"> </w:t>
      </w:r>
      <w:r>
        <w:rPr>
          <w:rFonts w:hint="eastAsia"/>
          <w:highlight w:val="white"/>
        </w:rPr>
        <w:t xml:space="preserve">2 </w:t>
      </w:r>
      <w:r>
        <w:rPr>
          <w:highlight w:val="white"/>
        </w:rPr>
        <w:t>Nash</w:t>
      </w:r>
      <w:r>
        <w:rPr>
          <w:rFonts w:hint="eastAsia"/>
          <w:highlight w:val="white"/>
        </w:rPr>
        <w:t>-</w:t>
      </w:r>
      <w:r>
        <w:rPr>
          <w:highlight w:val="white"/>
        </w:rPr>
        <w:t>Sutcliffe efficiency coefficients for forecasting annual and monthly runoff components at four stations based on ESMD decomposition</w:t>
      </w:r>
      <w:bookmarkEnd w:id="211"/>
    </w:p>
    <w:tbl>
      <w:tblPr>
        <w:tblStyle w:val="58"/>
        <w:tblW w:w="5000" w:type="pct"/>
        <w:tblInd w:w="0" w:type="dxa"/>
        <w:tblBorders>
          <w:top w:val="single" w:color="auto" w:sz="12" w:space="0"/>
          <w:left w:val="none" w:color="auto" w:sz="0" w:space="0"/>
          <w:bottom w:val="single" w:color="auto"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760"/>
        <w:gridCol w:w="1134"/>
        <w:gridCol w:w="916"/>
        <w:gridCol w:w="916"/>
        <w:gridCol w:w="918"/>
        <w:gridCol w:w="1134"/>
        <w:gridCol w:w="916"/>
        <w:gridCol w:w="916"/>
        <w:gridCol w:w="918"/>
      </w:tblGrid>
      <w:tr w14:paraId="43491F4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Merge w:val="restart"/>
            <w:tcBorders>
              <w:top w:val="single" w:color="auto" w:sz="12" w:space="0"/>
              <w:left w:val="nil"/>
              <w:bottom w:val="single" w:color="auto" w:sz="4" w:space="0"/>
              <w:right w:val="nil"/>
              <w:insideH w:val="single" w:sz="4" w:space="0"/>
              <w:insideV w:val="nil"/>
              <w:tl2br w:val="nil"/>
              <w:tr2bl w:val="nil"/>
            </w:tcBorders>
            <w:vAlign w:val="center"/>
          </w:tcPr>
          <w:p w14:paraId="094A52C9">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分量</w:t>
            </w:r>
            <w:bookmarkStart w:id="212" w:name="表格_2"/>
          </w:p>
        </w:tc>
        <w:tc>
          <w:tcPr>
            <w:tcW w:w="2277" w:type="pct"/>
            <w:gridSpan w:val="4"/>
            <w:tcBorders>
              <w:top w:val="single" w:color="auto" w:sz="12" w:space="0"/>
              <w:bottom w:val="single" w:color="auto" w:sz="4" w:space="0"/>
              <w:right w:val="nil"/>
              <w:insideH w:val="single" w:sz="4" w:space="0"/>
              <w:insideV w:val="nil"/>
              <w:tl2br w:val="nil"/>
              <w:tr2bl w:val="nil"/>
            </w:tcBorders>
            <w:vAlign w:val="center"/>
          </w:tcPr>
          <w:p w14:paraId="0356AA70">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年径流</w:t>
            </w:r>
          </w:p>
        </w:tc>
        <w:tc>
          <w:tcPr>
            <w:tcW w:w="2277" w:type="pct"/>
            <w:gridSpan w:val="4"/>
            <w:tcBorders>
              <w:top w:val="single" w:color="auto" w:sz="12" w:space="0"/>
              <w:bottom w:val="single" w:color="auto" w:sz="4" w:space="0"/>
              <w:right w:val="nil"/>
              <w:insideH w:val="single" w:sz="4" w:space="0"/>
              <w:insideV w:val="nil"/>
              <w:tl2br w:val="nil"/>
              <w:tr2bl w:val="nil"/>
            </w:tcBorders>
            <w:vAlign w:val="center"/>
          </w:tcPr>
          <w:p w14:paraId="2ED52DC1">
            <w:pPr>
              <w:wordWrap/>
              <w:adjustRightInd/>
              <w:snapToGrid/>
              <w:spacing w:line="240" w:lineRule="auto"/>
              <w:ind w:left="0" w:leftChars="0" w:firstLine="0" w:firstLineChars="0"/>
              <w:contextualSpacing w:val="0"/>
              <w:jc w:val="center"/>
              <w:rPr>
                <w:rFonts w:ascii="Times New Roman" w:hAnsi="Times New Roman" w:eastAsia="宋体"/>
                <w:b w:val="0"/>
                <w:i w:val="0"/>
                <w:sz w:val="15"/>
                <w:szCs w:val="15"/>
              </w:rPr>
            </w:pPr>
            <w:r>
              <w:rPr>
                <w:rFonts w:hint="eastAsia" w:ascii="Times New Roman" w:hAnsi="Times New Roman" w:eastAsia="宋体"/>
                <w:b w:val="0"/>
                <w:i w:val="0"/>
                <w:sz w:val="15"/>
                <w:szCs w:val="15"/>
              </w:rPr>
              <w:t>月径流</w:t>
            </w:r>
          </w:p>
        </w:tc>
      </w:tr>
      <w:tr w14:paraId="4AFC4D24">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Merge w:val="continue"/>
            <w:tcBorders>
              <w:bottom w:val="single" w:color="auto" w:sz="4" w:space="0"/>
            </w:tcBorders>
            <w:vAlign w:val="center"/>
          </w:tcPr>
          <w:p w14:paraId="6740C7CB">
            <w:pPr>
              <w:adjustRightInd/>
              <w:snapToGrid/>
              <w:ind w:firstLine="0" w:firstLineChars="0"/>
              <w:jc w:val="center"/>
              <w:rPr>
                <w:sz w:val="15"/>
                <w:szCs w:val="15"/>
              </w:rPr>
            </w:pPr>
          </w:p>
        </w:tc>
        <w:tc>
          <w:tcPr>
            <w:tcW w:w="665" w:type="pct"/>
            <w:tcBorders>
              <w:bottom w:val="single" w:color="auto" w:sz="4" w:space="0"/>
            </w:tcBorders>
            <w:vAlign w:val="center"/>
          </w:tcPr>
          <w:p w14:paraId="3B3DA604">
            <w:pPr>
              <w:adjustRightInd/>
              <w:snapToGrid/>
              <w:ind w:firstLine="0" w:firstLineChars="0"/>
              <w:jc w:val="center"/>
              <w:rPr>
                <w:sz w:val="15"/>
                <w:szCs w:val="15"/>
              </w:rPr>
            </w:pPr>
            <w:r>
              <w:rPr>
                <w:rFonts w:hint="eastAsia"/>
                <w:sz w:val="15"/>
                <w:szCs w:val="15"/>
              </w:rPr>
              <w:t>唐乃亥站</w:t>
            </w:r>
          </w:p>
        </w:tc>
        <w:tc>
          <w:tcPr>
            <w:tcW w:w="537" w:type="pct"/>
            <w:tcBorders>
              <w:bottom w:val="single" w:color="auto" w:sz="4" w:space="0"/>
            </w:tcBorders>
            <w:vAlign w:val="center"/>
          </w:tcPr>
          <w:p w14:paraId="4716B72D">
            <w:pPr>
              <w:adjustRightInd/>
              <w:snapToGrid/>
              <w:ind w:firstLine="0" w:firstLineChars="0"/>
              <w:jc w:val="center"/>
              <w:rPr>
                <w:sz w:val="15"/>
                <w:szCs w:val="15"/>
              </w:rPr>
            </w:pPr>
            <w:r>
              <w:rPr>
                <w:rFonts w:hint="eastAsia"/>
                <w:sz w:val="15"/>
                <w:szCs w:val="15"/>
              </w:rPr>
              <w:t>贵德站</w:t>
            </w:r>
          </w:p>
        </w:tc>
        <w:tc>
          <w:tcPr>
            <w:tcW w:w="537" w:type="pct"/>
            <w:tcBorders>
              <w:bottom w:val="single" w:color="auto" w:sz="4" w:space="0"/>
            </w:tcBorders>
            <w:vAlign w:val="center"/>
          </w:tcPr>
          <w:p w14:paraId="4D7E1D60">
            <w:pPr>
              <w:adjustRightInd/>
              <w:snapToGrid/>
              <w:ind w:firstLine="0" w:firstLineChars="0"/>
              <w:jc w:val="center"/>
              <w:rPr>
                <w:sz w:val="15"/>
                <w:szCs w:val="15"/>
              </w:rPr>
            </w:pPr>
            <w:r>
              <w:rPr>
                <w:rFonts w:hint="eastAsia"/>
                <w:sz w:val="15"/>
                <w:szCs w:val="15"/>
              </w:rPr>
              <w:t>循化站</w:t>
            </w:r>
          </w:p>
        </w:tc>
        <w:tc>
          <w:tcPr>
            <w:tcW w:w="538" w:type="pct"/>
            <w:tcBorders>
              <w:bottom w:val="single" w:color="auto" w:sz="4" w:space="0"/>
            </w:tcBorders>
            <w:vAlign w:val="center"/>
          </w:tcPr>
          <w:p w14:paraId="7A39D885">
            <w:pPr>
              <w:adjustRightInd/>
              <w:snapToGrid/>
              <w:ind w:firstLine="0" w:firstLineChars="0"/>
              <w:jc w:val="center"/>
              <w:rPr>
                <w:sz w:val="15"/>
                <w:szCs w:val="15"/>
              </w:rPr>
            </w:pPr>
            <w:r>
              <w:rPr>
                <w:rFonts w:hint="eastAsia"/>
                <w:sz w:val="15"/>
                <w:szCs w:val="15"/>
              </w:rPr>
              <w:t>兰州站</w:t>
            </w:r>
          </w:p>
        </w:tc>
        <w:tc>
          <w:tcPr>
            <w:tcW w:w="665" w:type="pct"/>
            <w:tcBorders>
              <w:bottom w:val="single" w:color="auto" w:sz="4" w:space="0"/>
            </w:tcBorders>
            <w:vAlign w:val="center"/>
          </w:tcPr>
          <w:p w14:paraId="18344EB2">
            <w:pPr>
              <w:adjustRightInd/>
              <w:snapToGrid/>
              <w:ind w:firstLine="0" w:firstLineChars="0"/>
              <w:jc w:val="center"/>
              <w:rPr>
                <w:sz w:val="15"/>
                <w:szCs w:val="15"/>
              </w:rPr>
            </w:pPr>
            <w:r>
              <w:rPr>
                <w:rFonts w:hint="eastAsia"/>
                <w:sz w:val="15"/>
                <w:szCs w:val="15"/>
              </w:rPr>
              <w:t>唐乃亥站</w:t>
            </w:r>
          </w:p>
        </w:tc>
        <w:tc>
          <w:tcPr>
            <w:tcW w:w="537" w:type="pct"/>
            <w:tcBorders>
              <w:bottom w:val="single" w:color="auto" w:sz="4" w:space="0"/>
            </w:tcBorders>
            <w:vAlign w:val="center"/>
          </w:tcPr>
          <w:p w14:paraId="29BBB731">
            <w:pPr>
              <w:adjustRightInd/>
              <w:snapToGrid/>
              <w:ind w:firstLine="0" w:firstLineChars="0"/>
              <w:jc w:val="center"/>
              <w:rPr>
                <w:sz w:val="15"/>
                <w:szCs w:val="15"/>
              </w:rPr>
            </w:pPr>
            <w:r>
              <w:rPr>
                <w:rFonts w:hint="eastAsia"/>
                <w:sz w:val="15"/>
                <w:szCs w:val="15"/>
              </w:rPr>
              <w:t>贵德站</w:t>
            </w:r>
          </w:p>
        </w:tc>
        <w:tc>
          <w:tcPr>
            <w:tcW w:w="537" w:type="pct"/>
            <w:tcBorders>
              <w:bottom w:val="single" w:color="auto" w:sz="4" w:space="0"/>
            </w:tcBorders>
            <w:vAlign w:val="center"/>
          </w:tcPr>
          <w:p w14:paraId="216F92F1">
            <w:pPr>
              <w:adjustRightInd/>
              <w:snapToGrid/>
              <w:ind w:firstLine="0" w:firstLineChars="0"/>
              <w:jc w:val="center"/>
              <w:rPr>
                <w:sz w:val="15"/>
                <w:szCs w:val="15"/>
              </w:rPr>
            </w:pPr>
            <w:r>
              <w:rPr>
                <w:rFonts w:hint="eastAsia"/>
                <w:sz w:val="15"/>
                <w:szCs w:val="15"/>
              </w:rPr>
              <w:t>循化站</w:t>
            </w:r>
          </w:p>
        </w:tc>
        <w:tc>
          <w:tcPr>
            <w:tcW w:w="538" w:type="pct"/>
            <w:tcBorders>
              <w:bottom w:val="single" w:color="auto" w:sz="4" w:space="0"/>
            </w:tcBorders>
            <w:vAlign w:val="center"/>
          </w:tcPr>
          <w:p w14:paraId="5064ED9C">
            <w:pPr>
              <w:adjustRightInd/>
              <w:snapToGrid/>
              <w:ind w:firstLine="0" w:firstLineChars="0"/>
              <w:jc w:val="center"/>
              <w:rPr>
                <w:sz w:val="15"/>
                <w:szCs w:val="15"/>
              </w:rPr>
            </w:pPr>
            <w:r>
              <w:rPr>
                <w:rFonts w:hint="eastAsia"/>
                <w:sz w:val="15"/>
                <w:szCs w:val="15"/>
              </w:rPr>
              <w:t>兰州站</w:t>
            </w:r>
          </w:p>
        </w:tc>
      </w:tr>
      <w:tr w14:paraId="4668C0F0">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tcBorders>
              <w:top w:val="single" w:color="auto" w:sz="4" w:space="0"/>
            </w:tcBorders>
            <w:vAlign w:val="center"/>
          </w:tcPr>
          <w:p w14:paraId="4C284541">
            <w:pPr>
              <w:adjustRightInd/>
              <w:snapToGrid/>
              <w:ind w:firstLine="0" w:firstLineChars="0"/>
              <w:jc w:val="center"/>
              <w:rPr>
                <w:sz w:val="15"/>
                <w:szCs w:val="15"/>
              </w:rPr>
            </w:pPr>
            <w:r>
              <w:rPr>
                <w:sz w:val="15"/>
                <w:szCs w:val="15"/>
              </w:rPr>
              <w:t>IMF1</w:t>
            </w:r>
          </w:p>
        </w:tc>
        <w:tc>
          <w:tcPr>
            <w:tcW w:w="665" w:type="pct"/>
            <w:tcBorders>
              <w:top w:val="single" w:color="auto" w:sz="4" w:space="0"/>
            </w:tcBorders>
            <w:vAlign w:val="center"/>
          </w:tcPr>
          <w:p w14:paraId="3FF5AD06">
            <w:pPr>
              <w:adjustRightInd/>
              <w:snapToGrid/>
              <w:ind w:firstLine="0" w:firstLineChars="0"/>
              <w:jc w:val="center"/>
              <w:rPr>
                <w:sz w:val="15"/>
                <w:szCs w:val="15"/>
              </w:rPr>
            </w:pPr>
            <w:r>
              <w:rPr>
                <w:sz w:val="15"/>
                <w:szCs w:val="15"/>
              </w:rPr>
              <w:t>0.741</w:t>
            </w:r>
          </w:p>
        </w:tc>
        <w:tc>
          <w:tcPr>
            <w:tcW w:w="537" w:type="pct"/>
            <w:tcBorders>
              <w:top w:val="single" w:color="auto" w:sz="4" w:space="0"/>
            </w:tcBorders>
            <w:vAlign w:val="center"/>
          </w:tcPr>
          <w:p w14:paraId="4EFB93EC">
            <w:pPr>
              <w:adjustRightInd/>
              <w:snapToGrid/>
              <w:ind w:firstLine="0" w:firstLineChars="0"/>
              <w:jc w:val="center"/>
              <w:rPr>
                <w:sz w:val="15"/>
                <w:szCs w:val="15"/>
              </w:rPr>
            </w:pPr>
            <w:r>
              <w:rPr>
                <w:sz w:val="15"/>
                <w:szCs w:val="15"/>
              </w:rPr>
              <w:t>0.787</w:t>
            </w:r>
          </w:p>
        </w:tc>
        <w:tc>
          <w:tcPr>
            <w:tcW w:w="537" w:type="pct"/>
            <w:tcBorders>
              <w:top w:val="single" w:color="auto" w:sz="4" w:space="0"/>
            </w:tcBorders>
            <w:vAlign w:val="center"/>
          </w:tcPr>
          <w:p w14:paraId="2466AF49">
            <w:pPr>
              <w:adjustRightInd/>
              <w:snapToGrid/>
              <w:ind w:firstLine="0" w:firstLineChars="0"/>
              <w:jc w:val="center"/>
              <w:rPr>
                <w:sz w:val="15"/>
                <w:szCs w:val="15"/>
              </w:rPr>
            </w:pPr>
            <w:r>
              <w:rPr>
                <w:sz w:val="15"/>
                <w:szCs w:val="15"/>
              </w:rPr>
              <w:t>0.772</w:t>
            </w:r>
          </w:p>
        </w:tc>
        <w:tc>
          <w:tcPr>
            <w:tcW w:w="538" w:type="pct"/>
            <w:tcBorders>
              <w:top w:val="single" w:color="auto" w:sz="4" w:space="0"/>
            </w:tcBorders>
            <w:vAlign w:val="center"/>
          </w:tcPr>
          <w:p w14:paraId="125F423D">
            <w:pPr>
              <w:adjustRightInd/>
              <w:snapToGrid/>
              <w:ind w:firstLine="0" w:firstLineChars="0"/>
              <w:jc w:val="center"/>
              <w:rPr>
                <w:sz w:val="15"/>
                <w:szCs w:val="15"/>
              </w:rPr>
            </w:pPr>
            <w:r>
              <w:rPr>
                <w:sz w:val="15"/>
                <w:szCs w:val="15"/>
              </w:rPr>
              <w:t>0.694</w:t>
            </w:r>
          </w:p>
        </w:tc>
        <w:tc>
          <w:tcPr>
            <w:tcW w:w="665" w:type="pct"/>
            <w:tcBorders>
              <w:top w:val="single" w:color="auto" w:sz="4" w:space="0"/>
            </w:tcBorders>
            <w:vAlign w:val="center"/>
          </w:tcPr>
          <w:p w14:paraId="6B7CD2E8">
            <w:pPr>
              <w:adjustRightInd/>
              <w:snapToGrid/>
              <w:ind w:firstLine="0" w:firstLineChars="0"/>
              <w:jc w:val="center"/>
              <w:rPr>
                <w:sz w:val="15"/>
                <w:szCs w:val="15"/>
              </w:rPr>
            </w:pPr>
            <w:r>
              <w:rPr>
                <w:sz w:val="15"/>
                <w:szCs w:val="15"/>
              </w:rPr>
              <w:t>0.760</w:t>
            </w:r>
          </w:p>
        </w:tc>
        <w:tc>
          <w:tcPr>
            <w:tcW w:w="537" w:type="pct"/>
            <w:tcBorders>
              <w:top w:val="single" w:color="auto" w:sz="4" w:space="0"/>
            </w:tcBorders>
            <w:vAlign w:val="center"/>
          </w:tcPr>
          <w:p w14:paraId="2EB409B1">
            <w:pPr>
              <w:adjustRightInd/>
              <w:snapToGrid/>
              <w:ind w:firstLine="0" w:firstLineChars="0"/>
              <w:jc w:val="center"/>
              <w:rPr>
                <w:sz w:val="15"/>
                <w:szCs w:val="15"/>
              </w:rPr>
            </w:pPr>
            <w:r>
              <w:rPr>
                <w:sz w:val="15"/>
                <w:szCs w:val="15"/>
              </w:rPr>
              <w:t>0.729</w:t>
            </w:r>
          </w:p>
        </w:tc>
        <w:tc>
          <w:tcPr>
            <w:tcW w:w="537" w:type="pct"/>
            <w:tcBorders>
              <w:top w:val="single" w:color="auto" w:sz="4" w:space="0"/>
            </w:tcBorders>
            <w:vAlign w:val="center"/>
          </w:tcPr>
          <w:p w14:paraId="4BE48512">
            <w:pPr>
              <w:adjustRightInd/>
              <w:snapToGrid/>
              <w:ind w:firstLine="0" w:firstLineChars="0"/>
              <w:jc w:val="center"/>
              <w:rPr>
                <w:sz w:val="15"/>
                <w:szCs w:val="15"/>
              </w:rPr>
            </w:pPr>
            <w:r>
              <w:rPr>
                <w:sz w:val="15"/>
                <w:szCs w:val="15"/>
              </w:rPr>
              <w:t>0.654</w:t>
            </w:r>
          </w:p>
        </w:tc>
        <w:tc>
          <w:tcPr>
            <w:tcW w:w="538" w:type="pct"/>
            <w:tcBorders>
              <w:top w:val="single" w:color="auto" w:sz="4" w:space="0"/>
            </w:tcBorders>
            <w:vAlign w:val="center"/>
          </w:tcPr>
          <w:p w14:paraId="18D1DF1B">
            <w:pPr>
              <w:adjustRightInd/>
              <w:snapToGrid/>
              <w:ind w:firstLine="0" w:firstLineChars="0"/>
              <w:jc w:val="center"/>
              <w:rPr>
                <w:sz w:val="15"/>
                <w:szCs w:val="15"/>
              </w:rPr>
            </w:pPr>
            <w:r>
              <w:rPr>
                <w:sz w:val="15"/>
                <w:szCs w:val="15"/>
              </w:rPr>
              <w:t>0.512</w:t>
            </w:r>
          </w:p>
        </w:tc>
      </w:tr>
      <w:tr w14:paraId="7A0E6ADF">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3BBE7E85">
            <w:pPr>
              <w:adjustRightInd/>
              <w:snapToGrid/>
              <w:ind w:firstLine="0" w:firstLineChars="0"/>
              <w:jc w:val="center"/>
              <w:rPr>
                <w:sz w:val="15"/>
                <w:szCs w:val="15"/>
              </w:rPr>
            </w:pPr>
            <w:r>
              <w:rPr>
                <w:sz w:val="15"/>
                <w:szCs w:val="15"/>
              </w:rPr>
              <w:t>IMF2</w:t>
            </w:r>
          </w:p>
        </w:tc>
        <w:tc>
          <w:tcPr>
            <w:tcW w:w="665" w:type="pct"/>
            <w:vAlign w:val="center"/>
          </w:tcPr>
          <w:p w14:paraId="16088B29">
            <w:pPr>
              <w:adjustRightInd/>
              <w:snapToGrid/>
              <w:ind w:firstLine="0" w:firstLineChars="0"/>
              <w:jc w:val="center"/>
              <w:rPr>
                <w:sz w:val="15"/>
                <w:szCs w:val="15"/>
              </w:rPr>
            </w:pPr>
            <w:r>
              <w:rPr>
                <w:sz w:val="15"/>
                <w:szCs w:val="15"/>
              </w:rPr>
              <w:t>0.913</w:t>
            </w:r>
          </w:p>
        </w:tc>
        <w:tc>
          <w:tcPr>
            <w:tcW w:w="537" w:type="pct"/>
            <w:vAlign w:val="center"/>
          </w:tcPr>
          <w:p w14:paraId="60CF6B60">
            <w:pPr>
              <w:adjustRightInd/>
              <w:snapToGrid/>
              <w:ind w:firstLine="0" w:firstLineChars="0"/>
              <w:jc w:val="center"/>
              <w:rPr>
                <w:sz w:val="15"/>
                <w:szCs w:val="15"/>
              </w:rPr>
            </w:pPr>
            <w:r>
              <w:rPr>
                <w:sz w:val="15"/>
                <w:szCs w:val="15"/>
              </w:rPr>
              <w:t>0.940</w:t>
            </w:r>
          </w:p>
        </w:tc>
        <w:tc>
          <w:tcPr>
            <w:tcW w:w="537" w:type="pct"/>
            <w:vAlign w:val="center"/>
          </w:tcPr>
          <w:p w14:paraId="105726A8">
            <w:pPr>
              <w:adjustRightInd/>
              <w:snapToGrid/>
              <w:ind w:firstLine="0" w:firstLineChars="0"/>
              <w:jc w:val="center"/>
              <w:rPr>
                <w:sz w:val="15"/>
                <w:szCs w:val="15"/>
              </w:rPr>
            </w:pPr>
            <w:r>
              <w:rPr>
                <w:sz w:val="15"/>
                <w:szCs w:val="15"/>
              </w:rPr>
              <w:t>0.967</w:t>
            </w:r>
          </w:p>
        </w:tc>
        <w:tc>
          <w:tcPr>
            <w:tcW w:w="538" w:type="pct"/>
            <w:vAlign w:val="center"/>
          </w:tcPr>
          <w:p w14:paraId="7A72BA44">
            <w:pPr>
              <w:adjustRightInd/>
              <w:snapToGrid/>
              <w:ind w:firstLine="0" w:firstLineChars="0"/>
              <w:jc w:val="center"/>
              <w:rPr>
                <w:sz w:val="15"/>
                <w:szCs w:val="15"/>
              </w:rPr>
            </w:pPr>
            <w:r>
              <w:rPr>
                <w:sz w:val="15"/>
                <w:szCs w:val="15"/>
              </w:rPr>
              <w:t>0.954</w:t>
            </w:r>
          </w:p>
        </w:tc>
        <w:tc>
          <w:tcPr>
            <w:tcW w:w="665" w:type="pct"/>
            <w:vAlign w:val="center"/>
          </w:tcPr>
          <w:p w14:paraId="1E60CE99">
            <w:pPr>
              <w:adjustRightInd/>
              <w:snapToGrid/>
              <w:ind w:firstLine="0" w:firstLineChars="0"/>
              <w:jc w:val="center"/>
              <w:rPr>
                <w:sz w:val="15"/>
                <w:szCs w:val="15"/>
              </w:rPr>
            </w:pPr>
            <w:r>
              <w:rPr>
                <w:sz w:val="15"/>
                <w:szCs w:val="15"/>
              </w:rPr>
              <w:t>0.982</w:t>
            </w:r>
          </w:p>
        </w:tc>
        <w:tc>
          <w:tcPr>
            <w:tcW w:w="537" w:type="pct"/>
            <w:vAlign w:val="center"/>
          </w:tcPr>
          <w:p w14:paraId="02E27BDB">
            <w:pPr>
              <w:adjustRightInd/>
              <w:snapToGrid/>
              <w:ind w:firstLine="0" w:firstLineChars="0"/>
              <w:jc w:val="center"/>
              <w:rPr>
                <w:sz w:val="15"/>
                <w:szCs w:val="15"/>
              </w:rPr>
            </w:pPr>
            <w:r>
              <w:rPr>
                <w:sz w:val="15"/>
                <w:szCs w:val="15"/>
              </w:rPr>
              <w:t>0.853</w:t>
            </w:r>
          </w:p>
        </w:tc>
        <w:tc>
          <w:tcPr>
            <w:tcW w:w="537" w:type="pct"/>
            <w:vAlign w:val="center"/>
          </w:tcPr>
          <w:p w14:paraId="45B643D8">
            <w:pPr>
              <w:adjustRightInd/>
              <w:snapToGrid/>
              <w:ind w:firstLine="0" w:firstLineChars="0"/>
              <w:jc w:val="center"/>
              <w:rPr>
                <w:sz w:val="15"/>
                <w:szCs w:val="15"/>
              </w:rPr>
            </w:pPr>
            <w:r>
              <w:rPr>
                <w:sz w:val="15"/>
                <w:szCs w:val="15"/>
              </w:rPr>
              <w:t>0.899</w:t>
            </w:r>
          </w:p>
        </w:tc>
        <w:tc>
          <w:tcPr>
            <w:tcW w:w="538" w:type="pct"/>
            <w:vAlign w:val="center"/>
          </w:tcPr>
          <w:p w14:paraId="7C5593A7">
            <w:pPr>
              <w:adjustRightInd/>
              <w:snapToGrid/>
              <w:ind w:firstLine="0" w:firstLineChars="0"/>
              <w:jc w:val="center"/>
              <w:rPr>
                <w:sz w:val="15"/>
                <w:szCs w:val="15"/>
              </w:rPr>
            </w:pPr>
            <w:r>
              <w:rPr>
                <w:sz w:val="15"/>
                <w:szCs w:val="15"/>
              </w:rPr>
              <w:t>0.832</w:t>
            </w:r>
          </w:p>
        </w:tc>
      </w:tr>
      <w:tr w14:paraId="25A1F5B1">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1626DAEF">
            <w:pPr>
              <w:adjustRightInd/>
              <w:snapToGrid/>
              <w:ind w:firstLine="0" w:firstLineChars="0"/>
              <w:jc w:val="center"/>
              <w:rPr>
                <w:sz w:val="15"/>
                <w:szCs w:val="15"/>
              </w:rPr>
            </w:pPr>
            <w:r>
              <w:rPr>
                <w:sz w:val="15"/>
                <w:szCs w:val="15"/>
              </w:rPr>
              <w:t>IMF3</w:t>
            </w:r>
          </w:p>
        </w:tc>
        <w:tc>
          <w:tcPr>
            <w:tcW w:w="665" w:type="pct"/>
            <w:vAlign w:val="center"/>
          </w:tcPr>
          <w:p w14:paraId="6BA9C848">
            <w:pPr>
              <w:adjustRightInd/>
              <w:snapToGrid/>
              <w:ind w:firstLine="0" w:firstLineChars="0"/>
              <w:jc w:val="center"/>
              <w:rPr>
                <w:sz w:val="15"/>
                <w:szCs w:val="15"/>
              </w:rPr>
            </w:pPr>
            <w:r>
              <w:rPr>
                <w:sz w:val="15"/>
                <w:szCs w:val="15"/>
              </w:rPr>
              <w:t>0.997</w:t>
            </w:r>
          </w:p>
        </w:tc>
        <w:tc>
          <w:tcPr>
            <w:tcW w:w="537" w:type="pct"/>
            <w:vAlign w:val="center"/>
          </w:tcPr>
          <w:p w14:paraId="6B755A9B">
            <w:pPr>
              <w:adjustRightInd/>
              <w:snapToGrid/>
              <w:ind w:firstLine="0" w:firstLineChars="0"/>
              <w:jc w:val="center"/>
              <w:rPr>
                <w:sz w:val="15"/>
                <w:szCs w:val="15"/>
              </w:rPr>
            </w:pPr>
            <w:r>
              <w:rPr>
                <w:sz w:val="15"/>
                <w:szCs w:val="15"/>
              </w:rPr>
              <w:t>0.921</w:t>
            </w:r>
          </w:p>
        </w:tc>
        <w:tc>
          <w:tcPr>
            <w:tcW w:w="537" w:type="pct"/>
            <w:vAlign w:val="center"/>
          </w:tcPr>
          <w:p w14:paraId="1021CE3E">
            <w:pPr>
              <w:adjustRightInd/>
              <w:snapToGrid/>
              <w:ind w:firstLine="0" w:firstLineChars="0"/>
              <w:jc w:val="center"/>
              <w:rPr>
                <w:sz w:val="15"/>
                <w:szCs w:val="15"/>
              </w:rPr>
            </w:pPr>
            <w:r>
              <w:rPr>
                <w:sz w:val="15"/>
                <w:szCs w:val="15"/>
              </w:rPr>
              <w:t>0.999</w:t>
            </w:r>
          </w:p>
        </w:tc>
        <w:tc>
          <w:tcPr>
            <w:tcW w:w="538" w:type="pct"/>
            <w:vAlign w:val="center"/>
          </w:tcPr>
          <w:p w14:paraId="7BF1E395">
            <w:pPr>
              <w:adjustRightInd/>
              <w:snapToGrid/>
              <w:ind w:firstLine="0" w:firstLineChars="0"/>
              <w:jc w:val="center"/>
              <w:rPr>
                <w:sz w:val="15"/>
                <w:szCs w:val="15"/>
              </w:rPr>
            </w:pPr>
            <w:r>
              <w:rPr>
                <w:sz w:val="15"/>
                <w:szCs w:val="15"/>
              </w:rPr>
              <w:t>0.975</w:t>
            </w:r>
          </w:p>
        </w:tc>
        <w:tc>
          <w:tcPr>
            <w:tcW w:w="665" w:type="pct"/>
            <w:vAlign w:val="center"/>
          </w:tcPr>
          <w:p w14:paraId="09B4BAC7">
            <w:pPr>
              <w:adjustRightInd/>
              <w:snapToGrid/>
              <w:ind w:firstLine="0" w:firstLineChars="0"/>
              <w:jc w:val="center"/>
              <w:rPr>
                <w:sz w:val="15"/>
                <w:szCs w:val="15"/>
              </w:rPr>
            </w:pPr>
            <w:r>
              <w:rPr>
                <w:sz w:val="15"/>
                <w:szCs w:val="15"/>
              </w:rPr>
              <w:t>0.984</w:t>
            </w:r>
          </w:p>
        </w:tc>
        <w:tc>
          <w:tcPr>
            <w:tcW w:w="537" w:type="pct"/>
            <w:vAlign w:val="center"/>
          </w:tcPr>
          <w:p w14:paraId="756E0A47">
            <w:pPr>
              <w:adjustRightInd/>
              <w:snapToGrid/>
              <w:ind w:firstLine="0" w:firstLineChars="0"/>
              <w:jc w:val="center"/>
              <w:rPr>
                <w:sz w:val="15"/>
                <w:szCs w:val="15"/>
              </w:rPr>
            </w:pPr>
            <w:r>
              <w:rPr>
                <w:sz w:val="15"/>
                <w:szCs w:val="15"/>
              </w:rPr>
              <w:t>0.995</w:t>
            </w:r>
          </w:p>
        </w:tc>
        <w:tc>
          <w:tcPr>
            <w:tcW w:w="537" w:type="pct"/>
            <w:vAlign w:val="center"/>
          </w:tcPr>
          <w:p w14:paraId="198D4985">
            <w:pPr>
              <w:adjustRightInd/>
              <w:snapToGrid/>
              <w:ind w:firstLine="0" w:firstLineChars="0"/>
              <w:jc w:val="center"/>
              <w:rPr>
                <w:sz w:val="15"/>
                <w:szCs w:val="15"/>
              </w:rPr>
            </w:pPr>
            <w:r>
              <w:rPr>
                <w:sz w:val="15"/>
                <w:szCs w:val="15"/>
              </w:rPr>
              <w:t>0.998</w:t>
            </w:r>
          </w:p>
        </w:tc>
        <w:tc>
          <w:tcPr>
            <w:tcW w:w="538" w:type="pct"/>
            <w:vAlign w:val="center"/>
          </w:tcPr>
          <w:p w14:paraId="5C4A3361">
            <w:pPr>
              <w:adjustRightInd/>
              <w:snapToGrid/>
              <w:ind w:firstLine="0" w:firstLineChars="0"/>
              <w:jc w:val="center"/>
              <w:rPr>
                <w:sz w:val="15"/>
                <w:szCs w:val="15"/>
              </w:rPr>
            </w:pPr>
            <w:r>
              <w:rPr>
                <w:sz w:val="15"/>
                <w:szCs w:val="15"/>
              </w:rPr>
              <w:t>0.970</w:t>
            </w:r>
          </w:p>
        </w:tc>
      </w:tr>
      <w:tr w14:paraId="0049FC92">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515B5EE4">
            <w:pPr>
              <w:adjustRightInd/>
              <w:snapToGrid/>
              <w:ind w:firstLine="0" w:firstLineChars="0"/>
              <w:jc w:val="center"/>
              <w:rPr>
                <w:sz w:val="15"/>
                <w:szCs w:val="15"/>
              </w:rPr>
            </w:pPr>
            <w:r>
              <w:rPr>
                <w:sz w:val="15"/>
                <w:szCs w:val="15"/>
              </w:rPr>
              <w:t>IMF4</w:t>
            </w:r>
          </w:p>
        </w:tc>
        <w:tc>
          <w:tcPr>
            <w:tcW w:w="665" w:type="pct"/>
            <w:vAlign w:val="center"/>
          </w:tcPr>
          <w:p w14:paraId="395437A1">
            <w:pPr>
              <w:adjustRightInd/>
              <w:snapToGrid/>
              <w:ind w:firstLine="0" w:firstLineChars="0"/>
              <w:jc w:val="center"/>
              <w:rPr>
                <w:sz w:val="15"/>
                <w:szCs w:val="15"/>
              </w:rPr>
            </w:pPr>
            <w:r>
              <w:rPr>
                <w:sz w:val="15"/>
                <w:szCs w:val="15"/>
              </w:rPr>
              <w:t>0.998</w:t>
            </w:r>
          </w:p>
        </w:tc>
        <w:tc>
          <w:tcPr>
            <w:tcW w:w="537" w:type="pct"/>
            <w:vAlign w:val="center"/>
          </w:tcPr>
          <w:p w14:paraId="6EE6FD6B">
            <w:pPr>
              <w:adjustRightInd/>
              <w:snapToGrid/>
              <w:ind w:firstLine="0" w:firstLineChars="0"/>
              <w:jc w:val="center"/>
              <w:rPr>
                <w:sz w:val="15"/>
                <w:szCs w:val="15"/>
              </w:rPr>
            </w:pPr>
            <w:r>
              <w:rPr>
                <w:sz w:val="15"/>
                <w:szCs w:val="15"/>
              </w:rPr>
              <w:t>0.957</w:t>
            </w:r>
          </w:p>
        </w:tc>
        <w:tc>
          <w:tcPr>
            <w:tcW w:w="537" w:type="pct"/>
            <w:vAlign w:val="center"/>
          </w:tcPr>
          <w:p w14:paraId="2E94DB39">
            <w:pPr>
              <w:adjustRightInd/>
              <w:snapToGrid/>
              <w:ind w:firstLine="0" w:firstLineChars="0"/>
              <w:jc w:val="center"/>
              <w:rPr>
                <w:sz w:val="15"/>
                <w:szCs w:val="15"/>
              </w:rPr>
            </w:pPr>
            <w:r>
              <w:rPr>
                <w:rFonts w:hint="eastAsia"/>
                <w:sz w:val="15"/>
                <w:szCs w:val="15"/>
              </w:rPr>
              <w:t>—</w:t>
            </w:r>
          </w:p>
        </w:tc>
        <w:tc>
          <w:tcPr>
            <w:tcW w:w="538" w:type="pct"/>
            <w:vAlign w:val="center"/>
          </w:tcPr>
          <w:p w14:paraId="1FAADC2C">
            <w:pPr>
              <w:adjustRightInd/>
              <w:snapToGrid/>
              <w:ind w:firstLine="0" w:firstLineChars="0"/>
              <w:jc w:val="center"/>
              <w:rPr>
                <w:sz w:val="15"/>
                <w:szCs w:val="15"/>
              </w:rPr>
            </w:pPr>
            <w:r>
              <w:rPr>
                <w:rFonts w:hint="eastAsia"/>
                <w:sz w:val="15"/>
                <w:szCs w:val="15"/>
              </w:rPr>
              <w:t>—</w:t>
            </w:r>
          </w:p>
        </w:tc>
        <w:tc>
          <w:tcPr>
            <w:tcW w:w="665" w:type="pct"/>
            <w:vAlign w:val="center"/>
          </w:tcPr>
          <w:p w14:paraId="78CD3BE1">
            <w:pPr>
              <w:adjustRightInd/>
              <w:snapToGrid/>
              <w:ind w:firstLine="0" w:firstLineChars="0"/>
              <w:jc w:val="center"/>
              <w:rPr>
                <w:sz w:val="15"/>
                <w:szCs w:val="15"/>
              </w:rPr>
            </w:pPr>
            <w:r>
              <w:rPr>
                <w:sz w:val="15"/>
                <w:szCs w:val="15"/>
              </w:rPr>
              <w:t>0.998</w:t>
            </w:r>
          </w:p>
        </w:tc>
        <w:tc>
          <w:tcPr>
            <w:tcW w:w="537" w:type="pct"/>
            <w:vAlign w:val="center"/>
          </w:tcPr>
          <w:p w14:paraId="747F13E8">
            <w:pPr>
              <w:adjustRightInd/>
              <w:snapToGrid/>
              <w:ind w:firstLine="0" w:firstLineChars="0"/>
              <w:jc w:val="center"/>
              <w:rPr>
                <w:sz w:val="15"/>
                <w:szCs w:val="15"/>
              </w:rPr>
            </w:pPr>
            <w:r>
              <w:rPr>
                <w:sz w:val="15"/>
                <w:szCs w:val="15"/>
              </w:rPr>
              <w:t>0.998</w:t>
            </w:r>
          </w:p>
        </w:tc>
        <w:tc>
          <w:tcPr>
            <w:tcW w:w="537" w:type="pct"/>
            <w:vAlign w:val="center"/>
          </w:tcPr>
          <w:p w14:paraId="4A2B9E25">
            <w:pPr>
              <w:adjustRightInd/>
              <w:snapToGrid/>
              <w:ind w:firstLine="0" w:firstLineChars="0"/>
              <w:jc w:val="center"/>
              <w:rPr>
                <w:sz w:val="15"/>
                <w:szCs w:val="15"/>
              </w:rPr>
            </w:pPr>
            <w:r>
              <w:rPr>
                <w:sz w:val="15"/>
                <w:szCs w:val="15"/>
              </w:rPr>
              <w:t>0.999</w:t>
            </w:r>
          </w:p>
        </w:tc>
        <w:tc>
          <w:tcPr>
            <w:tcW w:w="538" w:type="pct"/>
            <w:vAlign w:val="center"/>
          </w:tcPr>
          <w:p w14:paraId="065EDCD1">
            <w:pPr>
              <w:adjustRightInd/>
              <w:snapToGrid/>
              <w:ind w:firstLine="0" w:firstLineChars="0"/>
              <w:jc w:val="center"/>
              <w:rPr>
                <w:sz w:val="15"/>
                <w:szCs w:val="15"/>
              </w:rPr>
            </w:pPr>
            <w:r>
              <w:rPr>
                <w:sz w:val="15"/>
                <w:szCs w:val="15"/>
              </w:rPr>
              <w:t>0.997</w:t>
            </w:r>
          </w:p>
        </w:tc>
      </w:tr>
      <w:tr w14:paraId="309F87D9">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316B1AD2">
            <w:pPr>
              <w:adjustRightInd/>
              <w:snapToGrid/>
              <w:ind w:firstLine="0" w:firstLineChars="0"/>
              <w:jc w:val="center"/>
              <w:rPr>
                <w:sz w:val="15"/>
                <w:szCs w:val="15"/>
              </w:rPr>
            </w:pPr>
            <w:r>
              <w:rPr>
                <w:sz w:val="15"/>
                <w:szCs w:val="15"/>
              </w:rPr>
              <w:t>IMF5</w:t>
            </w:r>
          </w:p>
        </w:tc>
        <w:tc>
          <w:tcPr>
            <w:tcW w:w="665" w:type="pct"/>
            <w:vAlign w:val="center"/>
          </w:tcPr>
          <w:p w14:paraId="74F0C374">
            <w:pPr>
              <w:adjustRightInd/>
              <w:snapToGrid/>
              <w:ind w:firstLine="0" w:firstLineChars="0"/>
              <w:jc w:val="center"/>
              <w:rPr>
                <w:sz w:val="15"/>
                <w:szCs w:val="15"/>
              </w:rPr>
            </w:pPr>
            <w:r>
              <w:rPr>
                <w:rFonts w:hint="eastAsia"/>
                <w:sz w:val="15"/>
                <w:szCs w:val="15"/>
              </w:rPr>
              <w:t>—</w:t>
            </w:r>
          </w:p>
        </w:tc>
        <w:tc>
          <w:tcPr>
            <w:tcW w:w="537" w:type="pct"/>
            <w:vAlign w:val="center"/>
          </w:tcPr>
          <w:p w14:paraId="53872736">
            <w:pPr>
              <w:adjustRightInd/>
              <w:snapToGrid/>
              <w:ind w:firstLine="0" w:firstLineChars="0"/>
              <w:jc w:val="center"/>
              <w:rPr>
                <w:sz w:val="15"/>
                <w:szCs w:val="15"/>
              </w:rPr>
            </w:pPr>
            <w:r>
              <w:rPr>
                <w:rFonts w:hint="eastAsia"/>
                <w:sz w:val="15"/>
                <w:szCs w:val="15"/>
              </w:rPr>
              <w:t>—</w:t>
            </w:r>
          </w:p>
        </w:tc>
        <w:tc>
          <w:tcPr>
            <w:tcW w:w="537" w:type="pct"/>
            <w:vAlign w:val="center"/>
          </w:tcPr>
          <w:p w14:paraId="02F81604">
            <w:pPr>
              <w:adjustRightInd/>
              <w:snapToGrid/>
              <w:ind w:firstLine="0" w:firstLineChars="0"/>
              <w:jc w:val="center"/>
              <w:rPr>
                <w:sz w:val="15"/>
                <w:szCs w:val="15"/>
              </w:rPr>
            </w:pPr>
            <w:r>
              <w:rPr>
                <w:rFonts w:hint="eastAsia"/>
                <w:sz w:val="15"/>
                <w:szCs w:val="15"/>
              </w:rPr>
              <w:t>—</w:t>
            </w:r>
          </w:p>
        </w:tc>
        <w:tc>
          <w:tcPr>
            <w:tcW w:w="538" w:type="pct"/>
            <w:vAlign w:val="center"/>
          </w:tcPr>
          <w:p w14:paraId="0271514D">
            <w:pPr>
              <w:adjustRightInd/>
              <w:snapToGrid/>
              <w:ind w:firstLine="0" w:firstLineChars="0"/>
              <w:jc w:val="center"/>
              <w:rPr>
                <w:sz w:val="15"/>
                <w:szCs w:val="15"/>
              </w:rPr>
            </w:pPr>
            <w:r>
              <w:rPr>
                <w:rFonts w:hint="eastAsia"/>
                <w:sz w:val="15"/>
                <w:szCs w:val="15"/>
              </w:rPr>
              <w:t>—</w:t>
            </w:r>
          </w:p>
        </w:tc>
        <w:tc>
          <w:tcPr>
            <w:tcW w:w="665" w:type="pct"/>
            <w:vAlign w:val="center"/>
          </w:tcPr>
          <w:p w14:paraId="5048B324">
            <w:pPr>
              <w:adjustRightInd/>
              <w:snapToGrid/>
              <w:ind w:firstLine="0" w:firstLineChars="0"/>
              <w:jc w:val="center"/>
              <w:rPr>
                <w:sz w:val="15"/>
                <w:szCs w:val="15"/>
              </w:rPr>
            </w:pPr>
            <w:r>
              <w:rPr>
                <w:sz w:val="15"/>
                <w:szCs w:val="15"/>
              </w:rPr>
              <w:t>0.987</w:t>
            </w:r>
          </w:p>
        </w:tc>
        <w:tc>
          <w:tcPr>
            <w:tcW w:w="537" w:type="pct"/>
            <w:vAlign w:val="center"/>
          </w:tcPr>
          <w:p w14:paraId="100D5773">
            <w:pPr>
              <w:adjustRightInd/>
              <w:snapToGrid/>
              <w:ind w:firstLine="0" w:firstLineChars="0"/>
              <w:jc w:val="center"/>
              <w:rPr>
                <w:sz w:val="15"/>
                <w:szCs w:val="15"/>
              </w:rPr>
            </w:pPr>
            <w:r>
              <w:rPr>
                <w:sz w:val="15"/>
                <w:szCs w:val="15"/>
              </w:rPr>
              <w:t>0.999</w:t>
            </w:r>
          </w:p>
        </w:tc>
        <w:tc>
          <w:tcPr>
            <w:tcW w:w="537" w:type="pct"/>
            <w:vAlign w:val="center"/>
          </w:tcPr>
          <w:p w14:paraId="6AE08DC6">
            <w:pPr>
              <w:adjustRightInd/>
              <w:snapToGrid/>
              <w:ind w:firstLine="0" w:firstLineChars="0"/>
              <w:jc w:val="center"/>
              <w:rPr>
                <w:sz w:val="15"/>
                <w:szCs w:val="15"/>
              </w:rPr>
            </w:pPr>
            <w:r>
              <w:rPr>
                <w:sz w:val="15"/>
                <w:szCs w:val="15"/>
              </w:rPr>
              <w:t>0.995</w:t>
            </w:r>
          </w:p>
        </w:tc>
        <w:tc>
          <w:tcPr>
            <w:tcW w:w="538" w:type="pct"/>
            <w:vAlign w:val="center"/>
          </w:tcPr>
          <w:p w14:paraId="43ABCB35">
            <w:pPr>
              <w:adjustRightInd/>
              <w:snapToGrid/>
              <w:ind w:firstLine="0" w:firstLineChars="0"/>
              <w:jc w:val="center"/>
              <w:rPr>
                <w:sz w:val="15"/>
                <w:szCs w:val="15"/>
              </w:rPr>
            </w:pPr>
            <w:r>
              <w:rPr>
                <w:sz w:val="15"/>
                <w:szCs w:val="15"/>
              </w:rPr>
              <w:t>0.998</w:t>
            </w:r>
          </w:p>
        </w:tc>
      </w:tr>
      <w:tr w14:paraId="309157E6">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732B5044">
            <w:pPr>
              <w:adjustRightInd/>
              <w:snapToGrid/>
              <w:ind w:firstLine="0" w:firstLineChars="0"/>
              <w:jc w:val="center"/>
              <w:rPr>
                <w:sz w:val="15"/>
                <w:szCs w:val="15"/>
              </w:rPr>
            </w:pPr>
            <w:r>
              <w:rPr>
                <w:sz w:val="15"/>
                <w:szCs w:val="15"/>
              </w:rPr>
              <w:t>IMF6</w:t>
            </w:r>
          </w:p>
        </w:tc>
        <w:tc>
          <w:tcPr>
            <w:tcW w:w="665" w:type="pct"/>
            <w:vAlign w:val="center"/>
          </w:tcPr>
          <w:p w14:paraId="5FB348FF">
            <w:pPr>
              <w:adjustRightInd/>
              <w:snapToGrid/>
              <w:ind w:firstLine="0" w:firstLineChars="0"/>
              <w:jc w:val="center"/>
              <w:rPr>
                <w:sz w:val="15"/>
                <w:szCs w:val="15"/>
              </w:rPr>
            </w:pPr>
            <w:r>
              <w:rPr>
                <w:rFonts w:hint="eastAsia"/>
                <w:sz w:val="15"/>
                <w:szCs w:val="15"/>
              </w:rPr>
              <w:t>—</w:t>
            </w:r>
          </w:p>
        </w:tc>
        <w:tc>
          <w:tcPr>
            <w:tcW w:w="537" w:type="pct"/>
            <w:vAlign w:val="center"/>
          </w:tcPr>
          <w:p w14:paraId="7C04480F">
            <w:pPr>
              <w:adjustRightInd/>
              <w:snapToGrid/>
              <w:ind w:firstLine="0" w:firstLineChars="0"/>
              <w:jc w:val="center"/>
              <w:rPr>
                <w:sz w:val="15"/>
                <w:szCs w:val="15"/>
              </w:rPr>
            </w:pPr>
            <w:r>
              <w:rPr>
                <w:rFonts w:hint="eastAsia"/>
                <w:sz w:val="15"/>
                <w:szCs w:val="15"/>
              </w:rPr>
              <w:t>—</w:t>
            </w:r>
          </w:p>
        </w:tc>
        <w:tc>
          <w:tcPr>
            <w:tcW w:w="537" w:type="pct"/>
            <w:vAlign w:val="center"/>
          </w:tcPr>
          <w:p w14:paraId="4B4D5718">
            <w:pPr>
              <w:adjustRightInd/>
              <w:snapToGrid/>
              <w:ind w:firstLine="0" w:firstLineChars="0"/>
              <w:jc w:val="center"/>
              <w:rPr>
                <w:sz w:val="15"/>
                <w:szCs w:val="15"/>
              </w:rPr>
            </w:pPr>
            <w:r>
              <w:rPr>
                <w:rFonts w:hint="eastAsia"/>
                <w:sz w:val="15"/>
                <w:szCs w:val="15"/>
              </w:rPr>
              <w:t>—</w:t>
            </w:r>
          </w:p>
        </w:tc>
        <w:tc>
          <w:tcPr>
            <w:tcW w:w="538" w:type="pct"/>
            <w:vAlign w:val="center"/>
          </w:tcPr>
          <w:p w14:paraId="71130011">
            <w:pPr>
              <w:adjustRightInd/>
              <w:snapToGrid/>
              <w:ind w:firstLine="0" w:firstLineChars="0"/>
              <w:jc w:val="center"/>
              <w:rPr>
                <w:sz w:val="15"/>
                <w:szCs w:val="15"/>
              </w:rPr>
            </w:pPr>
            <w:r>
              <w:rPr>
                <w:rFonts w:hint="eastAsia"/>
                <w:sz w:val="15"/>
                <w:szCs w:val="15"/>
              </w:rPr>
              <w:t>—</w:t>
            </w:r>
          </w:p>
        </w:tc>
        <w:tc>
          <w:tcPr>
            <w:tcW w:w="665" w:type="pct"/>
            <w:vAlign w:val="center"/>
          </w:tcPr>
          <w:p w14:paraId="00F68FE7">
            <w:pPr>
              <w:adjustRightInd/>
              <w:snapToGrid/>
              <w:ind w:firstLine="0" w:firstLineChars="0"/>
              <w:jc w:val="center"/>
              <w:rPr>
                <w:sz w:val="15"/>
                <w:szCs w:val="15"/>
              </w:rPr>
            </w:pPr>
            <w:r>
              <w:rPr>
                <w:sz w:val="15"/>
                <w:szCs w:val="15"/>
              </w:rPr>
              <w:t>0.999</w:t>
            </w:r>
          </w:p>
        </w:tc>
        <w:tc>
          <w:tcPr>
            <w:tcW w:w="537" w:type="pct"/>
            <w:vAlign w:val="center"/>
          </w:tcPr>
          <w:p w14:paraId="0DFB50FC">
            <w:pPr>
              <w:adjustRightInd/>
              <w:snapToGrid/>
              <w:ind w:firstLine="0" w:firstLineChars="0"/>
              <w:jc w:val="center"/>
              <w:rPr>
                <w:sz w:val="15"/>
                <w:szCs w:val="15"/>
              </w:rPr>
            </w:pPr>
            <w:r>
              <w:rPr>
                <w:sz w:val="15"/>
                <w:szCs w:val="15"/>
              </w:rPr>
              <w:t>0.999</w:t>
            </w:r>
          </w:p>
        </w:tc>
        <w:tc>
          <w:tcPr>
            <w:tcW w:w="537" w:type="pct"/>
            <w:vAlign w:val="center"/>
          </w:tcPr>
          <w:p w14:paraId="7D5E92A2">
            <w:pPr>
              <w:adjustRightInd/>
              <w:snapToGrid/>
              <w:ind w:firstLine="0" w:firstLineChars="0"/>
              <w:jc w:val="center"/>
              <w:rPr>
                <w:sz w:val="15"/>
                <w:szCs w:val="15"/>
              </w:rPr>
            </w:pPr>
            <w:r>
              <w:rPr>
                <w:sz w:val="15"/>
                <w:szCs w:val="15"/>
              </w:rPr>
              <w:t>0.999</w:t>
            </w:r>
          </w:p>
        </w:tc>
        <w:tc>
          <w:tcPr>
            <w:tcW w:w="538" w:type="pct"/>
            <w:vAlign w:val="center"/>
          </w:tcPr>
          <w:p w14:paraId="302C5A4F">
            <w:pPr>
              <w:adjustRightInd/>
              <w:snapToGrid/>
              <w:ind w:firstLine="0" w:firstLineChars="0"/>
              <w:jc w:val="center"/>
              <w:rPr>
                <w:sz w:val="15"/>
                <w:szCs w:val="15"/>
              </w:rPr>
            </w:pPr>
            <w:r>
              <w:rPr>
                <w:sz w:val="15"/>
                <w:szCs w:val="15"/>
              </w:rPr>
              <w:t>0.999</w:t>
            </w:r>
          </w:p>
        </w:tc>
      </w:tr>
      <w:tr w14:paraId="23D7EE88">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52E5EC2B">
            <w:pPr>
              <w:adjustRightInd/>
              <w:snapToGrid/>
              <w:ind w:firstLine="0" w:firstLineChars="0"/>
              <w:jc w:val="center"/>
              <w:rPr>
                <w:sz w:val="15"/>
                <w:szCs w:val="15"/>
              </w:rPr>
            </w:pPr>
            <w:r>
              <w:rPr>
                <w:sz w:val="15"/>
                <w:szCs w:val="15"/>
              </w:rPr>
              <w:t>IMF7</w:t>
            </w:r>
          </w:p>
        </w:tc>
        <w:tc>
          <w:tcPr>
            <w:tcW w:w="665" w:type="pct"/>
            <w:vAlign w:val="center"/>
          </w:tcPr>
          <w:p w14:paraId="59A210C0">
            <w:pPr>
              <w:adjustRightInd/>
              <w:snapToGrid/>
              <w:ind w:firstLine="0" w:firstLineChars="0"/>
              <w:jc w:val="center"/>
              <w:rPr>
                <w:sz w:val="15"/>
                <w:szCs w:val="15"/>
              </w:rPr>
            </w:pPr>
            <w:r>
              <w:rPr>
                <w:rFonts w:hint="eastAsia"/>
                <w:sz w:val="15"/>
                <w:szCs w:val="15"/>
              </w:rPr>
              <w:t>—</w:t>
            </w:r>
          </w:p>
        </w:tc>
        <w:tc>
          <w:tcPr>
            <w:tcW w:w="537" w:type="pct"/>
            <w:vAlign w:val="center"/>
          </w:tcPr>
          <w:p w14:paraId="39697B81">
            <w:pPr>
              <w:adjustRightInd/>
              <w:snapToGrid/>
              <w:ind w:firstLine="0" w:firstLineChars="0"/>
              <w:jc w:val="center"/>
              <w:rPr>
                <w:sz w:val="15"/>
                <w:szCs w:val="15"/>
              </w:rPr>
            </w:pPr>
            <w:r>
              <w:rPr>
                <w:rFonts w:hint="eastAsia"/>
                <w:sz w:val="15"/>
                <w:szCs w:val="15"/>
              </w:rPr>
              <w:t>—</w:t>
            </w:r>
          </w:p>
        </w:tc>
        <w:tc>
          <w:tcPr>
            <w:tcW w:w="537" w:type="pct"/>
            <w:vAlign w:val="center"/>
          </w:tcPr>
          <w:p w14:paraId="1EB3D0F8">
            <w:pPr>
              <w:adjustRightInd/>
              <w:snapToGrid/>
              <w:ind w:firstLine="0" w:firstLineChars="0"/>
              <w:jc w:val="center"/>
              <w:rPr>
                <w:sz w:val="15"/>
                <w:szCs w:val="15"/>
              </w:rPr>
            </w:pPr>
            <w:r>
              <w:rPr>
                <w:rFonts w:hint="eastAsia"/>
                <w:sz w:val="15"/>
                <w:szCs w:val="15"/>
              </w:rPr>
              <w:t>—</w:t>
            </w:r>
          </w:p>
        </w:tc>
        <w:tc>
          <w:tcPr>
            <w:tcW w:w="538" w:type="pct"/>
            <w:vAlign w:val="center"/>
          </w:tcPr>
          <w:p w14:paraId="73646A0C">
            <w:pPr>
              <w:adjustRightInd/>
              <w:snapToGrid/>
              <w:ind w:firstLine="0" w:firstLineChars="0"/>
              <w:jc w:val="center"/>
              <w:rPr>
                <w:sz w:val="15"/>
                <w:szCs w:val="15"/>
              </w:rPr>
            </w:pPr>
            <w:r>
              <w:rPr>
                <w:rFonts w:hint="eastAsia"/>
                <w:sz w:val="15"/>
                <w:szCs w:val="15"/>
              </w:rPr>
              <w:t>—</w:t>
            </w:r>
          </w:p>
        </w:tc>
        <w:tc>
          <w:tcPr>
            <w:tcW w:w="665" w:type="pct"/>
            <w:vAlign w:val="center"/>
          </w:tcPr>
          <w:p w14:paraId="6E4531C9">
            <w:pPr>
              <w:adjustRightInd/>
              <w:snapToGrid/>
              <w:ind w:firstLine="0" w:firstLineChars="0"/>
              <w:jc w:val="center"/>
              <w:rPr>
                <w:sz w:val="15"/>
                <w:szCs w:val="15"/>
              </w:rPr>
            </w:pPr>
            <w:r>
              <w:rPr>
                <w:sz w:val="15"/>
                <w:szCs w:val="15"/>
              </w:rPr>
              <w:t>0.999</w:t>
            </w:r>
          </w:p>
        </w:tc>
        <w:tc>
          <w:tcPr>
            <w:tcW w:w="537" w:type="pct"/>
            <w:vAlign w:val="center"/>
          </w:tcPr>
          <w:p w14:paraId="6F93EDB8">
            <w:pPr>
              <w:adjustRightInd/>
              <w:snapToGrid/>
              <w:ind w:firstLine="0" w:firstLineChars="0"/>
              <w:jc w:val="center"/>
              <w:rPr>
                <w:sz w:val="15"/>
                <w:szCs w:val="15"/>
              </w:rPr>
            </w:pPr>
            <w:r>
              <w:rPr>
                <w:sz w:val="15"/>
                <w:szCs w:val="15"/>
              </w:rPr>
              <w:t>0.999</w:t>
            </w:r>
          </w:p>
        </w:tc>
        <w:tc>
          <w:tcPr>
            <w:tcW w:w="537" w:type="pct"/>
            <w:vAlign w:val="center"/>
          </w:tcPr>
          <w:p w14:paraId="191395DF">
            <w:pPr>
              <w:adjustRightInd/>
              <w:snapToGrid/>
              <w:ind w:firstLine="0" w:firstLineChars="0"/>
              <w:jc w:val="center"/>
              <w:rPr>
                <w:sz w:val="15"/>
                <w:szCs w:val="15"/>
              </w:rPr>
            </w:pPr>
            <w:r>
              <w:rPr>
                <w:sz w:val="15"/>
                <w:szCs w:val="15"/>
              </w:rPr>
              <w:t>0.999</w:t>
            </w:r>
          </w:p>
        </w:tc>
        <w:tc>
          <w:tcPr>
            <w:tcW w:w="538" w:type="pct"/>
            <w:vAlign w:val="center"/>
          </w:tcPr>
          <w:p w14:paraId="1F694064">
            <w:pPr>
              <w:adjustRightInd/>
              <w:snapToGrid/>
              <w:ind w:firstLine="0" w:firstLineChars="0"/>
              <w:jc w:val="center"/>
              <w:rPr>
                <w:sz w:val="15"/>
                <w:szCs w:val="15"/>
              </w:rPr>
            </w:pPr>
            <w:r>
              <w:rPr>
                <w:sz w:val="15"/>
                <w:szCs w:val="15"/>
              </w:rPr>
              <w:t>0.999</w:t>
            </w:r>
          </w:p>
        </w:tc>
      </w:tr>
      <w:tr w14:paraId="12BC473A">
        <w:tblPrEx>
          <w:tblBorders>
            <w:top w:val="single" w:color="auto" w:sz="12" w:space="0"/>
            <w:left w:val="none" w:color="auto" w:sz="0" w:space="0"/>
            <w:bottom w:val="single" w:color="auto" w:sz="12" w:space="0"/>
            <w:right w:val="none" w:color="auto" w:sz="0" w:space="0"/>
            <w:insideH w:val="none" w:color="auto" w:sz="0" w:space="0"/>
            <w:insideV w:val="none" w:color="auto" w:sz="0" w:space="0"/>
          </w:tblBorders>
          <w:tblCellMar>
            <w:top w:w="0" w:type="dxa"/>
            <w:left w:w="108" w:type="dxa"/>
            <w:bottom w:w="0" w:type="dxa"/>
            <w:right w:w="108" w:type="dxa"/>
          </w:tblCellMar>
        </w:tblPrEx>
        <w:tc>
          <w:tcPr>
            <w:tcW w:w="446" w:type="pct"/>
            <w:vAlign w:val="center"/>
          </w:tcPr>
          <w:p w14:paraId="2DE6A5B5">
            <w:pPr>
              <w:adjustRightInd/>
              <w:snapToGrid/>
              <w:ind w:firstLine="0" w:firstLineChars="0"/>
              <w:jc w:val="center"/>
              <w:rPr>
                <w:sz w:val="15"/>
                <w:szCs w:val="15"/>
              </w:rPr>
            </w:pPr>
            <w:r>
              <w:rPr>
                <w:sz w:val="15"/>
                <w:szCs w:val="15"/>
              </w:rPr>
              <w:t>RES</w:t>
            </w:r>
          </w:p>
        </w:tc>
        <w:tc>
          <w:tcPr>
            <w:tcW w:w="665" w:type="pct"/>
            <w:vAlign w:val="center"/>
          </w:tcPr>
          <w:p w14:paraId="046FE37B">
            <w:pPr>
              <w:adjustRightInd/>
              <w:snapToGrid/>
              <w:ind w:firstLine="0" w:firstLineChars="0"/>
              <w:jc w:val="center"/>
              <w:rPr>
                <w:sz w:val="15"/>
                <w:szCs w:val="15"/>
              </w:rPr>
            </w:pPr>
            <w:r>
              <w:rPr>
                <w:sz w:val="15"/>
                <w:szCs w:val="15"/>
              </w:rPr>
              <w:t>0.998</w:t>
            </w:r>
          </w:p>
        </w:tc>
        <w:tc>
          <w:tcPr>
            <w:tcW w:w="537" w:type="pct"/>
            <w:vAlign w:val="center"/>
          </w:tcPr>
          <w:p w14:paraId="5376872D">
            <w:pPr>
              <w:adjustRightInd/>
              <w:snapToGrid/>
              <w:ind w:firstLine="0" w:firstLineChars="0"/>
              <w:jc w:val="center"/>
              <w:rPr>
                <w:sz w:val="15"/>
                <w:szCs w:val="15"/>
              </w:rPr>
            </w:pPr>
            <w:r>
              <w:rPr>
                <w:sz w:val="15"/>
                <w:szCs w:val="15"/>
              </w:rPr>
              <w:t>0.996</w:t>
            </w:r>
          </w:p>
        </w:tc>
        <w:tc>
          <w:tcPr>
            <w:tcW w:w="537" w:type="pct"/>
            <w:vAlign w:val="center"/>
          </w:tcPr>
          <w:p w14:paraId="052CAA9C">
            <w:pPr>
              <w:adjustRightInd/>
              <w:snapToGrid/>
              <w:ind w:firstLine="0" w:firstLineChars="0"/>
              <w:jc w:val="center"/>
              <w:rPr>
                <w:sz w:val="15"/>
                <w:szCs w:val="15"/>
              </w:rPr>
            </w:pPr>
            <w:r>
              <w:rPr>
                <w:sz w:val="15"/>
                <w:szCs w:val="15"/>
              </w:rPr>
              <w:t>0.994</w:t>
            </w:r>
          </w:p>
        </w:tc>
        <w:tc>
          <w:tcPr>
            <w:tcW w:w="538" w:type="pct"/>
            <w:vAlign w:val="center"/>
          </w:tcPr>
          <w:p w14:paraId="1D99CD4F">
            <w:pPr>
              <w:adjustRightInd/>
              <w:snapToGrid/>
              <w:ind w:firstLine="0" w:firstLineChars="0"/>
              <w:jc w:val="center"/>
              <w:rPr>
                <w:sz w:val="15"/>
                <w:szCs w:val="15"/>
              </w:rPr>
            </w:pPr>
            <w:r>
              <w:rPr>
                <w:sz w:val="15"/>
                <w:szCs w:val="15"/>
              </w:rPr>
              <w:t>0.997</w:t>
            </w:r>
          </w:p>
        </w:tc>
        <w:tc>
          <w:tcPr>
            <w:tcW w:w="665" w:type="pct"/>
            <w:vAlign w:val="center"/>
          </w:tcPr>
          <w:p w14:paraId="306610BD">
            <w:pPr>
              <w:adjustRightInd/>
              <w:snapToGrid/>
              <w:ind w:firstLine="0" w:firstLineChars="0"/>
              <w:jc w:val="center"/>
              <w:rPr>
                <w:sz w:val="15"/>
                <w:szCs w:val="15"/>
              </w:rPr>
            </w:pPr>
            <w:r>
              <w:rPr>
                <w:sz w:val="15"/>
                <w:szCs w:val="15"/>
              </w:rPr>
              <w:t>0.999</w:t>
            </w:r>
          </w:p>
        </w:tc>
        <w:tc>
          <w:tcPr>
            <w:tcW w:w="537" w:type="pct"/>
            <w:vAlign w:val="center"/>
          </w:tcPr>
          <w:p w14:paraId="569CEF9C">
            <w:pPr>
              <w:adjustRightInd/>
              <w:snapToGrid/>
              <w:ind w:firstLine="0" w:firstLineChars="0"/>
              <w:jc w:val="center"/>
              <w:rPr>
                <w:sz w:val="15"/>
                <w:szCs w:val="15"/>
              </w:rPr>
            </w:pPr>
            <w:r>
              <w:rPr>
                <w:sz w:val="15"/>
                <w:szCs w:val="15"/>
              </w:rPr>
              <w:t>0.999</w:t>
            </w:r>
          </w:p>
        </w:tc>
        <w:tc>
          <w:tcPr>
            <w:tcW w:w="537" w:type="pct"/>
            <w:vAlign w:val="center"/>
          </w:tcPr>
          <w:p w14:paraId="5DA1226A">
            <w:pPr>
              <w:adjustRightInd/>
              <w:snapToGrid/>
              <w:ind w:firstLine="0" w:firstLineChars="0"/>
              <w:jc w:val="center"/>
              <w:rPr>
                <w:sz w:val="15"/>
                <w:szCs w:val="15"/>
              </w:rPr>
            </w:pPr>
            <w:r>
              <w:rPr>
                <w:sz w:val="15"/>
                <w:szCs w:val="15"/>
              </w:rPr>
              <w:t>0.999</w:t>
            </w:r>
          </w:p>
        </w:tc>
        <w:tc>
          <w:tcPr>
            <w:tcW w:w="538" w:type="pct"/>
            <w:vAlign w:val="center"/>
          </w:tcPr>
          <w:p w14:paraId="09B2282F">
            <w:pPr>
              <w:adjustRightInd/>
              <w:snapToGrid/>
              <w:ind w:firstLine="0" w:firstLineChars="0"/>
              <w:jc w:val="center"/>
              <w:rPr>
                <w:sz w:val="15"/>
                <w:szCs w:val="15"/>
              </w:rPr>
            </w:pPr>
            <w:r>
              <w:rPr>
                <w:sz w:val="15"/>
                <w:szCs w:val="15"/>
              </w:rPr>
              <w:t>0.998</w:t>
            </w:r>
            <w:bookmarkEnd w:id="212"/>
          </w:p>
        </w:tc>
      </w:tr>
    </w:tbl>
    <w:p w14:paraId="5C053FBB">
      <w:pPr>
        <w:ind w:firstLine="420"/>
      </w:pPr>
      <w:bookmarkStart w:id="213" w:name="正文段落_80"/>
      <w:r>
        <w:rPr>
          <w:highlight w:val="white"/>
        </w:rPr>
        <w:t>本文引入VMD</w:t>
      </w:r>
      <w:r>
        <w:rPr>
          <w:rFonts w:hint="eastAsia"/>
          <w:highlight w:val="white"/>
        </w:rPr>
        <w:t>法对</w:t>
      </w:r>
      <w:r>
        <w:rPr>
          <w:highlight w:val="white"/>
        </w:rPr>
        <w:t>四站</w:t>
      </w:r>
      <w:r>
        <w:rPr>
          <w:rFonts w:hint="eastAsia"/>
          <w:highlight w:val="white"/>
        </w:rPr>
        <w:t>年、月径流序列</w:t>
      </w:r>
      <w:r>
        <w:rPr>
          <w:highlight w:val="white"/>
        </w:rPr>
        <w:t>ESMD</w:t>
      </w:r>
      <w:r>
        <w:rPr>
          <w:rFonts w:hint="eastAsia"/>
          <w:highlight w:val="white"/>
        </w:rPr>
        <w:t>单次</w:t>
      </w:r>
      <w:r>
        <w:rPr>
          <w:highlight w:val="white"/>
        </w:rPr>
        <w:t>分解得到的IMF1</w:t>
      </w:r>
      <w:r>
        <w:rPr>
          <w:rFonts w:hint="eastAsia"/>
          <w:highlight w:val="white"/>
        </w:rPr>
        <w:t>进行二次分解</w:t>
      </w:r>
      <w:r>
        <w:rPr>
          <w:highlight w:val="white"/>
        </w:rPr>
        <w:t>，获得更稳定的窄带</w:t>
      </w:r>
      <w:r>
        <w:rPr>
          <w:rFonts w:hint="eastAsia"/>
          <w:highlight w:val="white"/>
        </w:rPr>
        <w:t>子分量，同样</w:t>
      </w:r>
      <w:r>
        <w:rPr>
          <w:highlight w:val="white"/>
        </w:rPr>
        <w:t>采用GA</w:t>
      </w:r>
      <w:r>
        <w:rPr>
          <w:rFonts w:hint="eastAsia"/>
          <w:highlight w:val="white"/>
        </w:rPr>
        <w:t>-</w:t>
      </w:r>
      <w:r>
        <w:rPr>
          <w:highlight w:val="white"/>
        </w:rPr>
        <w:t>ESN模型对VMD分解得到的各子</w:t>
      </w:r>
      <w:r>
        <w:rPr>
          <w:rFonts w:hint="eastAsia"/>
          <w:highlight w:val="white"/>
        </w:rPr>
        <w:t>分量</w:t>
      </w:r>
      <w:r>
        <w:rPr>
          <w:highlight w:val="white"/>
        </w:rPr>
        <w:t>分别建模预测，并在重构</w:t>
      </w:r>
      <w:r>
        <w:rPr>
          <w:rFonts w:hint="eastAsia"/>
          <w:highlight w:val="white"/>
        </w:rPr>
        <w:t>后得到IMF1的预测结果</w:t>
      </w:r>
      <w:r>
        <w:rPr>
          <w:highlight w:val="white"/>
        </w:rPr>
        <w:t>。</w:t>
      </w:r>
      <w:r>
        <w:rPr>
          <w:rFonts w:hint="eastAsia"/>
          <w:highlight w:val="white"/>
        </w:rPr>
        <w:t>经过不断测试</w:t>
      </w:r>
      <w:r>
        <w:rPr>
          <w:highlight w:val="white"/>
        </w:rPr>
        <w:t>确定唐乃亥站、贵德站、循化站和兰州站年径流IMF1的最优</w:t>
      </w:r>
      <w:r>
        <w:rPr>
          <w:rFonts w:hint="eastAsia"/>
          <w:highlight w:val="white"/>
        </w:rPr>
        <w:t>分解分量</w:t>
      </w:r>
      <w:r>
        <w:rPr>
          <w:highlight w:val="white"/>
        </w:rPr>
        <w:t>数</w:t>
      </w:r>
      <w:r>
        <w:rPr>
          <w:rFonts w:hint="eastAsia"/>
          <w:highlight w:val="white"/>
        </w:rPr>
        <w:t>目</w:t>
      </w:r>
      <w:r>
        <w:rPr>
          <w:highlight w:val="white"/>
        </w:rPr>
        <w:t>分别为2、3、3和3</w:t>
      </w:r>
      <w:r>
        <w:rPr>
          <w:rFonts w:hint="eastAsia"/>
          <w:highlight w:val="white"/>
        </w:rPr>
        <w:t>个</w:t>
      </w:r>
      <w:r>
        <w:rPr>
          <w:highlight w:val="white"/>
        </w:rPr>
        <w:t>，月径流IMF1的最优</w:t>
      </w:r>
      <w:r>
        <w:rPr>
          <w:rFonts w:hint="eastAsia"/>
          <w:highlight w:val="white"/>
        </w:rPr>
        <w:t>分解分量数目</w:t>
      </w:r>
      <w:r>
        <w:rPr>
          <w:highlight w:val="white"/>
        </w:rPr>
        <w:t>分别为3、5、5和6</w:t>
      </w:r>
      <w:r>
        <w:rPr>
          <w:rFonts w:hint="eastAsia"/>
          <w:highlight w:val="white"/>
        </w:rPr>
        <w:t>个</w:t>
      </w:r>
      <w:r>
        <w:rPr>
          <w:highlight w:val="white"/>
        </w:rPr>
        <w:t>。与ESMD单次分解相比，四站年径流IMF1</w:t>
      </w:r>
      <w:r>
        <w:rPr>
          <w:rFonts w:hint="eastAsia"/>
          <w:highlight w:val="white"/>
        </w:rPr>
        <w:t>二次分解预测</w:t>
      </w:r>
      <w:r>
        <w:rPr>
          <w:highlight w:val="white"/>
        </w:rPr>
        <w:t>的</w:t>
      </w:r>
      <w:r>
        <w:rPr>
          <w:i/>
          <w:iCs/>
          <w:highlight w:val="white"/>
        </w:rPr>
        <w:t>NSE</w:t>
      </w:r>
      <w:r>
        <w:rPr>
          <w:highlight w:val="white"/>
        </w:rPr>
        <w:t>由0.741、0.787、0.772</w:t>
      </w:r>
      <w:r>
        <w:rPr>
          <w:rFonts w:hint="eastAsia"/>
          <w:highlight w:val="white"/>
        </w:rPr>
        <w:t>、</w:t>
      </w:r>
      <w:r>
        <w:rPr>
          <w:highlight w:val="white"/>
        </w:rPr>
        <w:t>0.694提高至0.824、0.862、0.811</w:t>
      </w:r>
      <w:r>
        <w:rPr>
          <w:rFonts w:hint="eastAsia"/>
          <w:highlight w:val="white"/>
        </w:rPr>
        <w:t>、</w:t>
      </w:r>
      <w:r>
        <w:rPr>
          <w:highlight w:val="white"/>
        </w:rPr>
        <w:t>0.834，增幅分别为11.2%、9.5%、5.1%</w:t>
      </w:r>
      <w:r>
        <w:rPr>
          <w:rFonts w:hint="eastAsia"/>
          <w:highlight w:val="white"/>
        </w:rPr>
        <w:t>、</w:t>
      </w:r>
      <w:r>
        <w:rPr>
          <w:highlight w:val="white"/>
        </w:rPr>
        <w:t>20.2%；月径流IMF1的</w:t>
      </w:r>
      <w:r>
        <w:rPr>
          <w:i/>
          <w:iCs/>
          <w:highlight w:val="white"/>
        </w:rPr>
        <w:t>NSE</w:t>
      </w:r>
      <w:r>
        <w:rPr>
          <w:highlight w:val="white"/>
        </w:rPr>
        <w:t>由0.760、0.729、0.654</w:t>
      </w:r>
      <w:r>
        <w:rPr>
          <w:rFonts w:hint="eastAsia"/>
          <w:highlight w:val="white"/>
        </w:rPr>
        <w:t>、</w:t>
      </w:r>
      <w:r>
        <w:rPr>
          <w:highlight w:val="white"/>
        </w:rPr>
        <w:t>0.512提高至0.904、0.801、0.819</w:t>
      </w:r>
      <w:r>
        <w:rPr>
          <w:rFonts w:hint="eastAsia"/>
          <w:highlight w:val="white"/>
        </w:rPr>
        <w:t>、</w:t>
      </w:r>
      <w:r>
        <w:rPr>
          <w:highlight w:val="white"/>
        </w:rPr>
        <w:t>0.668，增幅分别为18.9%、9.</w:t>
      </w:r>
      <w:r>
        <w:rPr>
          <w:rFonts w:hint="eastAsia"/>
          <w:highlight w:val="white"/>
        </w:rPr>
        <w:t>9</w:t>
      </w:r>
      <w:r>
        <w:rPr>
          <w:highlight w:val="white"/>
        </w:rPr>
        <w:t>%、25.2%和30.5%</w:t>
      </w:r>
      <w:r>
        <w:rPr>
          <w:rFonts w:hint="eastAsia"/>
          <w:highlight w:val="white"/>
        </w:rPr>
        <w:t>，这</w:t>
      </w:r>
      <w:r>
        <w:rPr>
          <w:highlight w:val="white"/>
        </w:rPr>
        <w:t>表明VMD二次分解能够有效降低IMF1的复杂度</w:t>
      </w:r>
      <w:r>
        <w:rPr>
          <w:rFonts w:hint="eastAsia"/>
          <w:highlight w:val="white"/>
        </w:rPr>
        <w:t>，</w:t>
      </w:r>
      <w:r>
        <w:rPr>
          <w:highlight w:val="white"/>
        </w:rPr>
        <w:t>增强其可预测性。图4展示了四站</w:t>
      </w:r>
      <w:r>
        <w:rPr>
          <w:rFonts w:hint="eastAsia"/>
          <w:highlight w:val="white"/>
        </w:rPr>
        <w:t>年、月径流</w:t>
      </w:r>
      <w:r>
        <w:rPr>
          <w:highlight w:val="white"/>
        </w:rPr>
        <w:t>IMF1的VMD二次分解结果。</w:t>
      </w:r>
      <w:bookmarkEnd w:id="213"/>
    </w:p>
    <w:p w14:paraId="506AC399">
      <w:pPr>
        <w:pStyle w:val="57"/>
      </w:pPr>
      <w:bookmarkStart w:id="214" w:name="嵌入式图形_4"/>
      <w:r>
        <w:drawing>
          <wp:inline distT="0" distB="0" distL="0" distR="0">
            <wp:extent cx="5278120" cy="2239010"/>
            <wp:effectExtent l="0" t="0" r="0" b="8890"/>
            <wp:docPr id="225331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3116" name="图片 3"/>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a:xfrm>
                      <a:off x="0" y="0"/>
                      <a:ext cx="5278120" cy="2239010"/>
                    </a:xfrm>
                    <a:prstGeom prst="rect">
                      <a:avLst/>
                    </a:prstGeom>
                    <a:noFill/>
                    <a:ln>
                      <a:noFill/>
                    </a:ln>
                  </pic:spPr>
                </pic:pic>
              </a:graphicData>
            </a:graphic>
          </wp:inline>
        </w:drawing>
      </w:r>
      <w:bookmarkEnd w:id="214"/>
    </w:p>
    <w:p w14:paraId="2ADE962E">
      <w:pPr>
        <w:pStyle w:val="57"/>
      </w:pPr>
      <w:bookmarkStart w:id="215" w:name="中文图序_4"/>
      <w:bookmarkStart w:id="216" w:name="中文图题_4"/>
      <w:r>
        <w:rPr>
          <w:rFonts w:hint="eastAsia"/>
          <w:highlight w:val="white"/>
        </w:rPr>
        <w:t>图4</w:t>
      </w:r>
      <w:bookmarkEnd w:id="215"/>
      <w:r>
        <w:rPr>
          <w:rFonts w:hint="eastAsia"/>
          <w:highlight w:val="white"/>
        </w:rPr>
        <w:t xml:space="preserve"> 四站年、月径流IMF1的VMD二次分解结果</w:t>
      </w:r>
      <w:bookmarkEnd w:id="216"/>
    </w:p>
    <w:p w14:paraId="38343522">
      <w:pPr>
        <w:pStyle w:val="57"/>
      </w:pPr>
      <w:bookmarkStart w:id="217" w:name="英文图序_16"/>
      <w:bookmarkStart w:id="218" w:name="英文图题_4"/>
      <w:r>
        <w:rPr>
          <w:rFonts w:hint="eastAsia"/>
          <w:highlight w:val="white"/>
        </w:rPr>
        <w:t>Fig.4</w:t>
      </w:r>
      <w:bookmarkEnd w:id="217"/>
      <w:r>
        <w:rPr>
          <w:rFonts w:hint="eastAsia"/>
          <w:highlight w:val="white"/>
        </w:rPr>
        <w:t xml:space="preserve"> </w:t>
      </w:r>
      <w:r>
        <w:rPr>
          <w:highlight w:val="white"/>
        </w:rPr>
        <w:t>VMD secondary decomposition results of IMF1 for annual and monthly runoff at four stations</w:t>
      </w:r>
      <w:bookmarkEnd w:id="218"/>
    </w:p>
    <w:p w14:paraId="45E72BB3">
      <w:pPr>
        <w:pStyle w:val="3"/>
      </w:pPr>
      <w:bookmarkStart w:id="219" w:name="二级标题序号_14"/>
      <w:bookmarkStart w:id="220" w:name="二级标题_16"/>
      <w:r>
        <w:rPr>
          <w:rFonts w:hint="eastAsia"/>
          <w:highlight w:val="white"/>
        </w:rPr>
        <w:t>3.2</w:t>
      </w:r>
      <w:bookmarkEnd w:id="219"/>
      <w:r>
        <w:rPr>
          <w:rFonts w:hint="eastAsia"/>
          <w:highlight w:val="white"/>
        </w:rPr>
        <w:t xml:space="preserve"> 年径流预报</w:t>
      </w:r>
      <w:bookmarkEnd w:id="220"/>
    </w:p>
    <w:p w14:paraId="50843D68">
      <w:pPr>
        <w:ind w:firstLine="420"/>
      </w:pPr>
      <w:bookmarkStart w:id="221" w:name="正文段落_82"/>
      <w:r>
        <w:rPr>
          <w:rFonts w:hint="eastAsia"/>
          <w:highlight w:val="white"/>
        </w:rPr>
        <w:t>以1956—2009年的年径流数据为预报模型的训练集，2010—2022年的年径流数据为测试集，采用ESMD-VMD-GA-ESN-AR组合预报模型对四站年径流进行中长期预报。</w:t>
      </w:r>
      <w:r>
        <w:rPr>
          <w:highlight w:val="white"/>
        </w:rPr>
        <w:t>为验证模型有效性，选取ESN、VMD</w:t>
      </w:r>
      <w:r>
        <w:rPr>
          <w:rFonts w:hint="eastAsia"/>
          <w:highlight w:val="white"/>
        </w:rPr>
        <w:t>-</w:t>
      </w:r>
      <w:r>
        <w:rPr>
          <w:highlight w:val="white"/>
        </w:rPr>
        <w:t>ESN、ESMD-ESN、</w:t>
      </w:r>
      <w:r>
        <w:rPr>
          <w:rFonts w:hint="eastAsia"/>
          <w:highlight w:val="white"/>
        </w:rPr>
        <w:t>VMD-ESN-AR、ESMD-ESN-AR、ESMD-VMD-ESN、ESMD-VMD-ESN-AR、</w:t>
      </w:r>
      <w:r>
        <w:rPr>
          <w:highlight w:val="white"/>
        </w:rPr>
        <w:t>GA-ESN、VMD-GA-ESN、ESMD-GA-ESN</w:t>
      </w:r>
      <w:r>
        <w:rPr>
          <w:rFonts w:hint="eastAsia"/>
          <w:highlight w:val="white"/>
        </w:rPr>
        <w:t>、VMD-GA-ESN-AR、ESMD-GA-ESN-AR和</w:t>
      </w:r>
      <w:r>
        <w:rPr>
          <w:highlight w:val="white"/>
        </w:rPr>
        <w:t>ESMD-VMD-GA-ESN</w:t>
      </w:r>
      <w:r>
        <w:rPr>
          <w:rFonts w:hint="eastAsia"/>
          <w:highlight w:val="white"/>
        </w:rPr>
        <w:t>十三种</w:t>
      </w:r>
      <w:r>
        <w:rPr>
          <w:highlight w:val="white"/>
        </w:rPr>
        <w:t>模型作为对比，综合</w:t>
      </w:r>
      <w:r>
        <w:rPr>
          <w:rFonts w:hint="eastAsia"/>
          <w:highlight w:val="white"/>
        </w:rPr>
        <w:t>不同评价指标评估各模型在</w:t>
      </w:r>
      <w:r>
        <w:rPr>
          <w:highlight w:val="white"/>
        </w:rPr>
        <w:t>年径流预报中的预测性能</w:t>
      </w:r>
      <w:r>
        <w:rPr>
          <w:rFonts w:hint="eastAsia"/>
          <w:highlight w:val="white"/>
        </w:rPr>
        <w:t>，各模型预报结果如图5—8所示。</w:t>
      </w:r>
      <w:bookmarkEnd w:id="221"/>
    </w:p>
    <w:p w14:paraId="7C348E47">
      <w:pPr>
        <w:ind w:firstLine="420"/>
      </w:pPr>
      <w:bookmarkStart w:id="222" w:name="正文段落_84"/>
      <w:r>
        <w:rPr>
          <w:highlight w:val="white"/>
        </w:rPr>
        <w:t>图5展示了四站不同预报模型预测值与实测值之间的散点分布及拟合关系。对于该类散点图，模型拟合效果的判断应综合考虑两个方面：一是回归拟合关系相对于1</w:t>
      </w:r>
      <w:r>
        <w:rPr>
          <w:rFonts w:ascii="Cambria Math" w:hAnsi="Cambria Math" w:cs="Cambria Math"/>
          <w:highlight w:val="white"/>
        </w:rPr>
        <w:t>∶</w:t>
      </w:r>
      <w:r>
        <w:rPr>
          <w:highlight w:val="white"/>
        </w:rPr>
        <w:t>1理想关系的偏离程度，反映系统性偏差大小；二是散点围绕回归拟合关系的离散程度，反映随机误差大小。两者共同表征模型总体拟合误差</w:t>
      </w:r>
      <w:r>
        <w:rPr>
          <w:rFonts w:hint="eastAsia"/>
          <w:highlight w:val="white"/>
        </w:rPr>
        <w:t>大小</w:t>
      </w:r>
      <w:r>
        <w:rPr>
          <w:highlight w:val="white"/>
        </w:rPr>
        <w:t>。由图5可</w:t>
      </w:r>
      <w:r>
        <w:rPr>
          <w:rFonts w:hint="eastAsia"/>
          <w:highlight w:val="white"/>
        </w:rPr>
        <w:t>知</w:t>
      </w:r>
      <w:r>
        <w:rPr>
          <w:highlight w:val="white"/>
        </w:rPr>
        <w:t>，各模型预测值与实测值之间总体均具有较好的对应关系，说明不同模型均能较好刻画年径流变化过程。其中，ESMD-VMD-GA-ESN-AR模型的散点分布相对集中，且拟合关系与1</w:t>
      </w:r>
      <w:r>
        <w:rPr>
          <w:rFonts w:ascii="Cambria Math" w:hAnsi="Cambria Math" w:cs="Cambria Math"/>
          <w:highlight w:val="white"/>
        </w:rPr>
        <w:t>∶</w:t>
      </w:r>
      <w:r>
        <w:rPr>
          <w:highlight w:val="white"/>
        </w:rPr>
        <w:t>1参考线较为接近，表明其预报效果</w:t>
      </w:r>
      <w:r>
        <w:rPr>
          <w:rFonts w:hint="eastAsia"/>
          <w:highlight w:val="white"/>
        </w:rPr>
        <w:t>相对</w:t>
      </w:r>
      <w:r>
        <w:rPr>
          <w:highlight w:val="white"/>
        </w:rPr>
        <w:t>较好。但仅凭图5的直观特征，尚不足以直接判定ESMD-VMD-GA-ESN-AR是否为最优模型。因此，本文参考</w:t>
      </w:r>
      <w:r>
        <w:rPr>
          <w:rFonts w:hint="eastAsia"/>
          <w:highlight w:val="white"/>
        </w:rPr>
        <w:t>ZHAO</w:t>
      </w:r>
      <w:r>
        <w:rPr>
          <w:highlight w:val="white"/>
        </w:rPr>
        <w:t>等</w:t>
      </w:r>
      <w:r>
        <w:rPr>
          <w:highlight w:val="white"/>
          <w:vertAlign w:val="superscript"/>
        </w:rPr>
        <w:t>[</w:t>
      </w:r>
      <w:r>
        <w:rPr>
          <w:rFonts w:hint="eastAsia"/>
          <w:highlight w:val="white"/>
          <w:vertAlign w:val="superscript"/>
        </w:rPr>
        <w:t>32</w:t>
      </w:r>
      <w:r>
        <w:rPr>
          <w:highlight w:val="white"/>
          <w:vertAlign w:val="superscript"/>
        </w:rPr>
        <w:t>]</w:t>
      </w:r>
      <w:r>
        <w:rPr>
          <w:highlight w:val="white"/>
        </w:rPr>
        <w:t>提出的误差分解方法，引入总均方误差（Mean Squared Error，</w:t>
      </w:r>
      <w:r>
        <w:rPr>
          <w:i/>
          <w:iCs/>
          <w:highlight w:val="white"/>
        </w:rPr>
        <w:t>MSE</w:t>
      </w:r>
      <w:r>
        <w:rPr>
          <w:highlight w:val="white"/>
        </w:rPr>
        <w:t>）、系统均方误差（Systematic Mean Squared Error，</w:t>
      </w:r>
      <w:r>
        <w:rPr>
          <w:i/>
          <w:iCs/>
          <w:highlight w:val="white"/>
        </w:rPr>
        <w:t>MSEs</w:t>
      </w:r>
      <w:r>
        <w:rPr>
          <w:highlight w:val="white"/>
        </w:rPr>
        <w:t>）和非系统均方误差（Unsystematic Mean Squared Error，</w:t>
      </w:r>
      <w:r>
        <w:rPr>
          <w:i/>
          <w:iCs/>
          <w:highlight w:val="white"/>
        </w:rPr>
        <w:t>MSEu</w:t>
      </w:r>
      <w:r>
        <w:rPr>
          <w:highlight w:val="white"/>
        </w:rPr>
        <w:t>）分别用于表征总体拟合误差、系统性偏差和随机误差</w:t>
      </w:r>
      <w:r>
        <w:rPr>
          <w:rFonts w:hint="eastAsia"/>
          <w:highlight w:val="white"/>
        </w:rPr>
        <w:t>大小，</w:t>
      </w:r>
      <w:r>
        <w:rPr>
          <w:highlight w:val="white"/>
        </w:rPr>
        <w:t xml:space="preserve">图6给出了四站不同模型的 </w:t>
      </w:r>
      <w:r>
        <w:rPr>
          <w:i/>
          <w:iCs/>
          <w:highlight w:val="white"/>
        </w:rPr>
        <w:t>MSE</w:t>
      </w:r>
      <w:r>
        <w:rPr>
          <w:highlight w:val="white"/>
        </w:rPr>
        <w:t>、</w:t>
      </w:r>
      <w:r>
        <w:rPr>
          <w:i/>
          <w:iCs/>
          <w:highlight w:val="white"/>
        </w:rPr>
        <w:t>MSEs</w:t>
      </w:r>
      <w:r>
        <w:rPr>
          <w:highlight w:val="white"/>
        </w:rPr>
        <w:t xml:space="preserve"> 和 </w:t>
      </w:r>
      <w:r>
        <w:rPr>
          <w:i/>
          <w:iCs/>
          <w:highlight w:val="white"/>
        </w:rPr>
        <w:t>MSEu</w:t>
      </w:r>
      <w:r>
        <w:rPr>
          <w:highlight w:val="white"/>
        </w:rPr>
        <w:t xml:space="preserve"> 对比结果</w:t>
      </w:r>
      <w:r>
        <w:rPr>
          <w:rFonts w:hint="eastAsia"/>
          <w:highlight w:val="white"/>
        </w:rPr>
        <w:t>。</w:t>
      </w:r>
      <w:r>
        <w:rPr>
          <w:highlight w:val="white"/>
        </w:rPr>
        <w:t>其中</w:t>
      </w:r>
      <w:r>
        <w:rPr>
          <w:i/>
          <w:iCs/>
          <w:highlight w:val="white"/>
        </w:rPr>
        <w:t>MSEs</w:t>
      </w:r>
      <w:r>
        <w:rPr>
          <w:highlight w:val="white"/>
        </w:rPr>
        <w:t>和</w:t>
      </w:r>
      <w:r>
        <w:rPr>
          <w:i/>
          <w:iCs/>
          <w:highlight w:val="white"/>
        </w:rPr>
        <w:t>MSEu</w:t>
      </w:r>
      <w:r>
        <w:rPr>
          <w:highlight w:val="white"/>
        </w:rPr>
        <w:t xml:space="preserve">以堆叠柱形式表示，柱体总高度表示 </w:t>
      </w:r>
      <w:r>
        <w:rPr>
          <w:i/>
          <w:iCs/>
          <w:highlight w:val="white"/>
        </w:rPr>
        <w:t>MSE</w:t>
      </w:r>
      <w:r>
        <w:rPr>
          <w:highlight w:val="white"/>
        </w:rPr>
        <w:t>。</w:t>
      </w:r>
      <w:r>
        <w:rPr>
          <w:rFonts w:hint="eastAsia"/>
          <w:highlight w:val="white"/>
        </w:rPr>
        <w:t>由图6</w:t>
      </w:r>
      <w:r>
        <w:rPr>
          <w:highlight w:val="white"/>
        </w:rPr>
        <w:t xml:space="preserve">可以看出，ESMD-VMD-GA-ESN-AR组合模型在四站的 </w:t>
      </w:r>
      <w:r>
        <w:rPr>
          <w:i/>
          <w:iCs/>
          <w:highlight w:val="white"/>
        </w:rPr>
        <w:t>MSE</w:t>
      </w:r>
      <w:r>
        <w:rPr>
          <w:highlight w:val="white"/>
        </w:rPr>
        <w:t xml:space="preserve"> 整体最低，表明其总体拟合误差最小；同时，该模型的</w:t>
      </w:r>
      <w:r>
        <w:rPr>
          <w:i/>
          <w:iCs/>
          <w:highlight w:val="white"/>
        </w:rPr>
        <w:t>MSEs</w:t>
      </w:r>
      <w:r>
        <w:rPr>
          <w:highlight w:val="white"/>
        </w:rPr>
        <w:t>和</w:t>
      </w:r>
      <w:r>
        <w:rPr>
          <w:i/>
          <w:iCs/>
          <w:highlight w:val="white"/>
        </w:rPr>
        <w:t>MSEu</w:t>
      </w:r>
      <w:r>
        <w:rPr>
          <w:highlight w:val="white"/>
        </w:rPr>
        <w:t>也总体处于较低水平，说明其系统性偏差和随机误差均得到了较好控制。综合图5的直观特征</w:t>
      </w:r>
      <w:r>
        <w:rPr>
          <w:rFonts w:hint="eastAsia"/>
          <w:highlight w:val="white"/>
        </w:rPr>
        <w:t>和</w:t>
      </w:r>
      <w:r>
        <w:rPr>
          <w:highlight w:val="white"/>
        </w:rPr>
        <w:t>图6的定量分析结果可知，ESMD-VMD-GA-ESN-AR组合模型在四站年径流预报中表现</w:t>
      </w:r>
      <w:r>
        <w:rPr>
          <w:rFonts w:hint="eastAsia"/>
          <w:highlight w:val="white"/>
        </w:rPr>
        <w:t>出最佳的预测性能</w:t>
      </w:r>
      <w:r>
        <w:rPr>
          <w:highlight w:val="white"/>
        </w:rPr>
        <w:t>。</w:t>
      </w:r>
      <w:bookmarkEnd w:id="222"/>
    </w:p>
    <w:p w14:paraId="07432F49">
      <w:pPr>
        <w:pStyle w:val="57"/>
      </w:pPr>
      <w:bookmarkStart w:id="223" w:name="嵌入式图形_5"/>
      <w:r>
        <w:drawing>
          <wp:inline distT="0" distB="0" distL="0" distR="0">
            <wp:extent cx="5278120" cy="1527810"/>
            <wp:effectExtent l="0" t="0" r="0" b="0"/>
            <wp:docPr id="171211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11240" name="图片 1"/>
                    <pic:cNvPicPr>
                      <a:picLocks noChangeAspect="1"/>
                    </pic:cNvPicPr>
                  </pic:nvPicPr>
                  <pic:blipFill>
                    <a:blip r:embed="rId176"/>
                    <a:stretch>
                      <a:fillRect/>
                    </a:stretch>
                  </pic:blipFill>
                  <pic:spPr>
                    <a:xfrm>
                      <a:off x="0" y="0"/>
                      <a:ext cx="5278120" cy="1527810"/>
                    </a:xfrm>
                    <a:prstGeom prst="rect">
                      <a:avLst/>
                    </a:prstGeom>
                  </pic:spPr>
                </pic:pic>
              </a:graphicData>
            </a:graphic>
          </wp:inline>
        </w:drawing>
      </w:r>
      <w:bookmarkEnd w:id="223"/>
    </w:p>
    <w:p w14:paraId="3779AFCE">
      <w:pPr>
        <w:pStyle w:val="57"/>
      </w:pPr>
      <w:bookmarkStart w:id="224" w:name="中文图序_5"/>
      <w:bookmarkStart w:id="225" w:name="中文图题_5"/>
      <w:r>
        <w:rPr>
          <w:rFonts w:hint="eastAsia"/>
          <w:highlight w:val="white"/>
        </w:rPr>
        <w:t>图5</w:t>
      </w:r>
      <w:bookmarkEnd w:id="224"/>
      <w:r>
        <w:rPr>
          <w:rFonts w:hint="eastAsia"/>
          <w:highlight w:val="white"/>
        </w:rPr>
        <w:t xml:space="preserve"> 四站年径流实测值和预测值散点分布拟合结果</w:t>
      </w:r>
      <w:bookmarkEnd w:id="225"/>
    </w:p>
    <w:p w14:paraId="525A32B9">
      <w:pPr>
        <w:pStyle w:val="57"/>
      </w:pPr>
      <w:bookmarkStart w:id="226" w:name="英文图序_17"/>
      <w:bookmarkStart w:id="227" w:name="英文图题_5"/>
      <w:r>
        <w:rPr>
          <w:highlight w:val="white"/>
        </w:rPr>
        <w:t>Fig.5</w:t>
      </w:r>
      <w:bookmarkEnd w:id="226"/>
      <w:r>
        <w:rPr>
          <w:highlight w:val="white"/>
        </w:rPr>
        <w:t xml:space="preserve"> Fitted scatter plots of observed </w:t>
      </w:r>
      <w:r>
        <w:rPr>
          <w:rFonts w:hint="eastAsia"/>
          <w:highlight w:val="white"/>
        </w:rPr>
        <w:t>and</w:t>
      </w:r>
      <w:r>
        <w:rPr>
          <w:highlight w:val="white"/>
        </w:rPr>
        <w:t xml:space="preserve"> predicted annual runoff at four stations</w:t>
      </w:r>
      <w:bookmarkEnd w:id="227"/>
    </w:p>
    <w:p w14:paraId="6958C895">
      <w:pPr>
        <w:pStyle w:val="57"/>
      </w:pPr>
      <w:bookmarkStart w:id="228" w:name="嵌入式图形_6"/>
      <w:r>
        <w:drawing>
          <wp:inline distT="0" distB="0" distL="0" distR="0">
            <wp:extent cx="2879725" cy="2353945"/>
            <wp:effectExtent l="0" t="0" r="0" b="8255"/>
            <wp:docPr id="42314238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142384" name="图片 7"/>
                    <pic:cNvPicPr>
                      <a:picLocks noChangeAspect="1" noChangeArrowheads="1"/>
                    </pic:cNvPicPr>
                  </pic:nvPicPr>
                  <pic:blipFill>
                    <a:blip r:embed="rId177">
                      <a:extLst>
                        <a:ext uri="{28A0092B-C50C-407E-A947-70E740481C1C}">
                          <a14:useLocalDpi xmlns:a14="http://schemas.microsoft.com/office/drawing/2010/main" val="0"/>
                        </a:ext>
                      </a:extLst>
                    </a:blip>
                    <a:stretch>
                      <a:fillRect/>
                    </a:stretch>
                  </pic:blipFill>
                  <pic:spPr>
                    <a:xfrm>
                      <a:off x="0" y="0"/>
                      <a:ext cx="2880000" cy="2354033"/>
                    </a:xfrm>
                    <a:prstGeom prst="rect">
                      <a:avLst/>
                    </a:prstGeom>
                    <a:noFill/>
                    <a:ln>
                      <a:noFill/>
                    </a:ln>
                  </pic:spPr>
                </pic:pic>
              </a:graphicData>
            </a:graphic>
          </wp:inline>
        </w:drawing>
      </w:r>
      <w:bookmarkEnd w:id="228"/>
      <w:r>
        <w:t xml:space="preserve"> </w:t>
      </w:r>
    </w:p>
    <w:p w14:paraId="0E13F31E">
      <w:pPr>
        <w:pStyle w:val="57"/>
      </w:pPr>
      <w:bookmarkStart w:id="229" w:name="中文图序_6"/>
      <w:bookmarkStart w:id="230" w:name="中文图题_6"/>
      <w:r>
        <w:rPr>
          <w:rFonts w:hint="eastAsia"/>
          <w:highlight w:val="white"/>
        </w:rPr>
        <w:t>图6</w:t>
      </w:r>
      <w:bookmarkEnd w:id="229"/>
      <w:r>
        <w:rPr>
          <w:rFonts w:hint="eastAsia"/>
          <w:highlight w:val="white"/>
        </w:rPr>
        <w:t xml:space="preserve"> </w:t>
      </w:r>
      <w:r>
        <w:rPr>
          <w:highlight w:val="white"/>
        </w:rPr>
        <w:t>四站年径流不同预报模型</w:t>
      </w:r>
      <w:r>
        <w:rPr>
          <w:rFonts w:eastAsia="宋体"/>
          <w:i/>
          <w:iCs/>
          <w:szCs w:val="18"/>
          <w:highlight w:val="white"/>
        </w:rPr>
        <w:t>MSE</w:t>
      </w:r>
      <w:r>
        <w:rPr>
          <w:szCs w:val="18"/>
          <w:highlight w:val="white"/>
        </w:rPr>
        <w:t>、</w:t>
      </w:r>
      <w:r>
        <w:rPr>
          <w:rFonts w:eastAsia="宋体"/>
          <w:i/>
          <w:iCs/>
          <w:szCs w:val="18"/>
          <w:highlight w:val="white"/>
        </w:rPr>
        <w:t>MSEs</w:t>
      </w:r>
      <w:r>
        <w:rPr>
          <w:szCs w:val="18"/>
          <w:highlight w:val="white"/>
        </w:rPr>
        <w:t>和</w:t>
      </w:r>
      <w:r>
        <w:rPr>
          <w:rFonts w:eastAsia="宋体"/>
          <w:i/>
          <w:iCs/>
          <w:szCs w:val="18"/>
          <w:highlight w:val="white"/>
        </w:rPr>
        <w:t>MSEu</w:t>
      </w:r>
      <w:r>
        <w:rPr>
          <w:highlight w:val="white"/>
        </w:rPr>
        <w:t>对比</w:t>
      </w:r>
      <w:bookmarkEnd w:id="230"/>
    </w:p>
    <w:p w14:paraId="2E628A76">
      <w:pPr>
        <w:pStyle w:val="57"/>
      </w:pPr>
      <w:bookmarkStart w:id="231" w:name="英文图序_18"/>
      <w:bookmarkStart w:id="232" w:name="英文图题_6"/>
      <w:r>
        <w:rPr>
          <w:rFonts w:hint="eastAsia"/>
          <w:highlight w:val="white"/>
        </w:rPr>
        <w:t>Fig.6</w:t>
      </w:r>
      <w:bookmarkEnd w:id="231"/>
      <w:r>
        <w:rPr>
          <w:rFonts w:hint="eastAsia"/>
          <w:highlight w:val="white"/>
        </w:rPr>
        <w:t xml:space="preserve"> </w:t>
      </w:r>
      <w:r>
        <w:rPr>
          <w:highlight w:val="white"/>
        </w:rPr>
        <w:t xml:space="preserve">Comparison of </w:t>
      </w:r>
      <w:r>
        <w:rPr>
          <w:i/>
          <w:iCs/>
          <w:highlight w:val="white"/>
        </w:rPr>
        <w:t>MSE</w:t>
      </w:r>
      <w:r>
        <w:rPr>
          <w:highlight w:val="white"/>
        </w:rPr>
        <w:t xml:space="preserve">, </w:t>
      </w:r>
      <w:r>
        <w:rPr>
          <w:i/>
          <w:iCs/>
          <w:highlight w:val="white"/>
        </w:rPr>
        <w:t>MSEs</w:t>
      </w:r>
      <w:r>
        <w:rPr>
          <w:rFonts w:hint="eastAsia"/>
          <w:highlight w:val="white"/>
        </w:rPr>
        <w:t>,</w:t>
      </w:r>
      <w:r>
        <w:rPr>
          <w:highlight w:val="white"/>
        </w:rPr>
        <w:t xml:space="preserve"> and </w:t>
      </w:r>
      <w:r>
        <w:rPr>
          <w:i/>
          <w:iCs/>
          <w:highlight w:val="white"/>
        </w:rPr>
        <w:t>MSEu</w:t>
      </w:r>
      <w:r>
        <w:rPr>
          <w:highlight w:val="white"/>
        </w:rPr>
        <w:t xml:space="preserve"> for annual runoff by different forecasting </w:t>
      </w:r>
      <w:bookmarkStart w:id="233" w:name="MOD_26"/>
      <w:r>
        <w:t>mod</w:t>
      </w:r>
      <w:bookmarkEnd w:id="233"/>
      <w:r>
        <w:rPr>
          <w:highlight w:val="white"/>
        </w:rPr>
        <w:t>els at four stations</w:t>
      </w:r>
      <w:bookmarkEnd w:id="232"/>
    </w:p>
    <w:p w14:paraId="15668C10">
      <w:pPr>
        <w:ind w:firstLine="420"/>
      </w:pPr>
      <w:bookmarkStart w:id="234" w:name="正文段落_86"/>
      <w:r>
        <w:rPr>
          <w:highlight w:val="white"/>
        </w:rPr>
        <w:t>图7和图</w:t>
      </w:r>
      <w:r>
        <w:rPr>
          <w:rFonts w:hint="eastAsia"/>
          <w:highlight w:val="white"/>
        </w:rPr>
        <w:t>8</w:t>
      </w:r>
      <w:r>
        <w:rPr>
          <w:highlight w:val="white"/>
        </w:rPr>
        <w:t>分别展示了四站年径流不同预报模型预测值相对于许可误差范围的分布情况和五种评价指标的具体结果。其中，</w:t>
      </w:r>
      <w:r>
        <w:rPr>
          <w:i/>
          <w:iCs/>
          <w:highlight w:val="white"/>
        </w:rPr>
        <w:t>QR</w:t>
      </w:r>
      <w:r>
        <w:rPr>
          <w:highlight w:val="white"/>
        </w:rPr>
        <w:t>以多年同期实测径流变幅的20%作为许可误差进行核定。结合图7和图8可知，在测试期内，ESMD-VMD-GA-ESN-AR模型对应各站的13个评价样本均落入许可误差范围内，因此</w:t>
      </w:r>
      <w:r>
        <w:rPr>
          <w:rFonts w:hint="eastAsia"/>
          <w:highlight w:val="white"/>
        </w:rPr>
        <w:t>四站预测样本均预报合格，</w:t>
      </w:r>
      <w:r>
        <w:rPr>
          <w:i/>
          <w:iCs/>
          <w:highlight w:val="white"/>
        </w:rPr>
        <w:t>QR</w:t>
      </w:r>
      <w:r>
        <w:rPr>
          <w:highlight w:val="white"/>
        </w:rPr>
        <w:t>为100%。同时，该模型的</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整体最低，</w:t>
      </w:r>
      <w:r>
        <w:rPr>
          <w:i/>
          <w:iCs/>
          <w:highlight w:val="white"/>
        </w:rPr>
        <w:t>NSE</w:t>
      </w:r>
      <w:r>
        <w:rPr>
          <w:highlight w:val="white"/>
        </w:rPr>
        <w:t>均超过0.9，说明其不仅在规范许可误差约束下具有较高的合格性，而且能够更好地刻画年径流变化过程。综合来看，ESMD-VMD-GA-ESN-AR模型在四站年径流预报中表现最优</w:t>
      </w:r>
      <w:r>
        <w:rPr>
          <w:rFonts w:hint="eastAsia"/>
          <w:highlight w:val="white"/>
        </w:rPr>
        <w:t>。</w:t>
      </w:r>
      <w:bookmarkEnd w:id="234"/>
    </w:p>
    <w:p w14:paraId="1A180853">
      <w:pPr>
        <w:ind w:firstLine="420"/>
      </w:pPr>
      <w:bookmarkStart w:id="235" w:name="正文段落_88"/>
      <w:r>
        <w:rPr>
          <w:highlight w:val="white"/>
        </w:rPr>
        <w:t>为进一步分析不同改进策略的作用，比较不同模型的综合评价结果可以发现，与单一ESN模型相比，四站在引入单层分解预处理和参数优化后构建的组合模型，其误差指标均得到明显改善，在规范许可误差约束下的合格样本比例也有所提高。其中，VMD-ESN、ESMD-ESN和GA-ESN模型的</w:t>
      </w:r>
      <w:r>
        <w:rPr>
          <w:i/>
          <w:iCs/>
          <w:highlight w:val="white"/>
        </w:rPr>
        <w:t>RMSE</w:t>
      </w:r>
      <w:r>
        <w:rPr>
          <w:highlight w:val="white"/>
        </w:rPr>
        <w:t>分别平均降低9.3%、20.3%和29.8%，</w:t>
      </w:r>
      <w:r>
        <w:rPr>
          <w:i/>
          <w:iCs/>
          <w:highlight w:val="white"/>
        </w:rPr>
        <w:t>MAE</w:t>
      </w:r>
      <w:r>
        <w:rPr>
          <w:highlight w:val="white"/>
        </w:rPr>
        <w:t>分别平均降低12.3%、24.1%和35.0%，</w:t>
      </w:r>
      <w:r>
        <w:rPr>
          <w:i/>
          <w:iCs/>
          <w:highlight w:val="white"/>
        </w:rPr>
        <w:t>MAPE</w:t>
      </w:r>
      <w:r>
        <w:rPr>
          <w:highlight w:val="white"/>
        </w:rPr>
        <w:t>分别平均降低15.1%、23.3%和38.8%，</w:t>
      </w:r>
      <w:r>
        <w:rPr>
          <w:i/>
          <w:iCs/>
          <w:highlight w:val="white"/>
        </w:rPr>
        <w:t>NSE</w:t>
      </w:r>
      <w:r>
        <w:rPr>
          <w:highlight w:val="white"/>
        </w:rPr>
        <w:t>分别平均提升17.3%、35.2%和49.7%，</w:t>
      </w:r>
      <w:r>
        <w:rPr>
          <w:i/>
          <w:iCs/>
          <w:highlight w:val="white"/>
        </w:rPr>
        <w:t>QR</w:t>
      </w:r>
      <w:r>
        <w:rPr>
          <w:highlight w:val="white"/>
        </w:rPr>
        <w:t>分别平均提高15.3%、30.6%和33.7%。在此基础上，采用ESMD+VMD双层分解后，模型预报效果进一步提升</w:t>
      </w:r>
      <w:r>
        <w:rPr>
          <w:rFonts w:hint="eastAsia"/>
          <w:highlight w:val="white"/>
        </w:rPr>
        <w:t>，</w:t>
      </w:r>
      <w:r>
        <w:rPr>
          <w:highlight w:val="white"/>
        </w:rPr>
        <w:t>相比VMD-ESN和ESMD-ESN模型，ESMD-VMD-ESN模型的</w:t>
      </w:r>
      <w:r>
        <w:rPr>
          <w:i/>
          <w:iCs/>
          <w:highlight w:val="white"/>
        </w:rPr>
        <w:t>RMSE</w:t>
      </w:r>
      <w:r>
        <w:rPr>
          <w:highlight w:val="white"/>
        </w:rPr>
        <w:t>分别平均降低19.7%和8.5%，</w:t>
      </w:r>
      <w:r>
        <w:rPr>
          <w:i/>
          <w:iCs/>
          <w:highlight w:val="white"/>
        </w:rPr>
        <w:t>MAE</w:t>
      </w:r>
      <w:r>
        <w:rPr>
          <w:highlight w:val="white"/>
        </w:rPr>
        <w:t>分别平均降低24.3%和12.7%，</w:t>
      </w:r>
      <w:r>
        <w:rPr>
          <w:i/>
          <w:iCs/>
          <w:highlight w:val="white"/>
        </w:rPr>
        <w:t>MAPE</w:t>
      </w:r>
      <w:r>
        <w:rPr>
          <w:highlight w:val="white"/>
        </w:rPr>
        <w:t>分别平均降低17.7%和9.0%，</w:t>
      </w:r>
      <w:r>
        <w:rPr>
          <w:i/>
          <w:iCs/>
          <w:highlight w:val="white"/>
        </w:rPr>
        <w:t>NSE</w:t>
      </w:r>
      <w:r>
        <w:rPr>
          <w:highlight w:val="white"/>
        </w:rPr>
        <w:t>分别平均提升24.1%和7.9%，</w:t>
      </w:r>
      <w:r>
        <w:rPr>
          <w:i/>
          <w:iCs/>
          <w:highlight w:val="white"/>
        </w:rPr>
        <w:t>QR</w:t>
      </w:r>
      <w:r>
        <w:rPr>
          <w:highlight w:val="white"/>
        </w:rPr>
        <w:t>分别平均提高16.4%和2.3%。进一步引入残差校正后，ESMD-VMD-ESN-AR模型的预报精度继续提升，其</w:t>
      </w:r>
      <w:r>
        <w:rPr>
          <w:i/>
          <w:iCs/>
          <w:highlight w:val="white"/>
        </w:rPr>
        <w:t>RMSE</w:t>
      </w:r>
      <w:r>
        <w:rPr>
          <w:highlight w:val="white"/>
        </w:rPr>
        <w:t>、</w:t>
      </w:r>
      <w:r>
        <w:rPr>
          <w:i/>
          <w:iCs/>
          <w:highlight w:val="white"/>
        </w:rPr>
        <w:t>MAPE</w:t>
      </w:r>
      <w:r>
        <w:rPr>
          <w:highlight w:val="white"/>
        </w:rPr>
        <w:t>和</w:t>
      </w:r>
      <w:r>
        <w:rPr>
          <w:i/>
          <w:iCs/>
          <w:highlight w:val="white"/>
        </w:rPr>
        <w:t>MAE</w:t>
      </w:r>
      <w:r>
        <w:rPr>
          <w:highlight w:val="white"/>
        </w:rPr>
        <w:t>分别平均降低11.7%、12.0%和9.2%，</w:t>
      </w:r>
      <w:r>
        <w:rPr>
          <w:i/>
          <w:iCs/>
          <w:highlight w:val="white"/>
        </w:rPr>
        <w:t>NSE</w:t>
      </w:r>
      <w:r>
        <w:rPr>
          <w:highlight w:val="white"/>
        </w:rPr>
        <w:t>和</w:t>
      </w:r>
      <w:r>
        <w:rPr>
          <w:i/>
          <w:iCs/>
          <w:highlight w:val="white"/>
        </w:rPr>
        <w:t>QR</w:t>
      </w:r>
      <w:r>
        <w:rPr>
          <w:highlight w:val="white"/>
        </w:rPr>
        <w:t>分别平均提升9.0%和5.2%。这说明分解处理、参数寻优和残差校正均能够在不同程度上改善模型性能，提升年径流预报效果。</w:t>
      </w:r>
      <w:bookmarkEnd w:id="235"/>
    </w:p>
    <w:p w14:paraId="270408B5">
      <w:pPr>
        <w:ind w:firstLine="420"/>
      </w:pPr>
      <w:bookmarkStart w:id="236" w:name="正文段落_90"/>
      <w:r>
        <w:rPr>
          <w:highlight w:val="white"/>
        </w:rPr>
        <w:t>进一步比较不同改进策略组合下的模型表现可以发现，当双层分解、参数优化和残差校正三种策略协同引入时，模型综合优势更加明显。具体而言，相较于缺少双层分解策略的VMD-GA-ESN和ESMD-GA-ESN模型，ESMD-VMD-GA-ESN-AR模型的</w:t>
      </w:r>
      <w:r>
        <w:rPr>
          <w:i/>
          <w:iCs/>
          <w:highlight w:val="white"/>
        </w:rPr>
        <w:t>RMSE</w:t>
      </w:r>
      <w:r>
        <w:rPr>
          <w:highlight w:val="white"/>
        </w:rPr>
        <w:t>分别平均降低34.3%和27.8%，</w:t>
      </w:r>
      <w:r>
        <w:rPr>
          <w:i/>
          <w:iCs/>
          <w:highlight w:val="white"/>
        </w:rPr>
        <w:t>MAE</w:t>
      </w:r>
      <w:r>
        <w:rPr>
          <w:highlight w:val="white"/>
        </w:rPr>
        <w:t>分别平均降低24.9%和29.8%，</w:t>
      </w:r>
      <w:r>
        <w:rPr>
          <w:i/>
          <w:iCs/>
          <w:highlight w:val="white"/>
        </w:rPr>
        <w:t>MAPE</w:t>
      </w:r>
      <w:r>
        <w:rPr>
          <w:highlight w:val="white"/>
        </w:rPr>
        <w:t>分别平均降低13.9%和17.3%，</w:t>
      </w:r>
      <w:r>
        <w:rPr>
          <w:i/>
          <w:iCs/>
          <w:highlight w:val="white"/>
        </w:rPr>
        <w:t>NSE</w:t>
      </w:r>
      <w:r>
        <w:rPr>
          <w:highlight w:val="white"/>
        </w:rPr>
        <w:t>分别平均提升13.9%和11.4%，</w:t>
      </w:r>
      <w:r>
        <w:rPr>
          <w:i/>
          <w:iCs/>
          <w:highlight w:val="white"/>
        </w:rPr>
        <w:t>QR</w:t>
      </w:r>
      <w:r>
        <w:rPr>
          <w:highlight w:val="white"/>
        </w:rPr>
        <w:t>分别平均提</w:t>
      </w:r>
      <w:r>
        <w:rPr>
          <w:rFonts w:hint="eastAsia"/>
          <w:highlight w:val="white"/>
        </w:rPr>
        <w:t>升</w:t>
      </w:r>
      <w:r>
        <w:rPr>
          <w:highlight w:val="white"/>
        </w:rPr>
        <w:t>14.1%和2.1%；相较于缺少参数优化策略的ESMD-VMD-ESN-AR模型，ESMD-VMD-GA-ESN-AR模型的</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分别平均降低35.8%、29.4%和27.1%，</w:t>
      </w:r>
      <w:r>
        <w:rPr>
          <w:i/>
          <w:iCs/>
          <w:highlight w:val="white"/>
        </w:rPr>
        <w:t>NSE</w:t>
      </w:r>
      <w:r>
        <w:rPr>
          <w:highlight w:val="white"/>
        </w:rPr>
        <w:t>和</w:t>
      </w:r>
      <w:r>
        <w:rPr>
          <w:i/>
          <w:iCs/>
          <w:highlight w:val="white"/>
        </w:rPr>
        <w:t>QR</w:t>
      </w:r>
      <w:r>
        <w:rPr>
          <w:highlight w:val="white"/>
        </w:rPr>
        <w:t>分别平均提升14.9%和13.3%；相较于缺少残差校正策略的ESMD-VMD-GA-ESN模型，ESMD-VMD-GA-ESN-AR模型的</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分别平均降低27.0%、12.5%和23.1%，</w:t>
      </w:r>
      <w:r>
        <w:rPr>
          <w:i/>
          <w:iCs/>
          <w:highlight w:val="white"/>
        </w:rPr>
        <w:t>NSE</w:t>
      </w:r>
      <w:r>
        <w:rPr>
          <w:highlight w:val="white"/>
        </w:rPr>
        <w:t>和</w:t>
      </w:r>
      <w:r>
        <w:rPr>
          <w:i/>
          <w:iCs/>
          <w:highlight w:val="white"/>
        </w:rPr>
        <w:t>QR</w:t>
      </w:r>
      <w:r>
        <w:rPr>
          <w:highlight w:val="white"/>
        </w:rPr>
        <w:t>分别平均提升8.8%和4.5%。这表明，ESMD-VMD-GA-ESN-AR组合模型</w:t>
      </w:r>
      <w:r>
        <w:rPr>
          <w:rFonts w:hint="eastAsia"/>
          <w:highlight w:val="white"/>
        </w:rPr>
        <w:t>将</w:t>
      </w:r>
      <w:r>
        <w:rPr>
          <w:highlight w:val="white"/>
        </w:rPr>
        <w:t>ESMD+VMD双层分解的多尺度特征提取优势、GA的全局寻优能力、ESN的非线性映射能力以及AR的残差补偿作用</w:t>
      </w:r>
      <w:r>
        <w:rPr>
          <w:rFonts w:hint="eastAsia"/>
          <w:highlight w:val="white"/>
        </w:rPr>
        <w:t>有机结合</w:t>
      </w:r>
      <w:r>
        <w:rPr>
          <w:highlight w:val="white"/>
        </w:rPr>
        <w:t>，有效降低了序列非平稳性和系统偏差的影响，显著提升了年径流预报精度。</w:t>
      </w:r>
      <w:bookmarkEnd w:id="236"/>
    </w:p>
    <w:p w14:paraId="60CED634">
      <w:pPr>
        <w:pStyle w:val="57"/>
      </w:pPr>
      <w:bookmarkStart w:id="237" w:name="嵌入式图形_7"/>
      <w:r>
        <w:drawing>
          <wp:inline distT="0" distB="0" distL="0" distR="0">
            <wp:extent cx="5278120" cy="2643505"/>
            <wp:effectExtent l="0" t="0" r="0" b="4445"/>
            <wp:docPr id="2733180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318021" name="图片 6"/>
                    <pic:cNvPicPr>
                      <a:picLocks noChangeAspect="1" noChangeArrowheads="1"/>
                    </pic:cNvPicPr>
                  </pic:nvPicPr>
                  <pic:blipFill>
                    <a:blip r:embed="rId178">
                      <a:extLst>
                        <a:ext uri="{28A0092B-C50C-407E-A947-70E740481C1C}">
                          <a14:useLocalDpi xmlns:a14="http://schemas.microsoft.com/office/drawing/2010/main" val="0"/>
                        </a:ext>
                      </a:extLst>
                    </a:blip>
                    <a:stretch>
                      <a:fillRect/>
                    </a:stretch>
                  </pic:blipFill>
                  <pic:spPr>
                    <a:xfrm>
                      <a:off x="0" y="0"/>
                      <a:ext cx="5278120" cy="2643505"/>
                    </a:xfrm>
                    <a:prstGeom prst="rect">
                      <a:avLst/>
                    </a:prstGeom>
                    <a:noFill/>
                    <a:ln>
                      <a:noFill/>
                    </a:ln>
                  </pic:spPr>
                </pic:pic>
              </a:graphicData>
            </a:graphic>
          </wp:inline>
        </w:drawing>
      </w:r>
      <w:bookmarkEnd w:id="237"/>
    </w:p>
    <w:p w14:paraId="79FC698B">
      <w:pPr>
        <w:pStyle w:val="57"/>
      </w:pPr>
      <w:bookmarkStart w:id="238" w:name="中文图序_7"/>
      <w:bookmarkStart w:id="239" w:name="中文图题_7"/>
      <w:r>
        <w:rPr>
          <w:rFonts w:hint="eastAsia"/>
          <w:highlight w:val="white"/>
        </w:rPr>
        <w:t>图7</w:t>
      </w:r>
      <w:bookmarkEnd w:id="238"/>
      <w:r>
        <w:rPr>
          <w:rFonts w:hint="eastAsia"/>
          <w:highlight w:val="white"/>
        </w:rPr>
        <w:t xml:space="preserve"> </w:t>
      </w:r>
      <w:r>
        <w:rPr>
          <w:highlight w:val="white"/>
        </w:rPr>
        <w:t>四站年径流各模型预报</w:t>
      </w:r>
      <w:r>
        <w:rPr>
          <w:rFonts w:hint="eastAsia"/>
          <w:highlight w:val="white"/>
        </w:rPr>
        <w:t>值</w:t>
      </w:r>
      <w:r>
        <w:rPr>
          <w:highlight w:val="white"/>
        </w:rPr>
        <w:t>与许可误差范围对比</w:t>
      </w:r>
      <w:bookmarkEnd w:id="239"/>
    </w:p>
    <w:p w14:paraId="636A05D6">
      <w:pPr>
        <w:pStyle w:val="57"/>
      </w:pPr>
      <w:bookmarkStart w:id="240" w:name="英文图序_19"/>
      <w:bookmarkStart w:id="241" w:name="英文图题_7"/>
      <w:r>
        <w:rPr>
          <w:rFonts w:hint="eastAsia"/>
          <w:highlight w:val="white"/>
        </w:rPr>
        <w:t>Fig</w:t>
      </w:r>
      <w:r>
        <w:rPr>
          <w:highlight w:val="white"/>
        </w:rPr>
        <w:t>.</w:t>
      </w:r>
      <w:r>
        <w:rPr>
          <w:rFonts w:hint="eastAsia"/>
          <w:highlight w:val="white"/>
        </w:rPr>
        <w:t>7</w:t>
      </w:r>
      <w:bookmarkEnd w:id="240"/>
      <w:r>
        <w:rPr>
          <w:rFonts w:hint="eastAsia"/>
          <w:highlight w:val="white"/>
        </w:rPr>
        <w:t xml:space="preserve"> </w:t>
      </w:r>
      <w:r>
        <w:rPr>
          <w:highlight w:val="white"/>
        </w:rPr>
        <w:t xml:space="preserve">Comparison of </w:t>
      </w:r>
      <w:r>
        <w:rPr>
          <w:rFonts w:hint="eastAsia"/>
          <w:highlight w:val="white"/>
        </w:rPr>
        <w:t>forecasted</w:t>
      </w:r>
      <w:r>
        <w:rPr>
          <w:highlight w:val="white"/>
        </w:rPr>
        <w:t xml:space="preserve"> results of different </w:t>
      </w:r>
      <w:bookmarkStart w:id="242" w:name="MOD_27"/>
      <w:r>
        <w:t>mod</w:t>
      </w:r>
      <w:bookmarkEnd w:id="242"/>
      <w:r>
        <w:rPr>
          <w:highlight w:val="white"/>
        </w:rPr>
        <w:t>els and permissible error ranges for annual runoff at four stations</w:t>
      </w:r>
      <w:bookmarkEnd w:id="241"/>
    </w:p>
    <w:p w14:paraId="756EC4D2">
      <w:pPr>
        <w:pStyle w:val="57"/>
      </w:pPr>
    </w:p>
    <w:p w14:paraId="3581A393">
      <w:pPr>
        <w:pStyle w:val="57"/>
      </w:pPr>
      <w:bookmarkStart w:id="243" w:name="嵌入式图形_8"/>
      <w:r>
        <w:drawing>
          <wp:inline distT="0" distB="0" distL="0" distR="0">
            <wp:extent cx="5278120" cy="3459480"/>
            <wp:effectExtent l="0" t="0" r="0" b="7620"/>
            <wp:docPr id="362036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36136" name="图片 1"/>
                    <pic:cNvPicPr>
                      <a:picLocks noChangeAspect="1"/>
                    </pic:cNvPicPr>
                  </pic:nvPicPr>
                  <pic:blipFill>
                    <a:blip r:embed="rId179"/>
                    <a:stretch>
                      <a:fillRect/>
                    </a:stretch>
                  </pic:blipFill>
                  <pic:spPr>
                    <a:xfrm>
                      <a:off x="0" y="0"/>
                      <a:ext cx="5278120" cy="3459480"/>
                    </a:xfrm>
                    <a:prstGeom prst="rect">
                      <a:avLst/>
                    </a:prstGeom>
                  </pic:spPr>
                </pic:pic>
              </a:graphicData>
            </a:graphic>
          </wp:inline>
        </w:drawing>
      </w:r>
      <w:bookmarkEnd w:id="243"/>
    </w:p>
    <w:p w14:paraId="496D1ED6">
      <w:pPr>
        <w:pStyle w:val="57"/>
      </w:pPr>
      <w:bookmarkStart w:id="244" w:name="中文图序_8"/>
      <w:bookmarkStart w:id="245" w:name="中文图题_8"/>
      <w:r>
        <w:rPr>
          <w:rFonts w:hint="eastAsia"/>
          <w:highlight w:val="white"/>
        </w:rPr>
        <w:t>图8</w:t>
      </w:r>
      <w:bookmarkEnd w:id="244"/>
      <w:r>
        <w:rPr>
          <w:rFonts w:hint="eastAsia"/>
          <w:highlight w:val="white"/>
        </w:rPr>
        <w:t xml:space="preserve"> 四站年径流各预报模型评价指标</w:t>
      </w:r>
      <w:bookmarkEnd w:id="245"/>
    </w:p>
    <w:p w14:paraId="7A44C8D0">
      <w:pPr>
        <w:pStyle w:val="57"/>
      </w:pPr>
      <w:bookmarkStart w:id="246" w:name="英文图序_20"/>
      <w:bookmarkStart w:id="247" w:name="英文图题_8"/>
      <w:r>
        <w:rPr>
          <w:rFonts w:hint="eastAsia"/>
          <w:highlight w:val="white"/>
        </w:rPr>
        <w:t>Fig.8</w:t>
      </w:r>
      <w:bookmarkEnd w:id="246"/>
      <w:r>
        <w:rPr>
          <w:rFonts w:hint="eastAsia"/>
          <w:highlight w:val="white"/>
        </w:rPr>
        <w:t xml:space="preserve"> </w:t>
      </w:r>
      <w:r>
        <w:rPr>
          <w:highlight w:val="white"/>
        </w:rPr>
        <w:t xml:space="preserve">Evaluation indicators of different forecasting </w:t>
      </w:r>
      <w:bookmarkStart w:id="248" w:name="MOD_28"/>
      <w:r>
        <w:t>mod</w:t>
      </w:r>
      <w:bookmarkEnd w:id="248"/>
      <w:r>
        <w:rPr>
          <w:highlight w:val="white"/>
        </w:rPr>
        <w:t>els for annual runoff at four stations</w:t>
      </w:r>
      <w:bookmarkEnd w:id="247"/>
    </w:p>
    <w:p w14:paraId="3BD8C1EF">
      <w:pPr>
        <w:pStyle w:val="3"/>
      </w:pPr>
      <w:bookmarkStart w:id="249" w:name="二级标题序号_15"/>
      <w:bookmarkStart w:id="250" w:name="二级标题_18"/>
      <w:r>
        <w:rPr>
          <w:rFonts w:hint="eastAsia"/>
          <w:highlight w:val="white"/>
        </w:rPr>
        <w:t>3.3</w:t>
      </w:r>
      <w:bookmarkEnd w:id="249"/>
      <w:r>
        <w:rPr>
          <w:rFonts w:hint="eastAsia"/>
          <w:highlight w:val="white"/>
        </w:rPr>
        <w:t xml:space="preserve"> 月径流预报</w:t>
      </w:r>
      <w:bookmarkEnd w:id="250"/>
    </w:p>
    <w:p w14:paraId="0594B6BC">
      <w:pPr>
        <w:ind w:firstLine="420"/>
      </w:pPr>
      <w:bookmarkStart w:id="251" w:name="正文段落_92"/>
      <w:r>
        <w:rPr>
          <w:highlight w:val="white"/>
        </w:rPr>
        <w:t>为进一步体现组合模型ESMD-VMD-GA-ESN-AR在中长期径流预报中的优势，选取1956/01</w:t>
      </w:r>
      <w:r>
        <w:rPr>
          <w:rFonts w:hint="eastAsia"/>
          <w:highlight w:val="white"/>
        </w:rPr>
        <w:t>—</w:t>
      </w:r>
      <w:r>
        <w:rPr>
          <w:highlight w:val="white"/>
        </w:rPr>
        <w:t>20</w:t>
      </w:r>
      <w:r>
        <w:rPr>
          <w:rFonts w:hint="eastAsia"/>
          <w:highlight w:val="white"/>
        </w:rPr>
        <w:t>09</w:t>
      </w:r>
      <w:r>
        <w:rPr>
          <w:highlight w:val="white"/>
        </w:rPr>
        <w:t>/12的月径流数据作为预报模型训练集，20</w:t>
      </w:r>
      <w:r>
        <w:rPr>
          <w:rFonts w:hint="eastAsia"/>
          <w:highlight w:val="white"/>
        </w:rPr>
        <w:t>10</w:t>
      </w:r>
      <w:r>
        <w:rPr>
          <w:highlight w:val="white"/>
        </w:rPr>
        <w:t>/01</w:t>
      </w:r>
      <w:r>
        <w:rPr>
          <w:rFonts w:hint="eastAsia"/>
          <w:highlight w:val="white"/>
        </w:rPr>
        <w:t>—</w:t>
      </w:r>
      <w:r>
        <w:rPr>
          <w:highlight w:val="white"/>
        </w:rPr>
        <w:t>2022/12 的月径流数据作为</w:t>
      </w:r>
      <w:r>
        <w:rPr>
          <w:rFonts w:hint="eastAsia"/>
          <w:highlight w:val="white"/>
        </w:rPr>
        <w:t>测试</w:t>
      </w:r>
      <w:r>
        <w:rPr>
          <w:highlight w:val="white"/>
        </w:rPr>
        <w:t>集，对四站开展月径流预报，预报结果</w:t>
      </w:r>
      <w:r>
        <w:rPr>
          <w:rFonts w:hint="eastAsia"/>
          <w:highlight w:val="white"/>
        </w:rPr>
        <w:t>如</w:t>
      </w:r>
      <w:r>
        <w:rPr>
          <w:highlight w:val="white"/>
        </w:rPr>
        <w:t>图</w:t>
      </w:r>
      <w:r>
        <w:rPr>
          <w:rFonts w:hint="eastAsia"/>
          <w:highlight w:val="white"/>
        </w:rPr>
        <w:t>9—11所示</w:t>
      </w:r>
      <w:r>
        <w:rPr>
          <w:highlight w:val="white"/>
        </w:rPr>
        <w:t>。</w:t>
      </w:r>
      <w:bookmarkEnd w:id="251"/>
    </w:p>
    <w:p w14:paraId="3532F3A9">
      <w:pPr>
        <w:ind w:firstLine="420"/>
      </w:pPr>
      <w:bookmarkStart w:id="252" w:name="正文段落_94"/>
      <w:r>
        <w:rPr>
          <w:highlight w:val="white"/>
        </w:rPr>
        <w:t>图</w:t>
      </w:r>
      <w:r>
        <w:rPr>
          <w:rFonts w:hint="eastAsia"/>
          <w:highlight w:val="white"/>
        </w:rPr>
        <w:t>9</w:t>
      </w:r>
      <w:r>
        <w:rPr>
          <w:highlight w:val="white"/>
        </w:rPr>
        <w:t>和图</w:t>
      </w:r>
      <w:r>
        <w:rPr>
          <w:rFonts w:hint="eastAsia"/>
          <w:highlight w:val="white"/>
        </w:rPr>
        <w:t>10</w:t>
      </w:r>
      <w:r>
        <w:rPr>
          <w:highlight w:val="white"/>
        </w:rPr>
        <w:t>分别展示了四站不同预报模型月径流预测值与实测值的散点分布特征及拟合评价结果。总体来看，各模型月径流预测值与实测值之间均具有较好的对应关系，但与年径流相比，月径流序列非线性和非平稳性更强，短周期波动及局部随机扰动更为明显，因此其散点分布整体更为离散，预报难度也更大。尽管如此，结合图</w:t>
      </w:r>
      <w:r>
        <w:rPr>
          <w:rFonts w:hint="eastAsia"/>
          <w:highlight w:val="white"/>
        </w:rPr>
        <w:t>9</w:t>
      </w:r>
      <w:r>
        <w:rPr>
          <w:highlight w:val="white"/>
        </w:rPr>
        <w:t>和图</w:t>
      </w:r>
      <w:r>
        <w:rPr>
          <w:rFonts w:hint="eastAsia"/>
          <w:highlight w:val="white"/>
        </w:rPr>
        <w:t>10</w:t>
      </w:r>
      <w:r>
        <w:rPr>
          <w:highlight w:val="white"/>
        </w:rPr>
        <w:t>可知，ESMD-VMD-GA-ESN-AR组合模型的散点分布在各模型中</w:t>
      </w:r>
      <w:r>
        <w:rPr>
          <w:rFonts w:hint="eastAsia"/>
          <w:highlight w:val="white"/>
        </w:rPr>
        <w:t>相对</w:t>
      </w:r>
      <w:r>
        <w:rPr>
          <w:highlight w:val="white"/>
        </w:rPr>
        <w:t>集中，拟合关系与1</w:t>
      </w:r>
      <w:r>
        <w:rPr>
          <w:rFonts w:ascii="Cambria Math" w:hAnsi="Cambria Math" w:cs="Cambria Math"/>
          <w:highlight w:val="white"/>
        </w:rPr>
        <w:t>∶</w:t>
      </w:r>
      <w:r>
        <w:rPr>
          <w:highlight w:val="white"/>
        </w:rPr>
        <w:t>1参考线也更为接近，其</w:t>
      </w:r>
      <w:r>
        <w:rPr>
          <w:i/>
          <w:iCs/>
          <w:highlight w:val="white"/>
        </w:rPr>
        <w:t>MSE</w:t>
      </w:r>
      <w:r>
        <w:rPr>
          <w:highlight w:val="white"/>
        </w:rPr>
        <w:t>、</w:t>
      </w:r>
      <w:r>
        <w:rPr>
          <w:i/>
          <w:iCs/>
          <w:highlight w:val="white"/>
        </w:rPr>
        <w:t>MSEs</w:t>
      </w:r>
      <w:r>
        <w:rPr>
          <w:highlight w:val="white"/>
        </w:rPr>
        <w:t>和</w:t>
      </w:r>
      <w:r>
        <w:rPr>
          <w:i/>
          <w:iCs/>
          <w:highlight w:val="white"/>
        </w:rPr>
        <w:t>MSEu</w:t>
      </w:r>
      <w:r>
        <w:rPr>
          <w:highlight w:val="white"/>
        </w:rPr>
        <w:t>整体</w:t>
      </w:r>
      <w:r>
        <w:rPr>
          <w:rFonts w:hint="eastAsia"/>
          <w:highlight w:val="white"/>
        </w:rPr>
        <w:t>最</w:t>
      </w:r>
      <w:r>
        <w:rPr>
          <w:highlight w:val="white"/>
        </w:rPr>
        <w:t>低</w:t>
      </w:r>
      <w:r>
        <w:rPr>
          <w:rFonts w:hint="eastAsia"/>
          <w:highlight w:val="white"/>
        </w:rPr>
        <w:t>，</w:t>
      </w:r>
      <w:r>
        <w:rPr>
          <w:highlight w:val="white"/>
        </w:rPr>
        <w:t>说明该模型在控制总体误差、系统</w:t>
      </w:r>
      <w:r>
        <w:rPr>
          <w:rFonts w:hint="eastAsia"/>
          <w:highlight w:val="white"/>
        </w:rPr>
        <w:t>性偏差</w:t>
      </w:r>
      <w:r>
        <w:rPr>
          <w:highlight w:val="white"/>
        </w:rPr>
        <w:t>和随机误差方面均具有</w:t>
      </w:r>
      <w:r>
        <w:rPr>
          <w:rFonts w:hint="eastAsia"/>
          <w:highlight w:val="white"/>
        </w:rPr>
        <w:t>明显优势</w:t>
      </w:r>
      <w:r>
        <w:rPr>
          <w:highlight w:val="white"/>
        </w:rPr>
        <w:t>。因此，</w:t>
      </w:r>
      <w:r>
        <w:rPr>
          <w:rFonts w:hint="eastAsia"/>
          <w:highlight w:val="white"/>
        </w:rPr>
        <w:t>ESMD-VMD-GA-ESN-AR组合模型在四站月径流预报中仍表现出最佳的预测性能。</w:t>
      </w:r>
      <w:bookmarkEnd w:id="252"/>
    </w:p>
    <w:p w14:paraId="7EBA580F">
      <w:pPr>
        <w:pStyle w:val="57"/>
      </w:pPr>
      <w:bookmarkStart w:id="253" w:name="嵌入式图形_9"/>
      <w:r>
        <w:drawing>
          <wp:inline distT="0" distB="0" distL="0" distR="0">
            <wp:extent cx="5278120" cy="1491615"/>
            <wp:effectExtent l="0" t="0" r="0" b="0"/>
            <wp:docPr id="10436052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05260" name="图片 1"/>
                    <pic:cNvPicPr>
                      <a:picLocks noChangeAspect="1"/>
                    </pic:cNvPicPr>
                  </pic:nvPicPr>
                  <pic:blipFill>
                    <a:blip r:embed="rId180"/>
                    <a:stretch>
                      <a:fillRect/>
                    </a:stretch>
                  </pic:blipFill>
                  <pic:spPr>
                    <a:xfrm>
                      <a:off x="0" y="0"/>
                      <a:ext cx="5278120" cy="1491615"/>
                    </a:xfrm>
                    <a:prstGeom prst="rect">
                      <a:avLst/>
                    </a:prstGeom>
                  </pic:spPr>
                </pic:pic>
              </a:graphicData>
            </a:graphic>
          </wp:inline>
        </w:drawing>
      </w:r>
      <w:bookmarkEnd w:id="253"/>
    </w:p>
    <w:p w14:paraId="4DD12418">
      <w:pPr>
        <w:pStyle w:val="57"/>
      </w:pPr>
      <w:bookmarkStart w:id="254" w:name="中文图题_9"/>
      <w:r>
        <w:rPr>
          <w:rFonts w:hint="eastAsia"/>
          <w:highlight w:val="white"/>
        </w:rPr>
        <w:t xml:space="preserve"> </w:t>
      </w:r>
      <w:bookmarkStart w:id="255" w:name="中文图序_9"/>
      <w:r>
        <w:rPr>
          <w:rFonts w:hint="eastAsia"/>
          <w:highlight w:val="white"/>
        </w:rPr>
        <w:t>图9</w:t>
      </w:r>
      <w:bookmarkEnd w:id="255"/>
      <w:r>
        <w:rPr>
          <w:rFonts w:hint="eastAsia"/>
          <w:highlight w:val="white"/>
        </w:rPr>
        <w:t xml:space="preserve"> 四站月径流实测值和预测值散点分布拟合结果</w:t>
      </w:r>
      <w:bookmarkEnd w:id="254"/>
    </w:p>
    <w:p w14:paraId="6B62953E">
      <w:pPr>
        <w:pStyle w:val="57"/>
      </w:pPr>
      <w:bookmarkStart w:id="256" w:name="英文图序_21"/>
      <w:bookmarkStart w:id="257" w:name="英文图题_9"/>
      <w:r>
        <w:rPr>
          <w:rFonts w:hint="eastAsia"/>
          <w:highlight w:val="white"/>
        </w:rPr>
        <w:t>Fig.9</w:t>
      </w:r>
      <w:bookmarkEnd w:id="256"/>
      <w:r>
        <w:rPr>
          <w:rFonts w:hint="eastAsia"/>
          <w:highlight w:val="white"/>
        </w:rPr>
        <w:t xml:space="preserve"> </w:t>
      </w:r>
      <w:r>
        <w:rPr>
          <w:highlight w:val="white"/>
        </w:rPr>
        <w:t xml:space="preserve">Fitted scatter plots of observed </w:t>
      </w:r>
      <w:r>
        <w:rPr>
          <w:rFonts w:hint="eastAsia"/>
          <w:highlight w:val="white"/>
        </w:rPr>
        <w:t>and</w:t>
      </w:r>
      <w:r>
        <w:rPr>
          <w:highlight w:val="white"/>
        </w:rPr>
        <w:t xml:space="preserve"> predicted monthly runoff at four stations</w:t>
      </w:r>
      <w:bookmarkEnd w:id="257"/>
    </w:p>
    <w:p w14:paraId="40045446">
      <w:pPr>
        <w:pStyle w:val="57"/>
      </w:pPr>
      <w:bookmarkStart w:id="258" w:name="嵌入式图形_10"/>
      <w:r>
        <w:drawing>
          <wp:inline distT="0" distB="0" distL="0" distR="0">
            <wp:extent cx="2879725" cy="2353945"/>
            <wp:effectExtent l="0" t="0" r="0" b="8255"/>
            <wp:docPr id="1045029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2917" name="图片 9"/>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a:xfrm>
                      <a:off x="0" y="0"/>
                      <a:ext cx="2880000" cy="2354033"/>
                    </a:xfrm>
                    <a:prstGeom prst="rect">
                      <a:avLst/>
                    </a:prstGeom>
                    <a:noFill/>
                    <a:ln>
                      <a:noFill/>
                    </a:ln>
                  </pic:spPr>
                </pic:pic>
              </a:graphicData>
            </a:graphic>
          </wp:inline>
        </w:drawing>
      </w:r>
      <w:bookmarkEnd w:id="258"/>
    </w:p>
    <w:p w14:paraId="0121D8E0">
      <w:pPr>
        <w:pStyle w:val="57"/>
      </w:pPr>
      <w:bookmarkStart w:id="259" w:name="中文图序_10"/>
      <w:bookmarkStart w:id="260" w:name="中文图题_10"/>
      <w:r>
        <w:rPr>
          <w:rFonts w:hint="eastAsia"/>
          <w:highlight w:val="white"/>
        </w:rPr>
        <w:t>图10</w:t>
      </w:r>
      <w:bookmarkEnd w:id="259"/>
      <w:r>
        <w:rPr>
          <w:rFonts w:hint="eastAsia"/>
          <w:highlight w:val="white"/>
        </w:rPr>
        <w:t xml:space="preserve"> </w:t>
      </w:r>
      <w:r>
        <w:rPr>
          <w:highlight w:val="white"/>
        </w:rPr>
        <w:t>四站</w:t>
      </w:r>
      <w:r>
        <w:rPr>
          <w:rFonts w:hint="eastAsia"/>
          <w:highlight w:val="white"/>
        </w:rPr>
        <w:t>月</w:t>
      </w:r>
      <w:r>
        <w:rPr>
          <w:highlight w:val="white"/>
        </w:rPr>
        <w:t>径流不同预报模型</w:t>
      </w:r>
      <w:r>
        <w:rPr>
          <w:i/>
          <w:iCs/>
          <w:highlight w:val="white"/>
        </w:rPr>
        <w:t>MSE</w:t>
      </w:r>
      <w:r>
        <w:rPr>
          <w:highlight w:val="white"/>
        </w:rPr>
        <w:t>、</w:t>
      </w:r>
      <w:r>
        <w:rPr>
          <w:i/>
          <w:iCs/>
          <w:highlight w:val="white"/>
        </w:rPr>
        <w:t>MSEs</w:t>
      </w:r>
      <w:r>
        <w:rPr>
          <w:highlight w:val="white"/>
        </w:rPr>
        <w:t>和</w:t>
      </w:r>
      <w:r>
        <w:rPr>
          <w:i/>
          <w:iCs/>
          <w:highlight w:val="white"/>
        </w:rPr>
        <w:t>MSEu</w:t>
      </w:r>
      <w:r>
        <w:rPr>
          <w:highlight w:val="white"/>
        </w:rPr>
        <w:t>对比</w:t>
      </w:r>
      <w:bookmarkEnd w:id="260"/>
    </w:p>
    <w:p w14:paraId="0A89BBE1">
      <w:pPr>
        <w:pStyle w:val="57"/>
      </w:pPr>
      <w:bookmarkStart w:id="261" w:name="英文图序_22"/>
      <w:bookmarkStart w:id="262" w:name="英文图题_10"/>
      <w:r>
        <w:rPr>
          <w:rFonts w:hint="eastAsia"/>
          <w:highlight w:val="white"/>
        </w:rPr>
        <w:t>Fig.10</w:t>
      </w:r>
      <w:bookmarkEnd w:id="261"/>
      <w:r>
        <w:rPr>
          <w:rFonts w:hint="eastAsia"/>
          <w:highlight w:val="white"/>
        </w:rPr>
        <w:t xml:space="preserve"> </w:t>
      </w:r>
      <w:r>
        <w:rPr>
          <w:highlight w:val="white"/>
        </w:rPr>
        <w:t xml:space="preserve">Comparison of </w:t>
      </w:r>
      <w:r>
        <w:rPr>
          <w:i/>
          <w:iCs/>
          <w:highlight w:val="white"/>
        </w:rPr>
        <w:t>MSE</w:t>
      </w:r>
      <w:r>
        <w:rPr>
          <w:highlight w:val="white"/>
        </w:rPr>
        <w:t xml:space="preserve">, </w:t>
      </w:r>
      <w:r>
        <w:rPr>
          <w:i/>
          <w:iCs/>
          <w:highlight w:val="white"/>
        </w:rPr>
        <w:t>MSEs</w:t>
      </w:r>
      <w:r>
        <w:rPr>
          <w:rFonts w:hint="eastAsia"/>
          <w:highlight w:val="white"/>
        </w:rPr>
        <w:t>,</w:t>
      </w:r>
      <w:r>
        <w:rPr>
          <w:highlight w:val="white"/>
        </w:rPr>
        <w:t xml:space="preserve"> and </w:t>
      </w:r>
      <w:r>
        <w:rPr>
          <w:i/>
          <w:iCs/>
          <w:highlight w:val="white"/>
        </w:rPr>
        <w:t>MSEu</w:t>
      </w:r>
      <w:r>
        <w:rPr>
          <w:highlight w:val="white"/>
        </w:rPr>
        <w:t xml:space="preserve"> for</w:t>
      </w:r>
      <w:r>
        <w:rPr>
          <w:rFonts w:hint="eastAsia"/>
          <w:highlight w:val="white"/>
        </w:rPr>
        <w:t xml:space="preserve"> </w:t>
      </w:r>
      <w:r>
        <w:rPr>
          <w:highlight w:val="white"/>
        </w:rPr>
        <w:t xml:space="preserve">monthly runoff </w:t>
      </w:r>
      <w:r>
        <w:rPr>
          <w:rFonts w:hint="eastAsia"/>
          <w:highlight w:val="white"/>
        </w:rPr>
        <w:t xml:space="preserve">by </w:t>
      </w:r>
      <w:r>
        <w:rPr>
          <w:highlight w:val="white"/>
        </w:rPr>
        <w:t xml:space="preserve">different forecasting </w:t>
      </w:r>
      <w:bookmarkStart w:id="263" w:name="MOD_29"/>
      <w:r>
        <w:t>mod</w:t>
      </w:r>
      <w:bookmarkEnd w:id="263"/>
      <w:r>
        <w:rPr>
          <w:highlight w:val="white"/>
        </w:rPr>
        <w:t>els at four stations</w:t>
      </w:r>
      <w:bookmarkEnd w:id="262"/>
    </w:p>
    <w:p w14:paraId="60F96A8C">
      <w:pPr>
        <w:ind w:firstLine="420"/>
      </w:pPr>
      <w:bookmarkStart w:id="264" w:name="正文段落_96"/>
      <w:r>
        <w:rPr>
          <w:highlight w:val="white"/>
        </w:rPr>
        <w:t>图11展示了四站月径流不同模型在五种评价指标上的具体结果。</w:t>
      </w:r>
      <w:r>
        <w:rPr>
          <w:rFonts w:hint="eastAsia"/>
          <w:highlight w:val="white"/>
        </w:rPr>
        <w:t>由图11可知</w:t>
      </w:r>
      <w:r>
        <w:rPr>
          <w:highlight w:val="white"/>
        </w:rPr>
        <w:t>，</w:t>
      </w:r>
      <w:r>
        <w:rPr>
          <w:rFonts w:hint="eastAsia"/>
          <w:highlight w:val="white"/>
        </w:rPr>
        <w:t>四站</w:t>
      </w:r>
      <w:r>
        <w:rPr>
          <w:highlight w:val="white"/>
        </w:rPr>
        <w:t>ESMD-VMD-GA-ESN-AR组合模型</w:t>
      </w:r>
      <w:r>
        <w:rPr>
          <w:rFonts w:hint="eastAsia"/>
          <w:highlight w:val="white"/>
        </w:rPr>
        <w:t>的</w:t>
      </w:r>
      <w:r>
        <w:rPr>
          <w:i/>
          <w:iCs/>
          <w:highlight w:val="white"/>
        </w:rPr>
        <w:t>QR</w:t>
      </w:r>
      <w:r>
        <w:rPr>
          <w:highlight w:val="white"/>
        </w:rPr>
        <w:t>均在80%以上，</w:t>
      </w:r>
      <w:r>
        <w:rPr>
          <w:i/>
          <w:iCs/>
          <w:highlight w:val="white"/>
        </w:rPr>
        <w:t>NSE</w:t>
      </w:r>
      <w:r>
        <w:rPr>
          <w:rFonts w:hint="eastAsia"/>
          <w:highlight w:val="white"/>
        </w:rPr>
        <w:t>均</w:t>
      </w:r>
      <w:r>
        <w:rPr>
          <w:highlight w:val="white"/>
        </w:rPr>
        <w:t>超过0.9，</w:t>
      </w:r>
      <w:r>
        <w:rPr>
          <w:rFonts w:hint="eastAsia"/>
          <w:highlight w:val="white"/>
        </w:rPr>
        <w:t>二者</w:t>
      </w:r>
      <w:r>
        <w:rPr>
          <w:highlight w:val="white"/>
        </w:rPr>
        <w:t>在各</w:t>
      </w:r>
      <w:r>
        <w:rPr>
          <w:rFonts w:hint="eastAsia"/>
          <w:highlight w:val="white"/>
        </w:rPr>
        <w:t>预报</w:t>
      </w:r>
      <w:r>
        <w:rPr>
          <w:highlight w:val="white"/>
        </w:rPr>
        <w:t>模型中最高，</w:t>
      </w:r>
      <w:r>
        <w:rPr>
          <w:rFonts w:hint="eastAsia"/>
          <w:highlight w:val="white"/>
        </w:rPr>
        <w:t>同时其</w:t>
      </w:r>
      <w:r>
        <w:rPr>
          <w:i/>
          <w:iCs/>
          <w:highlight w:val="white"/>
        </w:rPr>
        <w:t>RMSE</w:t>
      </w:r>
      <w:r>
        <w:rPr>
          <w:highlight w:val="white"/>
        </w:rPr>
        <w:t>、</w:t>
      </w:r>
      <w:r>
        <w:rPr>
          <w:i/>
          <w:iCs/>
          <w:highlight w:val="white"/>
        </w:rPr>
        <w:t>MAE</w:t>
      </w:r>
      <w:r>
        <w:rPr>
          <w:highlight w:val="white"/>
        </w:rPr>
        <w:t>和</w:t>
      </w:r>
      <w:r>
        <w:rPr>
          <w:i/>
          <w:iCs/>
          <w:highlight w:val="white"/>
        </w:rPr>
        <w:t>MAPE</w:t>
      </w:r>
      <w:r>
        <w:rPr>
          <w:rFonts w:hint="eastAsia"/>
          <w:highlight w:val="white"/>
        </w:rPr>
        <w:t>最低。</w:t>
      </w:r>
      <w:r>
        <w:rPr>
          <w:highlight w:val="white"/>
        </w:rPr>
        <w:t>这表明</w:t>
      </w:r>
      <w:r>
        <w:rPr>
          <w:rFonts w:hint="eastAsia"/>
          <w:highlight w:val="white"/>
        </w:rPr>
        <w:t>，在月径流预报中，</w:t>
      </w:r>
      <w:r>
        <w:rPr>
          <w:highlight w:val="white"/>
        </w:rPr>
        <w:t>ESMD-VMD-GA-ESN-AR组合模型在误差控制、拟合精度和预报合格性方面</w:t>
      </w:r>
      <w:r>
        <w:rPr>
          <w:rFonts w:hint="eastAsia"/>
          <w:highlight w:val="white"/>
        </w:rPr>
        <w:t>同样具有明显优势</w:t>
      </w:r>
      <w:r>
        <w:rPr>
          <w:highlight w:val="white"/>
        </w:rPr>
        <w:t>，综合预测性能最优。</w:t>
      </w:r>
      <w:bookmarkEnd w:id="264"/>
    </w:p>
    <w:p w14:paraId="5B7970F6">
      <w:pPr>
        <w:ind w:firstLine="420"/>
      </w:pPr>
      <w:bookmarkStart w:id="265" w:name="正文段落_98"/>
      <w:r>
        <w:rPr>
          <w:highlight w:val="white"/>
        </w:rPr>
        <w:t>进一步比较不同改进策略组合下的模型表现可以发现，在单层分解处理和参数寻优已</w:t>
      </w:r>
      <w:r>
        <w:rPr>
          <w:rFonts w:hint="eastAsia"/>
          <w:highlight w:val="white"/>
        </w:rPr>
        <w:t>能提升月径流预报效果的基础</w:t>
      </w:r>
      <w:r>
        <w:rPr>
          <w:highlight w:val="white"/>
        </w:rPr>
        <w:t>上，叠加 ESMD+VMD 双层分解可</w:t>
      </w:r>
      <w:r>
        <w:rPr>
          <w:rFonts w:hint="eastAsia"/>
          <w:highlight w:val="white"/>
        </w:rPr>
        <w:t>继续</w:t>
      </w:r>
      <w:r>
        <w:rPr>
          <w:highlight w:val="white"/>
        </w:rPr>
        <w:t>带来稳定增益。具体而言，相较于VMD-GA-ESN模型，ESMD-VMD-GA-ESN模型的</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分别平均降低21.1%、14.8%和0.2%，</w:t>
      </w:r>
      <w:r>
        <w:rPr>
          <w:i/>
          <w:iCs/>
          <w:highlight w:val="white"/>
        </w:rPr>
        <w:t>NSE</w:t>
      </w:r>
      <w:r>
        <w:rPr>
          <w:highlight w:val="white"/>
        </w:rPr>
        <w:t>和</w:t>
      </w:r>
      <w:r>
        <w:rPr>
          <w:i/>
          <w:iCs/>
          <w:highlight w:val="white"/>
        </w:rPr>
        <w:t>QR</w:t>
      </w:r>
      <w:r>
        <w:rPr>
          <w:highlight w:val="white"/>
        </w:rPr>
        <w:t>分别平均提高5.2%和17.5%；相较于ESMD-GA-ESN模型，其</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分别平均降低10.6%、7.7%和5.2%，</w:t>
      </w:r>
      <w:r>
        <w:rPr>
          <w:i/>
          <w:iCs/>
          <w:highlight w:val="white"/>
        </w:rPr>
        <w:t>NSE</w:t>
      </w:r>
      <w:r>
        <w:rPr>
          <w:highlight w:val="white"/>
        </w:rPr>
        <w:t>和</w:t>
      </w:r>
      <w:r>
        <w:rPr>
          <w:i/>
          <w:iCs/>
          <w:highlight w:val="white"/>
        </w:rPr>
        <w:t>QR</w:t>
      </w:r>
      <w:r>
        <w:rPr>
          <w:highlight w:val="white"/>
        </w:rPr>
        <w:t>分别平均提高2.0%和8.5%。这说明双层分解能够更充分地分离月径流序列中的多尺度波动与噪声成分，从而进一步削弱序列非平稳性。在此基础上，进一步引入AR对预测残差进行补偿校正后，ESMD-VMD-GA-ESN-AR模型的预报性能继续提升。相较于未进行残差校正的ESMD-VMD-GA-ESN模型，四站月径流预报的</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分别平均降低16.2%、31.0%和30.7%，</w:t>
      </w:r>
      <w:r>
        <w:rPr>
          <w:i/>
          <w:iCs/>
          <w:highlight w:val="white"/>
        </w:rPr>
        <w:t>NSE</w:t>
      </w:r>
      <w:r>
        <w:rPr>
          <w:highlight w:val="white"/>
        </w:rPr>
        <w:t>和</w:t>
      </w:r>
      <w:r>
        <w:rPr>
          <w:i/>
          <w:iCs/>
          <w:highlight w:val="white"/>
        </w:rPr>
        <w:t>QR</w:t>
      </w:r>
      <w:r>
        <w:rPr>
          <w:highlight w:val="white"/>
        </w:rPr>
        <w:t>分别平均提高2.3%和16.2%。综上，面对月径流更复杂的波动特征，</w:t>
      </w:r>
      <w:r>
        <w:rPr>
          <w:rFonts w:hint="eastAsia"/>
          <w:highlight w:val="white"/>
        </w:rPr>
        <w:t>基于</w:t>
      </w:r>
      <w:r>
        <w:rPr>
          <w:highlight w:val="white"/>
        </w:rPr>
        <w:t>“双层分解</w:t>
      </w:r>
      <w:r>
        <w:rPr>
          <w:rFonts w:hint="eastAsia"/>
          <w:highlight w:val="white"/>
        </w:rPr>
        <w:t>-预测-重构-</w:t>
      </w:r>
      <w:r>
        <w:rPr>
          <w:highlight w:val="white"/>
        </w:rPr>
        <w:t>残差校正”</w:t>
      </w:r>
      <w:r>
        <w:rPr>
          <w:rFonts w:hint="eastAsia"/>
          <w:highlight w:val="white"/>
        </w:rPr>
        <w:t>思路</w:t>
      </w:r>
      <w:r>
        <w:rPr>
          <w:highlight w:val="white"/>
        </w:rPr>
        <w:t>的</w:t>
      </w:r>
      <w:r>
        <w:rPr>
          <w:rFonts w:hint="eastAsia"/>
          <w:highlight w:val="white"/>
        </w:rPr>
        <w:t>ESMD-VMD-GA-ESN-AR组合预报模型依旧</w:t>
      </w:r>
      <w:r>
        <w:rPr>
          <w:highlight w:val="white"/>
        </w:rPr>
        <w:t>能够</w:t>
      </w:r>
      <w:r>
        <w:rPr>
          <w:rFonts w:hint="eastAsia"/>
          <w:highlight w:val="white"/>
        </w:rPr>
        <w:t>显著</w:t>
      </w:r>
      <w:r>
        <w:rPr>
          <w:highlight w:val="white"/>
        </w:rPr>
        <w:t>降低</w:t>
      </w:r>
      <w:r>
        <w:rPr>
          <w:rFonts w:hint="eastAsia"/>
          <w:highlight w:val="white"/>
        </w:rPr>
        <w:t>预测</w:t>
      </w:r>
      <w:r>
        <w:rPr>
          <w:highlight w:val="white"/>
        </w:rPr>
        <w:t>误差</w:t>
      </w:r>
      <w:r>
        <w:rPr>
          <w:rFonts w:hint="eastAsia"/>
          <w:highlight w:val="white"/>
        </w:rPr>
        <w:t>，提升径流预报效果</w:t>
      </w:r>
      <w:r>
        <w:rPr>
          <w:highlight w:val="white"/>
        </w:rPr>
        <w:t>。</w:t>
      </w:r>
      <w:bookmarkEnd w:id="265"/>
    </w:p>
    <w:p w14:paraId="5CEF6555">
      <w:pPr>
        <w:pStyle w:val="57"/>
      </w:pPr>
      <w:bookmarkStart w:id="266" w:name="嵌入式图形_11"/>
      <w:r>
        <w:drawing>
          <wp:inline distT="0" distB="0" distL="0" distR="0">
            <wp:extent cx="5278120" cy="3519170"/>
            <wp:effectExtent l="0" t="0" r="0" b="5080"/>
            <wp:docPr id="291104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04878" name="图片 1"/>
                    <pic:cNvPicPr>
                      <a:picLocks noChangeAspect="1"/>
                    </pic:cNvPicPr>
                  </pic:nvPicPr>
                  <pic:blipFill>
                    <a:blip r:embed="rId182"/>
                    <a:stretch>
                      <a:fillRect/>
                    </a:stretch>
                  </pic:blipFill>
                  <pic:spPr>
                    <a:xfrm>
                      <a:off x="0" y="0"/>
                      <a:ext cx="5278120" cy="3519170"/>
                    </a:xfrm>
                    <a:prstGeom prst="rect">
                      <a:avLst/>
                    </a:prstGeom>
                  </pic:spPr>
                </pic:pic>
              </a:graphicData>
            </a:graphic>
          </wp:inline>
        </w:drawing>
      </w:r>
      <w:bookmarkEnd w:id="266"/>
    </w:p>
    <w:p w14:paraId="670F5128">
      <w:pPr>
        <w:pStyle w:val="57"/>
      </w:pPr>
      <w:bookmarkStart w:id="267" w:name="中文图序_11"/>
      <w:bookmarkStart w:id="268" w:name="中文图题_11"/>
      <w:r>
        <w:rPr>
          <w:rFonts w:hint="eastAsia"/>
          <w:highlight w:val="white"/>
        </w:rPr>
        <w:t>图11</w:t>
      </w:r>
      <w:bookmarkEnd w:id="267"/>
      <w:r>
        <w:rPr>
          <w:rFonts w:hint="eastAsia"/>
          <w:highlight w:val="white"/>
        </w:rPr>
        <w:t xml:space="preserve"> 四站月径流各预报模型评价指标</w:t>
      </w:r>
      <w:bookmarkEnd w:id="268"/>
    </w:p>
    <w:p w14:paraId="51A95F38">
      <w:pPr>
        <w:pStyle w:val="57"/>
      </w:pPr>
      <w:bookmarkStart w:id="269" w:name="英文图序_23"/>
      <w:bookmarkStart w:id="270" w:name="英文图题_11"/>
      <w:r>
        <w:rPr>
          <w:rFonts w:hint="eastAsia"/>
          <w:highlight w:val="white"/>
        </w:rPr>
        <w:t>Fig.11</w:t>
      </w:r>
      <w:bookmarkEnd w:id="269"/>
      <w:r>
        <w:rPr>
          <w:rFonts w:hint="eastAsia"/>
          <w:highlight w:val="white"/>
        </w:rPr>
        <w:t xml:space="preserve"> </w:t>
      </w:r>
      <w:r>
        <w:rPr>
          <w:highlight w:val="white"/>
        </w:rPr>
        <w:t xml:space="preserve">Evaluation indicators of different forecasting </w:t>
      </w:r>
      <w:bookmarkStart w:id="271" w:name="MOD_30"/>
      <w:r>
        <w:t>mod</w:t>
      </w:r>
      <w:bookmarkEnd w:id="271"/>
      <w:r>
        <w:rPr>
          <w:highlight w:val="white"/>
        </w:rPr>
        <w:t>els for monthly runoff at four stations</w:t>
      </w:r>
      <w:bookmarkEnd w:id="270"/>
    </w:p>
    <w:p w14:paraId="69B6D290">
      <w:pPr>
        <w:pStyle w:val="3"/>
      </w:pPr>
      <w:bookmarkStart w:id="272" w:name="二级标题序号_16"/>
      <w:bookmarkStart w:id="273" w:name="二级标题_20"/>
      <w:r>
        <w:rPr>
          <w:rFonts w:hint="eastAsia"/>
          <w:highlight w:val="white"/>
        </w:rPr>
        <w:t>3.4</w:t>
      </w:r>
      <w:bookmarkEnd w:id="272"/>
      <w:r>
        <w:rPr>
          <w:rFonts w:hint="eastAsia"/>
          <w:highlight w:val="white"/>
        </w:rPr>
        <w:t xml:space="preserve"> 径流预报精度对比</w:t>
      </w:r>
      <w:bookmarkEnd w:id="273"/>
    </w:p>
    <w:p w14:paraId="25B8DBBF">
      <w:pPr>
        <w:ind w:firstLine="420"/>
      </w:pPr>
      <w:bookmarkStart w:id="274" w:name="正文段落_100"/>
      <w:r>
        <w:rPr>
          <w:highlight w:val="white"/>
        </w:rPr>
        <w:t>在</w:t>
      </w:r>
      <w:r>
        <w:rPr>
          <w:rFonts w:hint="eastAsia"/>
          <w:highlight w:val="white"/>
        </w:rPr>
        <w:t>上述已</w:t>
      </w:r>
      <w:r>
        <w:rPr>
          <w:highlight w:val="white"/>
        </w:rPr>
        <w:t>完成四站年、月径流</w:t>
      </w:r>
      <w:r>
        <w:rPr>
          <w:rFonts w:hint="eastAsia"/>
          <w:highlight w:val="white"/>
        </w:rPr>
        <w:t>中长期</w:t>
      </w:r>
      <w:r>
        <w:rPr>
          <w:highlight w:val="white"/>
        </w:rPr>
        <w:t>预报的基础上，为进一步从时间尺度和站点差异两个层面比较ESMD-VMD-GA-ESN-AR组合预报模型的综合性能，</w:t>
      </w:r>
      <w:r>
        <w:rPr>
          <w:rFonts w:hint="eastAsia"/>
          <w:highlight w:val="white"/>
        </w:rPr>
        <w:t>同样</w:t>
      </w:r>
      <w:r>
        <w:rPr>
          <w:highlight w:val="white"/>
        </w:rPr>
        <w:t>采用</w:t>
      </w:r>
      <w:r>
        <w:rPr>
          <w:i/>
          <w:iCs/>
          <w:highlight w:val="white"/>
        </w:rPr>
        <w:t>RMSE</w:t>
      </w:r>
      <w:r>
        <w:rPr>
          <w:highlight w:val="white"/>
        </w:rPr>
        <w:t>、</w:t>
      </w:r>
      <w:r>
        <w:rPr>
          <w:i/>
          <w:iCs/>
          <w:highlight w:val="white"/>
        </w:rPr>
        <w:t>MAE</w:t>
      </w:r>
      <w:r>
        <w:rPr>
          <w:highlight w:val="white"/>
        </w:rPr>
        <w:t>、</w:t>
      </w:r>
      <w:r>
        <w:rPr>
          <w:i/>
          <w:iCs/>
          <w:highlight w:val="white"/>
        </w:rPr>
        <w:t>MAPE</w:t>
      </w:r>
      <w:r>
        <w:rPr>
          <w:highlight w:val="white"/>
        </w:rPr>
        <w:t>、</w:t>
      </w:r>
      <w:r>
        <w:rPr>
          <w:i/>
          <w:iCs/>
          <w:highlight w:val="white"/>
        </w:rPr>
        <w:t>NSE</w:t>
      </w:r>
      <w:r>
        <w:rPr>
          <w:highlight w:val="white"/>
        </w:rPr>
        <w:t>和</w:t>
      </w:r>
      <w:r>
        <w:rPr>
          <w:i/>
          <w:iCs/>
          <w:highlight w:val="white"/>
        </w:rPr>
        <w:t xml:space="preserve">QR </w:t>
      </w:r>
      <w:r>
        <w:rPr>
          <w:rFonts w:hint="eastAsia"/>
          <w:highlight w:val="white"/>
        </w:rPr>
        <w:t>五项评价</w:t>
      </w:r>
      <w:r>
        <w:rPr>
          <w:highlight w:val="white"/>
        </w:rPr>
        <w:t>指标对模型</w:t>
      </w:r>
      <w:r>
        <w:rPr>
          <w:rFonts w:hint="eastAsia"/>
          <w:highlight w:val="white"/>
        </w:rPr>
        <w:t>的预报结果</w:t>
      </w:r>
      <w:r>
        <w:rPr>
          <w:highlight w:val="white"/>
        </w:rPr>
        <w:t>进行量化评估，结果</w:t>
      </w:r>
      <w:r>
        <w:rPr>
          <w:rFonts w:hint="eastAsia"/>
          <w:highlight w:val="white"/>
        </w:rPr>
        <w:t>如</w:t>
      </w:r>
      <w:r>
        <w:rPr>
          <w:highlight w:val="white"/>
        </w:rPr>
        <w:t>图1</w:t>
      </w:r>
      <w:r>
        <w:rPr>
          <w:rFonts w:hint="eastAsia"/>
          <w:highlight w:val="white"/>
        </w:rPr>
        <w:t>2所示</w:t>
      </w:r>
      <w:r>
        <w:rPr>
          <w:highlight w:val="white"/>
        </w:rPr>
        <w:t>。</w:t>
      </w:r>
      <w:bookmarkEnd w:id="274"/>
    </w:p>
    <w:p w14:paraId="3FD2E469">
      <w:pPr>
        <w:ind w:firstLine="420"/>
      </w:pPr>
      <w:bookmarkStart w:id="275" w:name="正文段落_102"/>
      <w:r>
        <w:rPr>
          <w:highlight w:val="white"/>
        </w:rPr>
        <w:t>由图1</w:t>
      </w:r>
      <w:r>
        <w:rPr>
          <w:rFonts w:hint="eastAsia"/>
          <w:highlight w:val="white"/>
        </w:rPr>
        <w:t>2</w:t>
      </w:r>
      <w:r>
        <w:rPr>
          <w:highlight w:val="white"/>
        </w:rPr>
        <w:t>可知，ESMD-VMD-GA-ESN-AR组合模型在四站年、月径流中长期预报中均取得了较好效果，但在</w:t>
      </w:r>
      <w:r>
        <w:rPr>
          <w:rFonts w:hint="eastAsia"/>
          <w:highlight w:val="white"/>
        </w:rPr>
        <w:t>不同</w:t>
      </w:r>
      <w:r>
        <w:rPr>
          <w:highlight w:val="white"/>
        </w:rPr>
        <w:t>条件下</w:t>
      </w:r>
      <w:r>
        <w:rPr>
          <w:rFonts w:hint="eastAsia"/>
          <w:highlight w:val="white"/>
        </w:rPr>
        <w:t>模型</w:t>
      </w:r>
      <w:r>
        <w:rPr>
          <w:highlight w:val="white"/>
        </w:rPr>
        <w:t>预报</w:t>
      </w:r>
      <w:r>
        <w:rPr>
          <w:rFonts w:hint="eastAsia"/>
          <w:highlight w:val="white"/>
        </w:rPr>
        <w:t>综合</w:t>
      </w:r>
      <w:r>
        <w:rPr>
          <w:highlight w:val="white"/>
        </w:rPr>
        <w:t>表现存在一定差异。从时间尺度上看，年尺度预报在</w:t>
      </w:r>
      <w:r>
        <w:rPr>
          <w:i/>
          <w:iCs/>
          <w:highlight w:val="white"/>
        </w:rPr>
        <w:t>RMSE</w:t>
      </w:r>
      <w:r>
        <w:rPr>
          <w:highlight w:val="white"/>
        </w:rPr>
        <w:t>、</w:t>
      </w:r>
      <w:r>
        <w:rPr>
          <w:i/>
          <w:iCs/>
          <w:highlight w:val="white"/>
        </w:rPr>
        <w:t>MAE</w:t>
      </w:r>
      <w:r>
        <w:rPr>
          <w:highlight w:val="white"/>
        </w:rPr>
        <w:t>、</w:t>
      </w:r>
      <w:r>
        <w:rPr>
          <w:i/>
          <w:iCs/>
          <w:highlight w:val="white"/>
        </w:rPr>
        <w:t>MAPE</w:t>
      </w:r>
      <w:r>
        <w:rPr>
          <w:highlight w:val="white"/>
        </w:rPr>
        <w:t>和</w:t>
      </w:r>
      <w:r>
        <w:rPr>
          <w:i/>
          <w:iCs/>
          <w:highlight w:val="white"/>
        </w:rPr>
        <w:t>QR</w:t>
      </w:r>
      <w:r>
        <w:rPr>
          <w:highlight w:val="white"/>
        </w:rPr>
        <w:t xml:space="preserve"> </w:t>
      </w:r>
      <w:r>
        <w:rPr>
          <w:rFonts w:hint="eastAsia"/>
          <w:highlight w:val="white"/>
        </w:rPr>
        <w:t>四</w:t>
      </w:r>
      <w:r>
        <w:rPr>
          <w:highlight w:val="white"/>
        </w:rPr>
        <w:t>项指标上总体优于月尺度预报，表明年尺度下</w:t>
      </w:r>
      <w:r>
        <w:rPr>
          <w:rFonts w:hint="eastAsia"/>
          <w:highlight w:val="white"/>
        </w:rPr>
        <w:t>组合预报</w:t>
      </w:r>
      <w:r>
        <w:rPr>
          <w:highlight w:val="white"/>
        </w:rPr>
        <w:t>模型预测误差更小、结果稳定性更强；月尺度预报则在</w:t>
      </w:r>
      <w:r>
        <w:rPr>
          <w:i/>
          <w:iCs/>
          <w:highlight w:val="white"/>
        </w:rPr>
        <w:t>NSE</w:t>
      </w:r>
      <w:r>
        <w:rPr>
          <w:highlight w:val="white"/>
        </w:rPr>
        <w:t>指标上表现更优，表明</w:t>
      </w:r>
      <w:r>
        <w:rPr>
          <w:rFonts w:hint="eastAsia"/>
          <w:highlight w:val="white"/>
        </w:rPr>
        <w:t>组合预报</w:t>
      </w:r>
      <w:r>
        <w:rPr>
          <w:highlight w:val="white"/>
        </w:rPr>
        <w:t>模型对月尺度径流变化</w:t>
      </w:r>
      <w:r>
        <w:rPr>
          <w:rFonts w:hint="eastAsia"/>
          <w:highlight w:val="white"/>
        </w:rPr>
        <w:t>过程</w:t>
      </w:r>
      <w:r>
        <w:rPr>
          <w:highlight w:val="white"/>
        </w:rPr>
        <w:t>的</w:t>
      </w:r>
      <w:r>
        <w:rPr>
          <w:rFonts w:hint="eastAsia"/>
          <w:highlight w:val="white"/>
        </w:rPr>
        <w:t>再现效果</w:t>
      </w:r>
      <w:r>
        <w:rPr>
          <w:highlight w:val="white"/>
        </w:rPr>
        <w:t>更强</w:t>
      </w:r>
      <w:r>
        <w:rPr>
          <w:rFonts w:hint="eastAsia"/>
          <w:highlight w:val="white"/>
        </w:rPr>
        <w:t>，拟合程度更高</w:t>
      </w:r>
      <w:r>
        <w:rPr>
          <w:highlight w:val="white"/>
        </w:rPr>
        <w:t>。该差异与不同时间尺度下径流序列所保留的信息特征有关：年</w:t>
      </w:r>
      <w:r>
        <w:rPr>
          <w:rFonts w:hint="eastAsia"/>
          <w:highlight w:val="white"/>
        </w:rPr>
        <w:t>径流</w:t>
      </w:r>
      <w:r>
        <w:rPr>
          <w:highlight w:val="white"/>
        </w:rPr>
        <w:t>序列以低频变化为主，整体波动相对平缓，更有利于降低预测误差；而月</w:t>
      </w:r>
      <w:r>
        <w:rPr>
          <w:rFonts w:hint="eastAsia"/>
          <w:highlight w:val="white"/>
        </w:rPr>
        <w:t>径流</w:t>
      </w:r>
      <w:r>
        <w:rPr>
          <w:highlight w:val="white"/>
        </w:rPr>
        <w:t>序列保留了更丰富的阶段性起伏和动态变化信息，模型对过程波动的刻画能力</w:t>
      </w:r>
      <w:r>
        <w:rPr>
          <w:rFonts w:hint="eastAsia"/>
          <w:highlight w:val="white"/>
        </w:rPr>
        <w:t>更强</w:t>
      </w:r>
      <w:r>
        <w:rPr>
          <w:highlight w:val="white"/>
        </w:rPr>
        <w:t>。从站点差异</w:t>
      </w:r>
      <w:r>
        <w:rPr>
          <w:rFonts w:hint="eastAsia"/>
          <w:highlight w:val="white"/>
        </w:rPr>
        <w:t>上</w:t>
      </w:r>
      <w:r>
        <w:rPr>
          <w:highlight w:val="white"/>
        </w:rPr>
        <w:t>看，不同</w:t>
      </w:r>
      <w:r>
        <w:rPr>
          <w:rFonts w:hint="eastAsia"/>
          <w:highlight w:val="white"/>
        </w:rPr>
        <w:t>水文站</w:t>
      </w:r>
      <w:r>
        <w:rPr>
          <w:highlight w:val="white"/>
        </w:rPr>
        <w:t>之间的</w:t>
      </w:r>
      <w:r>
        <w:rPr>
          <w:rFonts w:hint="eastAsia"/>
          <w:highlight w:val="white"/>
        </w:rPr>
        <w:t>模型预报</w:t>
      </w:r>
      <w:r>
        <w:rPr>
          <w:highlight w:val="white"/>
        </w:rPr>
        <w:t>结果也</w:t>
      </w:r>
      <w:r>
        <w:rPr>
          <w:rFonts w:hint="eastAsia"/>
          <w:highlight w:val="white"/>
        </w:rPr>
        <w:t>有</w:t>
      </w:r>
      <w:r>
        <w:rPr>
          <w:highlight w:val="white"/>
        </w:rPr>
        <w:t>一定区别。对比</w:t>
      </w:r>
      <w:r>
        <w:rPr>
          <w:rFonts w:hint="eastAsia"/>
          <w:highlight w:val="white"/>
        </w:rPr>
        <w:t>四站</w:t>
      </w:r>
      <w:r>
        <w:rPr>
          <w:highlight w:val="white"/>
        </w:rPr>
        <w:t>雷达图可以看出，兰州站在</w:t>
      </w:r>
      <w:r>
        <w:rPr>
          <w:i/>
          <w:iCs/>
          <w:highlight w:val="white"/>
        </w:rPr>
        <w:t>RMSE</w:t>
      </w:r>
      <w:r>
        <w:rPr>
          <w:highlight w:val="white"/>
        </w:rPr>
        <w:t>、</w:t>
      </w:r>
      <w:r>
        <w:rPr>
          <w:i/>
          <w:iCs/>
          <w:highlight w:val="white"/>
        </w:rPr>
        <w:t>MAE</w:t>
      </w:r>
      <w:r>
        <w:rPr>
          <w:highlight w:val="white"/>
        </w:rPr>
        <w:t>和</w:t>
      </w:r>
      <w:r>
        <w:rPr>
          <w:i/>
          <w:iCs/>
          <w:highlight w:val="white"/>
        </w:rPr>
        <w:t>MAPE</w:t>
      </w:r>
      <w:r>
        <w:rPr>
          <w:highlight w:val="white"/>
        </w:rPr>
        <w:t>误差类指标上整体偏大，而在</w:t>
      </w:r>
      <w:r>
        <w:rPr>
          <w:i/>
          <w:iCs/>
          <w:highlight w:val="white"/>
        </w:rPr>
        <w:t>NSE</w:t>
      </w:r>
      <w:r>
        <w:rPr>
          <w:highlight w:val="white"/>
        </w:rPr>
        <w:t>和</w:t>
      </w:r>
      <w:r>
        <w:rPr>
          <w:i/>
          <w:iCs/>
          <w:highlight w:val="white"/>
        </w:rPr>
        <w:t>QR</w:t>
      </w:r>
      <w:r>
        <w:rPr>
          <w:highlight w:val="white"/>
        </w:rPr>
        <w:t>指标上相对偏低，说明其预测误差较大、拟合效果较差，综合预报性能弱于其余</w:t>
      </w:r>
      <w:r>
        <w:rPr>
          <w:rFonts w:hint="eastAsia"/>
          <w:highlight w:val="white"/>
        </w:rPr>
        <w:t>三</w:t>
      </w:r>
      <w:r>
        <w:rPr>
          <w:highlight w:val="white"/>
        </w:rPr>
        <w:t>站。其原因可能在于，兰州站位于研究区相对下游位置，受上游来水累积、区间汇流补给及人类活动</w:t>
      </w:r>
      <w:r>
        <w:rPr>
          <w:rFonts w:hint="eastAsia"/>
          <w:highlight w:val="white"/>
        </w:rPr>
        <w:t>调节的</w:t>
      </w:r>
      <w:r>
        <w:rPr>
          <w:highlight w:val="white"/>
        </w:rPr>
        <w:t>共同作用更为明显，</w:t>
      </w:r>
      <w:r>
        <w:rPr>
          <w:rFonts w:hint="eastAsia"/>
          <w:highlight w:val="white"/>
        </w:rPr>
        <w:t>其</w:t>
      </w:r>
      <w:r>
        <w:rPr>
          <w:highlight w:val="white"/>
        </w:rPr>
        <w:t>径流过程波动更</w:t>
      </w:r>
      <w:r>
        <w:rPr>
          <w:rFonts w:hint="eastAsia"/>
          <w:highlight w:val="white"/>
        </w:rPr>
        <w:t>为</w:t>
      </w:r>
      <w:r>
        <w:rPr>
          <w:highlight w:val="white"/>
        </w:rPr>
        <w:t>剧烈、阶段变化更</w:t>
      </w:r>
      <w:r>
        <w:rPr>
          <w:rFonts w:hint="eastAsia"/>
          <w:highlight w:val="white"/>
        </w:rPr>
        <w:t>加</w:t>
      </w:r>
      <w:r>
        <w:rPr>
          <w:highlight w:val="white"/>
        </w:rPr>
        <w:t>复杂、极值变幅更</w:t>
      </w:r>
      <w:r>
        <w:rPr>
          <w:rFonts w:hint="eastAsia"/>
          <w:highlight w:val="white"/>
        </w:rPr>
        <w:t>大</w:t>
      </w:r>
      <w:r>
        <w:rPr>
          <w:highlight w:val="white"/>
        </w:rPr>
        <w:t>，序列非线性</w:t>
      </w:r>
      <w:r>
        <w:rPr>
          <w:rFonts w:hint="eastAsia"/>
          <w:highlight w:val="white"/>
        </w:rPr>
        <w:t>、</w:t>
      </w:r>
      <w:r>
        <w:rPr>
          <w:highlight w:val="white"/>
        </w:rPr>
        <w:t>非平稳性</w:t>
      </w:r>
      <w:r>
        <w:rPr>
          <w:rFonts w:hint="eastAsia"/>
          <w:highlight w:val="white"/>
        </w:rPr>
        <w:t>特征</w:t>
      </w:r>
      <w:r>
        <w:rPr>
          <w:highlight w:val="white"/>
        </w:rPr>
        <w:t>进一步增强，</w:t>
      </w:r>
      <w:r>
        <w:rPr>
          <w:rFonts w:hint="eastAsia"/>
          <w:highlight w:val="white"/>
        </w:rPr>
        <w:t>从而</w:t>
      </w:r>
      <w:r>
        <w:rPr>
          <w:highlight w:val="white"/>
        </w:rPr>
        <w:t>增加了模型预报难度。</w:t>
      </w:r>
      <w:r>
        <w:rPr>
          <w:rFonts w:hint="eastAsia"/>
          <w:highlight w:val="white"/>
        </w:rPr>
        <w:t>综合来看</w:t>
      </w:r>
      <w:r>
        <w:rPr>
          <w:highlight w:val="white"/>
        </w:rPr>
        <w:t>，ESMD-VMD-GA-ESN-AR组合模型在四站年、月径流中长期预报中均具有较好适用性，但其预报效果在不同时间尺度和不同站点之间仍存在一定差异。</w:t>
      </w:r>
      <w:bookmarkEnd w:id="275"/>
    </w:p>
    <w:p w14:paraId="18916890">
      <w:pPr>
        <w:pStyle w:val="57"/>
      </w:pPr>
      <w:bookmarkStart w:id="276" w:name="嵌入式图形_12"/>
      <w:r>
        <w:drawing>
          <wp:inline distT="0" distB="0" distL="0" distR="0">
            <wp:extent cx="2879725" cy="2369185"/>
            <wp:effectExtent l="0" t="0" r="0" b="0"/>
            <wp:docPr id="10420719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071979" name="图片 1"/>
                    <pic:cNvPicPr>
                      <a:picLocks noChangeAspect="1"/>
                    </pic:cNvPicPr>
                  </pic:nvPicPr>
                  <pic:blipFill>
                    <a:blip r:embed="rId183"/>
                    <a:stretch>
                      <a:fillRect/>
                    </a:stretch>
                  </pic:blipFill>
                  <pic:spPr>
                    <a:xfrm>
                      <a:off x="0" y="0"/>
                      <a:ext cx="2880000" cy="2369625"/>
                    </a:xfrm>
                    <a:prstGeom prst="rect">
                      <a:avLst/>
                    </a:prstGeom>
                  </pic:spPr>
                </pic:pic>
              </a:graphicData>
            </a:graphic>
          </wp:inline>
        </w:drawing>
      </w:r>
      <w:bookmarkEnd w:id="276"/>
    </w:p>
    <w:p w14:paraId="1D651CAE">
      <w:pPr>
        <w:pStyle w:val="57"/>
      </w:pPr>
      <w:bookmarkStart w:id="277" w:name="中文图序_12"/>
      <w:bookmarkStart w:id="278" w:name="中文图题_12"/>
      <w:r>
        <w:rPr>
          <w:rFonts w:hint="eastAsia"/>
          <w:highlight w:val="white"/>
        </w:rPr>
        <w:t>图12</w:t>
      </w:r>
      <w:bookmarkEnd w:id="277"/>
      <w:r>
        <w:rPr>
          <w:rFonts w:hint="eastAsia"/>
          <w:highlight w:val="white"/>
        </w:rPr>
        <w:t xml:space="preserve"> 四站年、月径流预报精度对比</w:t>
      </w:r>
      <w:bookmarkEnd w:id="278"/>
    </w:p>
    <w:p w14:paraId="4B09F3CF">
      <w:pPr>
        <w:pStyle w:val="57"/>
      </w:pPr>
      <w:bookmarkStart w:id="279" w:name="英文图序_24"/>
      <w:bookmarkStart w:id="280" w:name="英文图题_12"/>
      <w:r>
        <w:rPr>
          <w:rFonts w:hint="eastAsia"/>
          <w:highlight w:val="white"/>
        </w:rPr>
        <w:t>Fig.12</w:t>
      </w:r>
      <w:bookmarkEnd w:id="279"/>
      <w:r>
        <w:rPr>
          <w:rFonts w:hint="eastAsia"/>
          <w:highlight w:val="white"/>
        </w:rPr>
        <w:t xml:space="preserve"> </w:t>
      </w:r>
      <w:r>
        <w:rPr>
          <w:highlight w:val="white"/>
        </w:rPr>
        <w:t>Comparison of annual and monthly runoff forecasting accuracy at four stations</w:t>
      </w:r>
      <w:bookmarkEnd w:id="280"/>
    </w:p>
    <w:p w14:paraId="57DB39AB">
      <w:pPr>
        <w:pStyle w:val="2"/>
      </w:pPr>
      <w:bookmarkStart w:id="281" w:name="一级标题序号_17"/>
      <w:bookmarkStart w:id="282" w:name="一级标题_10"/>
      <w:r>
        <w:rPr>
          <w:rFonts w:hint="eastAsia"/>
          <w:highlight w:val="white"/>
        </w:rPr>
        <w:t>4</w:t>
      </w:r>
      <w:bookmarkEnd w:id="281"/>
      <w:r>
        <w:rPr>
          <w:rFonts w:hint="eastAsia"/>
          <w:highlight w:val="white"/>
        </w:rPr>
        <w:t xml:space="preserve"> 结论</w:t>
      </w:r>
      <w:bookmarkEnd w:id="282"/>
    </w:p>
    <w:p w14:paraId="10403D6D">
      <w:pPr>
        <w:ind w:firstLine="420"/>
      </w:pPr>
      <w:bookmarkStart w:id="283" w:name="正文段落_104"/>
      <w:r>
        <w:rPr>
          <w:highlight w:val="white"/>
        </w:rPr>
        <w:t>本文构建了ESMD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AR组合预报模型</w:t>
      </w:r>
      <w:r>
        <w:rPr>
          <w:rFonts w:hint="eastAsia"/>
          <w:highlight w:val="white"/>
        </w:rPr>
        <w:t>，</w:t>
      </w:r>
      <w:r>
        <w:rPr>
          <w:highlight w:val="white"/>
        </w:rPr>
        <w:t>将其应用于</w:t>
      </w:r>
      <w:r>
        <w:rPr>
          <w:rFonts w:hint="eastAsia"/>
          <w:highlight w:val="white"/>
        </w:rPr>
        <w:t>黄河上游四个水文站</w:t>
      </w:r>
      <w:r>
        <w:rPr>
          <w:highlight w:val="white"/>
        </w:rPr>
        <w:t>年、月尺度径流</w:t>
      </w:r>
      <w:r>
        <w:rPr>
          <w:rFonts w:hint="eastAsia"/>
          <w:highlight w:val="white"/>
        </w:rPr>
        <w:t>的中长期</w:t>
      </w:r>
      <w:r>
        <w:rPr>
          <w:highlight w:val="white"/>
        </w:rPr>
        <w:t>预报</w:t>
      </w:r>
      <w:r>
        <w:rPr>
          <w:rFonts w:hint="eastAsia"/>
          <w:highlight w:val="white"/>
        </w:rPr>
        <w:t>中，为体现该组合模型的预报精度，分别与单一</w:t>
      </w:r>
      <w:r>
        <w:rPr>
          <w:highlight w:val="white"/>
        </w:rPr>
        <w:t>ESN、VMD</w:t>
      </w:r>
      <w:r>
        <w:rPr>
          <w:rFonts w:hint="eastAsia"/>
          <w:highlight w:val="white"/>
        </w:rPr>
        <w:t>-</w:t>
      </w:r>
      <w:r>
        <w:rPr>
          <w:highlight w:val="white"/>
        </w:rPr>
        <w:t>ESN、ESMD-ESN、</w:t>
      </w:r>
      <w:r>
        <w:rPr>
          <w:rFonts w:hint="eastAsia"/>
          <w:highlight w:val="white"/>
        </w:rPr>
        <w:t>VMD-ESN-AR、ESMD-ESN-AR、ESMD-VMD-ESN、ESMD-VMD-ESN-AR、</w:t>
      </w:r>
      <w:r>
        <w:rPr>
          <w:highlight w:val="white"/>
        </w:rPr>
        <w:t>GA-ESN、VMD-GA-ESN、ESMD-GA-ESN</w:t>
      </w:r>
      <w:r>
        <w:rPr>
          <w:rFonts w:hint="eastAsia"/>
          <w:highlight w:val="white"/>
        </w:rPr>
        <w:t>、VMD-GA-ESN-AR、ESMD-GA-ESN-AR和</w:t>
      </w:r>
      <w:r>
        <w:rPr>
          <w:highlight w:val="white"/>
        </w:rPr>
        <w:t>ESMD-VMD-GA-ESN模型进行比较分析</w:t>
      </w:r>
      <w:r>
        <w:rPr>
          <w:rFonts w:hint="eastAsia"/>
          <w:highlight w:val="white"/>
        </w:rPr>
        <w:t>，全面评估不同模型的预报效果，得到如下结论。</w:t>
      </w:r>
      <w:bookmarkEnd w:id="283"/>
    </w:p>
    <w:p w14:paraId="0B812C15">
      <w:pPr>
        <w:ind w:firstLine="420"/>
      </w:pPr>
      <w:bookmarkStart w:id="284" w:name="正文段落_106"/>
      <w:r>
        <w:rPr>
          <w:rFonts w:hint="eastAsia"/>
          <w:highlight w:val="white"/>
        </w:rPr>
        <w:t>（1）</w:t>
      </w:r>
      <w:r>
        <w:rPr>
          <w:highlight w:val="white"/>
        </w:rPr>
        <w:t>遵循“双层分解</w:t>
      </w:r>
      <w:r>
        <w:rPr>
          <w:rFonts w:hint="eastAsia"/>
          <w:highlight w:val="white"/>
        </w:rPr>
        <w:t>-</w:t>
      </w:r>
      <w:r>
        <w:rPr>
          <w:highlight w:val="white"/>
        </w:rPr>
        <w:t>预测</w:t>
      </w:r>
      <w:r>
        <w:rPr>
          <w:rFonts w:hint="eastAsia"/>
          <w:highlight w:val="white"/>
        </w:rPr>
        <w:t>-</w:t>
      </w:r>
      <w:r>
        <w:rPr>
          <w:highlight w:val="white"/>
        </w:rPr>
        <w:t>重构</w:t>
      </w:r>
      <w:r>
        <w:rPr>
          <w:rFonts w:hint="eastAsia"/>
          <w:highlight w:val="white"/>
        </w:rPr>
        <w:t>-</w:t>
      </w:r>
      <w:r>
        <w:rPr>
          <w:highlight w:val="white"/>
        </w:rPr>
        <w:t>残差校正”框架，采用“ESMD+VMD”双层分解</w:t>
      </w:r>
      <w:r>
        <w:rPr>
          <w:rFonts w:hint="eastAsia"/>
          <w:highlight w:val="white"/>
        </w:rPr>
        <w:t>进行</w:t>
      </w:r>
      <w:r>
        <w:rPr>
          <w:highlight w:val="white"/>
        </w:rPr>
        <w:t>平稳化处理</w:t>
      </w:r>
      <w:r>
        <w:rPr>
          <w:rFonts w:hint="eastAsia"/>
          <w:highlight w:val="white"/>
        </w:rPr>
        <w:t>、</w:t>
      </w:r>
      <w:r>
        <w:rPr>
          <w:highlight w:val="white"/>
        </w:rPr>
        <w:t>利用GA对ESN模型参数进行寻优</w:t>
      </w:r>
      <w:r>
        <w:rPr>
          <w:rFonts w:hint="eastAsia"/>
          <w:highlight w:val="white"/>
        </w:rPr>
        <w:t>、</w:t>
      </w:r>
      <w:r>
        <w:rPr>
          <w:highlight w:val="white"/>
        </w:rPr>
        <w:t>并引入AR校正模型进行后验修正，构建了ESMD-VMD-GA-ESN-AR组合预报模型，有效提升了中长期</w:t>
      </w:r>
      <w:r>
        <w:rPr>
          <w:rFonts w:hint="eastAsia"/>
          <w:highlight w:val="white"/>
        </w:rPr>
        <w:t>径流</w:t>
      </w:r>
      <w:r>
        <w:rPr>
          <w:highlight w:val="white"/>
        </w:rPr>
        <w:t>预报精度，对水文过程波动复杂、非平稳特征显著的流域具有较好适用性。</w:t>
      </w:r>
      <w:bookmarkEnd w:id="284"/>
    </w:p>
    <w:p w14:paraId="7584DEEB">
      <w:pPr>
        <w:ind w:firstLine="420"/>
      </w:pPr>
      <w:bookmarkStart w:id="285" w:name="正文段落_108"/>
      <w:r>
        <w:rPr>
          <w:rFonts w:hint="eastAsia"/>
          <w:highlight w:val="white"/>
        </w:rPr>
        <w:t>（2）</w:t>
      </w:r>
      <w:r>
        <w:rPr>
          <w:highlight w:val="white"/>
        </w:rPr>
        <w:t>黄河上游四站</w:t>
      </w:r>
      <w:r>
        <w:rPr>
          <w:rFonts w:hint="eastAsia"/>
          <w:highlight w:val="white"/>
        </w:rPr>
        <w:t>引入双层分解、参数寻优和残差校正策略</w:t>
      </w:r>
      <w:r>
        <w:rPr>
          <w:highlight w:val="white"/>
        </w:rPr>
        <w:t>的模型</w:t>
      </w:r>
      <w:r>
        <w:rPr>
          <w:rFonts w:hint="eastAsia"/>
          <w:highlight w:val="white"/>
        </w:rPr>
        <w:t>预报效果均</w:t>
      </w:r>
      <w:r>
        <w:rPr>
          <w:highlight w:val="white"/>
        </w:rPr>
        <w:t>优于未</w:t>
      </w:r>
      <w:r>
        <w:rPr>
          <w:rFonts w:hint="eastAsia"/>
          <w:highlight w:val="white"/>
        </w:rPr>
        <w:t>引入</w:t>
      </w:r>
      <w:r>
        <w:rPr>
          <w:highlight w:val="white"/>
        </w:rPr>
        <w:t>相应策略</w:t>
      </w:r>
      <w:r>
        <w:rPr>
          <w:rFonts w:hint="eastAsia"/>
          <w:highlight w:val="white"/>
        </w:rPr>
        <w:t>的对比</w:t>
      </w:r>
      <w:r>
        <w:rPr>
          <w:highlight w:val="white"/>
        </w:rPr>
        <w:t>模型。其中，ESMD</w:t>
      </w:r>
      <w:r>
        <w:rPr>
          <w:rFonts w:hint="eastAsia"/>
          <w:highlight w:val="white"/>
        </w:rPr>
        <w:t>-</w:t>
      </w:r>
      <w:r>
        <w:rPr>
          <w:highlight w:val="white"/>
        </w:rPr>
        <w:t>VMD</w:t>
      </w:r>
      <w:r>
        <w:rPr>
          <w:rFonts w:hint="eastAsia"/>
          <w:highlight w:val="white"/>
        </w:rPr>
        <w:t>-</w:t>
      </w:r>
      <w:r>
        <w:rPr>
          <w:highlight w:val="white"/>
        </w:rPr>
        <w:t>GA</w:t>
      </w:r>
      <w:r>
        <w:rPr>
          <w:rFonts w:hint="eastAsia"/>
          <w:highlight w:val="white"/>
        </w:rPr>
        <w:t>-</w:t>
      </w:r>
      <w:r>
        <w:rPr>
          <w:highlight w:val="white"/>
        </w:rPr>
        <w:t>ESN</w:t>
      </w:r>
      <w:r>
        <w:rPr>
          <w:rFonts w:hint="eastAsia"/>
          <w:highlight w:val="white"/>
        </w:rPr>
        <w:t>-</w:t>
      </w:r>
      <w:r>
        <w:rPr>
          <w:highlight w:val="white"/>
        </w:rPr>
        <w:t>AR 组合模型综合表现最佳</w:t>
      </w:r>
      <w:r>
        <w:rPr>
          <w:rFonts w:hint="eastAsia"/>
          <w:highlight w:val="white"/>
        </w:rPr>
        <w:t>，与其他模型相比，其</w:t>
      </w:r>
      <w:r>
        <w:rPr>
          <w:highlight w:val="white"/>
        </w:rPr>
        <w:t>年、月径流预报</w:t>
      </w:r>
      <w:r>
        <w:rPr>
          <w:rFonts w:hint="eastAsia"/>
          <w:highlight w:val="white"/>
        </w:rPr>
        <w:t>结果的</w:t>
      </w:r>
      <w:r>
        <w:rPr>
          <w:i/>
          <w:iCs/>
          <w:highlight w:val="white"/>
        </w:rPr>
        <w:t>NSE</w:t>
      </w:r>
      <w:r>
        <w:rPr>
          <w:rFonts w:hint="eastAsia"/>
          <w:highlight w:val="white"/>
        </w:rPr>
        <w:t>和</w:t>
      </w:r>
      <w:r>
        <w:rPr>
          <w:i/>
          <w:iCs/>
          <w:highlight w:val="white"/>
        </w:rPr>
        <w:t>QR</w:t>
      </w:r>
      <w:r>
        <w:rPr>
          <w:rFonts w:hint="eastAsia"/>
          <w:highlight w:val="white"/>
        </w:rPr>
        <w:t>最高，同时显著降低了</w:t>
      </w:r>
      <w:r>
        <w:rPr>
          <w:i/>
          <w:iCs/>
          <w:highlight w:val="white"/>
        </w:rPr>
        <w:t>RMSE</w:t>
      </w:r>
      <w:r>
        <w:rPr>
          <w:highlight w:val="white"/>
        </w:rPr>
        <w:t>、</w:t>
      </w:r>
      <w:r>
        <w:rPr>
          <w:i/>
          <w:iCs/>
          <w:highlight w:val="white"/>
        </w:rPr>
        <w:t>MAE</w:t>
      </w:r>
      <w:r>
        <w:rPr>
          <w:rFonts w:hint="eastAsia"/>
          <w:highlight w:val="white"/>
        </w:rPr>
        <w:t>和</w:t>
      </w:r>
      <w:r>
        <w:rPr>
          <w:i/>
          <w:iCs/>
          <w:highlight w:val="white"/>
        </w:rPr>
        <w:t>MAPE</w:t>
      </w:r>
      <w:r>
        <w:rPr>
          <w:rFonts w:hint="eastAsia"/>
          <w:highlight w:val="white"/>
        </w:rPr>
        <w:t>。</w:t>
      </w:r>
      <w:bookmarkEnd w:id="285"/>
    </w:p>
    <w:p w14:paraId="0568CD8B">
      <w:pPr>
        <w:ind w:firstLine="420"/>
      </w:pPr>
      <w:bookmarkStart w:id="286" w:name="正文段落_110"/>
      <w:r>
        <w:rPr>
          <w:rFonts w:hint="eastAsia"/>
          <w:highlight w:val="white"/>
        </w:rPr>
        <w:t>（3）</w:t>
      </w:r>
      <w:r>
        <w:rPr>
          <w:highlight w:val="white"/>
        </w:rPr>
        <w:t>ESMD-VMD-GA-ESN-AR组合预报模型在不同时间尺度和不同站点上的预报</w:t>
      </w:r>
      <w:r>
        <w:rPr>
          <w:rFonts w:hint="eastAsia"/>
          <w:highlight w:val="white"/>
        </w:rPr>
        <w:t>结果</w:t>
      </w:r>
      <w:r>
        <w:rPr>
          <w:highlight w:val="white"/>
        </w:rPr>
        <w:t>存在一定</w:t>
      </w:r>
      <w:r>
        <w:rPr>
          <w:rFonts w:hint="eastAsia"/>
          <w:highlight w:val="white"/>
        </w:rPr>
        <w:t>差异：</w:t>
      </w:r>
      <w:r>
        <w:rPr>
          <w:highlight w:val="white"/>
        </w:rPr>
        <w:t>年</w:t>
      </w:r>
      <w:r>
        <w:rPr>
          <w:rFonts w:hint="eastAsia"/>
          <w:highlight w:val="white"/>
        </w:rPr>
        <w:t>径流的</w:t>
      </w:r>
      <w:r>
        <w:rPr>
          <w:highlight w:val="white"/>
        </w:rPr>
        <w:t>预报误差更小</w:t>
      </w:r>
      <w:r>
        <w:rPr>
          <w:rFonts w:hint="eastAsia"/>
          <w:highlight w:val="white"/>
        </w:rPr>
        <w:t>，</w:t>
      </w:r>
      <w:r>
        <w:rPr>
          <w:highlight w:val="white"/>
        </w:rPr>
        <w:t>月</w:t>
      </w:r>
      <w:r>
        <w:rPr>
          <w:rFonts w:hint="eastAsia"/>
          <w:highlight w:val="white"/>
        </w:rPr>
        <w:t>径流的波动过程拟合效果更好</w:t>
      </w:r>
      <w:r>
        <w:rPr>
          <w:highlight w:val="white"/>
        </w:rPr>
        <w:t>；兰州站</w:t>
      </w:r>
      <w:r>
        <w:rPr>
          <w:rFonts w:hint="eastAsia"/>
          <w:highlight w:val="white"/>
        </w:rPr>
        <w:t>综合</w:t>
      </w:r>
      <w:r>
        <w:rPr>
          <w:highlight w:val="white"/>
        </w:rPr>
        <w:t>预报效果弱于其余</w:t>
      </w:r>
      <w:r>
        <w:rPr>
          <w:rFonts w:hint="eastAsia"/>
          <w:highlight w:val="white"/>
        </w:rPr>
        <w:t>三</w:t>
      </w:r>
      <w:r>
        <w:rPr>
          <w:highlight w:val="white"/>
        </w:rPr>
        <w:t>站</w:t>
      </w:r>
      <w:r>
        <w:rPr>
          <w:rFonts w:hint="eastAsia"/>
          <w:highlight w:val="white"/>
        </w:rPr>
        <w:t>。</w:t>
      </w:r>
      <w:r>
        <w:rPr>
          <w:highlight w:val="white"/>
        </w:rPr>
        <w:t>不同时间尺度和站点条件下，径流序列的波动过程存在差异，从而导致模型预报效果不同。</w:t>
      </w:r>
      <w:bookmarkEnd w:id="286"/>
    </w:p>
    <w:p w14:paraId="20A1FDD4">
      <w:pPr>
        <w:widowControl/>
        <w:ind w:firstLine="0" w:firstLineChars="0"/>
      </w:pPr>
    </w:p>
    <w:p w14:paraId="01936791">
      <w:pPr>
        <w:widowControl/>
        <w:ind w:firstLine="0" w:firstLineChars="0"/>
      </w:pPr>
    </w:p>
    <w:p w14:paraId="0EF8C5F9">
      <w:pPr>
        <w:widowControl/>
        <w:ind w:firstLine="0" w:firstLineChars="0"/>
      </w:pPr>
    </w:p>
    <w:p w14:paraId="78CF9FF2">
      <w:pPr>
        <w:widowControl/>
        <w:ind w:firstLine="0" w:firstLineChars="0"/>
      </w:pPr>
    </w:p>
    <w:p w14:paraId="5037FEFC">
      <w:pPr>
        <w:widowControl/>
        <w:ind w:firstLine="0" w:firstLineChars="0"/>
      </w:pPr>
    </w:p>
    <w:p w14:paraId="0F3DF9B8">
      <w:pPr>
        <w:widowControl/>
        <w:ind w:firstLine="0" w:firstLineChars="0"/>
        <w:rPr>
          <w:rFonts w:hint="eastAsia" w:ascii="黑体" w:hAnsi="黑体" w:eastAsia="黑体"/>
          <w:sz w:val="28"/>
          <w:szCs w:val="28"/>
        </w:rPr>
      </w:pPr>
      <w:bookmarkStart w:id="287" w:name="参考文献_2"/>
      <w:r>
        <w:rPr>
          <w:rFonts w:hint="eastAsia" w:ascii="黑体" w:hAnsi="黑体" w:eastAsia="黑体"/>
          <w:sz w:val="28"/>
          <w:szCs w:val="28"/>
          <w:highlight w:val="white"/>
        </w:rPr>
        <w:t>参考文献：</w:t>
      </w:r>
      <w:bookmarkEnd w:id="287"/>
    </w:p>
    <w:p w14:paraId="57A1B819">
      <w:pPr>
        <w:pStyle w:val="41"/>
        <w:ind w:left="442" w:hanging="442" w:firstLineChars="0"/>
        <w:contextualSpacing w:val="0"/>
        <w:rPr>
          <w:sz w:val="15"/>
          <w:szCs w:val="18"/>
        </w:rPr>
      </w:pPr>
      <w:bookmarkStart w:id="288" w:name="参考文献内容_2"/>
      <w:r>
        <w:rPr>
          <w:rFonts w:hint="eastAsia"/>
          <w:sz w:val="15"/>
          <w:szCs w:val="18"/>
          <w:highlight w:val="white"/>
        </w:rPr>
        <w:t>[1] 徐文馨, 陈杰, 刘建华, 等. 基于深度置信网络模型框架的长期径流预报[J]. 应用基础与工程科学学报, 2023, 31(4): 795-810.</w:t>
      </w:r>
      <w:r>
        <w:rPr>
          <w:rFonts w:hint="eastAsia"/>
          <w:sz w:val="15"/>
          <w:szCs w:val="18"/>
          <w:highlight w:val="white"/>
        </w:rPr>
        <w:br w:type="textWrapping"/>
      </w:r>
      <w:r>
        <w:rPr>
          <w:rFonts w:hint="eastAsia"/>
          <w:sz w:val="15"/>
          <w:szCs w:val="18"/>
          <w:highlight w:val="white"/>
        </w:rPr>
        <w:t xml:space="preserve">XU W X, CHEN J, LIU J H, et al. A hybrid DBN </w:t>
      </w:r>
      <w:r>
        <w:rPr>
          <w:sz w:val="15"/>
          <w:szCs w:val="18"/>
        </w:rPr>
        <w:t>mod</w:t>
      </w:r>
      <w:r>
        <w:rPr>
          <w:rFonts w:hint="eastAsia"/>
          <w:sz w:val="15"/>
          <w:szCs w:val="18"/>
          <w:highlight w:val="white"/>
        </w:rPr>
        <w:t xml:space="preserve">el framework for long-term streamflow forecasts[J]. Journal of Basic Science and Engineering, 2023, 31(4): 795-810. </w:t>
      </w:r>
      <w:bookmarkEnd w:id="288"/>
    </w:p>
    <w:p w14:paraId="72207005">
      <w:pPr>
        <w:pStyle w:val="41"/>
        <w:ind w:left="442" w:hanging="442" w:firstLineChars="0"/>
        <w:contextualSpacing w:val="0"/>
        <w:rPr>
          <w:sz w:val="15"/>
          <w:szCs w:val="18"/>
        </w:rPr>
      </w:pPr>
      <w:bookmarkStart w:id="289" w:name="参考文献内容_4"/>
      <w:r>
        <w:rPr>
          <w:rFonts w:hint="eastAsia"/>
          <w:sz w:val="15"/>
          <w:szCs w:val="18"/>
          <w:highlight w:val="white"/>
        </w:rPr>
        <w:t>[2] 李继清, 谢宇韬, 徐学军, 等. 基于RF-Informer模型的月径流遥相关预报[J]. 水资源保护, 2025, 41(3): 39-45.</w:t>
      </w:r>
      <w:r>
        <w:rPr>
          <w:rFonts w:hint="eastAsia"/>
          <w:sz w:val="15"/>
          <w:szCs w:val="18"/>
          <w:highlight w:val="white"/>
        </w:rPr>
        <w:br w:type="textWrapping"/>
      </w:r>
      <w:r>
        <w:rPr>
          <w:rFonts w:hint="eastAsia"/>
          <w:sz w:val="15"/>
          <w:szCs w:val="18"/>
          <w:highlight w:val="white"/>
        </w:rPr>
        <w:t xml:space="preserve">LI J Q, XIE Y T, XU X J, et al. Monthly runoff teleconnection forecasting based on RF-Informer </w:t>
      </w:r>
      <w:r>
        <w:rPr>
          <w:sz w:val="15"/>
          <w:szCs w:val="18"/>
        </w:rPr>
        <w:t>mod</w:t>
      </w:r>
      <w:r>
        <w:rPr>
          <w:rFonts w:hint="eastAsia"/>
          <w:sz w:val="15"/>
          <w:szCs w:val="18"/>
          <w:highlight w:val="white"/>
        </w:rPr>
        <w:t xml:space="preserve">el[J]. Water Resources Protection, 2025, 41(3): 39-45. </w:t>
      </w:r>
      <w:bookmarkEnd w:id="289"/>
    </w:p>
    <w:p w14:paraId="617660F5">
      <w:pPr>
        <w:pStyle w:val="41"/>
        <w:ind w:left="442" w:hanging="442" w:firstLineChars="0"/>
        <w:contextualSpacing w:val="0"/>
        <w:rPr>
          <w:sz w:val="15"/>
          <w:szCs w:val="18"/>
        </w:rPr>
      </w:pPr>
      <w:bookmarkStart w:id="290" w:name="参考文献内容_6"/>
      <w:r>
        <w:rPr>
          <w:rFonts w:hint="eastAsia"/>
          <w:sz w:val="15"/>
          <w:szCs w:val="18"/>
          <w:highlight w:val="white"/>
        </w:rPr>
        <w:t xml:space="preserve">[3] ZUO H, YAN G W, LU R C, et al. A multi-task learning based runoff forecasting </w:t>
      </w:r>
      <w:r>
        <w:rPr>
          <w:sz w:val="15"/>
          <w:szCs w:val="18"/>
        </w:rPr>
        <w:t>mod</w:t>
      </w:r>
      <w:r>
        <w:rPr>
          <w:rFonts w:hint="eastAsia"/>
          <w:sz w:val="15"/>
          <w:szCs w:val="18"/>
          <w:highlight w:val="white"/>
        </w:rPr>
        <w:t xml:space="preserve">el for multi-scale chaotic hydrological time series[J]. Water Resources Management, 2024, 38(2): 481-503. </w:t>
      </w:r>
      <w:bookmarkEnd w:id="290"/>
    </w:p>
    <w:p w14:paraId="15727BA3">
      <w:pPr>
        <w:pStyle w:val="41"/>
        <w:ind w:left="442" w:hanging="442" w:firstLineChars="0"/>
        <w:contextualSpacing w:val="0"/>
        <w:rPr>
          <w:sz w:val="15"/>
          <w:szCs w:val="18"/>
        </w:rPr>
      </w:pPr>
      <w:bookmarkStart w:id="291" w:name="参考文献内容_8"/>
      <w:r>
        <w:rPr>
          <w:rFonts w:hint="eastAsia"/>
          <w:sz w:val="15"/>
          <w:szCs w:val="18"/>
          <w:highlight w:val="white"/>
        </w:rPr>
        <w:t xml:space="preserve">[4] LIU J D, XU T, LU C H. VMDI-LSTM-ED: A novel enhanced decomposition ensemble </w:t>
      </w:r>
      <w:r>
        <w:rPr>
          <w:sz w:val="15"/>
          <w:szCs w:val="18"/>
        </w:rPr>
        <w:t>mod</w:t>
      </w:r>
      <w:r>
        <w:rPr>
          <w:rFonts w:hint="eastAsia"/>
          <w:sz w:val="15"/>
          <w:szCs w:val="18"/>
          <w:highlight w:val="white"/>
        </w:rPr>
        <w:t xml:space="preserve">el incorporating data integration for accurate non-stationary daily streamflow forecasting[J]. Journal of Hydrology, 2025, 653: 132769. </w:t>
      </w:r>
      <w:bookmarkEnd w:id="291"/>
    </w:p>
    <w:p w14:paraId="63FDCD84">
      <w:pPr>
        <w:pStyle w:val="41"/>
        <w:ind w:left="442" w:hanging="442" w:firstLineChars="0"/>
        <w:contextualSpacing w:val="0"/>
        <w:rPr>
          <w:sz w:val="15"/>
          <w:szCs w:val="18"/>
        </w:rPr>
      </w:pPr>
      <w:bookmarkStart w:id="292" w:name="参考文献内容_10"/>
      <w:r>
        <w:rPr>
          <w:rFonts w:hint="eastAsia"/>
          <w:sz w:val="15"/>
          <w:szCs w:val="18"/>
          <w:highlight w:val="white"/>
        </w:rPr>
        <w:t>[5] 丁诚, 王兆才, 丁伟杰, 等. 基于可解释多源数据特征融合的深度学习集合径流预测[J]. 水科学进展, 2025, 36(4): 581-595.</w:t>
      </w:r>
      <w:r>
        <w:rPr>
          <w:rFonts w:hint="eastAsia"/>
          <w:sz w:val="15"/>
          <w:szCs w:val="18"/>
          <w:highlight w:val="white"/>
        </w:rPr>
        <w:br w:type="textWrapping"/>
      </w:r>
      <w:r>
        <w:rPr>
          <w:rFonts w:hint="eastAsia"/>
          <w:sz w:val="15"/>
          <w:szCs w:val="18"/>
          <w:highlight w:val="white"/>
        </w:rPr>
        <w:t xml:space="preserve">DING C, WANG Z C, DING W J, et al. Deep learning ensemble streamflow prediction based on explainable multi-source data feature fusion[J]. Advances in Water Science, 2025, 36(4): 581-595. </w:t>
      </w:r>
      <w:bookmarkEnd w:id="292"/>
    </w:p>
    <w:p w14:paraId="1AC22EBA">
      <w:pPr>
        <w:pStyle w:val="41"/>
        <w:ind w:left="442" w:hanging="442" w:firstLineChars="0"/>
        <w:contextualSpacing w:val="0"/>
        <w:rPr>
          <w:sz w:val="15"/>
          <w:szCs w:val="18"/>
        </w:rPr>
      </w:pPr>
      <w:bookmarkStart w:id="293" w:name="参考文献内容_12"/>
      <w:r>
        <w:rPr>
          <w:rFonts w:hint="eastAsia"/>
          <w:sz w:val="15"/>
          <w:szCs w:val="18"/>
          <w:highlight w:val="white"/>
        </w:rPr>
        <w:t xml:space="preserve">[6] HE M, JIANG S H, REN L L, et al. Exploring the performance and interpretability of hybrid hydrologic </w:t>
      </w:r>
      <w:r>
        <w:rPr>
          <w:sz w:val="15"/>
          <w:szCs w:val="18"/>
        </w:rPr>
        <w:t>mod</w:t>
      </w:r>
      <w:r>
        <w:rPr>
          <w:rFonts w:hint="eastAsia"/>
          <w:sz w:val="15"/>
          <w:szCs w:val="18"/>
          <w:highlight w:val="white"/>
        </w:rPr>
        <w:t xml:space="preserve">el coupling physical mechanisms and deep learning[J]. Journal of Hydrology, 2025, 649: 132440. </w:t>
      </w:r>
      <w:bookmarkEnd w:id="293"/>
    </w:p>
    <w:p w14:paraId="26874D05">
      <w:pPr>
        <w:pStyle w:val="41"/>
        <w:ind w:left="442" w:hanging="442" w:firstLineChars="0"/>
        <w:contextualSpacing w:val="0"/>
        <w:rPr>
          <w:sz w:val="15"/>
          <w:szCs w:val="18"/>
        </w:rPr>
      </w:pPr>
      <w:bookmarkStart w:id="294" w:name="参考文献内容_14"/>
      <w:r>
        <w:rPr>
          <w:rFonts w:hint="eastAsia"/>
          <w:sz w:val="15"/>
          <w:szCs w:val="18"/>
          <w:highlight w:val="white"/>
        </w:rPr>
        <w:t>[7] 王秀杰, 张帅, 田福昌, 等. 基于TVF-EMD-PSO-GRU的月径流模型与应用研究[J]. 天津大学学报(自然科学与工程技术版), 2022, 55(8): 802-810.</w:t>
      </w:r>
      <w:r>
        <w:rPr>
          <w:rFonts w:hint="eastAsia"/>
          <w:sz w:val="15"/>
          <w:szCs w:val="18"/>
          <w:highlight w:val="white"/>
        </w:rPr>
        <w:br w:type="textWrapping"/>
      </w:r>
      <w:r>
        <w:rPr>
          <w:rFonts w:hint="eastAsia"/>
          <w:sz w:val="15"/>
          <w:szCs w:val="18"/>
          <w:highlight w:val="white"/>
        </w:rPr>
        <w:t xml:space="preserve">WANG X J, ZHANG S, TIAN F C, et al. Monthly runoff </w:t>
      </w:r>
      <w:r>
        <w:rPr>
          <w:sz w:val="15"/>
          <w:szCs w:val="18"/>
        </w:rPr>
        <w:t>mod</w:t>
      </w:r>
      <w:r>
        <w:rPr>
          <w:rFonts w:hint="eastAsia"/>
          <w:sz w:val="15"/>
          <w:szCs w:val="18"/>
          <w:highlight w:val="white"/>
        </w:rPr>
        <w:t xml:space="preserve">el and application based on TVF-EMD-PSO-GRU[J]. Journal of Tianjin University (Science and Technology), 2022, 55(8): 802-810. </w:t>
      </w:r>
      <w:bookmarkEnd w:id="294"/>
    </w:p>
    <w:p w14:paraId="2FA27C2E">
      <w:pPr>
        <w:pStyle w:val="41"/>
        <w:ind w:left="442" w:hanging="442" w:firstLineChars="0"/>
        <w:contextualSpacing w:val="0"/>
        <w:rPr>
          <w:sz w:val="15"/>
          <w:szCs w:val="18"/>
        </w:rPr>
      </w:pPr>
      <w:bookmarkStart w:id="295" w:name="参考文献内容_16"/>
      <w:r>
        <w:rPr>
          <w:rFonts w:hint="eastAsia"/>
          <w:sz w:val="15"/>
          <w:szCs w:val="18"/>
          <w:highlight w:val="white"/>
        </w:rPr>
        <w:t xml:space="preserve">[8] YAO Z Y, WANG Z C, WANG D W, et al. An ensemble CNN-LSTM and GRU adaptive weighting </w:t>
      </w:r>
      <w:r>
        <w:rPr>
          <w:sz w:val="15"/>
          <w:szCs w:val="18"/>
        </w:rPr>
        <w:t>mod</w:t>
      </w:r>
      <w:r>
        <w:rPr>
          <w:rFonts w:hint="eastAsia"/>
          <w:sz w:val="15"/>
          <w:szCs w:val="18"/>
          <w:highlight w:val="white"/>
        </w:rPr>
        <w:t xml:space="preserve">el based improved sparrow search algorithm for predicting runoff using historical meteorological and runoff data as input[J]. Journal of Hydrology, 2023, 625: 129977. </w:t>
      </w:r>
      <w:bookmarkEnd w:id="295"/>
    </w:p>
    <w:p w14:paraId="0782AF81">
      <w:pPr>
        <w:pStyle w:val="41"/>
        <w:ind w:left="442" w:hanging="442" w:firstLineChars="0"/>
        <w:contextualSpacing w:val="0"/>
        <w:rPr>
          <w:sz w:val="15"/>
          <w:szCs w:val="18"/>
        </w:rPr>
      </w:pPr>
      <w:bookmarkStart w:id="296" w:name="参考文献内容_18"/>
      <w:r>
        <w:rPr>
          <w:rFonts w:hint="eastAsia"/>
          <w:sz w:val="15"/>
          <w:szCs w:val="18"/>
          <w:highlight w:val="white"/>
        </w:rPr>
        <w:t xml:space="preserve">[9] XUE H Z, WU H, DONG G T, et al. A hybrid forecasting </w:t>
      </w:r>
      <w:r>
        <w:rPr>
          <w:sz w:val="15"/>
          <w:szCs w:val="18"/>
        </w:rPr>
        <w:t>mod</w:t>
      </w:r>
      <w:r>
        <w:rPr>
          <w:rFonts w:hint="eastAsia"/>
          <w:sz w:val="15"/>
          <w:szCs w:val="18"/>
          <w:highlight w:val="white"/>
        </w:rPr>
        <w:t xml:space="preserve">el to simulate the runoff of the upper Heihe River[J]. Sustainability, 2023, 15(10): 7819. </w:t>
      </w:r>
      <w:bookmarkEnd w:id="296"/>
    </w:p>
    <w:p w14:paraId="3B93A395">
      <w:pPr>
        <w:pStyle w:val="41"/>
        <w:ind w:left="442" w:hanging="442" w:firstLineChars="0"/>
        <w:contextualSpacing w:val="0"/>
        <w:rPr>
          <w:sz w:val="15"/>
          <w:szCs w:val="18"/>
        </w:rPr>
      </w:pPr>
      <w:bookmarkStart w:id="297" w:name="参考文献内容_20"/>
      <w:r>
        <w:rPr>
          <w:rFonts w:hint="eastAsia"/>
          <w:sz w:val="15"/>
          <w:szCs w:val="18"/>
          <w:highlight w:val="white"/>
        </w:rPr>
        <w:t>[10] 康艳, 程潇, 陈沛如, 等. 基于集成学习模型的非平稳月径流预报[J]. 水资源保护, 2023, 39(2): 125-135+179.</w:t>
      </w:r>
      <w:r>
        <w:rPr>
          <w:rFonts w:hint="eastAsia"/>
          <w:sz w:val="15"/>
          <w:szCs w:val="18"/>
          <w:highlight w:val="white"/>
        </w:rPr>
        <w:br w:type="textWrapping"/>
      </w:r>
      <w:r>
        <w:rPr>
          <w:rFonts w:hint="eastAsia"/>
          <w:sz w:val="15"/>
          <w:szCs w:val="18"/>
          <w:highlight w:val="white"/>
        </w:rPr>
        <w:t xml:space="preserve">KANG Y, CHENG X, CHEN P R, et al. Non-stationary monthly runoff forecast based on ensemble learning </w:t>
      </w:r>
      <w:r>
        <w:rPr>
          <w:sz w:val="15"/>
          <w:szCs w:val="18"/>
        </w:rPr>
        <w:t>mod</w:t>
      </w:r>
      <w:r>
        <w:rPr>
          <w:rFonts w:hint="eastAsia"/>
          <w:sz w:val="15"/>
          <w:szCs w:val="18"/>
          <w:highlight w:val="white"/>
        </w:rPr>
        <w:t xml:space="preserve">el[J]. Water Resources Protection, 2023, 39(2): 125-135+179. </w:t>
      </w:r>
      <w:bookmarkEnd w:id="297"/>
    </w:p>
    <w:p w14:paraId="29F75C0E">
      <w:pPr>
        <w:pStyle w:val="41"/>
        <w:ind w:left="442" w:hanging="442" w:firstLineChars="0"/>
        <w:contextualSpacing w:val="0"/>
        <w:rPr>
          <w:sz w:val="15"/>
          <w:szCs w:val="18"/>
        </w:rPr>
      </w:pPr>
      <w:bookmarkStart w:id="298" w:name="参考文献内容_22"/>
      <w:r>
        <w:rPr>
          <w:rFonts w:hint="eastAsia"/>
          <w:sz w:val="15"/>
          <w:szCs w:val="18"/>
          <w:highlight w:val="white"/>
        </w:rPr>
        <w:t xml:space="preserve">[11] WU J H, WANG Z C, HU Y, et al. Runoff forecasting using convolutional neural networks and optimized bi-directional long short-term memory[J]. Water Resources Management, 2023, 37(2): 937-953. </w:t>
      </w:r>
      <w:bookmarkEnd w:id="298"/>
    </w:p>
    <w:p w14:paraId="11933F29">
      <w:pPr>
        <w:pStyle w:val="41"/>
        <w:ind w:left="442" w:hanging="442" w:firstLineChars="0"/>
        <w:contextualSpacing w:val="0"/>
        <w:rPr>
          <w:sz w:val="15"/>
          <w:szCs w:val="18"/>
        </w:rPr>
      </w:pPr>
      <w:bookmarkStart w:id="299" w:name="参考文献内容_24"/>
      <w:r>
        <w:rPr>
          <w:rFonts w:hint="eastAsia"/>
          <w:sz w:val="15"/>
          <w:szCs w:val="18"/>
          <w:highlight w:val="white"/>
        </w:rPr>
        <w:t xml:space="preserve">[12] XU D M, HU X X, WANG W C, et al. A new hybrid </w:t>
      </w:r>
      <w:r>
        <w:rPr>
          <w:sz w:val="15"/>
          <w:szCs w:val="18"/>
        </w:rPr>
        <w:t>mod</w:t>
      </w:r>
      <w:r>
        <w:rPr>
          <w:rFonts w:hint="eastAsia"/>
          <w:sz w:val="15"/>
          <w:szCs w:val="18"/>
          <w:highlight w:val="white"/>
        </w:rPr>
        <w:t xml:space="preserve">el for monthly runoff prediction using ELMAN neural network based on decomposition-integration structure with local error correction method[J]. Expert Systems with Applications, 2024, 238: 121719. </w:t>
      </w:r>
      <w:bookmarkEnd w:id="299"/>
    </w:p>
    <w:p w14:paraId="58EAB29A">
      <w:pPr>
        <w:pStyle w:val="41"/>
        <w:ind w:left="442" w:hanging="442" w:firstLineChars="0"/>
        <w:contextualSpacing w:val="0"/>
        <w:rPr>
          <w:sz w:val="15"/>
          <w:szCs w:val="18"/>
        </w:rPr>
      </w:pPr>
      <w:bookmarkStart w:id="300" w:name="参考文献内容_26"/>
      <w:r>
        <w:rPr>
          <w:rFonts w:hint="eastAsia"/>
          <w:sz w:val="15"/>
          <w:szCs w:val="18"/>
          <w:highlight w:val="white"/>
        </w:rPr>
        <w:t xml:space="preserve">[13] WU S J, DONG Z C, GUZMÁN S M, et al. Two-step hybrid </w:t>
      </w:r>
      <w:r>
        <w:rPr>
          <w:sz w:val="15"/>
          <w:szCs w:val="18"/>
        </w:rPr>
        <w:t>mod</w:t>
      </w:r>
      <w:r>
        <w:rPr>
          <w:rFonts w:hint="eastAsia"/>
          <w:sz w:val="15"/>
          <w:szCs w:val="18"/>
          <w:highlight w:val="white"/>
        </w:rPr>
        <w:t xml:space="preserve">el for monthly runoff prediction utilizing integrated machine learning algorithms and dual signal decompositions[J]. Ecological Informatics, 2024, 84: 102914. </w:t>
      </w:r>
      <w:bookmarkEnd w:id="300"/>
    </w:p>
    <w:p w14:paraId="3ED2AC51">
      <w:pPr>
        <w:pStyle w:val="41"/>
        <w:ind w:left="442" w:hanging="442" w:firstLineChars="0"/>
        <w:contextualSpacing w:val="0"/>
        <w:rPr>
          <w:sz w:val="15"/>
          <w:szCs w:val="18"/>
        </w:rPr>
      </w:pPr>
      <w:bookmarkStart w:id="301" w:name="参考文献内容_28"/>
      <w:r>
        <w:rPr>
          <w:rFonts w:hint="eastAsia"/>
          <w:sz w:val="15"/>
          <w:szCs w:val="18"/>
          <w:highlight w:val="white"/>
        </w:rPr>
        <w:t>[14] 徐军杨, 罗远林, 刘月馨, 等. 基于CEEMDAN-IASO-TCN组合模型的中长期径流预报[J]. 人民长江, 2025, 56(4): 128-135.</w:t>
      </w:r>
      <w:r>
        <w:rPr>
          <w:rFonts w:hint="eastAsia"/>
          <w:sz w:val="15"/>
          <w:szCs w:val="18"/>
          <w:highlight w:val="white"/>
        </w:rPr>
        <w:br w:type="textWrapping"/>
      </w:r>
      <w:r>
        <w:rPr>
          <w:rFonts w:hint="eastAsia"/>
          <w:sz w:val="15"/>
          <w:szCs w:val="18"/>
          <w:highlight w:val="white"/>
        </w:rPr>
        <w:t xml:space="preserve">XU J Y, LUO Y L, LIU Y X, et al. Medium and long-term runoff forecasting based on CEEMDAN-IASO-TCN combined </w:t>
      </w:r>
      <w:r>
        <w:rPr>
          <w:sz w:val="15"/>
          <w:szCs w:val="18"/>
        </w:rPr>
        <w:t>mod</w:t>
      </w:r>
      <w:r>
        <w:rPr>
          <w:rFonts w:hint="eastAsia"/>
          <w:sz w:val="15"/>
          <w:szCs w:val="18"/>
          <w:highlight w:val="white"/>
        </w:rPr>
        <w:t xml:space="preserve">el[J]. Yangtze River, 2025, 56(4): 128-135. </w:t>
      </w:r>
      <w:bookmarkEnd w:id="301"/>
    </w:p>
    <w:p w14:paraId="33296842">
      <w:pPr>
        <w:pStyle w:val="41"/>
        <w:ind w:left="442" w:hanging="442" w:firstLineChars="0"/>
        <w:contextualSpacing w:val="0"/>
        <w:rPr>
          <w:sz w:val="15"/>
          <w:szCs w:val="18"/>
        </w:rPr>
      </w:pPr>
      <w:bookmarkStart w:id="302" w:name="参考文献内容_30"/>
      <w:r>
        <w:rPr>
          <w:rFonts w:hint="eastAsia"/>
          <w:sz w:val="15"/>
          <w:szCs w:val="18"/>
          <w:highlight w:val="white"/>
        </w:rPr>
        <w:t>[15] 郑鑫, 陈俊旭, 胡智文, 等. 基于EEMD-PSO-GRNN模型的元江中上游径流预测[J]. 水文, 2023, 43(4): 96-103.</w:t>
      </w:r>
      <w:r>
        <w:rPr>
          <w:rFonts w:hint="eastAsia"/>
          <w:sz w:val="15"/>
          <w:szCs w:val="18"/>
          <w:highlight w:val="white"/>
        </w:rPr>
        <w:br w:type="textWrapping"/>
      </w:r>
      <w:r>
        <w:rPr>
          <w:rFonts w:hint="eastAsia"/>
          <w:sz w:val="15"/>
          <w:szCs w:val="18"/>
          <w:highlight w:val="white"/>
        </w:rPr>
        <w:t xml:space="preserve">ZHENG X, CHEN J X, HU Z W, et al. Runoff prediction in the middle and upper reaches of Yuanjiang River based on EEMD-PSO-GRNN </w:t>
      </w:r>
      <w:r>
        <w:rPr>
          <w:sz w:val="15"/>
          <w:szCs w:val="18"/>
        </w:rPr>
        <w:t>mod</w:t>
      </w:r>
      <w:r>
        <w:rPr>
          <w:rFonts w:hint="eastAsia"/>
          <w:sz w:val="15"/>
          <w:szCs w:val="18"/>
          <w:highlight w:val="white"/>
        </w:rPr>
        <w:t xml:space="preserve">el[J]. Journal of China Hydrology, 2023, 43(4): 96-103. </w:t>
      </w:r>
      <w:bookmarkEnd w:id="302"/>
    </w:p>
    <w:p w14:paraId="569174BB">
      <w:pPr>
        <w:pStyle w:val="41"/>
        <w:ind w:left="442" w:hanging="442" w:firstLineChars="0"/>
        <w:contextualSpacing w:val="0"/>
        <w:rPr>
          <w:sz w:val="15"/>
          <w:szCs w:val="18"/>
        </w:rPr>
      </w:pPr>
      <w:bookmarkStart w:id="303" w:name="参考文献内容_32"/>
      <w:r>
        <w:rPr>
          <w:rFonts w:hint="eastAsia"/>
          <w:sz w:val="15"/>
          <w:szCs w:val="18"/>
          <w:highlight w:val="white"/>
        </w:rPr>
        <w:t>[16] 赵莹玉, 彭慧春, 李继清. 融合改进灰狼算法的机器学习月径流预测方法[J]. 水力发电学报, 2023, 42(9): 34-45.</w:t>
      </w:r>
      <w:r>
        <w:rPr>
          <w:rFonts w:hint="eastAsia"/>
          <w:sz w:val="15"/>
          <w:szCs w:val="18"/>
          <w:highlight w:val="white"/>
        </w:rPr>
        <w:br w:type="textWrapping"/>
      </w:r>
      <w:r>
        <w:rPr>
          <w:rFonts w:hint="eastAsia"/>
          <w:sz w:val="15"/>
          <w:szCs w:val="18"/>
          <w:highlight w:val="white"/>
        </w:rPr>
        <w:t xml:space="preserve">ZHAO Y Y, PENG H C, LI J Q. Machine learning method for monthly runoff prediction based on improved Grey Wolf algorithm[J]. Journal of Hydroelectric Engineering, 2023, 42(9): 34-45. </w:t>
      </w:r>
      <w:bookmarkEnd w:id="303"/>
    </w:p>
    <w:p w14:paraId="25381216">
      <w:pPr>
        <w:pStyle w:val="41"/>
        <w:ind w:left="442" w:hanging="442" w:firstLineChars="0"/>
        <w:contextualSpacing w:val="0"/>
        <w:rPr>
          <w:sz w:val="15"/>
          <w:szCs w:val="18"/>
        </w:rPr>
      </w:pPr>
      <w:bookmarkStart w:id="304" w:name="参考文献内容_34"/>
      <w:r>
        <w:rPr>
          <w:rFonts w:hint="eastAsia"/>
          <w:sz w:val="15"/>
          <w:szCs w:val="18"/>
          <w:highlight w:val="white"/>
        </w:rPr>
        <w:t xml:space="preserve">[17] XU D M, LI Z, WANG W C. An ensemble </w:t>
      </w:r>
      <w:r>
        <w:rPr>
          <w:sz w:val="15"/>
          <w:szCs w:val="18"/>
        </w:rPr>
        <w:t>mod</w:t>
      </w:r>
      <w:r>
        <w:rPr>
          <w:rFonts w:hint="eastAsia"/>
          <w:sz w:val="15"/>
          <w:szCs w:val="18"/>
          <w:highlight w:val="white"/>
        </w:rPr>
        <w:t xml:space="preserve">el for monthly runoff prediction using least squares support vector machine based on variational </w:t>
      </w:r>
      <w:r>
        <w:rPr>
          <w:sz w:val="15"/>
          <w:szCs w:val="18"/>
        </w:rPr>
        <w:t>mod</w:t>
      </w:r>
      <w:r>
        <w:rPr>
          <w:rFonts w:hint="eastAsia"/>
          <w:sz w:val="15"/>
          <w:szCs w:val="18"/>
          <w:highlight w:val="white"/>
        </w:rPr>
        <w:t xml:space="preserve">al decomposition with dung beetle optimization algorithm and error correction strategy[J]. Journal of Hydrology, 2024, 629: 130558. </w:t>
      </w:r>
      <w:bookmarkEnd w:id="304"/>
    </w:p>
    <w:p w14:paraId="731A9BE6">
      <w:pPr>
        <w:pStyle w:val="41"/>
        <w:ind w:left="442" w:hanging="442" w:firstLineChars="0"/>
        <w:contextualSpacing w:val="0"/>
        <w:rPr>
          <w:sz w:val="15"/>
          <w:szCs w:val="18"/>
        </w:rPr>
      </w:pPr>
      <w:bookmarkStart w:id="305" w:name="参考文献内容_36"/>
      <w:r>
        <w:rPr>
          <w:rFonts w:hint="eastAsia"/>
          <w:sz w:val="15"/>
          <w:szCs w:val="18"/>
          <w:highlight w:val="white"/>
        </w:rPr>
        <w:t xml:space="preserve">[18] HAN H, MORRISON R R. Improved runoff forecasting performance through error predictions using a deep-learning approach[J]. Journal of Hydrology, 2022, 608: 127653. </w:t>
      </w:r>
      <w:bookmarkEnd w:id="305"/>
    </w:p>
    <w:p w14:paraId="5EDBB273">
      <w:pPr>
        <w:pStyle w:val="41"/>
        <w:ind w:left="442" w:hanging="442" w:firstLineChars="0"/>
        <w:contextualSpacing w:val="0"/>
        <w:rPr>
          <w:sz w:val="15"/>
          <w:szCs w:val="18"/>
        </w:rPr>
      </w:pPr>
      <w:bookmarkStart w:id="306" w:name="参考文献内容_38"/>
      <w:r>
        <w:rPr>
          <w:rFonts w:hint="eastAsia"/>
          <w:sz w:val="15"/>
          <w:szCs w:val="18"/>
          <w:highlight w:val="white"/>
        </w:rPr>
        <w:t>[19] 刘昱辰, 刘佳, 刘录三, 等. 基于LSTM实时校正的WRF/WRF-Hydro耦合径流预报[J]. 水利学报, 2023, 54(11): 1334-1346.</w:t>
      </w:r>
      <w:r>
        <w:rPr>
          <w:rFonts w:hint="eastAsia"/>
          <w:sz w:val="15"/>
          <w:szCs w:val="18"/>
          <w:highlight w:val="white"/>
        </w:rPr>
        <w:br w:type="textWrapping"/>
      </w:r>
      <w:r>
        <w:rPr>
          <w:rFonts w:hint="eastAsia"/>
          <w:sz w:val="15"/>
          <w:szCs w:val="18"/>
          <w:highlight w:val="white"/>
        </w:rPr>
        <w:t xml:space="preserve">LIU Y C, LIU J, LIU L S, et al. WRF/WRF-Hydro coupled streamflow forecasting based on real-time updating using LSTM[J]. Journal of Hydraulic Engineering, 2023, 54(11): 1334-1346. </w:t>
      </w:r>
      <w:bookmarkEnd w:id="306"/>
    </w:p>
    <w:p w14:paraId="2D59D532">
      <w:pPr>
        <w:pStyle w:val="41"/>
        <w:ind w:left="442" w:hanging="442" w:firstLineChars="0"/>
        <w:contextualSpacing w:val="0"/>
        <w:rPr>
          <w:sz w:val="15"/>
          <w:szCs w:val="18"/>
        </w:rPr>
      </w:pPr>
      <w:bookmarkStart w:id="307" w:name="参考文献内容_40"/>
      <w:r>
        <w:rPr>
          <w:rFonts w:hint="eastAsia"/>
          <w:sz w:val="15"/>
          <w:szCs w:val="18"/>
          <w:highlight w:val="white"/>
        </w:rPr>
        <w:t>[20] ZHA X N, XIONG L H, GUO S L, et al. AR-GARCH with exogenous variables as a postp</w:t>
      </w:r>
      <w:r>
        <w:rPr>
          <w:sz w:val="15"/>
          <w:szCs w:val="18"/>
        </w:rPr>
        <w:t>roc</w:t>
      </w:r>
      <w:r>
        <w:rPr>
          <w:rFonts w:hint="eastAsia"/>
          <w:sz w:val="15"/>
          <w:szCs w:val="18"/>
          <w:highlight w:val="white"/>
        </w:rPr>
        <w:t xml:space="preserve">essing </w:t>
      </w:r>
      <w:r>
        <w:rPr>
          <w:sz w:val="15"/>
          <w:szCs w:val="18"/>
        </w:rPr>
        <w:t>mod</w:t>
      </w:r>
      <w:r>
        <w:rPr>
          <w:rFonts w:hint="eastAsia"/>
          <w:sz w:val="15"/>
          <w:szCs w:val="18"/>
          <w:highlight w:val="white"/>
        </w:rPr>
        <w:t xml:space="preserve">el for improving streamflow forecasts[J]. Journal of Hydrologic Engineering, 2020, 25(8): 04020036. </w:t>
      </w:r>
      <w:bookmarkEnd w:id="307"/>
    </w:p>
    <w:p w14:paraId="6A54BCD2">
      <w:pPr>
        <w:pStyle w:val="41"/>
        <w:ind w:left="442" w:hanging="442" w:firstLineChars="0"/>
        <w:contextualSpacing w:val="0"/>
        <w:rPr>
          <w:sz w:val="15"/>
          <w:szCs w:val="18"/>
        </w:rPr>
      </w:pPr>
      <w:bookmarkStart w:id="308" w:name="参考文献内容_42"/>
      <w:r>
        <w:rPr>
          <w:rFonts w:hint="eastAsia"/>
          <w:sz w:val="15"/>
          <w:szCs w:val="18"/>
          <w:highlight w:val="white"/>
        </w:rPr>
        <w:t>[21] LIU Z J, GUO S L, ZHANG H G, et al. Comparative study of three updating p</w:t>
      </w:r>
      <w:r>
        <w:rPr>
          <w:sz w:val="15"/>
          <w:szCs w:val="18"/>
        </w:rPr>
        <w:t>roc</w:t>
      </w:r>
      <w:r>
        <w:rPr>
          <w:rFonts w:hint="eastAsia"/>
          <w:sz w:val="15"/>
          <w:szCs w:val="18"/>
          <w:highlight w:val="white"/>
        </w:rPr>
        <w:t xml:space="preserve">edures for real-time flood forecasting[J]. Water Resources Management, 2016, 30(7): 2111-2126. </w:t>
      </w:r>
      <w:bookmarkEnd w:id="308"/>
    </w:p>
    <w:p w14:paraId="4FDCC670">
      <w:pPr>
        <w:pStyle w:val="41"/>
        <w:ind w:left="442" w:hanging="442" w:firstLineChars="0"/>
        <w:contextualSpacing w:val="0"/>
        <w:rPr>
          <w:sz w:val="15"/>
          <w:szCs w:val="18"/>
        </w:rPr>
      </w:pPr>
      <w:bookmarkStart w:id="309" w:name="参考文献内容_44"/>
      <w:r>
        <w:rPr>
          <w:rFonts w:hint="eastAsia"/>
          <w:sz w:val="15"/>
          <w:szCs w:val="18"/>
          <w:highlight w:val="white"/>
        </w:rPr>
        <w:t>[22] 钱玉霞, 陈伏龙, 何朝飞, 等. “分解-校正-集成”模式下基于深度信念网络模型的径流预测[J]. 长江科学院院报, 2024, 41(5): 35-44.</w:t>
      </w:r>
      <w:r>
        <w:rPr>
          <w:rFonts w:hint="eastAsia"/>
          <w:sz w:val="15"/>
          <w:szCs w:val="18"/>
          <w:highlight w:val="white"/>
        </w:rPr>
        <w:br w:type="textWrapping"/>
      </w:r>
      <w:r>
        <w:rPr>
          <w:rFonts w:hint="eastAsia"/>
          <w:sz w:val="15"/>
          <w:szCs w:val="18"/>
          <w:highlight w:val="white"/>
        </w:rPr>
        <w:t xml:space="preserve">QIAN Y X, CHEN F L, HE C F, et al. Runoff prediction based on deep belief network in Decomposition-correction-integration </w:t>
      </w:r>
      <w:r>
        <w:rPr>
          <w:sz w:val="15"/>
          <w:szCs w:val="18"/>
        </w:rPr>
        <w:t>mod</w:t>
      </w:r>
      <w:r>
        <w:rPr>
          <w:rFonts w:hint="eastAsia"/>
          <w:sz w:val="15"/>
          <w:szCs w:val="18"/>
          <w:highlight w:val="white"/>
        </w:rPr>
        <w:t xml:space="preserve">e[J]. Journal of Changjiang River Scientific Research Institute, 2024, 41(5): 35-44. </w:t>
      </w:r>
      <w:bookmarkEnd w:id="309"/>
    </w:p>
    <w:p w14:paraId="63B5A415">
      <w:pPr>
        <w:pStyle w:val="41"/>
        <w:ind w:left="442" w:hanging="442" w:firstLineChars="0"/>
        <w:contextualSpacing w:val="0"/>
        <w:rPr>
          <w:sz w:val="15"/>
          <w:szCs w:val="18"/>
        </w:rPr>
      </w:pPr>
      <w:bookmarkStart w:id="310" w:name="参考文献内容_46"/>
      <w:r>
        <w:rPr>
          <w:rFonts w:hint="eastAsia"/>
          <w:sz w:val="15"/>
          <w:szCs w:val="18"/>
          <w:highlight w:val="white"/>
        </w:rPr>
        <w:t>[23] 何玉芬, 杨汉波, 董宁澎, 等. 分布式水文模型与自回归误差校正相结合的低枯流量预报研究[J]. 水利学报, 2024, 55(12): 1539-1547.</w:t>
      </w:r>
      <w:r>
        <w:rPr>
          <w:rFonts w:hint="eastAsia"/>
          <w:sz w:val="15"/>
          <w:szCs w:val="18"/>
          <w:highlight w:val="white"/>
        </w:rPr>
        <w:br w:type="textWrapping"/>
      </w:r>
      <w:r>
        <w:rPr>
          <w:rFonts w:hint="eastAsia"/>
          <w:sz w:val="15"/>
          <w:szCs w:val="18"/>
          <w:highlight w:val="white"/>
        </w:rPr>
        <w:t xml:space="preserve">HE Y F, YANG H B, DONG N P, et al. Research on low flow forecast based on a distributed hydrological </w:t>
      </w:r>
      <w:r>
        <w:rPr>
          <w:sz w:val="15"/>
          <w:szCs w:val="18"/>
        </w:rPr>
        <w:t>mod</w:t>
      </w:r>
      <w:r>
        <w:rPr>
          <w:rFonts w:hint="eastAsia"/>
          <w:sz w:val="15"/>
          <w:szCs w:val="18"/>
          <w:highlight w:val="white"/>
        </w:rPr>
        <w:t xml:space="preserve">el and autoregressive error correction[J]. Journal of Hydraulic Engineering, 2024, 55(12): 1539-1547. </w:t>
      </w:r>
      <w:bookmarkEnd w:id="310"/>
    </w:p>
    <w:p w14:paraId="4A649AF6">
      <w:pPr>
        <w:pStyle w:val="41"/>
        <w:ind w:left="442" w:hanging="442" w:firstLineChars="0"/>
        <w:contextualSpacing w:val="0"/>
        <w:rPr>
          <w:sz w:val="15"/>
          <w:szCs w:val="18"/>
        </w:rPr>
      </w:pPr>
      <w:bookmarkStart w:id="311" w:name="参考文献内容_48"/>
      <w:r>
        <w:rPr>
          <w:rFonts w:hint="eastAsia"/>
          <w:sz w:val="15"/>
          <w:szCs w:val="18"/>
          <w:highlight w:val="white"/>
        </w:rPr>
        <w:t>[24] 练继建, 孙萧仲, 马超, 等. 基于EEMD-AR模型的丹江口水库年径流随机模拟与预报[J]. 水利水电科技进展, 2017, 37(5): 16-21.</w:t>
      </w:r>
      <w:r>
        <w:rPr>
          <w:rFonts w:hint="eastAsia"/>
          <w:sz w:val="15"/>
          <w:szCs w:val="18"/>
          <w:highlight w:val="white"/>
        </w:rPr>
        <w:br w:type="textWrapping"/>
      </w:r>
      <w:r>
        <w:rPr>
          <w:rFonts w:hint="eastAsia"/>
          <w:sz w:val="15"/>
          <w:szCs w:val="18"/>
          <w:highlight w:val="white"/>
        </w:rPr>
        <w:t xml:space="preserve">LIAN J J, SUN X Z, MA C, et al. Stochastic simulation and prediction of annual runoff in the Danjiangkou Reservoir based on EEMD-AR </w:t>
      </w:r>
      <w:r>
        <w:rPr>
          <w:sz w:val="15"/>
          <w:szCs w:val="18"/>
        </w:rPr>
        <w:t>mod</w:t>
      </w:r>
      <w:r>
        <w:rPr>
          <w:rFonts w:hint="eastAsia"/>
          <w:sz w:val="15"/>
          <w:szCs w:val="18"/>
          <w:highlight w:val="white"/>
        </w:rPr>
        <w:t xml:space="preserve">el[J]. Advances in Science and Technology of Water Resources, 2017, 37(5): 16-21. </w:t>
      </w:r>
      <w:bookmarkEnd w:id="311"/>
    </w:p>
    <w:p w14:paraId="1099A756">
      <w:pPr>
        <w:pStyle w:val="41"/>
        <w:ind w:left="442" w:hanging="442" w:firstLineChars="0"/>
        <w:contextualSpacing w:val="0"/>
        <w:rPr>
          <w:sz w:val="15"/>
          <w:szCs w:val="18"/>
        </w:rPr>
      </w:pPr>
      <w:bookmarkStart w:id="312" w:name="参考文献内容_50"/>
      <w:r>
        <w:rPr>
          <w:rFonts w:hint="eastAsia"/>
          <w:sz w:val="15"/>
          <w:szCs w:val="18"/>
          <w:highlight w:val="white"/>
        </w:rPr>
        <w:t xml:space="preserve">[25] HE N, GUO W X, JIAO X Y, et al. Compounding effects of human activities and climatic changes on the river water temperature evolution mechanism for ecological effects[J]. River Research and Applications, 2024, 40(8): 1541-1559. </w:t>
      </w:r>
      <w:bookmarkEnd w:id="312"/>
    </w:p>
    <w:p w14:paraId="71B54B28">
      <w:pPr>
        <w:pStyle w:val="41"/>
        <w:ind w:left="442" w:hanging="442" w:firstLineChars="0"/>
        <w:contextualSpacing w:val="0"/>
        <w:rPr>
          <w:sz w:val="15"/>
          <w:szCs w:val="18"/>
        </w:rPr>
      </w:pPr>
      <w:bookmarkStart w:id="313" w:name="参考文献内容_52"/>
      <w:r>
        <w:rPr>
          <w:rFonts w:hint="eastAsia"/>
          <w:sz w:val="15"/>
          <w:szCs w:val="18"/>
          <w:highlight w:val="white"/>
        </w:rPr>
        <w:t>[26] 李继清, 张鹏, 赵莹玉, 等. 变化环境下近60年西江流域径流时空演变特征[J]. 湖泊科学, 2023, 35(3): 1033-1046.</w:t>
      </w:r>
      <w:r>
        <w:rPr>
          <w:rFonts w:hint="eastAsia"/>
          <w:sz w:val="15"/>
          <w:szCs w:val="18"/>
          <w:highlight w:val="white"/>
        </w:rPr>
        <w:br w:type="textWrapping"/>
      </w:r>
      <w:r>
        <w:rPr>
          <w:rFonts w:hint="eastAsia"/>
          <w:sz w:val="15"/>
          <w:szCs w:val="18"/>
          <w:highlight w:val="white"/>
        </w:rPr>
        <w:t xml:space="preserve">LI J Q, ZHANG P, ZHAO Y Y, et al. Temporal and spatial evolution characteristics of runoff in the Xijiang River Basin in recent 60 years under the changing environment[J]. Journal of Lake Sciences, 2023, 35(3): 1033-1046. </w:t>
      </w:r>
      <w:bookmarkEnd w:id="313"/>
    </w:p>
    <w:p w14:paraId="53113138">
      <w:pPr>
        <w:pStyle w:val="41"/>
        <w:ind w:left="442" w:hanging="442" w:firstLineChars="0"/>
        <w:contextualSpacing w:val="0"/>
        <w:rPr>
          <w:sz w:val="15"/>
          <w:szCs w:val="18"/>
        </w:rPr>
      </w:pPr>
      <w:bookmarkStart w:id="314" w:name="参考文献内容_54"/>
      <w:r>
        <w:rPr>
          <w:rFonts w:hint="eastAsia"/>
          <w:sz w:val="15"/>
          <w:szCs w:val="18"/>
          <w:highlight w:val="white"/>
        </w:rPr>
        <w:t xml:space="preserve">[27] DRAGOMIRETSKIY K, ZOSSO D. Variational </w:t>
      </w:r>
      <w:r>
        <w:rPr>
          <w:sz w:val="15"/>
          <w:szCs w:val="18"/>
        </w:rPr>
        <w:t>mod</w:t>
      </w:r>
      <w:r>
        <w:rPr>
          <w:rFonts w:hint="eastAsia"/>
          <w:sz w:val="15"/>
          <w:szCs w:val="18"/>
          <w:highlight w:val="white"/>
        </w:rPr>
        <w:t>e decomposition[J]. IEEE Transactions on Signal P</w:t>
      </w:r>
      <w:r>
        <w:rPr>
          <w:sz w:val="15"/>
          <w:szCs w:val="18"/>
        </w:rPr>
        <w:t>roc</w:t>
      </w:r>
      <w:r>
        <w:rPr>
          <w:rFonts w:hint="eastAsia"/>
          <w:sz w:val="15"/>
          <w:szCs w:val="18"/>
          <w:highlight w:val="white"/>
        </w:rPr>
        <w:t xml:space="preserve">essing, 2014, 62(3): 531-544. </w:t>
      </w:r>
      <w:bookmarkEnd w:id="314"/>
    </w:p>
    <w:p w14:paraId="559A1C91">
      <w:pPr>
        <w:pStyle w:val="41"/>
        <w:ind w:left="442" w:hanging="442" w:firstLineChars="0"/>
        <w:contextualSpacing w:val="0"/>
        <w:rPr>
          <w:sz w:val="15"/>
          <w:szCs w:val="18"/>
        </w:rPr>
      </w:pPr>
      <w:bookmarkStart w:id="315" w:name="参考文献内容_56"/>
      <w:r>
        <w:rPr>
          <w:rFonts w:hint="eastAsia"/>
          <w:sz w:val="15"/>
          <w:szCs w:val="18"/>
          <w:highlight w:val="white"/>
        </w:rPr>
        <w:t>[28] SCRUCCA L. GA: A package for genetic algorithms in R[J]. Journal of Statistical Software, 2013, 53(4): 1-37.</w:t>
      </w:r>
      <w:bookmarkEnd w:id="315"/>
    </w:p>
    <w:p w14:paraId="1446BDBF">
      <w:pPr>
        <w:pStyle w:val="41"/>
        <w:ind w:left="440" w:hanging="440" w:firstLineChars="0"/>
        <w:contextualSpacing w:val="0"/>
        <w:rPr>
          <w:sz w:val="15"/>
          <w:szCs w:val="18"/>
        </w:rPr>
      </w:pPr>
      <w:bookmarkStart w:id="316" w:name="参考文献内容_58"/>
      <w:r>
        <w:rPr>
          <w:rFonts w:hint="eastAsia"/>
          <w:sz w:val="15"/>
          <w:szCs w:val="18"/>
          <w:highlight w:val="white"/>
        </w:rPr>
        <w:t xml:space="preserve">[29] LUKOŠEVIČIUS M, JAEGER H. Reservoir computing approaches to recurrent neural network training[J]. Computer Science Review, 2009, 3(3): 127-149. </w:t>
      </w:r>
      <w:bookmarkEnd w:id="316"/>
    </w:p>
    <w:p w14:paraId="78E9FE68">
      <w:pPr>
        <w:pStyle w:val="41"/>
        <w:ind w:left="442" w:hanging="442" w:firstLineChars="0"/>
        <w:contextualSpacing w:val="0"/>
        <w:rPr>
          <w:sz w:val="15"/>
          <w:szCs w:val="18"/>
        </w:rPr>
      </w:pPr>
      <w:bookmarkStart w:id="317" w:name="参考文献内容_60"/>
      <w:r>
        <w:rPr>
          <w:rFonts w:hint="eastAsia"/>
          <w:sz w:val="15"/>
          <w:szCs w:val="18"/>
          <w:highlight w:val="white"/>
        </w:rPr>
        <w:t xml:space="preserve">[30] LIANG J Y, LIU S G, ZHOU Z Z, et al. Improving probabilistic streamflow predictions through a nonparametric residual error </w:t>
      </w:r>
      <w:r>
        <w:rPr>
          <w:sz w:val="15"/>
          <w:szCs w:val="18"/>
        </w:rPr>
        <w:t>mod</w:t>
      </w:r>
      <w:r>
        <w:rPr>
          <w:rFonts w:hint="eastAsia"/>
          <w:sz w:val="15"/>
          <w:szCs w:val="18"/>
          <w:highlight w:val="white"/>
        </w:rPr>
        <w:t xml:space="preserve">el[J]. Environmental </w:t>
      </w:r>
      <w:r>
        <w:rPr>
          <w:sz w:val="15"/>
          <w:szCs w:val="18"/>
        </w:rPr>
        <w:t>Mod</w:t>
      </w:r>
      <w:r>
        <w:rPr>
          <w:rFonts w:hint="eastAsia"/>
          <w:sz w:val="15"/>
          <w:szCs w:val="18"/>
          <w:highlight w:val="white"/>
        </w:rPr>
        <w:t xml:space="preserve">elling &amp; Software, 2024, 175: 105981. </w:t>
      </w:r>
      <w:bookmarkEnd w:id="317"/>
    </w:p>
    <w:p w14:paraId="43D1DA8F">
      <w:pPr>
        <w:pStyle w:val="41"/>
        <w:ind w:left="442" w:hanging="442" w:firstLineChars="0"/>
        <w:contextualSpacing w:val="0"/>
        <w:rPr>
          <w:sz w:val="15"/>
          <w:szCs w:val="18"/>
        </w:rPr>
      </w:pPr>
      <w:bookmarkStart w:id="318" w:name="参考文献内容_62"/>
      <w:r>
        <w:rPr>
          <w:rFonts w:hint="eastAsia"/>
          <w:sz w:val="15"/>
          <w:szCs w:val="18"/>
          <w:highlight w:val="white"/>
        </w:rPr>
        <w:t xml:space="preserve">[31] WANG H M, SONG S B, ZHANG G X, et al. Stochastic volatility </w:t>
      </w:r>
      <w:r>
        <w:rPr>
          <w:sz w:val="15"/>
          <w:szCs w:val="18"/>
        </w:rPr>
        <w:t>mod</w:t>
      </w:r>
      <w:r>
        <w:rPr>
          <w:rFonts w:hint="eastAsia"/>
          <w:sz w:val="15"/>
          <w:szCs w:val="18"/>
          <w:highlight w:val="white"/>
        </w:rPr>
        <w:t xml:space="preserve">eling of daily streamflow time series[J]. Water Resources Research, 2023, 59(1): e2021WR031662. </w:t>
      </w:r>
      <w:bookmarkEnd w:id="318"/>
    </w:p>
    <w:p w14:paraId="64BA86AD">
      <w:pPr>
        <w:pStyle w:val="41"/>
        <w:ind w:left="442" w:hanging="442" w:firstLineChars="0"/>
        <w:contextualSpacing w:val="0"/>
        <w:rPr>
          <w:sz w:val="15"/>
          <w:szCs w:val="18"/>
        </w:rPr>
      </w:pPr>
      <w:bookmarkStart w:id="319" w:name="参考文献内容_64"/>
      <w:r>
        <w:rPr>
          <w:rFonts w:hint="eastAsia"/>
          <w:sz w:val="15"/>
          <w:szCs w:val="18"/>
          <w:highlight w:val="white"/>
        </w:rPr>
        <w:t xml:space="preserve">[32] ZHAO Y L, LI H Y, ZHAO L X, et al. A comprehensive method for error separation in hydrological </w:t>
      </w:r>
      <w:r>
        <w:rPr>
          <w:sz w:val="15"/>
          <w:szCs w:val="18"/>
        </w:rPr>
        <w:t>mod</w:t>
      </w:r>
      <w:r>
        <w:rPr>
          <w:rFonts w:hint="eastAsia"/>
          <w:sz w:val="15"/>
          <w:szCs w:val="18"/>
          <w:highlight w:val="white"/>
        </w:rPr>
        <w:t>elling[J]. Hydrological P</w:t>
      </w:r>
      <w:r>
        <w:rPr>
          <w:sz w:val="15"/>
          <w:szCs w:val="18"/>
        </w:rPr>
        <w:t>roc</w:t>
      </w:r>
      <w:r>
        <w:rPr>
          <w:rFonts w:hint="eastAsia"/>
          <w:sz w:val="15"/>
          <w:szCs w:val="18"/>
          <w:highlight w:val="white"/>
        </w:rPr>
        <w:t xml:space="preserve">esses, 2024, 38(9): e15273. </w:t>
      </w:r>
      <w:bookmarkEnd w:id="319"/>
    </w:p>
    <w:p w14:paraId="62CD75CF">
      <w:pPr>
        <w:pStyle w:val="41"/>
        <w:ind w:left="442" w:hanging="442" w:firstLineChars="0"/>
        <w:contextualSpacing w:val="0"/>
        <w:rPr>
          <w:sz w:val="15"/>
          <w:szCs w:val="18"/>
        </w:rPr>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firstLine="420"/>
      </w:pPr>
      <w:r>
        <w:separator/>
      </w:r>
    </w:p>
  </w:endnote>
  <w:endnote w:type="continuationSeparator" w:id="1">
    <w:p>
      <w:pPr>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roman"/>
    <w:pitch w:val="default"/>
    <w:sig w:usb0="E00006FF" w:usb1="420024FF" w:usb2="02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E8905F">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792A52">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81FC8">
    <w:pPr>
      <w:pStyle w:val="14"/>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ind w:firstLine="420"/>
      </w:pPr>
      <w:r>
        <w:separator/>
      </w:r>
    </w:p>
  </w:footnote>
  <w:footnote w:type="continuationSeparator" w:id="1">
    <w:p>
      <w:pPr>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A544BD">
    <w:pPr>
      <w:pStyle w:val="15"/>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37C8A">
    <w:pPr>
      <w:pStyle w:val="15"/>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0DF6B2">
    <w:pPr>
      <w:pStyle w:val="15"/>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7118"/>
    <w:rsid w:val="00001B60"/>
    <w:rsid w:val="00001EFB"/>
    <w:rsid w:val="000076B2"/>
    <w:rsid w:val="00013079"/>
    <w:rsid w:val="00014EA6"/>
    <w:rsid w:val="0002045D"/>
    <w:rsid w:val="00023833"/>
    <w:rsid w:val="000256C0"/>
    <w:rsid w:val="00031639"/>
    <w:rsid w:val="00031B10"/>
    <w:rsid w:val="0003230F"/>
    <w:rsid w:val="0003311B"/>
    <w:rsid w:val="000336E0"/>
    <w:rsid w:val="00033D6B"/>
    <w:rsid w:val="00034D61"/>
    <w:rsid w:val="00041F27"/>
    <w:rsid w:val="00044F2D"/>
    <w:rsid w:val="00045BE4"/>
    <w:rsid w:val="0004780C"/>
    <w:rsid w:val="000542C8"/>
    <w:rsid w:val="000543B7"/>
    <w:rsid w:val="0005744A"/>
    <w:rsid w:val="0005754F"/>
    <w:rsid w:val="00062B11"/>
    <w:rsid w:val="000643FA"/>
    <w:rsid w:val="0006669A"/>
    <w:rsid w:val="00066FC3"/>
    <w:rsid w:val="000674CC"/>
    <w:rsid w:val="00070319"/>
    <w:rsid w:val="00071922"/>
    <w:rsid w:val="00073C45"/>
    <w:rsid w:val="00080621"/>
    <w:rsid w:val="000832D0"/>
    <w:rsid w:val="00093B3F"/>
    <w:rsid w:val="000952D1"/>
    <w:rsid w:val="00095AAB"/>
    <w:rsid w:val="00097977"/>
    <w:rsid w:val="000A0E82"/>
    <w:rsid w:val="000A3D6D"/>
    <w:rsid w:val="000A4828"/>
    <w:rsid w:val="000A4B13"/>
    <w:rsid w:val="000A7131"/>
    <w:rsid w:val="000A7F17"/>
    <w:rsid w:val="000B24AA"/>
    <w:rsid w:val="000B4A75"/>
    <w:rsid w:val="000B4CD8"/>
    <w:rsid w:val="000B551A"/>
    <w:rsid w:val="000B5807"/>
    <w:rsid w:val="000B78B1"/>
    <w:rsid w:val="000C49A4"/>
    <w:rsid w:val="000C5785"/>
    <w:rsid w:val="000C6B74"/>
    <w:rsid w:val="000C700B"/>
    <w:rsid w:val="000C7A9F"/>
    <w:rsid w:val="000C7D12"/>
    <w:rsid w:val="000D2FB8"/>
    <w:rsid w:val="000D41F9"/>
    <w:rsid w:val="000D4215"/>
    <w:rsid w:val="000D4A56"/>
    <w:rsid w:val="000E0577"/>
    <w:rsid w:val="000E05AE"/>
    <w:rsid w:val="000E32F9"/>
    <w:rsid w:val="000E3590"/>
    <w:rsid w:val="000E5F25"/>
    <w:rsid w:val="000F076D"/>
    <w:rsid w:val="000F09E3"/>
    <w:rsid w:val="000F18E6"/>
    <w:rsid w:val="000F22A6"/>
    <w:rsid w:val="000F5C87"/>
    <w:rsid w:val="0010080B"/>
    <w:rsid w:val="00101180"/>
    <w:rsid w:val="001036CB"/>
    <w:rsid w:val="00105129"/>
    <w:rsid w:val="0010536D"/>
    <w:rsid w:val="00107A5B"/>
    <w:rsid w:val="00111172"/>
    <w:rsid w:val="001112DE"/>
    <w:rsid w:val="00112A25"/>
    <w:rsid w:val="0011427A"/>
    <w:rsid w:val="00114C84"/>
    <w:rsid w:val="00116CE4"/>
    <w:rsid w:val="00120468"/>
    <w:rsid w:val="00122089"/>
    <w:rsid w:val="00124F2C"/>
    <w:rsid w:val="0013761A"/>
    <w:rsid w:val="001418F5"/>
    <w:rsid w:val="001424A9"/>
    <w:rsid w:val="00146C40"/>
    <w:rsid w:val="00146DF8"/>
    <w:rsid w:val="00151BAD"/>
    <w:rsid w:val="00157220"/>
    <w:rsid w:val="00163469"/>
    <w:rsid w:val="00164015"/>
    <w:rsid w:val="00164956"/>
    <w:rsid w:val="0016507F"/>
    <w:rsid w:val="00166832"/>
    <w:rsid w:val="00171801"/>
    <w:rsid w:val="00175604"/>
    <w:rsid w:val="001759EB"/>
    <w:rsid w:val="00176E75"/>
    <w:rsid w:val="00177C1A"/>
    <w:rsid w:val="001816E2"/>
    <w:rsid w:val="0018230D"/>
    <w:rsid w:val="0018343B"/>
    <w:rsid w:val="00184F84"/>
    <w:rsid w:val="00187EAE"/>
    <w:rsid w:val="00191DD0"/>
    <w:rsid w:val="001927CE"/>
    <w:rsid w:val="00195709"/>
    <w:rsid w:val="00195845"/>
    <w:rsid w:val="00195C3E"/>
    <w:rsid w:val="001A283F"/>
    <w:rsid w:val="001A4BC9"/>
    <w:rsid w:val="001B195A"/>
    <w:rsid w:val="001B555E"/>
    <w:rsid w:val="001B6F98"/>
    <w:rsid w:val="001B7B35"/>
    <w:rsid w:val="001C15F0"/>
    <w:rsid w:val="001C2278"/>
    <w:rsid w:val="001C2E45"/>
    <w:rsid w:val="001C3C83"/>
    <w:rsid w:val="001C7621"/>
    <w:rsid w:val="001C7638"/>
    <w:rsid w:val="001D093F"/>
    <w:rsid w:val="001D2781"/>
    <w:rsid w:val="001D3512"/>
    <w:rsid w:val="001D35AC"/>
    <w:rsid w:val="001D3D6E"/>
    <w:rsid w:val="001D7CA3"/>
    <w:rsid w:val="001E120C"/>
    <w:rsid w:val="001E4028"/>
    <w:rsid w:val="001E53B9"/>
    <w:rsid w:val="001E5682"/>
    <w:rsid w:val="001E7151"/>
    <w:rsid w:val="001F041E"/>
    <w:rsid w:val="001F1773"/>
    <w:rsid w:val="001F2D30"/>
    <w:rsid w:val="001F3D88"/>
    <w:rsid w:val="001F4B29"/>
    <w:rsid w:val="001F4D03"/>
    <w:rsid w:val="00203433"/>
    <w:rsid w:val="002053C0"/>
    <w:rsid w:val="00205414"/>
    <w:rsid w:val="00206A9B"/>
    <w:rsid w:val="00207117"/>
    <w:rsid w:val="00211E6C"/>
    <w:rsid w:val="0021381C"/>
    <w:rsid w:val="00213B1E"/>
    <w:rsid w:val="00215F50"/>
    <w:rsid w:val="002167C3"/>
    <w:rsid w:val="002242A0"/>
    <w:rsid w:val="00226F12"/>
    <w:rsid w:val="002277F9"/>
    <w:rsid w:val="00234FB0"/>
    <w:rsid w:val="00235164"/>
    <w:rsid w:val="0023768C"/>
    <w:rsid w:val="0024181F"/>
    <w:rsid w:val="00243201"/>
    <w:rsid w:val="00243F41"/>
    <w:rsid w:val="0024449F"/>
    <w:rsid w:val="00245CCC"/>
    <w:rsid w:val="00246151"/>
    <w:rsid w:val="002468DE"/>
    <w:rsid w:val="002517FF"/>
    <w:rsid w:val="002548EF"/>
    <w:rsid w:val="0026046D"/>
    <w:rsid w:val="002604A6"/>
    <w:rsid w:val="00261F5C"/>
    <w:rsid w:val="00265260"/>
    <w:rsid w:val="00267354"/>
    <w:rsid w:val="002679E9"/>
    <w:rsid w:val="002709BE"/>
    <w:rsid w:val="0027457B"/>
    <w:rsid w:val="002765FB"/>
    <w:rsid w:val="002769D6"/>
    <w:rsid w:val="00277CCD"/>
    <w:rsid w:val="0028672A"/>
    <w:rsid w:val="002868CD"/>
    <w:rsid w:val="00287A6A"/>
    <w:rsid w:val="002945FD"/>
    <w:rsid w:val="00294EF4"/>
    <w:rsid w:val="00295472"/>
    <w:rsid w:val="002957EE"/>
    <w:rsid w:val="002A08AA"/>
    <w:rsid w:val="002A255A"/>
    <w:rsid w:val="002A32BA"/>
    <w:rsid w:val="002A4EA9"/>
    <w:rsid w:val="002B0904"/>
    <w:rsid w:val="002B262E"/>
    <w:rsid w:val="002B27B7"/>
    <w:rsid w:val="002B29FF"/>
    <w:rsid w:val="002B62B3"/>
    <w:rsid w:val="002B6B81"/>
    <w:rsid w:val="002B7AA1"/>
    <w:rsid w:val="002C30F6"/>
    <w:rsid w:val="002C3264"/>
    <w:rsid w:val="002C789C"/>
    <w:rsid w:val="002D1A63"/>
    <w:rsid w:val="002D39A3"/>
    <w:rsid w:val="002D60EA"/>
    <w:rsid w:val="002D70FB"/>
    <w:rsid w:val="002E44BA"/>
    <w:rsid w:val="002E5D7A"/>
    <w:rsid w:val="002E60EB"/>
    <w:rsid w:val="002E664D"/>
    <w:rsid w:val="002E79E8"/>
    <w:rsid w:val="002F19AA"/>
    <w:rsid w:val="002F4059"/>
    <w:rsid w:val="002F5D7F"/>
    <w:rsid w:val="002F6E22"/>
    <w:rsid w:val="00302183"/>
    <w:rsid w:val="0030263D"/>
    <w:rsid w:val="00303896"/>
    <w:rsid w:val="00304FFD"/>
    <w:rsid w:val="00307259"/>
    <w:rsid w:val="0030756D"/>
    <w:rsid w:val="00313327"/>
    <w:rsid w:val="00313447"/>
    <w:rsid w:val="00313C8A"/>
    <w:rsid w:val="00314072"/>
    <w:rsid w:val="00315D3A"/>
    <w:rsid w:val="00317A1D"/>
    <w:rsid w:val="0032109F"/>
    <w:rsid w:val="0032241F"/>
    <w:rsid w:val="00322E27"/>
    <w:rsid w:val="0032360A"/>
    <w:rsid w:val="00323853"/>
    <w:rsid w:val="003238A6"/>
    <w:rsid w:val="00324745"/>
    <w:rsid w:val="00324A75"/>
    <w:rsid w:val="00324C7A"/>
    <w:rsid w:val="00325901"/>
    <w:rsid w:val="00325FF1"/>
    <w:rsid w:val="00331452"/>
    <w:rsid w:val="00331BA5"/>
    <w:rsid w:val="003366BC"/>
    <w:rsid w:val="0034326B"/>
    <w:rsid w:val="00345104"/>
    <w:rsid w:val="0034590B"/>
    <w:rsid w:val="00354FF6"/>
    <w:rsid w:val="00355EE4"/>
    <w:rsid w:val="003561B8"/>
    <w:rsid w:val="00356EEC"/>
    <w:rsid w:val="00364142"/>
    <w:rsid w:val="00364BC8"/>
    <w:rsid w:val="0037096D"/>
    <w:rsid w:val="0037355A"/>
    <w:rsid w:val="003748BC"/>
    <w:rsid w:val="003758F5"/>
    <w:rsid w:val="00376EBC"/>
    <w:rsid w:val="00377118"/>
    <w:rsid w:val="00377202"/>
    <w:rsid w:val="00377DCC"/>
    <w:rsid w:val="00381E3B"/>
    <w:rsid w:val="00382D6E"/>
    <w:rsid w:val="00383A97"/>
    <w:rsid w:val="00383B64"/>
    <w:rsid w:val="0038486D"/>
    <w:rsid w:val="003862C7"/>
    <w:rsid w:val="003875CC"/>
    <w:rsid w:val="00392C56"/>
    <w:rsid w:val="003942A9"/>
    <w:rsid w:val="00394B3B"/>
    <w:rsid w:val="0039776F"/>
    <w:rsid w:val="003A0626"/>
    <w:rsid w:val="003A0A93"/>
    <w:rsid w:val="003A33EF"/>
    <w:rsid w:val="003A4E68"/>
    <w:rsid w:val="003B4F59"/>
    <w:rsid w:val="003B7CF3"/>
    <w:rsid w:val="003C1910"/>
    <w:rsid w:val="003C3059"/>
    <w:rsid w:val="003C33D9"/>
    <w:rsid w:val="003C4AEA"/>
    <w:rsid w:val="003C7C80"/>
    <w:rsid w:val="003D045A"/>
    <w:rsid w:val="003D5B44"/>
    <w:rsid w:val="003D6020"/>
    <w:rsid w:val="003D646B"/>
    <w:rsid w:val="003E0928"/>
    <w:rsid w:val="003E0997"/>
    <w:rsid w:val="003E1B0F"/>
    <w:rsid w:val="003E55D5"/>
    <w:rsid w:val="003E5E95"/>
    <w:rsid w:val="003E602F"/>
    <w:rsid w:val="003E70D5"/>
    <w:rsid w:val="003E71A5"/>
    <w:rsid w:val="003F2558"/>
    <w:rsid w:val="003F2F06"/>
    <w:rsid w:val="003F4328"/>
    <w:rsid w:val="003F5C43"/>
    <w:rsid w:val="003F5FF6"/>
    <w:rsid w:val="003F64BE"/>
    <w:rsid w:val="00400C0F"/>
    <w:rsid w:val="00401E28"/>
    <w:rsid w:val="00403724"/>
    <w:rsid w:val="00403F92"/>
    <w:rsid w:val="00405B84"/>
    <w:rsid w:val="00406A58"/>
    <w:rsid w:val="0041069A"/>
    <w:rsid w:val="0041123C"/>
    <w:rsid w:val="00413475"/>
    <w:rsid w:val="00413A46"/>
    <w:rsid w:val="00413C77"/>
    <w:rsid w:val="00415B6D"/>
    <w:rsid w:val="00416AFF"/>
    <w:rsid w:val="00417CA2"/>
    <w:rsid w:val="00420648"/>
    <w:rsid w:val="004220BD"/>
    <w:rsid w:val="00422D8C"/>
    <w:rsid w:val="0042302A"/>
    <w:rsid w:val="00423C5F"/>
    <w:rsid w:val="004240E3"/>
    <w:rsid w:val="0042492B"/>
    <w:rsid w:val="00425054"/>
    <w:rsid w:val="00425A3A"/>
    <w:rsid w:val="004324B3"/>
    <w:rsid w:val="0043334B"/>
    <w:rsid w:val="00443A4A"/>
    <w:rsid w:val="00443B40"/>
    <w:rsid w:val="00444315"/>
    <w:rsid w:val="004460F7"/>
    <w:rsid w:val="00450F12"/>
    <w:rsid w:val="0045519F"/>
    <w:rsid w:val="004552CC"/>
    <w:rsid w:val="0045604C"/>
    <w:rsid w:val="00456B9B"/>
    <w:rsid w:val="0046171B"/>
    <w:rsid w:val="00462F2F"/>
    <w:rsid w:val="0046357E"/>
    <w:rsid w:val="00470B79"/>
    <w:rsid w:val="00471EB5"/>
    <w:rsid w:val="00472D69"/>
    <w:rsid w:val="004776D4"/>
    <w:rsid w:val="00480348"/>
    <w:rsid w:val="00480CF6"/>
    <w:rsid w:val="00481163"/>
    <w:rsid w:val="00484DAD"/>
    <w:rsid w:val="00486317"/>
    <w:rsid w:val="00492E7D"/>
    <w:rsid w:val="00493563"/>
    <w:rsid w:val="00493A56"/>
    <w:rsid w:val="00496BB1"/>
    <w:rsid w:val="004A1815"/>
    <w:rsid w:val="004A2384"/>
    <w:rsid w:val="004A4050"/>
    <w:rsid w:val="004A4D2C"/>
    <w:rsid w:val="004A651C"/>
    <w:rsid w:val="004A671C"/>
    <w:rsid w:val="004B0453"/>
    <w:rsid w:val="004B0F8D"/>
    <w:rsid w:val="004B0F96"/>
    <w:rsid w:val="004B265A"/>
    <w:rsid w:val="004B2695"/>
    <w:rsid w:val="004B2DC4"/>
    <w:rsid w:val="004B6138"/>
    <w:rsid w:val="004B6F41"/>
    <w:rsid w:val="004C0341"/>
    <w:rsid w:val="004C1078"/>
    <w:rsid w:val="004C2B92"/>
    <w:rsid w:val="004C4B56"/>
    <w:rsid w:val="004C63A4"/>
    <w:rsid w:val="004C6A1C"/>
    <w:rsid w:val="004C6AEE"/>
    <w:rsid w:val="004D2009"/>
    <w:rsid w:val="004D35AA"/>
    <w:rsid w:val="004D471C"/>
    <w:rsid w:val="004E4C42"/>
    <w:rsid w:val="004F146D"/>
    <w:rsid w:val="004F2F4A"/>
    <w:rsid w:val="004F3056"/>
    <w:rsid w:val="004F4305"/>
    <w:rsid w:val="004F52BA"/>
    <w:rsid w:val="004F5363"/>
    <w:rsid w:val="004F6AF6"/>
    <w:rsid w:val="004F73EF"/>
    <w:rsid w:val="00504441"/>
    <w:rsid w:val="00505F49"/>
    <w:rsid w:val="005066C8"/>
    <w:rsid w:val="00513DD5"/>
    <w:rsid w:val="0051617E"/>
    <w:rsid w:val="00520CFA"/>
    <w:rsid w:val="00522900"/>
    <w:rsid w:val="00524ADD"/>
    <w:rsid w:val="00525DC5"/>
    <w:rsid w:val="005267B6"/>
    <w:rsid w:val="0053125F"/>
    <w:rsid w:val="00532FDF"/>
    <w:rsid w:val="00534933"/>
    <w:rsid w:val="00534A58"/>
    <w:rsid w:val="00536005"/>
    <w:rsid w:val="00542FEA"/>
    <w:rsid w:val="00545400"/>
    <w:rsid w:val="00545810"/>
    <w:rsid w:val="00546494"/>
    <w:rsid w:val="0055000C"/>
    <w:rsid w:val="0055168A"/>
    <w:rsid w:val="00555818"/>
    <w:rsid w:val="00556E40"/>
    <w:rsid w:val="00560883"/>
    <w:rsid w:val="005609F8"/>
    <w:rsid w:val="00561BF9"/>
    <w:rsid w:val="005637EA"/>
    <w:rsid w:val="005644AF"/>
    <w:rsid w:val="00564D7F"/>
    <w:rsid w:val="00564EA9"/>
    <w:rsid w:val="00574185"/>
    <w:rsid w:val="005748C7"/>
    <w:rsid w:val="0057599D"/>
    <w:rsid w:val="00575B6E"/>
    <w:rsid w:val="00575EF8"/>
    <w:rsid w:val="00576AED"/>
    <w:rsid w:val="0057711A"/>
    <w:rsid w:val="0058371A"/>
    <w:rsid w:val="00587196"/>
    <w:rsid w:val="005872D5"/>
    <w:rsid w:val="005910EB"/>
    <w:rsid w:val="0059145A"/>
    <w:rsid w:val="00593ACC"/>
    <w:rsid w:val="005945EA"/>
    <w:rsid w:val="00595DF2"/>
    <w:rsid w:val="0059675C"/>
    <w:rsid w:val="005A03BF"/>
    <w:rsid w:val="005A1F3F"/>
    <w:rsid w:val="005A2866"/>
    <w:rsid w:val="005A537D"/>
    <w:rsid w:val="005A71C4"/>
    <w:rsid w:val="005B0658"/>
    <w:rsid w:val="005B4625"/>
    <w:rsid w:val="005B63CD"/>
    <w:rsid w:val="005B674E"/>
    <w:rsid w:val="005C007A"/>
    <w:rsid w:val="005C1FD5"/>
    <w:rsid w:val="005C3276"/>
    <w:rsid w:val="005C33D5"/>
    <w:rsid w:val="005C491A"/>
    <w:rsid w:val="005C4B45"/>
    <w:rsid w:val="005C566A"/>
    <w:rsid w:val="005C7326"/>
    <w:rsid w:val="005C7C5E"/>
    <w:rsid w:val="005C7CC3"/>
    <w:rsid w:val="005C7F44"/>
    <w:rsid w:val="005D11EC"/>
    <w:rsid w:val="005D51C9"/>
    <w:rsid w:val="005D6799"/>
    <w:rsid w:val="005D75C2"/>
    <w:rsid w:val="005D7791"/>
    <w:rsid w:val="005E3EC7"/>
    <w:rsid w:val="005E5B6D"/>
    <w:rsid w:val="005E5BE1"/>
    <w:rsid w:val="005E61B2"/>
    <w:rsid w:val="005E6327"/>
    <w:rsid w:val="005E7815"/>
    <w:rsid w:val="005F09CE"/>
    <w:rsid w:val="005F26BC"/>
    <w:rsid w:val="005F5DBC"/>
    <w:rsid w:val="00600222"/>
    <w:rsid w:val="00600485"/>
    <w:rsid w:val="00601328"/>
    <w:rsid w:val="00602895"/>
    <w:rsid w:val="006038AA"/>
    <w:rsid w:val="00604EF9"/>
    <w:rsid w:val="00610704"/>
    <w:rsid w:val="00613F94"/>
    <w:rsid w:val="00615E59"/>
    <w:rsid w:val="00620C36"/>
    <w:rsid w:val="00621616"/>
    <w:rsid w:val="00624519"/>
    <w:rsid w:val="006357C5"/>
    <w:rsid w:val="00635D49"/>
    <w:rsid w:val="00640A42"/>
    <w:rsid w:val="006445D1"/>
    <w:rsid w:val="0064538C"/>
    <w:rsid w:val="0065049F"/>
    <w:rsid w:val="00653FD8"/>
    <w:rsid w:val="0065443D"/>
    <w:rsid w:val="00654D61"/>
    <w:rsid w:val="00657ABF"/>
    <w:rsid w:val="00662ED6"/>
    <w:rsid w:val="00662FBF"/>
    <w:rsid w:val="006631AA"/>
    <w:rsid w:val="006654BB"/>
    <w:rsid w:val="00665E7A"/>
    <w:rsid w:val="00670712"/>
    <w:rsid w:val="00680E7E"/>
    <w:rsid w:val="00686F84"/>
    <w:rsid w:val="00692D0D"/>
    <w:rsid w:val="00695989"/>
    <w:rsid w:val="006A0E7D"/>
    <w:rsid w:val="006A0FAF"/>
    <w:rsid w:val="006A26D8"/>
    <w:rsid w:val="006A2C55"/>
    <w:rsid w:val="006A66D9"/>
    <w:rsid w:val="006A6CF8"/>
    <w:rsid w:val="006B08EB"/>
    <w:rsid w:val="006B4095"/>
    <w:rsid w:val="006B4869"/>
    <w:rsid w:val="006C0507"/>
    <w:rsid w:val="006C535E"/>
    <w:rsid w:val="006C6246"/>
    <w:rsid w:val="006D2948"/>
    <w:rsid w:val="006D2EAD"/>
    <w:rsid w:val="006D309E"/>
    <w:rsid w:val="006D4EFE"/>
    <w:rsid w:val="006D512C"/>
    <w:rsid w:val="006E54F1"/>
    <w:rsid w:val="006E5B83"/>
    <w:rsid w:val="006F0606"/>
    <w:rsid w:val="006F0E4F"/>
    <w:rsid w:val="006F1133"/>
    <w:rsid w:val="006F328D"/>
    <w:rsid w:val="006F4334"/>
    <w:rsid w:val="006F6BDD"/>
    <w:rsid w:val="006F6CA9"/>
    <w:rsid w:val="007017A2"/>
    <w:rsid w:val="0070544C"/>
    <w:rsid w:val="0070732B"/>
    <w:rsid w:val="00710D22"/>
    <w:rsid w:val="00711AEC"/>
    <w:rsid w:val="00712125"/>
    <w:rsid w:val="00712D41"/>
    <w:rsid w:val="00714E19"/>
    <w:rsid w:val="007159E7"/>
    <w:rsid w:val="00715DA6"/>
    <w:rsid w:val="0071603D"/>
    <w:rsid w:val="0071699A"/>
    <w:rsid w:val="0072156C"/>
    <w:rsid w:val="00725102"/>
    <w:rsid w:val="00732128"/>
    <w:rsid w:val="0073263D"/>
    <w:rsid w:val="00732B91"/>
    <w:rsid w:val="007345F0"/>
    <w:rsid w:val="007358E1"/>
    <w:rsid w:val="00736D4E"/>
    <w:rsid w:val="00737138"/>
    <w:rsid w:val="007418A9"/>
    <w:rsid w:val="00742AEF"/>
    <w:rsid w:val="007432F1"/>
    <w:rsid w:val="00746ECC"/>
    <w:rsid w:val="00747DB9"/>
    <w:rsid w:val="00750D14"/>
    <w:rsid w:val="007513DF"/>
    <w:rsid w:val="007529A4"/>
    <w:rsid w:val="00752A33"/>
    <w:rsid w:val="00752D86"/>
    <w:rsid w:val="007530EE"/>
    <w:rsid w:val="007609A5"/>
    <w:rsid w:val="007659E9"/>
    <w:rsid w:val="00767073"/>
    <w:rsid w:val="00767AD2"/>
    <w:rsid w:val="00770A5C"/>
    <w:rsid w:val="00771855"/>
    <w:rsid w:val="007726E5"/>
    <w:rsid w:val="00773D65"/>
    <w:rsid w:val="0077558F"/>
    <w:rsid w:val="00777B3E"/>
    <w:rsid w:val="00781293"/>
    <w:rsid w:val="007837A2"/>
    <w:rsid w:val="007879F4"/>
    <w:rsid w:val="00790CBE"/>
    <w:rsid w:val="007932B4"/>
    <w:rsid w:val="00794DF4"/>
    <w:rsid w:val="007A22DA"/>
    <w:rsid w:val="007A3731"/>
    <w:rsid w:val="007A507A"/>
    <w:rsid w:val="007A55D5"/>
    <w:rsid w:val="007B0922"/>
    <w:rsid w:val="007B1C1B"/>
    <w:rsid w:val="007B2D44"/>
    <w:rsid w:val="007B51FD"/>
    <w:rsid w:val="007B5D02"/>
    <w:rsid w:val="007B674F"/>
    <w:rsid w:val="007C0990"/>
    <w:rsid w:val="007C1189"/>
    <w:rsid w:val="007C1634"/>
    <w:rsid w:val="007C63A8"/>
    <w:rsid w:val="007C6D13"/>
    <w:rsid w:val="007C7050"/>
    <w:rsid w:val="007C71BA"/>
    <w:rsid w:val="007D2A8B"/>
    <w:rsid w:val="007D2DFD"/>
    <w:rsid w:val="007D3BD7"/>
    <w:rsid w:val="007D5927"/>
    <w:rsid w:val="007E0410"/>
    <w:rsid w:val="007E3B76"/>
    <w:rsid w:val="007E4876"/>
    <w:rsid w:val="007E513D"/>
    <w:rsid w:val="007E7BEE"/>
    <w:rsid w:val="007F2E94"/>
    <w:rsid w:val="007F6BE8"/>
    <w:rsid w:val="007F7904"/>
    <w:rsid w:val="007F7F19"/>
    <w:rsid w:val="008002A3"/>
    <w:rsid w:val="00800E83"/>
    <w:rsid w:val="008026A9"/>
    <w:rsid w:val="00802FAF"/>
    <w:rsid w:val="00803271"/>
    <w:rsid w:val="00803B55"/>
    <w:rsid w:val="00805F29"/>
    <w:rsid w:val="00811029"/>
    <w:rsid w:val="0081301E"/>
    <w:rsid w:val="00815F19"/>
    <w:rsid w:val="00816A91"/>
    <w:rsid w:val="00817C05"/>
    <w:rsid w:val="008205F8"/>
    <w:rsid w:val="0082157F"/>
    <w:rsid w:val="00825CF3"/>
    <w:rsid w:val="0082721D"/>
    <w:rsid w:val="00827603"/>
    <w:rsid w:val="008305BC"/>
    <w:rsid w:val="00830E93"/>
    <w:rsid w:val="00831C3B"/>
    <w:rsid w:val="00840C00"/>
    <w:rsid w:val="0084291B"/>
    <w:rsid w:val="00844BB0"/>
    <w:rsid w:val="00846C8D"/>
    <w:rsid w:val="008501B0"/>
    <w:rsid w:val="00850C08"/>
    <w:rsid w:val="00851C3C"/>
    <w:rsid w:val="00855370"/>
    <w:rsid w:val="008559F3"/>
    <w:rsid w:val="00857EC0"/>
    <w:rsid w:val="00860765"/>
    <w:rsid w:val="008632AC"/>
    <w:rsid w:val="008633FC"/>
    <w:rsid w:val="0086410A"/>
    <w:rsid w:val="00866F17"/>
    <w:rsid w:val="008701A3"/>
    <w:rsid w:val="00870DC7"/>
    <w:rsid w:val="008737CE"/>
    <w:rsid w:val="008773CB"/>
    <w:rsid w:val="00877FE6"/>
    <w:rsid w:val="00882761"/>
    <w:rsid w:val="008868E2"/>
    <w:rsid w:val="00893338"/>
    <w:rsid w:val="0089404D"/>
    <w:rsid w:val="00895AAA"/>
    <w:rsid w:val="00897D16"/>
    <w:rsid w:val="00897D71"/>
    <w:rsid w:val="00897D8A"/>
    <w:rsid w:val="008A1A4F"/>
    <w:rsid w:val="008A4453"/>
    <w:rsid w:val="008B5A63"/>
    <w:rsid w:val="008B5E6C"/>
    <w:rsid w:val="008B71DB"/>
    <w:rsid w:val="008C22F1"/>
    <w:rsid w:val="008C443D"/>
    <w:rsid w:val="008C582D"/>
    <w:rsid w:val="008C7777"/>
    <w:rsid w:val="008C7951"/>
    <w:rsid w:val="008D0E14"/>
    <w:rsid w:val="008D14DE"/>
    <w:rsid w:val="008D2285"/>
    <w:rsid w:val="008D245C"/>
    <w:rsid w:val="008D52C5"/>
    <w:rsid w:val="008E5362"/>
    <w:rsid w:val="008F09D6"/>
    <w:rsid w:val="008F0FAF"/>
    <w:rsid w:val="008F338E"/>
    <w:rsid w:val="008F3F61"/>
    <w:rsid w:val="008F6926"/>
    <w:rsid w:val="008F6FA1"/>
    <w:rsid w:val="008F7FEF"/>
    <w:rsid w:val="009014C4"/>
    <w:rsid w:val="00902304"/>
    <w:rsid w:val="00906D7B"/>
    <w:rsid w:val="00906E0C"/>
    <w:rsid w:val="00906FD2"/>
    <w:rsid w:val="0091023E"/>
    <w:rsid w:val="009106DD"/>
    <w:rsid w:val="00911D28"/>
    <w:rsid w:val="00913E9A"/>
    <w:rsid w:val="0091624C"/>
    <w:rsid w:val="00916AB5"/>
    <w:rsid w:val="00917C18"/>
    <w:rsid w:val="00920BE7"/>
    <w:rsid w:val="00921D9B"/>
    <w:rsid w:val="00922304"/>
    <w:rsid w:val="00922AE0"/>
    <w:rsid w:val="00923422"/>
    <w:rsid w:val="00930732"/>
    <w:rsid w:val="009314AD"/>
    <w:rsid w:val="0093158C"/>
    <w:rsid w:val="009323C6"/>
    <w:rsid w:val="009347FB"/>
    <w:rsid w:val="00934AED"/>
    <w:rsid w:val="00937E64"/>
    <w:rsid w:val="0094168F"/>
    <w:rsid w:val="0094236F"/>
    <w:rsid w:val="00945F5B"/>
    <w:rsid w:val="009476DA"/>
    <w:rsid w:val="00950597"/>
    <w:rsid w:val="00953C19"/>
    <w:rsid w:val="00953C71"/>
    <w:rsid w:val="0096066E"/>
    <w:rsid w:val="00961754"/>
    <w:rsid w:val="009623AF"/>
    <w:rsid w:val="009625A3"/>
    <w:rsid w:val="009628F0"/>
    <w:rsid w:val="0096705D"/>
    <w:rsid w:val="00967FF2"/>
    <w:rsid w:val="009707F6"/>
    <w:rsid w:val="00970A29"/>
    <w:rsid w:val="00976740"/>
    <w:rsid w:val="00977F34"/>
    <w:rsid w:val="00980C63"/>
    <w:rsid w:val="009814C9"/>
    <w:rsid w:val="0098268E"/>
    <w:rsid w:val="00986AAF"/>
    <w:rsid w:val="00991748"/>
    <w:rsid w:val="00994E96"/>
    <w:rsid w:val="00995452"/>
    <w:rsid w:val="00997396"/>
    <w:rsid w:val="009974C5"/>
    <w:rsid w:val="009A059D"/>
    <w:rsid w:val="009A0E5D"/>
    <w:rsid w:val="009A17D4"/>
    <w:rsid w:val="009A2CCE"/>
    <w:rsid w:val="009A35E0"/>
    <w:rsid w:val="009A3E8A"/>
    <w:rsid w:val="009A4347"/>
    <w:rsid w:val="009A60BC"/>
    <w:rsid w:val="009A71F9"/>
    <w:rsid w:val="009B0023"/>
    <w:rsid w:val="009B049B"/>
    <w:rsid w:val="009B39BC"/>
    <w:rsid w:val="009B3E91"/>
    <w:rsid w:val="009B400B"/>
    <w:rsid w:val="009B6750"/>
    <w:rsid w:val="009B72E9"/>
    <w:rsid w:val="009B77C3"/>
    <w:rsid w:val="009C28BC"/>
    <w:rsid w:val="009C2D09"/>
    <w:rsid w:val="009C6D12"/>
    <w:rsid w:val="009D1F27"/>
    <w:rsid w:val="009D4BE4"/>
    <w:rsid w:val="009D7205"/>
    <w:rsid w:val="009E17EC"/>
    <w:rsid w:val="009E3400"/>
    <w:rsid w:val="009E42C4"/>
    <w:rsid w:val="009E46FB"/>
    <w:rsid w:val="009E68D8"/>
    <w:rsid w:val="009E725E"/>
    <w:rsid w:val="009E7A7E"/>
    <w:rsid w:val="009F3592"/>
    <w:rsid w:val="009F44C9"/>
    <w:rsid w:val="009F4A57"/>
    <w:rsid w:val="009F763E"/>
    <w:rsid w:val="00A00FAF"/>
    <w:rsid w:val="00A029CC"/>
    <w:rsid w:val="00A0391A"/>
    <w:rsid w:val="00A03E1F"/>
    <w:rsid w:val="00A10126"/>
    <w:rsid w:val="00A1123A"/>
    <w:rsid w:val="00A124E1"/>
    <w:rsid w:val="00A1365B"/>
    <w:rsid w:val="00A13936"/>
    <w:rsid w:val="00A143C9"/>
    <w:rsid w:val="00A1546B"/>
    <w:rsid w:val="00A17C7D"/>
    <w:rsid w:val="00A20DB7"/>
    <w:rsid w:val="00A220A3"/>
    <w:rsid w:val="00A26BBD"/>
    <w:rsid w:val="00A274B5"/>
    <w:rsid w:val="00A300E4"/>
    <w:rsid w:val="00A3166D"/>
    <w:rsid w:val="00A32A96"/>
    <w:rsid w:val="00A32BC9"/>
    <w:rsid w:val="00A341DC"/>
    <w:rsid w:val="00A372B0"/>
    <w:rsid w:val="00A37C25"/>
    <w:rsid w:val="00A37E5D"/>
    <w:rsid w:val="00A40C8C"/>
    <w:rsid w:val="00A417E2"/>
    <w:rsid w:val="00A4355D"/>
    <w:rsid w:val="00A501DA"/>
    <w:rsid w:val="00A525A2"/>
    <w:rsid w:val="00A5387F"/>
    <w:rsid w:val="00A540F7"/>
    <w:rsid w:val="00A54DE6"/>
    <w:rsid w:val="00A55855"/>
    <w:rsid w:val="00A55A4D"/>
    <w:rsid w:val="00A619D6"/>
    <w:rsid w:val="00A61A8E"/>
    <w:rsid w:val="00A63218"/>
    <w:rsid w:val="00A65EB3"/>
    <w:rsid w:val="00A71324"/>
    <w:rsid w:val="00A72BCA"/>
    <w:rsid w:val="00A73AE0"/>
    <w:rsid w:val="00A746FF"/>
    <w:rsid w:val="00A74B31"/>
    <w:rsid w:val="00A832B8"/>
    <w:rsid w:val="00A83ACA"/>
    <w:rsid w:val="00A874AE"/>
    <w:rsid w:val="00A90085"/>
    <w:rsid w:val="00A90088"/>
    <w:rsid w:val="00A90F87"/>
    <w:rsid w:val="00A90FB1"/>
    <w:rsid w:val="00A92B6D"/>
    <w:rsid w:val="00A95AE6"/>
    <w:rsid w:val="00A965AE"/>
    <w:rsid w:val="00AA0539"/>
    <w:rsid w:val="00AA2ADB"/>
    <w:rsid w:val="00AB011F"/>
    <w:rsid w:val="00AB4019"/>
    <w:rsid w:val="00AB4560"/>
    <w:rsid w:val="00AB4C51"/>
    <w:rsid w:val="00AB589E"/>
    <w:rsid w:val="00AB5A2C"/>
    <w:rsid w:val="00AB6257"/>
    <w:rsid w:val="00AC0739"/>
    <w:rsid w:val="00AC0835"/>
    <w:rsid w:val="00AC56AC"/>
    <w:rsid w:val="00AC5B2D"/>
    <w:rsid w:val="00AC6867"/>
    <w:rsid w:val="00AD1EED"/>
    <w:rsid w:val="00AD3544"/>
    <w:rsid w:val="00AD4DDE"/>
    <w:rsid w:val="00AD5D3D"/>
    <w:rsid w:val="00AD6F9D"/>
    <w:rsid w:val="00AE1D31"/>
    <w:rsid w:val="00AE374E"/>
    <w:rsid w:val="00AE3F27"/>
    <w:rsid w:val="00AE471E"/>
    <w:rsid w:val="00AF101F"/>
    <w:rsid w:val="00AF1C4C"/>
    <w:rsid w:val="00AF1CFD"/>
    <w:rsid w:val="00AF40DC"/>
    <w:rsid w:val="00AF46FF"/>
    <w:rsid w:val="00B000B4"/>
    <w:rsid w:val="00B01904"/>
    <w:rsid w:val="00B04B6A"/>
    <w:rsid w:val="00B04E9F"/>
    <w:rsid w:val="00B0581C"/>
    <w:rsid w:val="00B05A0E"/>
    <w:rsid w:val="00B07886"/>
    <w:rsid w:val="00B10D5D"/>
    <w:rsid w:val="00B11054"/>
    <w:rsid w:val="00B117A9"/>
    <w:rsid w:val="00B11E27"/>
    <w:rsid w:val="00B12A28"/>
    <w:rsid w:val="00B15967"/>
    <w:rsid w:val="00B179BF"/>
    <w:rsid w:val="00B21B2E"/>
    <w:rsid w:val="00B22531"/>
    <w:rsid w:val="00B22BDB"/>
    <w:rsid w:val="00B22F0C"/>
    <w:rsid w:val="00B272B7"/>
    <w:rsid w:val="00B3584E"/>
    <w:rsid w:val="00B363ED"/>
    <w:rsid w:val="00B37468"/>
    <w:rsid w:val="00B4184F"/>
    <w:rsid w:val="00B41A23"/>
    <w:rsid w:val="00B41CA3"/>
    <w:rsid w:val="00B42A7A"/>
    <w:rsid w:val="00B42BEB"/>
    <w:rsid w:val="00B441C5"/>
    <w:rsid w:val="00B45143"/>
    <w:rsid w:val="00B458B5"/>
    <w:rsid w:val="00B50D86"/>
    <w:rsid w:val="00B513B2"/>
    <w:rsid w:val="00B55274"/>
    <w:rsid w:val="00B55B89"/>
    <w:rsid w:val="00B56C5A"/>
    <w:rsid w:val="00B57B3A"/>
    <w:rsid w:val="00B601B2"/>
    <w:rsid w:val="00B61331"/>
    <w:rsid w:val="00B622C4"/>
    <w:rsid w:val="00B665F4"/>
    <w:rsid w:val="00B67688"/>
    <w:rsid w:val="00B754F3"/>
    <w:rsid w:val="00B775EF"/>
    <w:rsid w:val="00B80278"/>
    <w:rsid w:val="00B814CD"/>
    <w:rsid w:val="00B8327D"/>
    <w:rsid w:val="00B84E9D"/>
    <w:rsid w:val="00B850A5"/>
    <w:rsid w:val="00B85F4C"/>
    <w:rsid w:val="00B879C1"/>
    <w:rsid w:val="00B9008A"/>
    <w:rsid w:val="00B923E0"/>
    <w:rsid w:val="00B92AA3"/>
    <w:rsid w:val="00B93E13"/>
    <w:rsid w:val="00B940F3"/>
    <w:rsid w:val="00B95F53"/>
    <w:rsid w:val="00B969BB"/>
    <w:rsid w:val="00BA0EA5"/>
    <w:rsid w:val="00BA1574"/>
    <w:rsid w:val="00BA4BCC"/>
    <w:rsid w:val="00BA4BFA"/>
    <w:rsid w:val="00BA5253"/>
    <w:rsid w:val="00BA6378"/>
    <w:rsid w:val="00BA7586"/>
    <w:rsid w:val="00BA7C27"/>
    <w:rsid w:val="00BB15B4"/>
    <w:rsid w:val="00BB1644"/>
    <w:rsid w:val="00BB2BF5"/>
    <w:rsid w:val="00BB54C1"/>
    <w:rsid w:val="00BB754B"/>
    <w:rsid w:val="00BB7946"/>
    <w:rsid w:val="00BC0BB4"/>
    <w:rsid w:val="00BC1FE7"/>
    <w:rsid w:val="00BC32E3"/>
    <w:rsid w:val="00BC3B18"/>
    <w:rsid w:val="00BC3C2C"/>
    <w:rsid w:val="00BC475B"/>
    <w:rsid w:val="00BD08FF"/>
    <w:rsid w:val="00BD25AE"/>
    <w:rsid w:val="00BD49A2"/>
    <w:rsid w:val="00BD4AD9"/>
    <w:rsid w:val="00BD4F04"/>
    <w:rsid w:val="00BD5A66"/>
    <w:rsid w:val="00BE06EF"/>
    <w:rsid w:val="00BE0AF3"/>
    <w:rsid w:val="00BE0F5B"/>
    <w:rsid w:val="00BE5061"/>
    <w:rsid w:val="00BE7092"/>
    <w:rsid w:val="00BF05AF"/>
    <w:rsid w:val="00BF3C64"/>
    <w:rsid w:val="00BF5E79"/>
    <w:rsid w:val="00BF63D7"/>
    <w:rsid w:val="00C0025B"/>
    <w:rsid w:val="00C02351"/>
    <w:rsid w:val="00C05F73"/>
    <w:rsid w:val="00C10619"/>
    <w:rsid w:val="00C1078C"/>
    <w:rsid w:val="00C1457B"/>
    <w:rsid w:val="00C14E85"/>
    <w:rsid w:val="00C2141A"/>
    <w:rsid w:val="00C25103"/>
    <w:rsid w:val="00C2731C"/>
    <w:rsid w:val="00C278EE"/>
    <w:rsid w:val="00C315F9"/>
    <w:rsid w:val="00C31B5E"/>
    <w:rsid w:val="00C32495"/>
    <w:rsid w:val="00C32F20"/>
    <w:rsid w:val="00C34BF6"/>
    <w:rsid w:val="00C35664"/>
    <w:rsid w:val="00C43137"/>
    <w:rsid w:val="00C43B2C"/>
    <w:rsid w:val="00C43E48"/>
    <w:rsid w:val="00C4493E"/>
    <w:rsid w:val="00C45F09"/>
    <w:rsid w:val="00C51294"/>
    <w:rsid w:val="00C52CA4"/>
    <w:rsid w:val="00C56924"/>
    <w:rsid w:val="00C5715E"/>
    <w:rsid w:val="00C608D6"/>
    <w:rsid w:val="00C60E6B"/>
    <w:rsid w:val="00C6199D"/>
    <w:rsid w:val="00C622ED"/>
    <w:rsid w:val="00C6298F"/>
    <w:rsid w:val="00C72135"/>
    <w:rsid w:val="00C76541"/>
    <w:rsid w:val="00C857A5"/>
    <w:rsid w:val="00C90A31"/>
    <w:rsid w:val="00C90EB1"/>
    <w:rsid w:val="00C90EE1"/>
    <w:rsid w:val="00C93A81"/>
    <w:rsid w:val="00C94498"/>
    <w:rsid w:val="00C95654"/>
    <w:rsid w:val="00C95916"/>
    <w:rsid w:val="00C96583"/>
    <w:rsid w:val="00C96B34"/>
    <w:rsid w:val="00C9720F"/>
    <w:rsid w:val="00C9793C"/>
    <w:rsid w:val="00CA1BA1"/>
    <w:rsid w:val="00CA3160"/>
    <w:rsid w:val="00CA3488"/>
    <w:rsid w:val="00CA3D24"/>
    <w:rsid w:val="00CA3E40"/>
    <w:rsid w:val="00CA5AA0"/>
    <w:rsid w:val="00CA5B24"/>
    <w:rsid w:val="00CA718C"/>
    <w:rsid w:val="00CB0286"/>
    <w:rsid w:val="00CB084C"/>
    <w:rsid w:val="00CB3DC9"/>
    <w:rsid w:val="00CB54A5"/>
    <w:rsid w:val="00CC073F"/>
    <w:rsid w:val="00CC369E"/>
    <w:rsid w:val="00CC61A0"/>
    <w:rsid w:val="00CD746D"/>
    <w:rsid w:val="00CE0B9F"/>
    <w:rsid w:val="00CE3B0C"/>
    <w:rsid w:val="00CE3D7F"/>
    <w:rsid w:val="00CE766B"/>
    <w:rsid w:val="00CF2C6D"/>
    <w:rsid w:val="00CF4D7D"/>
    <w:rsid w:val="00CF4E44"/>
    <w:rsid w:val="00CF5402"/>
    <w:rsid w:val="00CF58E5"/>
    <w:rsid w:val="00CF5CD2"/>
    <w:rsid w:val="00D008B3"/>
    <w:rsid w:val="00D008FF"/>
    <w:rsid w:val="00D00A9A"/>
    <w:rsid w:val="00D00BA5"/>
    <w:rsid w:val="00D02F4D"/>
    <w:rsid w:val="00D04825"/>
    <w:rsid w:val="00D04AD3"/>
    <w:rsid w:val="00D101AA"/>
    <w:rsid w:val="00D13EE4"/>
    <w:rsid w:val="00D13FC9"/>
    <w:rsid w:val="00D14959"/>
    <w:rsid w:val="00D14A1F"/>
    <w:rsid w:val="00D17777"/>
    <w:rsid w:val="00D17C03"/>
    <w:rsid w:val="00D20349"/>
    <w:rsid w:val="00D227FE"/>
    <w:rsid w:val="00D22AC6"/>
    <w:rsid w:val="00D23374"/>
    <w:rsid w:val="00D251D0"/>
    <w:rsid w:val="00D267DD"/>
    <w:rsid w:val="00D269D8"/>
    <w:rsid w:val="00D2736D"/>
    <w:rsid w:val="00D31D8F"/>
    <w:rsid w:val="00D33C71"/>
    <w:rsid w:val="00D342B0"/>
    <w:rsid w:val="00D34B6A"/>
    <w:rsid w:val="00D355EB"/>
    <w:rsid w:val="00D35642"/>
    <w:rsid w:val="00D409FD"/>
    <w:rsid w:val="00D44276"/>
    <w:rsid w:val="00D47718"/>
    <w:rsid w:val="00D47BFD"/>
    <w:rsid w:val="00D50729"/>
    <w:rsid w:val="00D50FC5"/>
    <w:rsid w:val="00D52313"/>
    <w:rsid w:val="00D532BC"/>
    <w:rsid w:val="00D56641"/>
    <w:rsid w:val="00D575C1"/>
    <w:rsid w:val="00D623D3"/>
    <w:rsid w:val="00D64B8B"/>
    <w:rsid w:val="00D64FC6"/>
    <w:rsid w:val="00D7508A"/>
    <w:rsid w:val="00D75FF2"/>
    <w:rsid w:val="00D82CDE"/>
    <w:rsid w:val="00D82DC4"/>
    <w:rsid w:val="00D831F2"/>
    <w:rsid w:val="00D87BE9"/>
    <w:rsid w:val="00D90E9A"/>
    <w:rsid w:val="00D91B04"/>
    <w:rsid w:val="00D92273"/>
    <w:rsid w:val="00D947F9"/>
    <w:rsid w:val="00D9516A"/>
    <w:rsid w:val="00D95A54"/>
    <w:rsid w:val="00D9646C"/>
    <w:rsid w:val="00D96FFA"/>
    <w:rsid w:val="00DA7D30"/>
    <w:rsid w:val="00DB476F"/>
    <w:rsid w:val="00DB50EE"/>
    <w:rsid w:val="00DB581E"/>
    <w:rsid w:val="00DB6845"/>
    <w:rsid w:val="00DB6E0B"/>
    <w:rsid w:val="00DC1030"/>
    <w:rsid w:val="00DC2501"/>
    <w:rsid w:val="00DC6028"/>
    <w:rsid w:val="00DC6197"/>
    <w:rsid w:val="00DD197E"/>
    <w:rsid w:val="00DD1E75"/>
    <w:rsid w:val="00DD336D"/>
    <w:rsid w:val="00DD4193"/>
    <w:rsid w:val="00DD7EFB"/>
    <w:rsid w:val="00DE1726"/>
    <w:rsid w:val="00DE2150"/>
    <w:rsid w:val="00DE25CE"/>
    <w:rsid w:val="00DE4DA8"/>
    <w:rsid w:val="00DE618B"/>
    <w:rsid w:val="00DF04AB"/>
    <w:rsid w:val="00DF44F1"/>
    <w:rsid w:val="00DF45B2"/>
    <w:rsid w:val="00DF7562"/>
    <w:rsid w:val="00E02A1F"/>
    <w:rsid w:val="00E033B5"/>
    <w:rsid w:val="00E05C48"/>
    <w:rsid w:val="00E06AA9"/>
    <w:rsid w:val="00E06E61"/>
    <w:rsid w:val="00E10235"/>
    <w:rsid w:val="00E12632"/>
    <w:rsid w:val="00E12696"/>
    <w:rsid w:val="00E144F1"/>
    <w:rsid w:val="00E176DD"/>
    <w:rsid w:val="00E2059B"/>
    <w:rsid w:val="00E215AA"/>
    <w:rsid w:val="00E22153"/>
    <w:rsid w:val="00E23B1B"/>
    <w:rsid w:val="00E24964"/>
    <w:rsid w:val="00E25E31"/>
    <w:rsid w:val="00E30268"/>
    <w:rsid w:val="00E31240"/>
    <w:rsid w:val="00E3332A"/>
    <w:rsid w:val="00E33D7C"/>
    <w:rsid w:val="00E372DC"/>
    <w:rsid w:val="00E37B58"/>
    <w:rsid w:val="00E506C9"/>
    <w:rsid w:val="00E51AC2"/>
    <w:rsid w:val="00E51B75"/>
    <w:rsid w:val="00E5238E"/>
    <w:rsid w:val="00E531AF"/>
    <w:rsid w:val="00E53299"/>
    <w:rsid w:val="00E53F04"/>
    <w:rsid w:val="00E54CDB"/>
    <w:rsid w:val="00E5585B"/>
    <w:rsid w:val="00E57FD4"/>
    <w:rsid w:val="00E6492C"/>
    <w:rsid w:val="00E70AA9"/>
    <w:rsid w:val="00E71674"/>
    <w:rsid w:val="00E73203"/>
    <w:rsid w:val="00E73901"/>
    <w:rsid w:val="00E741AA"/>
    <w:rsid w:val="00E75AE4"/>
    <w:rsid w:val="00E75E5B"/>
    <w:rsid w:val="00E7650F"/>
    <w:rsid w:val="00E77239"/>
    <w:rsid w:val="00E80090"/>
    <w:rsid w:val="00E8680F"/>
    <w:rsid w:val="00E87448"/>
    <w:rsid w:val="00E9122F"/>
    <w:rsid w:val="00E92BA9"/>
    <w:rsid w:val="00E92C63"/>
    <w:rsid w:val="00E96211"/>
    <w:rsid w:val="00E97858"/>
    <w:rsid w:val="00E97BD9"/>
    <w:rsid w:val="00EA066C"/>
    <w:rsid w:val="00EA12A7"/>
    <w:rsid w:val="00EA1CB5"/>
    <w:rsid w:val="00EA338A"/>
    <w:rsid w:val="00EA3A81"/>
    <w:rsid w:val="00EA3CA5"/>
    <w:rsid w:val="00EA4829"/>
    <w:rsid w:val="00EA4F3E"/>
    <w:rsid w:val="00EA7148"/>
    <w:rsid w:val="00EB137F"/>
    <w:rsid w:val="00EB1F96"/>
    <w:rsid w:val="00EB1FF1"/>
    <w:rsid w:val="00EB2E25"/>
    <w:rsid w:val="00EB344A"/>
    <w:rsid w:val="00EB5D37"/>
    <w:rsid w:val="00EB603A"/>
    <w:rsid w:val="00EB62C9"/>
    <w:rsid w:val="00EC2201"/>
    <w:rsid w:val="00EC5D98"/>
    <w:rsid w:val="00EC6196"/>
    <w:rsid w:val="00EC6366"/>
    <w:rsid w:val="00EC6EC6"/>
    <w:rsid w:val="00ED14B2"/>
    <w:rsid w:val="00ED1FD7"/>
    <w:rsid w:val="00ED5C8F"/>
    <w:rsid w:val="00ED7537"/>
    <w:rsid w:val="00EE1519"/>
    <w:rsid w:val="00EE1A95"/>
    <w:rsid w:val="00EE349F"/>
    <w:rsid w:val="00EE5500"/>
    <w:rsid w:val="00EE5BC4"/>
    <w:rsid w:val="00EE5D56"/>
    <w:rsid w:val="00EE65E4"/>
    <w:rsid w:val="00EE7074"/>
    <w:rsid w:val="00EF23B3"/>
    <w:rsid w:val="00EF25B0"/>
    <w:rsid w:val="00EF27AD"/>
    <w:rsid w:val="00EF4BCC"/>
    <w:rsid w:val="00EF4DF7"/>
    <w:rsid w:val="00EF511E"/>
    <w:rsid w:val="00EF79BB"/>
    <w:rsid w:val="00EF7DA6"/>
    <w:rsid w:val="00F031BC"/>
    <w:rsid w:val="00F05444"/>
    <w:rsid w:val="00F06212"/>
    <w:rsid w:val="00F1271B"/>
    <w:rsid w:val="00F12C6C"/>
    <w:rsid w:val="00F12F3C"/>
    <w:rsid w:val="00F1377C"/>
    <w:rsid w:val="00F13F17"/>
    <w:rsid w:val="00F14345"/>
    <w:rsid w:val="00F17076"/>
    <w:rsid w:val="00F20AC1"/>
    <w:rsid w:val="00F22549"/>
    <w:rsid w:val="00F228A7"/>
    <w:rsid w:val="00F239AE"/>
    <w:rsid w:val="00F249AE"/>
    <w:rsid w:val="00F25894"/>
    <w:rsid w:val="00F25DAF"/>
    <w:rsid w:val="00F331F2"/>
    <w:rsid w:val="00F333FD"/>
    <w:rsid w:val="00F403EA"/>
    <w:rsid w:val="00F40B2A"/>
    <w:rsid w:val="00F420F8"/>
    <w:rsid w:val="00F423D0"/>
    <w:rsid w:val="00F439E1"/>
    <w:rsid w:val="00F46AF5"/>
    <w:rsid w:val="00F513E6"/>
    <w:rsid w:val="00F51A7F"/>
    <w:rsid w:val="00F577E2"/>
    <w:rsid w:val="00F57E8A"/>
    <w:rsid w:val="00F60DF1"/>
    <w:rsid w:val="00F648BD"/>
    <w:rsid w:val="00F65E96"/>
    <w:rsid w:val="00F673C3"/>
    <w:rsid w:val="00F711C5"/>
    <w:rsid w:val="00F74DE2"/>
    <w:rsid w:val="00F80CBF"/>
    <w:rsid w:val="00F86B95"/>
    <w:rsid w:val="00F86CBA"/>
    <w:rsid w:val="00F931D9"/>
    <w:rsid w:val="00F97E46"/>
    <w:rsid w:val="00F97F86"/>
    <w:rsid w:val="00FA0592"/>
    <w:rsid w:val="00FA1818"/>
    <w:rsid w:val="00FA7805"/>
    <w:rsid w:val="00FA7887"/>
    <w:rsid w:val="00FB13EC"/>
    <w:rsid w:val="00FB1CAD"/>
    <w:rsid w:val="00FB2096"/>
    <w:rsid w:val="00FB4AAD"/>
    <w:rsid w:val="00FB73D1"/>
    <w:rsid w:val="00FC1B6E"/>
    <w:rsid w:val="00FC6245"/>
    <w:rsid w:val="00FD0974"/>
    <w:rsid w:val="00FD1DD3"/>
    <w:rsid w:val="00FD2FEE"/>
    <w:rsid w:val="00FD3893"/>
    <w:rsid w:val="00FD69CF"/>
    <w:rsid w:val="00FD6D2D"/>
    <w:rsid w:val="00FE06CC"/>
    <w:rsid w:val="00FE1E97"/>
    <w:rsid w:val="00FE20C0"/>
    <w:rsid w:val="00FE4E5D"/>
    <w:rsid w:val="00FF017A"/>
    <w:rsid w:val="00FF21A3"/>
    <w:rsid w:val="00FF3C7F"/>
    <w:rsid w:val="00FF4B35"/>
    <w:rsid w:val="00FF4F40"/>
    <w:rsid w:val="095E38C5"/>
    <w:rsid w:val="1122167C"/>
    <w:rsid w:val="13620456"/>
    <w:rsid w:val="1FD565CD"/>
    <w:rsid w:val="232B5C53"/>
    <w:rsid w:val="289516F9"/>
    <w:rsid w:val="298D5F1B"/>
    <w:rsid w:val="2CF1043C"/>
    <w:rsid w:val="2EC8340B"/>
    <w:rsid w:val="3142778D"/>
    <w:rsid w:val="3AE7516E"/>
    <w:rsid w:val="3C155A06"/>
    <w:rsid w:val="3CB745C8"/>
    <w:rsid w:val="4B7118F3"/>
    <w:rsid w:val="52A943A3"/>
    <w:rsid w:val="5536081F"/>
    <w:rsid w:val="5BBD5DF2"/>
    <w:rsid w:val="61E33ADD"/>
    <w:rsid w:val="622205C9"/>
    <w:rsid w:val="62CE653B"/>
    <w:rsid w:val="68A35D74"/>
    <w:rsid w:val="6A486BD3"/>
    <w:rsid w:val="6ADF6FCE"/>
    <w:rsid w:val="6FFE5F86"/>
    <w:rsid w:val="7D792CC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14:defaultImageDpi w14:val="32767"/>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ind w:firstLine="200" w:firstLineChars="200"/>
      <w:jc w:val="both"/>
    </w:pPr>
    <w:rPr>
      <w:rFonts w:ascii="Times New Roman" w:hAnsi="Times New Roman" w:eastAsia="宋体" w:cstheme="minorBidi"/>
      <w:kern w:val="2"/>
      <w:sz w:val="21"/>
      <w:szCs w:val="24"/>
      <w:lang w:val="en-US" w:eastAsia="zh-CN" w:bidi="ar-SA"/>
      <w14:ligatures w14:val="standardContextual"/>
    </w:rPr>
  </w:style>
  <w:style w:type="paragraph" w:styleId="2">
    <w:name w:val="heading 1"/>
    <w:basedOn w:val="1"/>
    <w:next w:val="1"/>
    <w:link w:val="28"/>
    <w:qFormat/>
    <w:uiPriority w:val="9"/>
    <w:pPr>
      <w:keepNext/>
      <w:keepLines/>
      <w:ind w:firstLine="0" w:firstLineChars="0"/>
      <w:outlineLvl w:val="0"/>
    </w:pPr>
    <w:rPr>
      <w:rFonts w:cstheme="majorBidi"/>
      <w:sz w:val="28"/>
      <w:szCs w:val="48"/>
    </w:rPr>
  </w:style>
  <w:style w:type="paragraph" w:styleId="3">
    <w:name w:val="heading 2"/>
    <w:basedOn w:val="1"/>
    <w:next w:val="1"/>
    <w:link w:val="29"/>
    <w:unhideWhenUsed/>
    <w:qFormat/>
    <w:uiPriority w:val="9"/>
    <w:pPr>
      <w:keepNext/>
      <w:keepLines/>
      <w:ind w:firstLine="0" w:firstLineChars="0"/>
      <w:outlineLvl w:val="1"/>
    </w:pPr>
    <w:rPr>
      <w:rFonts w:eastAsia="黑体" w:cstheme="majorBidi"/>
      <w:szCs w:val="40"/>
    </w:rPr>
  </w:style>
  <w:style w:type="paragraph" w:styleId="4">
    <w:name w:val="heading 3"/>
    <w:basedOn w:val="1"/>
    <w:next w:val="1"/>
    <w:link w:val="30"/>
    <w:unhideWhenUsed/>
    <w:qFormat/>
    <w:uiPriority w:val="9"/>
    <w:pPr>
      <w:keepNext/>
      <w:keepLines/>
      <w:ind w:firstLine="0" w:firstLineChars="0"/>
      <w:outlineLvl w:val="2"/>
    </w:pPr>
    <w:rPr>
      <w:rFonts w:eastAsia="楷体" w:cstheme="majorBidi"/>
      <w:szCs w:val="32"/>
    </w:rPr>
  </w:style>
  <w:style w:type="paragraph" w:styleId="5">
    <w:name w:val="heading 4"/>
    <w:basedOn w:val="1"/>
    <w:next w:val="1"/>
    <w:link w:val="31"/>
    <w:unhideWhenUsed/>
    <w:qFormat/>
    <w:uiPriority w:val="9"/>
    <w:pPr>
      <w:keepNext/>
      <w:keepLines/>
      <w:spacing w:before="80" w:after="40"/>
      <w:outlineLvl w:val="3"/>
    </w:pPr>
    <w:rPr>
      <w:rFonts w:cstheme="majorBidi"/>
      <w:color w:val="2F5597" w:themeColor="accent1" w:themeShade="BF"/>
      <w:sz w:val="28"/>
      <w:szCs w:val="28"/>
    </w:rPr>
  </w:style>
  <w:style w:type="paragraph" w:styleId="6">
    <w:name w:val="heading 5"/>
    <w:basedOn w:val="1"/>
    <w:next w:val="1"/>
    <w:link w:val="32"/>
    <w:semiHidden/>
    <w:unhideWhenUsed/>
    <w:qFormat/>
    <w:uiPriority w:val="9"/>
    <w:pPr>
      <w:keepNext/>
      <w:keepLines/>
      <w:ind w:firstLine="0" w:firstLineChars="0"/>
      <w:jc w:val="center"/>
      <w:outlineLvl w:val="4"/>
    </w:pPr>
    <w:rPr>
      <w:rFonts w:cstheme="majorBidi"/>
      <w:sz w:val="18"/>
    </w:rPr>
  </w:style>
  <w:style w:type="paragraph" w:styleId="7">
    <w:name w:val="heading 6"/>
    <w:basedOn w:val="1"/>
    <w:next w:val="1"/>
    <w:link w:val="33"/>
    <w:semiHidden/>
    <w:unhideWhenUsed/>
    <w:qFormat/>
    <w:uiPriority w:val="9"/>
    <w:pPr>
      <w:keepNext/>
      <w:keepLines/>
      <w:spacing w:before="40"/>
      <w:outlineLvl w:val="5"/>
    </w:pPr>
    <w:rPr>
      <w:rFonts w:cstheme="majorBidi"/>
      <w:b/>
      <w:bCs/>
      <w:color w:val="2F5597" w:themeColor="accent1" w:themeShade="BF"/>
    </w:rPr>
  </w:style>
  <w:style w:type="paragraph" w:styleId="8">
    <w:name w:val="heading 7"/>
    <w:basedOn w:val="1"/>
    <w:next w:val="1"/>
    <w:link w:val="34"/>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5"/>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36"/>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55"/>
    <w:unhideWhenUsed/>
    <w:qFormat/>
    <w:uiPriority w:val="99"/>
    <w:pPr>
      <w:jc w:val="left"/>
    </w:pPr>
  </w:style>
  <w:style w:type="paragraph" w:styleId="12">
    <w:name w:val="Date"/>
    <w:basedOn w:val="1"/>
    <w:next w:val="1"/>
    <w:link w:val="46"/>
    <w:semiHidden/>
    <w:unhideWhenUsed/>
    <w:qFormat/>
    <w:uiPriority w:val="99"/>
    <w:pPr>
      <w:ind w:left="100" w:leftChars="2500"/>
    </w:pPr>
  </w:style>
  <w:style w:type="paragraph" w:styleId="13">
    <w:name w:val="Balloon Text"/>
    <w:basedOn w:val="1"/>
    <w:link w:val="62"/>
    <w:semiHidden/>
    <w:unhideWhenUsed/>
    <w:qFormat/>
    <w:uiPriority w:val="99"/>
    <w:rPr>
      <w:sz w:val="18"/>
      <w:szCs w:val="18"/>
    </w:rPr>
  </w:style>
  <w:style w:type="paragraph" w:styleId="14">
    <w:name w:val="footer"/>
    <w:basedOn w:val="1"/>
    <w:link w:val="52"/>
    <w:unhideWhenUsed/>
    <w:qFormat/>
    <w:uiPriority w:val="99"/>
    <w:pPr>
      <w:tabs>
        <w:tab w:val="center" w:pos="4153"/>
        <w:tab w:val="right" w:pos="8306"/>
      </w:tabs>
      <w:jc w:val="left"/>
    </w:pPr>
    <w:rPr>
      <w:sz w:val="18"/>
      <w:szCs w:val="18"/>
    </w:rPr>
  </w:style>
  <w:style w:type="paragraph" w:styleId="15">
    <w:name w:val="header"/>
    <w:basedOn w:val="1"/>
    <w:link w:val="51"/>
    <w:unhideWhenUsed/>
    <w:qFormat/>
    <w:uiPriority w:val="99"/>
    <w:pPr>
      <w:tabs>
        <w:tab w:val="center" w:pos="4153"/>
        <w:tab w:val="right" w:pos="8306"/>
      </w:tabs>
      <w:jc w:val="center"/>
    </w:pPr>
    <w:rPr>
      <w:sz w:val="18"/>
      <w:szCs w:val="18"/>
    </w:rPr>
  </w:style>
  <w:style w:type="paragraph" w:styleId="16">
    <w:name w:val="Subtitle"/>
    <w:basedOn w:val="1"/>
    <w:next w:val="1"/>
    <w:link w:val="38"/>
    <w:qFormat/>
    <w:uiPriority w:val="11"/>
    <w:pPr>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7">
    <w:name w:val="footnote text"/>
    <w:basedOn w:val="1"/>
    <w:link w:val="53"/>
    <w:unhideWhenUsed/>
    <w:qFormat/>
    <w:uiPriority w:val="0"/>
    <w:pPr>
      <w:jc w:val="left"/>
    </w:pPr>
    <w:rPr>
      <w:sz w:val="18"/>
      <w:szCs w:val="18"/>
    </w:rPr>
  </w:style>
  <w:style w:type="paragraph" w:styleId="18">
    <w:name w:val="Normal (Web)"/>
    <w:basedOn w:val="1"/>
    <w:semiHidden/>
    <w:unhideWhenUsed/>
    <w:qFormat/>
    <w:uiPriority w:val="99"/>
    <w:rPr>
      <w:rFonts w:cs="Times New Roman"/>
      <w:sz w:val="24"/>
    </w:rPr>
  </w:style>
  <w:style w:type="paragraph" w:styleId="19">
    <w:name w:val="Title"/>
    <w:basedOn w:val="1"/>
    <w:next w:val="1"/>
    <w:link w:val="37"/>
    <w:qFormat/>
    <w:uiPriority w:val="10"/>
    <w:pPr>
      <w:ind w:firstLine="0" w:firstLineChars="0"/>
      <w:contextualSpacing/>
      <w:outlineLvl w:val="2"/>
    </w:pPr>
    <w:rPr>
      <w:rFonts w:eastAsia="黑体" w:cstheme="majorBidi"/>
      <w:spacing w:val="-10"/>
      <w:kern w:val="28"/>
      <w:szCs w:val="56"/>
    </w:rPr>
  </w:style>
  <w:style w:type="paragraph" w:styleId="20">
    <w:name w:val="annotation subject"/>
    <w:basedOn w:val="11"/>
    <w:next w:val="11"/>
    <w:link w:val="56"/>
    <w:semiHidden/>
    <w:unhideWhenUsed/>
    <w:qFormat/>
    <w:uiPriority w:val="99"/>
    <w:rPr>
      <w:b/>
      <w:bCs/>
    </w:rPr>
  </w:style>
  <w:style w:type="table" w:styleId="22">
    <w:name w:val="Table Grid"/>
    <w:basedOn w:val="2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basedOn w:val="23"/>
    <w:semiHidden/>
    <w:unhideWhenUsed/>
    <w:qFormat/>
    <w:uiPriority w:val="99"/>
    <w:rPr>
      <w:sz w:val="21"/>
      <w:szCs w:val="21"/>
    </w:rPr>
  </w:style>
  <w:style w:type="character" w:styleId="27">
    <w:name w:val="footnote reference"/>
    <w:basedOn w:val="23"/>
    <w:semiHidden/>
    <w:unhideWhenUsed/>
    <w:qFormat/>
    <w:uiPriority w:val="99"/>
    <w:rPr>
      <w:vertAlign w:val="superscript"/>
    </w:rPr>
  </w:style>
  <w:style w:type="character" w:customStyle="1" w:styleId="28">
    <w:name w:val="标题 1 字符"/>
    <w:basedOn w:val="23"/>
    <w:link w:val="2"/>
    <w:qFormat/>
    <w:uiPriority w:val="9"/>
    <w:rPr>
      <w:rFonts w:ascii="Times New Roman" w:hAnsi="Times New Roman" w:eastAsia="宋体" w:cstheme="majorBidi"/>
      <w:sz w:val="28"/>
      <w:szCs w:val="48"/>
    </w:rPr>
  </w:style>
  <w:style w:type="character" w:customStyle="1" w:styleId="29">
    <w:name w:val="标题 2 字符"/>
    <w:basedOn w:val="23"/>
    <w:link w:val="3"/>
    <w:qFormat/>
    <w:uiPriority w:val="9"/>
    <w:rPr>
      <w:rFonts w:ascii="Times New Roman" w:hAnsi="Times New Roman" w:eastAsia="黑体" w:cstheme="majorBidi"/>
      <w:sz w:val="21"/>
      <w:szCs w:val="40"/>
    </w:rPr>
  </w:style>
  <w:style w:type="character" w:customStyle="1" w:styleId="30">
    <w:name w:val="标题 3 字符"/>
    <w:basedOn w:val="23"/>
    <w:link w:val="4"/>
    <w:qFormat/>
    <w:uiPriority w:val="9"/>
    <w:rPr>
      <w:rFonts w:ascii="Times New Roman" w:hAnsi="Times New Roman" w:eastAsia="楷体" w:cstheme="majorBidi"/>
      <w:sz w:val="21"/>
      <w:szCs w:val="32"/>
    </w:rPr>
  </w:style>
  <w:style w:type="character" w:customStyle="1" w:styleId="31">
    <w:name w:val="标题 4 字符"/>
    <w:basedOn w:val="23"/>
    <w:link w:val="5"/>
    <w:qFormat/>
    <w:uiPriority w:val="9"/>
    <w:rPr>
      <w:rFonts w:cstheme="majorBidi"/>
      <w:color w:val="2F5597" w:themeColor="accent1" w:themeShade="BF"/>
      <w:sz w:val="28"/>
      <w:szCs w:val="28"/>
    </w:rPr>
  </w:style>
  <w:style w:type="character" w:customStyle="1" w:styleId="32">
    <w:name w:val="标题 5 字符"/>
    <w:basedOn w:val="23"/>
    <w:link w:val="6"/>
    <w:semiHidden/>
    <w:qFormat/>
    <w:uiPriority w:val="9"/>
    <w:rPr>
      <w:rFonts w:ascii="Times New Roman" w:hAnsi="Times New Roman" w:eastAsia="宋体" w:cstheme="majorBidi"/>
      <w:sz w:val="18"/>
    </w:rPr>
  </w:style>
  <w:style w:type="character" w:customStyle="1" w:styleId="33">
    <w:name w:val="标题 6 字符"/>
    <w:basedOn w:val="23"/>
    <w:link w:val="7"/>
    <w:semiHidden/>
    <w:qFormat/>
    <w:uiPriority w:val="9"/>
    <w:rPr>
      <w:rFonts w:cstheme="majorBidi"/>
      <w:b/>
      <w:bCs/>
      <w:color w:val="2F5597" w:themeColor="accent1" w:themeShade="BF"/>
    </w:rPr>
  </w:style>
  <w:style w:type="character" w:customStyle="1" w:styleId="34">
    <w:name w:val="标题 7 字符"/>
    <w:basedOn w:val="23"/>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5">
    <w:name w:val="标题 8 字符"/>
    <w:basedOn w:val="23"/>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6">
    <w:name w:val="标题 9 字符"/>
    <w:basedOn w:val="23"/>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7">
    <w:name w:val="标题 字符"/>
    <w:basedOn w:val="23"/>
    <w:link w:val="19"/>
    <w:qFormat/>
    <w:uiPriority w:val="10"/>
    <w:rPr>
      <w:rFonts w:ascii="Times New Roman" w:hAnsi="Times New Roman" w:eastAsia="黑体" w:cstheme="majorBidi"/>
      <w:spacing w:val="-10"/>
      <w:kern w:val="28"/>
      <w:sz w:val="21"/>
      <w:szCs w:val="56"/>
    </w:rPr>
  </w:style>
  <w:style w:type="character" w:customStyle="1" w:styleId="38">
    <w:name w:val="副标题 字符"/>
    <w:basedOn w:val="23"/>
    <w:link w:val="16"/>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9">
    <w:name w:val="Quote"/>
    <w:basedOn w:val="1"/>
    <w:next w:val="1"/>
    <w:link w:val="40"/>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40">
    <w:name w:val="引用 字符"/>
    <w:basedOn w:val="23"/>
    <w:link w:val="39"/>
    <w:qFormat/>
    <w:uiPriority w:val="29"/>
    <w:rPr>
      <w:i/>
      <w:iCs/>
      <w:color w:val="404040" w:themeColor="text1" w:themeTint="BF"/>
      <w14:textFill>
        <w14:solidFill>
          <w14:schemeClr w14:val="tx1">
            <w14:lumMod w14:val="75000"/>
            <w14:lumOff w14:val="25000"/>
          </w14:schemeClr>
        </w14:solidFill>
      </w14:textFill>
    </w:rPr>
  </w:style>
  <w:style w:type="paragraph" w:styleId="41">
    <w:name w:val="List Paragraph"/>
    <w:basedOn w:val="1"/>
    <w:qFormat/>
    <w:uiPriority w:val="34"/>
    <w:pPr>
      <w:ind w:left="720"/>
      <w:contextualSpacing/>
    </w:pPr>
  </w:style>
  <w:style w:type="character" w:customStyle="1" w:styleId="42">
    <w:name w:val="明显强调1"/>
    <w:basedOn w:val="23"/>
    <w:qFormat/>
    <w:uiPriority w:val="21"/>
    <w:rPr>
      <w:i/>
      <w:iCs/>
      <w:color w:val="2F5597" w:themeColor="accent1" w:themeShade="BF"/>
    </w:rPr>
  </w:style>
  <w:style w:type="paragraph" w:styleId="43">
    <w:name w:val="Intense Quote"/>
    <w:basedOn w:val="1"/>
    <w:next w:val="1"/>
    <w:link w:val="44"/>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44">
    <w:name w:val="明显引用 字符"/>
    <w:basedOn w:val="23"/>
    <w:link w:val="43"/>
    <w:qFormat/>
    <w:uiPriority w:val="30"/>
    <w:rPr>
      <w:i/>
      <w:iCs/>
      <w:color w:val="2F5597" w:themeColor="accent1" w:themeShade="BF"/>
    </w:rPr>
  </w:style>
  <w:style w:type="character" w:customStyle="1" w:styleId="45">
    <w:name w:val="明显参考1"/>
    <w:basedOn w:val="23"/>
    <w:qFormat/>
    <w:uiPriority w:val="32"/>
    <w:rPr>
      <w:b/>
      <w:bCs/>
      <w:smallCaps/>
      <w:color w:val="2F5597" w:themeColor="accent1" w:themeShade="BF"/>
      <w:spacing w:val="5"/>
    </w:rPr>
  </w:style>
  <w:style w:type="character" w:customStyle="1" w:styleId="46">
    <w:name w:val="日期 字符"/>
    <w:basedOn w:val="23"/>
    <w:link w:val="12"/>
    <w:semiHidden/>
    <w:qFormat/>
    <w:uiPriority w:val="99"/>
  </w:style>
  <w:style w:type="character" w:styleId="47">
    <w:name w:val="Placeholder Text"/>
    <w:basedOn w:val="23"/>
    <w:semiHidden/>
    <w:qFormat/>
    <w:uiPriority w:val="99"/>
    <w:rPr>
      <w:color w:val="666666"/>
    </w:rPr>
  </w:style>
  <w:style w:type="character" w:customStyle="1" w:styleId="48">
    <w:name w:val="MTEquationSection"/>
    <w:basedOn w:val="23"/>
    <w:qFormat/>
    <w:uiPriority w:val="0"/>
    <w:rPr>
      <w:rFonts w:ascii="黑体" w:hAnsi="黑体" w:eastAsia="黑体"/>
      <w:vanish/>
      <w:color w:val="FF0000"/>
      <w:sz w:val="44"/>
      <w:szCs w:val="44"/>
    </w:rPr>
  </w:style>
  <w:style w:type="paragraph" w:customStyle="1" w:styleId="49">
    <w:name w:val="MTDisplayEquation"/>
    <w:basedOn w:val="1"/>
    <w:next w:val="1"/>
    <w:link w:val="50"/>
    <w:qFormat/>
    <w:uiPriority w:val="0"/>
    <w:pPr>
      <w:tabs>
        <w:tab w:val="center" w:pos="4160"/>
        <w:tab w:val="right" w:pos="8300"/>
      </w:tabs>
      <w:spacing w:after="160" w:line="278" w:lineRule="auto"/>
      <w:ind w:firstLine="0" w:firstLineChars="0"/>
    </w:pPr>
  </w:style>
  <w:style w:type="character" w:customStyle="1" w:styleId="50">
    <w:name w:val="MTDisplayEquation 字符"/>
    <w:basedOn w:val="23"/>
    <w:link w:val="49"/>
    <w:qFormat/>
    <w:uiPriority w:val="0"/>
    <w:rPr>
      <w:rFonts w:ascii="Times New Roman" w:hAnsi="Times New Roman" w:eastAsia="宋体"/>
      <w:sz w:val="21"/>
    </w:rPr>
  </w:style>
  <w:style w:type="character" w:customStyle="1" w:styleId="51">
    <w:name w:val="页眉 字符"/>
    <w:basedOn w:val="23"/>
    <w:link w:val="15"/>
    <w:qFormat/>
    <w:uiPriority w:val="99"/>
    <w:rPr>
      <w:rFonts w:ascii="Times New Roman" w:hAnsi="Times New Roman" w:eastAsia="宋体"/>
      <w:sz w:val="18"/>
      <w:szCs w:val="18"/>
    </w:rPr>
  </w:style>
  <w:style w:type="character" w:customStyle="1" w:styleId="52">
    <w:name w:val="页脚 字符"/>
    <w:basedOn w:val="23"/>
    <w:link w:val="14"/>
    <w:qFormat/>
    <w:uiPriority w:val="99"/>
    <w:rPr>
      <w:rFonts w:ascii="Times New Roman" w:hAnsi="Times New Roman" w:eastAsia="宋体"/>
      <w:sz w:val="18"/>
      <w:szCs w:val="18"/>
    </w:rPr>
  </w:style>
  <w:style w:type="character" w:customStyle="1" w:styleId="53">
    <w:name w:val="脚注文本 字符"/>
    <w:basedOn w:val="23"/>
    <w:link w:val="17"/>
    <w:semiHidden/>
    <w:qFormat/>
    <w:uiPriority w:val="0"/>
    <w:rPr>
      <w:rFonts w:ascii="Times New Roman" w:hAnsi="Times New Roman" w:eastAsia="宋体"/>
      <w:sz w:val="18"/>
      <w:szCs w:val="18"/>
    </w:rPr>
  </w:style>
  <w:style w:type="paragraph" w:customStyle="1" w:styleId="54">
    <w:name w:val="修订1"/>
    <w:hidden/>
    <w:semiHidden/>
    <w:qFormat/>
    <w:uiPriority w:val="99"/>
    <w:rPr>
      <w:rFonts w:ascii="Times New Roman" w:hAnsi="Times New Roman" w:eastAsia="宋体" w:cstheme="minorBidi"/>
      <w:kern w:val="2"/>
      <w:sz w:val="21"/>
      <w:szCs w:val="24"/>
      <w:lang w:val="en-US" w:eastAsia="zh-CN" w:bidi="ar-SA"/>
      <w14:ligatures w14:val="standardContextual"/>
    </w:rPr>
  </w:style>
  <w:style w:type="character" w:customStyle="1" w:styleId="55">
    <w:name w:val="批注文字 字符"/>
    <w:basedOn w:val="23"/>
    <w:link w:val="11"/>
    <w:qFormat/>
    <w:uiPriority w:val="99"/>
    <w:rPr>
      <w:rFonts w:ascii="Times New Roman" w:hAnsi="Times New Roman" w:eastAsia="宋体"/>
      <w:sz w:val="21"/>
    </w:rPr>
  </w:style>
  <w:style w:type="character" w:customStyle="1" w:styleId="56">
    <w:name w:val="批注主题 字符"/>
    <w:basedOn w:val="55"/>
    <w:link w:val="20"/>
    <w:semiHidden/>
    <w:qFormat/>
    <w:uiPriority w:val="99"/>
    <w:rPr>
      <w:rFonts w:ascii="Times New Roman" w:hAnsi="Times New Roman" w:eastAsia="宋体"/>
      <w:b/>
      <w:bCs/>
      <w:sz w:val="21"/>
    </w:rPr>
  </w:style>
  <w:style w:type="paragraph" w:customStyle="1" w:styleId="57">
    <w:name w:val="图表命名"/>
    <w:next w:val="1"/>
    <w:qFormat/>
    <w:uiPriority w:val="0"/>
    <w:pPr>
      <w:adjustRightInd w:val="0"/>
      <w:snapToGrid w:val="0"/>
      <w:jc w:val="center"/>
    </w:pPr>
    <w:rPr>
      <w:rFonts w:ascii="Times New Roman" w:hAnsi="Times New Roman" w:eastAsia="黑体" w:cstheme="minorBidi"/>
      <w:kern w:val="2"/>
      <w:sz w:val="18"/>
      <w:szCs w:val="24"/>
      <w:lang w:val="en-US" w:eastAsia="zh-CN" w:bidi="ar-SA"/>
      <w14:ligatures w14:val="standardContextual"/>
    </w:rPr>
  </w:style>
  <w:style w:type="table" w:customStyle="1" w:styleId="58">
    <w:name w:val="水资源保护三线表"/>
    <w:basedOn w:val="21"/>
    <w:qFormat/>
    <w:uiPriority w:val="99"/>
    <w:pPr>
      <w:adjustRightInd w:val="0"/>
      <w:snapToGrid w:val="0"/>
      <w:jc w:val="center"/>
    </w:pPr>
    <w:tblPr>
      <w:tblBorders>
        <w:top w:val="single" w:color="auto" w:sz="12" w:space="0"/>
        <w:bottom w:val="single" w:color="auto" w:sz="12" w:space="0"/>
      </w:tblBorders>
    </w:tblPr>
    <w:tblStylePr w:type="firstRow">
      <w:pPr>
        <w:wordWrap/>
        <w:spacing w:line="240" w:lineRule="auto"/>
        <w:ind w:left="0" w:leftChars="0" w:firstLine="0" w:firstLineChars="0"/>
        <w:contextualSpacing w:val="0"/>
        <w:jc w:val="center"/>
      </w:pPr>
      <w:rPr>
        <w:rFonts w:ascii="Times New Roman" w:hAnsi="Times New Roman" w:eastAsia="宋体"/>
        <w:b w:val="0"/>
        <w:i w:val="0"/>
        <w:sz w:val="15"/>
      </w:rPr>
      <w:tcPr>
        <w:tcBorders>
          <w:top w:val="single" w:color="auto" w:sz="12" w:space="0"/>
          <w:left w:val="nil"/>
          <w:bottom w:val="single" w:color="auto" w:sz="4" w:space="0"/>
          <w:right w:val="nil"/>
          <w:insideH w:val="nil"/>
          <w:insideV w:val="nil"/>
          <w:tl2br w:val="nil"/>
          <w:tr2bl w:val="nil"/>
        </w:tcBorders>
      </w:tcPr>
    </w:tblStylePr>
  </w:style>
  <w:style w:type="character" w:customStyle="1" w:styleId="59">
    <w:name w:val="未处理的提及1"/>
    <w:basedOn w:val="23"/>
    <w:semiHidden/>
    <w:unhideWhenUsed/>
    <w:qFormat/>
    <w:uiPriority w:val="99"/>
    <w:rPr>
      <w:color w:val="605E5C"/>
      <w:shd w:val="clear" w:color="auto" w:fill="E1DFDD"/>
    </w:rPr>
  </w:style>
  <w:style w:type="paragraph" w:customStyle="1" w:styleId="60">
    <w:name w:val="标准三号正文"/>
    <w:basedOn w:val="1"/>
    <w:qFormat/>
    <w:uiPriority w:val="0"/>
    <w:pPr>
      <w:spacing w:line="360" w:lineRule="auto"/>
      <w:ind w:firstLine="880"/>
    </w:pPr>
    <w:rPr>
      <w:rFonts w:ascii="宋体" w:hAnsi="宋体" w:eastAsia="仿宋"/>
      <w:sz w:val="32"/>
    </w:rPr>
  </w:style>
  <w:style w:type="paragraph" w:customStyle="1" w:styleId="61">
    <w:name w:val="修订2"/>
    <w:hidden/>
    <w:unhideWhenUsed/>
    <w:qFormat/>
    <w:uiPriority w:val="99"/>
    <w:rPr>
      <w:rFonts w:ascii="Times New Roman" w:hAnsi="Times New Roman" w:eastAsia="宋体" w:cstheme="minorBidi"/>
      <w:kern w:val="2"/>
      <w:sz w:val="21"/>
      <w:szCs w:val="24"/>
      <w:lang w:val="en-US" w:eastAsia="zh-CN" w:bidi="ar-SA"/>
      <w14:ligatures w14:val="standardContextual"/>
    </w:rPr>
  </w:style>
  <w:style w:type="character" w:customStyle="1" w:styleId="62">
    <w:name w:val="批注框文本 字符"/>
    <w:basedOn w:val="23"/>
    <w:link w:val="13"/>
    <w:semiHidden/>
    <w:qFormat/>
    <w:uiPriority w:val="99"/>
    <w:rPr>
      <w:rFonts w:ascii="Times New Roman" w:hAnsi="Times New Roman" w:eastAsia="宋体"/>
      <w:kern w:val="2"/>
      <w:sz w:val="18"/>
      <w:szCs w:val="18"/>
      <w14:ligatures w14:val="standardContextual"/>
    </w:rPr>
  </w:style>
  <w:style w:type="paragraph" w:customStyle="1" w:styleId="63">
    <w:name w:val="Revision"/>
    <w:hidden/>
    <w:unhideWhenUsed/>
    <w:qFormat/>
    <w:uiPriority w:val="99"/>
    <w:rPr>
      <w:rFonts w:ascii="Times New Roman" w:hAnsi="Times New Roman" w:eastAsia="宋体" w:cstheme="minorBidi"/>
      <w:kern w:val="2"/>
      <w:sz w:val="21"/>
      <w:szCs w:val="24"/>
      <w:lang w:val="en-US" w:eastAsia="zh-CN" w:bidi="ar-SA"/>
      <w14:ligatures w14:val="standardContextual"/>
    </w:rPr>
  </w:style>
</w:styles>
</file>

<file path=word/_rels/document.xml.rels><?xml version="1.0" encoding="UTF-8" standalone="yes"?>
<Relationships xmlns="http://schemas.openxmlformats.org/package/2006/relationships"><Relationship Id="rId99" Type="http://schemas.openxmlformats.org/officeDocument/2006/relationships/image" Target="media/image44.wmf"/><Relationship Id="rId98" Type="http://schemas.openxmlformats.org/officeDocument/2006/relationships/oleObject" Target="embeddings/oleObject44.bin"/><Relationship Id="rId97" Type="http://schemas.openxmlformats.org/officeDocument/2006/relationships/image" Target="media/image43.wmf"/><Relationship Id="rId96" Type="http://schemas.openxmlformats.org/officeDocument/2006/relationships/oleObject" Target="embeddings/oleObject43.bin"/><Relationship Id="rId95" Type="http://schemas.openxmlformats.org/officeDocument/2006/relationships/image" Target="media/image42.wmf"/><Relationship Id="rId94" Type="http://schemas.openxmlformats.org/officeDocument/2006/relationships/oleObject" Target="embeddings/oleObject42.bin"/><Relationship Id="rId93" Type="http://schemas.openxmlformats.org/officeDocument/2006/relationships/image" Target="media/image41.wmf"/><Relationship Id="rId92" Type="http://schemas.openxmlformats.org/officeDocument/2006/relationships/oleObject" Target="embeddings/oleObject41.bin"/><Relationship Id="rId91" Type="http://schemas.openxmlformats.org/officeDocument/2006/relationships/image" Target="media/image40.wmf"/><Relationship Id="rId90" Type="http://schemas.openxmlformats.org/officeDocument/2006/relationships/oleObject" Target="embeddings/oleObject40.bin"/><Relationship Id="rId9" Type="http://schemas.openxmlformats.org/officeDocument/2006/relationships/footer" Target="footer2.xml"/><Relationship Id="rId89" Type="http://schemas.openxmlformats.org/officeDocument/2006/relationships/image" Target="media/image39.wmf"/><Relationship Id="rId88" Type="http://schemas.openxmlformats.org/officeDocument/2006/relationships/oleObject" Target="embeddings/oleObject39.bin"/><Relationship Id="rId87" Type="http://schemas.openxmlformats.org/officeDocument/2006/relationships/image" Target="media/image38.wmf"/><Relationship Id="rId86" Type="http://schemas.openxmlformats.org/officeDocument/2006/relationships/oleObject" Target="embeddings/oleObject38.bin"/><Relationship Id="rId85" Type="http://schemas.openxmlformats.org/officeDocument/2006/relationships/image" Target="media/image37.wmf"/><Relationship Id="rId84" Type="http://schemas.openxmlformats.org/officeDocument/2006/relationships/oleObject" Target="embeddings/oleObject37.bin"/><Relationship Id="rId83" Type="http://schemas.openxmlformats.org/officeDocument/2006/relationships/image" Target="media/image36.wmf"/><Relationship Id="rId82" Type="http://schemas.openxmlformats.org/officeDocument/2006/relationships/oleObject" Target="embeddings/oleObject36.bin"/><Relationship Id="rId81" Type="http://schemas.openxmlformats.org/officeDocument/2006/relationships/image" Target="media/image35.wmf"/><Relationship Id="rId80" Type="http://schemas.openxmlformats.org/officeDocument/2006/relationships/oleObject" Target="embeddings/oleObject35.bin"/><Relationship Id="rId8" Type="http://schemas.openxmlformats.org/officeDocument/2006/relationships/footer" Target="footer1.xml"/><Relationship Id="rId79" Type="http://schemas.openxmlformats.org/officeDocument/2006/relationships/image" Target="media/image34.wmf"/><Relationship Id="rId78" Type="http://schemas.openxmlformats.org/officeDocument/2006/relationships/oleObject" Target="embeddings/oleObject34.bin"/><Relationship Id="rId77" Type="http://schemas.openxmlformats.org/officeDocument/2006/relationships/image" Target="media/image33.wmf"/><Relationship Id="rId76" Type="http://schemas.openxmlformats.org/officeDocument/2006/relationships/oleObject" Target="embeddings/oleObject33.bin"/><Relationship Id="rId75" Type="http://schemas.openxmlformats.org/officeDocument/2006/relationships/image" Target="media/image32.wmf"/><Relationship Id="rId74" Type="http://schemas.openxmlformats.org/officeDocument/2006/relationships/oleObject" Target="embeddings/oleObject32.bin"/><Relationship Id="rId73" Type="http://schemas.openxmlformats.org/officeDocument/2006/relationships/image" Target="media/image31.wmf"/><Relationship Id="rId72" Type="http://schemas.openxmlformats.org/officeDocument/2006/relationships/oleObject" Target="embeddings/oleObject31.bin"/><Relationship Id="rId71" Type="http://schemas.openxmlformats.org/officeDocument/2006/relationships/image" Target="media/image30.wmf"/><Relationship Id="rId70" Type="http://schemas.openxmlformats.org/officeDocument/2006/relationships/oleObject" Target="embeddings/oleObject30.bin"/><Relationship Id="rId7" Type="http://schemas.openxmlformats.org/officeDocument/2006/relationships/header" Target="header3.xml"/><Relationship Id="rId69" Type="http://schemas.openxmlformats.org/officeDocument/2006/relationships/image" Target="media/image29.wmf"/><Relationship Id="rId68" Type="http://schemas.openxmlformats.org/officeDocument/2006/relationships/oleObject" Target="embeddings/oleObject29.bin"/><Relationship Id="rId67" Type="http://schemas.openxmlformats.org/officeDocument/2006/relationships/image" Target="media/image28.wmf"/><Relationship Id="rId66" Type="http://schemas.openxmlformats.org/officeDocument/2006/relationships/oleObject" Target="embeddings/oleObject28.bin"/><Relationship Id="rId65" Type="http://schemas.openxmlformats.org/officeDocument/2006/relationships/image" Target="media/image27.wmf"/><Relationship Id="rId64" Type="http://schemas.openxmlformats.org/officeDocument/2006/relationships/oleObject" Target="embeddings/oleObject27.bin"/><Relationship Id="rId63" Type="http://schemas.openxmlformats.org/officeDocument/2006/relationships/image" Target="media/image26.wmf"/><Relationship Id="rId62" Type="http://schemas.openxmlformats.org/officeDocument/2006/relationships/oleObject" Target="embeddings/oleObject26.bin"/><Relationship Id="rId61" Type="http://schemas.openxmlformats.org/officeDocument/2006/relationships/image" Target="media/image25.wmf"/><Relationship Id="rId60" Type="http://schemas.openxmlformats.org/officeDocument/2006/relationships/oleObject" Target="embeddings/oleObject25.bin"/><Relationship Id="rId6" Type="http://schemas.openxmlformats.org/officeDocument/2006/relationships/header" Target="header2.xml"/><Relationship Id="rId59" Type="http://schemas.openxmlformats.org/officeDocument/2006/relationships/image" Target="media/image24.wmf"/><Relationship Id="rId58" Type="http://schemas.openxmlformats.org/officeDocument/2006/relationships/oleObject" Target="embeddings/oleObject24.bin"/><Relationship Id="rId57" Type="http://schemas.openxmlformats.org/officeDocument/2006/relationships/image" Target="media/image23.wmf"/><Relationship Id="rId56" Type="http://schemas.openxmlformats.org/officeDocument/2006/relationships/oleObject" Target="embeddings/oleObject23.bin"/><Relationship Id="rId55" Type="http://schemas.openxmlformats.org/officeDocument/2006/relationships/image" Target="media/image22.wmf"/><Relationship Id="rId54" Type="http://schemas.openxmlformats.org/officeDocument/2006/relationships/oleObject" Target="embeddings/oleObject22.bin"/><Relationship Id="rId53" Type="http://schemas.openxmlformats.org/officeDocument/2006/relationships/image" Target="media/image21.wmf"/><Relationship Id="rId52" Type="http://schemas.openxmlformats.org/officeDocument/2006/relationships/oleObject" Target="embeddings/oleObject21.bin"/><Relationship Id="rId51" Type="http://schemas.openxmlformats.org/officeDocument/2006/relationships/image" Target="media/image20.wmf"/><Relationship Id="rId50" Type="http://schemas.openxmlformats.org/officeDocument/2006/relationships/oleObject" Target="embeddings/oleObject20.bin"/><Relationship Id="rId5" Type="http://schemas.openxmlformats.org/officeDocument/2006/relationships/header" Target="header1.xml"/><Relationship Id="rId49" Type="http://schemas.openxmlformats.org/officeDocument/2006/relationships/image" Target="media/image19.wmf"/><Relationship Id="rId48" Type="http://schemas.openxmlformats.org/officeDocument/2006/relationships/oleObject" Target="embeddings/oleObject19.bin"/><Relationship Id="rId47" Type="http://schemas.openxmlformats.org/officeDocument/2006/relationships/image" Target="media/image18.wmf"/><Relationship Id="rId46" Type="http://schemas.openxmlformats.org/officeDocument/2006/relationships/oleObject" Target="embeddings/oleObject18.bin"/><Relationship Id="rId45" Type="http://schemas.openxmlformats.org/officeDocument/2006/relationships/image" Target="media/image17.wmf"/><Relationship Id="rId44" Type="http://schemas.openxmlformats.org/officeDocument/2006/relationships/oleObject" Target="embeddings/oleObject17.bin"/><Relationship Id="rId43" Type="http://schemas.openxmlformats.org/officeDocument/2006/relationships/image" Target="media/image16.wmf"/><Relationship Id="rId42" Type="http://schemas.openxmlformats.org/officeDocument/2006/relationships/oleObject" Target="embeddings/oleObject16.bin"/><Relationship Id="rId41" Type="http://schemas.openxmlformats.org/officeDocument/2006/relationships/image" Target="media/image15.wmf"/><Relationship Id="rId40" Type="http://schemas.openxmlformats.org/officeDocument/2006/relationships/oleObject" Target="embeddings/oleObject15.bin"/><Relationship Id="rId4" Type="http://schemas.openxmlformats.org/officeDocument/2006/relationships/endnotes" Target="endnotes.xml"/><Relationship Id="rId39" Type="http://schemas.openxmlformats.org/officeDocument/2006/relationships/image" Target="media/image14.wmf"/><Relationship Id="rId38" Type="http://schemas.openxmlformats.org/officeDocument/2006/relationships/oleObject" Target="embeddings/oleObject14.bin"/><Relationship Id="rId37" Type="http://schemas.openxmlformats.org/officeDocument/2006/relationships/image" Target="media/image13.wmf"/><Relationship Id="rId36" Type="http://schemas.openxmlformats.org/officeDocument/2006/relationships/oleObject" Target="embeddings/oleObject13.bin"/><Relationship Id="rId35" Type="http://schemas.openxmlformats.org/officeDocument/2006/relationships/image" Target="media/image12.wmf"/><Relationship Id="rId34" Type="http://schemas.openxmlformats.org/officeDocument/2006/relationships/oleObject" Target="embeddings/oleObject12.bin"/><Relationship Id="rId33" Type="http://schemas.openxmlformats.org/officeDocument/2006/relationships/image" Target="media/image11.wmf"/><Relationship Id="rId32" Type="http://schemas.openxmlformats.org/officeDocument/2006/relationships/oleObject" Target="embeddings/oleObject11.bin"/><Relationship Id="rId31" Type="http://schemas.openxmlformats.org/officeDocument/2006/relationships/image" Target="media/image10.wmf"/><Relationship Id="rId30" Type="http://schemas.openxmlformats.org/officeDocument/2006/relationships/oleObject" Target="embeddings/oleObject10.bin"/><Relationship Id="rId3" Type="http://schemas.openxmlformats.org/officeDocument/2006/relationships/footnotes" Target="footnotes.xml"/><Relationship Id="rId29" Type="http://schemas.openxmlformats.org/officeDocument/2006/relationships/image" Target="media/image9.wmf"/><Relationship Id="rId28" Type="http://schemas.openxmlformats.org/officeDocument/2006/relationships/oleObject" Target="embeddings/oleObject9.bin"/><Relationship Id="rId27" Type="http://schemas.openxmlformats.org/officeDocument/2006/relationships/image" Target="media/image8.wmf"/><Relationship Id="rId26" Type="http://schemas.openxmlformats.org/officeDocument/2006/relationships/oleObject" Target="embeddings/oleObject8.bin"/><Relationship Id="rId25" Type="http://schemas.openxmlformats.org/officeDocument/2006/relationships/image" Target="media/image7.wmf"/><Relationship Id="rId24" Type="http://schemas.openxmlformats.org/officeDocument/2006/relationships/oleObject" Target="embeddings/oleObject7.bin"/><Relationship Id="rId23" Type="http://schemas.openxmlformats.org/officeDocument/2006/relationships/image" Target="media/image6.wmf"/><Relationship Id="rId22" Type="http://schemas.openxmlformats.org/officeDocument/2006/relationships/oleObject" Target="embeddings/oleObject6.bin"/><Relationship Id="rId21" Type="http://schemas.openxmlformats.org/officeDocument/2006/relationships/image" Target="media/image5.wmf"/><Relationship Id="rId20" Type="http://schemas.openxmlformats.org/officeDocument/2006/relationships/oleObject" Target="embeddings/oleObject5.bin"/><Relationship Id="rId2" Type="http://schemas.openxmlformats.org/officeDocument/2006/relationships/settings" Target="settings.xml"/><Relationship Id="rId19" Type="http://schemas.openxmlformats.org/officeDocument/2006/relationships/image" Target="media/image4.wmf"/><Relationship Id="rId185" Type="http://schemas.openxmlformats.org/officeDocument/2006/relationships/fontTable" Target="fontTable.xml"/><Relationship Id="rId184" Type="http://schemas.openxmlformats.org/officeDocument/2006/relationships/customXml" Target="../customXml/item1.xml"/><Relationship Id="rId183" Type="http://schemas.openxmlformats.org/officeDocument/2006/relationships/image" Target="media/image92.png"/><Relationship Id="rId182" Type="http://schemas.openxmlformats.org/officeDocument/2006/relationships/image" Target="media/image91.png"/><Relationship Id="rId181" Type="http://schemas.openxmlformats.org/officeDocument/2006/relationships/image" Target="media/image90.png"/><Relationship Id="rId180" Type="http://schemas.openxmlformats.org/officeDocument/2006/relationships/image" Target="media/image89.png"/><Relationship Id="rId18" Type="http://schemas.openxmlformats.org/officeDocument/2006/relationships/oleObject" Target="embeddings/oleObject4.bin"/><Relationship Id="rId179" Type="http://schemas.openxmlformats.org/officeDocument/2006/relationships/image" Target="media/image88.png"/><Relationship Id="rId178" Type="http://schemas.openxmlformats.org/officeDocument/2006/relationships/image" Target="media/image87.png"/><Relationship Id="rId177" Type="http://schemas.openxmlformats.org/officeDocument/2006/relationships/image" Target="media/image86.png"/><Relationship Id="rId176" Type="http://schemas.openxmlformats.org/officeDocument/2006/relationships/image" Target="media/image85.png"/><Relationship Id="rId175" Type="http://schemas.openxmlformats.org/officeDocument/2006/relationships/image" Target="media/image84.png"/><Relationship Id="rId174" Type="http://schemas.openxmlformats.org/officeDocument/2006/relationships/image" Target="media/image83.png"/><Relationship Id="rId173" Type="http://schemas.openxmlformats.org/officeDocument/2006/relationships/image" Target="media/image82.jpeg"/><Relationship Id="rId172" Type="http://schemas.openxmlformats.org/officeDocument/2006/relationships/image" Target="media/image81.wmf"/><Relationship Id="rId171" Type="http://schemas.openxmlformats.org/officeDocument/2006/relationships/oleObject" Target="embeddings/oleObject80.bin"/><Relationship Id="rId170" Type="http://schemas.openxmlformats.org/officeDocument/2006/relationships/image" Target="media/image80.wmf"/><Relationship Id="rId17" Type="http://schemas.openxmlformats.org/officeDocument/2006/relationships/image" Target="media/image3.wmf"/><Relationship Id="rId169" Type="http://schemas.openxmlformats.org/officeDocument/2006/relationships/oleObject" Target="embeddings/oleObject79.bin"/><Relationship Id="rId168" Type="http://schemas.openxmlformats.org/officeDocument/2006/relationships/image" Target="media/image79.wmf"/><Relationship Id="rId167" Type="http://schemas.openxmlformats.org/officeDocument/2006/relationships/oleObject" Target="embeddings/oleObject78.bin"/><Relationship Id="rId166" Type="http://schemas.openxmlformats.org/officeDocument/2006/relationships/image" Target="media/image78.wmf"/><Relationship Id="rId165" Type="http://schemas.openxmlformats.org/officeDocument/2006/relationships/oleObject" Target="embeddings/oleObject77.bin"/><Relationship Id="rId164" Type="http://schemas.openxmlformats.org/officeDocument/2006/relationships/image" Target="media/image77.wmf"/><Relationship Id="rId163" Type="http://schemas.openxmlformats.org/officeDocument/2006/relationships/oleObject" Target="embeddings/oleObject76.bin"/><Relationship Id="rId162" Type="http://schemas.openxmlformats.org/officeDocument/2006/relationships/image" Target="media/image76.wmf"/><Relationship Id="rId161" Type="http://schemas.openxmlformats.org/officeDocument/2006/relationships/oleObject" Target="embeddings/oleObject75.bin"/><Relationship Id="rId160" Type="http://schemas.openxmlformats.org/officeDocument/2006/relationships/image" Target="media/image75.wmf"/><Relationship Id="rId16" Type="http://schemas.openxmlformats.org/officeDocument/2006/relationships/oleObject" Target="embeddings/oleObject3.bin"/><Relationship Id="rId159" Type="http://schemas.openxmlformats.org/officeDocument/2006/relationships/oleObject" Target="embeddings/oleObject74.bin"/><Relationship Id="rId158" Type="http://schemas.openxmlformats.org/officeDocument/2006/relationships/image" Target="media/image74.wmf"/><Relationship Id="rId157" Type="http://schemas.openxmlformats.org/officeDocument/2006/relationships/oleObject" Target="embeddings/oleObject73.bin"/><Relationship Id="rId156" Type="http://schemas.openxmlformats.org/officeDocument/2006/relationships/image" Target="media/image73.wmf"/><Relationship Id="rId155" Type="http://schemas.openxmlformats.org/officeDocument/2006/relationships/oleObject" Target="embeddings/oleObject72.bin"/><Relationship Id="rId154" Type="http://schemas.openxmlformats.org/officeDocument/2006/relationships/image" Target="media/image72.wmf"/><Relationship Id="rId153" Type="http://schemas.openxmlformats.org/officeDocument/2006/relationships/oleObject" Target="embeddings/oleObject71.bin"/><Relationship Id="rId152" Type="http://schemas.openxmlformats.org/officeDocument/2006/relationships/image" Target="media/image71.wmf"/><Relationship Id="rId151" Type="http://schemas.openxmlformats.org/officeDocument/2006/relationships/oleObject" Target="embeddings/oleObject70.bin"/><Relationship Id="rId150" Type="http://schemas.openxmlformats.org/officeDocument/2006/relationships/image" Target="media/image70.wmf"/><Relationship Id="rId15" Type="http://schemas.openxmlformats.org/officeDocument/2006/relationships/image" Target="media/image2.wmf"/><Relationship Id="rId149" Type="http://schemas.openxmlformats.org/officeDocument/2006/relationships/oleObject" Target="embeddings/oleObject69.bin"/><Relationship Id="rId148" Type="http://schemas.openxmlformats.org/officeDocument/2006/relationships/image" Target="media/image69.png"/><Relationship Id="rId147" Type="http://schemas.openxmlformats.org/officeDocument/2006/relationships/image" Target="media/image68.wmf"/><Relationship Id="rId146" Type="http://schemas.openxmlformats.org/officeDocument/2006/relationships/oleObject" Target="embeddings/oleObject68.bin"/><Relationship Id="rId145" Type="http://schemas.openxmlformats.org/officeDocument/2006/relationships/image" Target="media/image67.wmf"/><Relationship Id="rId144" Type="http://schemas.openxmlformats.org/officeDocument/2006/relationships/oleObject" Target="embeddings/oleObject67.bin"/><Relationship Id="rId143" Type="http://schemas.openxmlformats.org/officeDocument/2006/relationships/image" Target="media/image66.wmf"/><Relationship Id="rId142" Type="http://schemas.openxmlformats.org/officeDocument/2006/relationships/oleObject" Target="embeddings/oleObject66.bin"/><Relationship Id="rId141" Type="http://schemas.openxmlformats.org/officeDocument/2006/relationships/image" Target="media/image65.wmf"/><Relationship Id="rId140" Type="http://schemas.openxmlformats.org/officeDocument/2006/relationships/oleObject" Target="embeddings/oleObject65.bin"/><Relationship Id="rId14" Type="http://schemas.openxmlformats.org/officeDocument/2006/relationships/oleObject" Target="embeddings/oleObject2.bin"/><Relationship Id="rId139" Type="http://schemas.openxmlformats.org/officeDocument/2006/relationships/image" Target="media/image64.wmf"/><Relationship Id="rId138" Type="http://schemas.openxmlformats.org/officeDocument/2006/relationships/oleObject" Target="embeddings/oleObject64.bin"/><Relationship Id="rId137" Type="http://schemas.openxmlformats.org/officeDocument/2006/relationships/image" Target="media/image63.wmf"/><Relationship Id="rId136" Type="http://schemas.openxmlformats.org/officeDocument/2006/relationships/oleObject" Target="embeddings/oleObject63.bin"/><Relationship Id="rId135" Type="http://schemas.openxmlformats.org/officeDocument/2006/relationships/image" Target="media/image62.wmf"/><Relationship Id="rId134" Type="http://schemas.openxmlformats.org/officeDocument/2006/relationships/oleObject" Target="embeddings/oleObject62.bin"/><Relationship Id="rId133" Type="http://schemas.openxmlformats.org/officeDocument/2006/relationships/image" Target="media/image61.wmf"/><Relationship Id="rId132" Type="http://schemas.openxmlformats.org/officeDocument/2006/relationships/oleObject" Target="embeddings/oleObject61.bin"/><Relationship Id="rId131" Type="http://schemas.openxmlformats.org/officeDocument/2006/relationships/image" Target="media/image60.wmf"/><Relationship Id="rId130" Type="http://schemas.openxmlformats.org/officeDocument/2006/relationships/oleObject" Target="embeddings/oleObject60.bin"/><Relationship Id="rId13" Type="http://schemas.openxmlformats.org/officeDocument/2006/relationships/image" Target="media/image1.wmf"/><Relationship Id="rId129" Type="http://schemas.openxmlformats.org/officeDocument/2006/relationships/image" Target="media/image59.wmf"/><Relationship Id="rId128" Type="http://schemas.openxmlformats.org/officeDocument/2006/relationships/oleObject" Target="embeddings/oleObject59.bin"/><Relationship Id="rId127" Type="http://schemas.openxmlformats.org/officeDocument/2006/relationships/image" Target="media/image58.wmf"/><Relationship Id="rId126" Type="http://schemas.openxmlformats.org/officeDocument/2006/relationships/oleObject" Target="embeddings/oleObject58.bin"/><Relationship Id="rId125" Type="http://schemas.openxmlformats.org/officeDocument/2006/relationships/image" Target="media/image57.wmf"/><Relationship Id="rId124" Type="http://schemas.openxmlformats.org/officeDocument/2006/relationships/oleObject" Target="embeddings/oleObject57.bin"/><Relationship Id="rId123" Type="http://schemas.openxmlformats.org/officeDocument/2006/relationships/image" Target="media/image56.wmf"/><Relationship Id="rId122" Type="http://schemas.openxmlformats.org/officeDocument/2006/relationships/oleObject" Target="embeddings/oleObject56.bin"/><Relationship Id="rId121" Type="http://schemas.openxmlformats.org/officeDocument/2006/relationships/image" Target="media/image55.wmf"/><Relationship Id="rId120" Type="http://schemas.openxmlformats.org/officeDocument/2006/relationships/oleObject" Target="embeddings/oleObject55.bin"/><Relationship Id="rId12" Type="http://schemas.openxmlformats.org/officeDocument/2006/relationships/oleObject" Target="embeddings/oleObject1.bin"/><Relationship Id="rId119" Type="http://schemas.openxmlformats.org/officeDocument/2006/relationships/image" Target="media/image54.wmf"/><Relationship Id="rId118" Type="http://schemas.openxmlformats.org/officeDocument/2006/relationships/oleObject" Target="embeddings/oleObject54.bin"/><Relationship Id="rId117" Type="http://schemas.openxmlformats.org/officeDocument/2006/relationships/image" Target="media/image53.wmf"/><Relationship Id="rId116" Type="http://schemas.openxmlformats.org/officeDocument/2006/relationships/oleObject" Target="embeddings/oleObject53.bin"/><Relationship Id="rId115" Type="http://schemas.openxmlformats.org/officeDocument/2006/relationships/image" Target="media/image52.wmf"/><Relationship Id="rId114" Type="http://schemas.openxmlformats.org/officeDocument/2006/relationships/oleObject" Target="embeddings/oleObject52.bin"/><Relationship Id="rId113" Type="http://schemas.openxmlformats.org/officeDocument/2006/relationships/image" Target="media/image51.wmf"/><Relationship Id="rId112" Type="http://schemas.openxmlformats.org/officeDocument/2006/relationships/oleObject" Target="embeddings/oleObject51.bin"/><Relationship Id="rId111" Type="http://schemas.openxmlformats.org/officeDocument/2006/relationships/image" Target="media/image50.wmf"/><Relationship Id="rId110" Type="http://schemas.openxmlformats.org/officeDocument/2006/relationships/oleObject" Target="embeddings/oleObject50.bin"/><Relationship Id="rId11" Type="http://schemas.openxmlformats.org/officeDocument/2006/relationships/theme" Target="theme/theme1.xml"/><Relationship Id="rId109" Type="http://schemas.openxmlformats.org/officeDocument/2006/relationships/image" Target="media/image49.wmf"/><Relationship Id="rId108" Type="http://schemas.openxmlformats.org/officeDocument/2006/relationships/oleObject" Target="embeddings/oleObject49.bin"/><Relationship Id="rId107" Type="http://schemas.openxmlformats.org/officeDocument/2006/relationships/image" Target="media/image48.wmf"/><Relationship Id="rId106" Type="http://schemas.openxmlformats.org/officeDocument/2006/relationships/oleObject" Target="embeddings/oleObject48.bin"/><Relationship Id="rId105" Type="http://schemas.openxmlformats.org/officeDocument/2006/relationships/image" Target="media/image47.wmf"/><Relationship Id="rId104" Type="http://schemas.openxmlformats.org/officeDocument/2006/relationships/oleObject" Target="embeddings/oleObject47.bin"/><Relationship Id="rId103" Type="http://schemas.openxmlformats.org/officeDocument/2006/relationships/image" Target="media/image46.wmf"/><Relationship Id="rId102" Type="http://schemas.openxmlformats.org/officeDocument/2006/relationships/oleObject" Target="embeddings/oleObject46.bin"/><Relationship Id="rId101" Type="http://schemas.openxmlformats.org/officeDocument/2006/relationships/image" Target="media/image45.wmf"/><Relationship Id="rId100" Type="http://schemas.openxmlformats.org/officeDocument/2006/relationships/oleObject" Target="embeddings/oleObject45.bin"/><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83696E-188B-473B-B40A-83EBA8899425}">
  <ds:schemaRefs/>
</ds:datastoreItem>
</file>

<file path=docProps/app.xml><?xml version="1.0" encoding="utf-8"?>
<Properties xmlns="http://schemas.openxmlformats.org/officeDocument/2006/extended-properties" xmlns:vt="http://schemas.openxmlformats.org/officeDocument/2006/docPropsVTypes">
  <Template>Normal</Template>
  <Pages>14</Pages>
  <Words>6093</Words>
  <Characters>9265</Characters>
  <Lines>489</Lines>
  <Paragraphs>406</Paragraphs>
  <TotalTime>21</TotalTime>
  <ScaleCrop>false</ScaleCrop>
  <LinksUpToDate>false</LinksUpToDate>
  <CharactersWithSpaces>9775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2026-05-28T14:11:00Z</dcterms:created>
  <dc:creator>展鸿 程</dc:creator>
  <cp:lastModifiedBy>aaa</cp:lastModifiedBy>
  <cp:lastPrinted>2026-05-20T07:31:00Z</cp:lastPrinted>
  <dcterms:modified xsi:type="dcterms:W3CDTF">2026-05-29T08:18:43Z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EC534400BAA542A8AFDA4D555A2A49EC_12</vt:lpwstr>
  </property>
  <property fmtid="{D5CDD505-2E9C-101B-9397-08002B2CF9AE}" pid="3" name="KSOProductBuildVer">
    <vt:lpwstr>2052-12.1.0.23542</vt:lpwstr>
  </property>
  <property fmtid="{D5CDD505-2E9C-101B-9397-08002B2CF9AE}" pid="4" name="KSOTemplateDocerSaveRecord">
    <vt:lpwstr>eyJoZGlkIjoiZGE2Mjg2YTZkZTMyMTYwY2M1OTQ5YzJlN2MyYmRjOGEiLCJ1c2VySWQiOiIyNjUyMTM2ODcifQ==</vt:lpwstr>
  </property>
  <property fmtid="{D5CDD505-2E9C-101B-9397-08002B2CF9AE}" pid="5" name="MTEquationNumber2">
    <vt:lpwstr>(#E1)</vt:lpwstr>
  </property>
  <property fmtid="{D5CDD505-2E9C-101B-9397-08002B2CF9AE}" pid="6" name="MTEquationSection">
    <vt:lpwstr>1</vt:lpwstr>
  </property>
  <property fmtid="{D5CDD505-2E9C-101B-9397-08002B2CF9AE}" pid="7" name="MTWinEqns">
    <vt:bool>true</vt:bool>
  </property>
</Properties>
</file>