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BBCD65">
      <w:pPr>
        <w:adjustRightInd w:val="0"/>
        <w:snapToGrid w:val="0"/>
        <w:jc w:val="center"/>
        <w:rPr>
          <w:b/>
          <w:color w:val="auto"/>
          <w:sz w:val="48"/>
          <w:szCs w:val="48"/>
          <w:highlight w:val="none"/>
        </w:rPr>
      </w:pPr>
      <w:bookmarkStart w:id="10" w:name="_GoBack"/>
      <w:r>
        <w:rPr>
          <w:b/>
          <w:color w:val="auto"/>
          <w:sz w:val="48"/>
          <w:szCs w:val="48"/>
          <w:highlight w:val="none"/>
        </w:rPr>
        <w:t>基于COA-BP-Wiener的锂离子电池剩余使用寿命预测方法研究</w:t>
      </w:r>
    </w:p>
    <w:bookmarkEnd w:id="10"/>
    <w:p w14:paraId="46C359A8">
      <w:pPr>
        <w:adjustRightInd w:val="0"/>
        <w:snapToGrid w:val="0"/>
        <w:ind w:left="1680" w:hanging="1680"/>
        <w:jc w:val="center"/>
        <w:rPr>
          <w:rFonts w:eastAsia="楷体"/>
          <w:bCs/>
          <w:color w:val="auto"/>
          <w:sz w:val="28"/>
          <w:szCs w:val="28"/>
          <w:highlight w:val="none"/>
          <w:vertAlign w:val="superscript"/>
        </w:rPr>
      </w:pPr>
      <w:r>
        <w:rPr>
          <w:rFonts w:eastAsia="楷体"/>
          <w:bCs/>
          <w:color w:val="auto"/>
          <w:sz w:val="28"/>
          <w:szCs w:val="28"/>
          <w:highlight w:val="none"/>
        </w:rPr>
        <w:t>谭应锋</w:t>
      </w:r>
      <w:r>
        <w:rPr>
          <w:rFonts w:eastAsia="楷体"/>
          <w:bCs/>
          <w:color w:val="auto"/>
          <w:sz w:val="28"/>
          <w:szCs w:val="28"/>
          <w:highlight w:val="none"/>
          <w:vertAlign w:val="superscript"/>
        </w:rPr>
        <w:t>1</w:t>
      </w:r>
      <w:r>
        <w:rPr>
          <w:rFonts w:eastAsia="楷体"/>
          <w:bCs/>
          <w:color w:val="auto"/>
          <w:sz w:val="28"/>
          <w:szCs w:val="28"/>
          <w:highlight w:val="none"/>
        </w:rPr>
        <w:t xml:space="preserve"> ，赵 俊</w:t>
      </w:r>
      <w:r>
        <w:rPr>
          <w:rFonts w:eastAsia="楷体"/>
          <w:bCs/>
          <w:color w:val="auto"/>
          <w:sz w:val="28"/>
          <w:szCs w:val="28"/>
          <w:highlight w:val="none"/>
          <w:vertAlign w:val="superscript"/>
        </w:rPr>
        <w:t>1</w:t>
      </w:r>
      <w:r>
        <w:rPr>
          <w:rFonts w:eastAsia="楷体"/>
          <w:bCs/>
          <w:color w:val="auto"/>
          <w:sz w:val="28"/>
          <w:szCs w:val="28"/>
          <w:highlight w:val="none"/>
        </w:rPr>
        <w:t xml:space="preserve"> ，陈敏全</w:t>
      </w:r>
      <w:r>
        <w:rPr>
          <w:rFonts w:eastAsia="楷体"/>
          <w:bCs/>
          <w:color w:val="auto"/>
          <w:sz w:val="28"/>
          <w:szCs w:val="28"/>
          <w:highlight w:val="none"/>
          <w:vertAlign w:val="superscript"/>
        </w:rPr>
        <w:t>1</w:t>
      </w:r>
      <w:r>
        <w:rPr>
          <w:rFonts w:eastAsia="楷体"/>
          <w:bCs/>
          <w:color w:val="auto"/>
          <w:sz w:val="28"/>
          <w:szCs w:val="28"/>
          <w:highlight w:val="none"/>
        </w:rPr>
        <w:t xml:space="preserve"> ，邱一丹</w:t>
      </w:r>
      <w:r>
        <w:rPr>
          <w:rFonts w:eastAsia="楷体"/>
          <w:bCs/>
          <w:color w:val="auto"/>
          <w:sz w:val="28"/>
          <w:szCs w:val="28"/>
          <w:highlight w:val="none"/>
          <w:vertAlign w:val="superscript"/>
        </w:rPr>
        <w:t>1</w:t>
      </w:r>
      <w:r>
        <w:rPr>
          <w:rFonts w:eastAsia="楷体"/>
          <w:bCs/>
          <w:color w:val="auto"/>
          <w:sz w:val="28"/>
          <w:szCs w:val="28"/>
          <w:highlight w:val="none"/>
        </w:rPr>
        <w:t>，刘志岗</w:t>
      </w:r>
      <w:r>
        <w:rPr>
          <w:rFonts w:eastAsia="楷体"/>
          <w:bCs/>
          <w:color w:val="auto"/>
          <w:sz w:val="28"/>
          <w:szCs w:val="28"/>
          <w:highlight w:val="none"/>
          <w:vertAlign w:val="superscript"/>
        </w:rPr>
        <w:t>1</w:t>
      </w:r>
      <w:r>
        <w:rPr>
          <w:rFonts w:eastAsia="楷体"/>
          <w:bCs/>
          <w:color w:val="auto"/>
          <w:sz w:val="28"/>
          <w:szCs w:val="28"/>
          <w:highlight w:val="none"/>
        </w:rPr>
        <w:t xml:space="preserve"> ，徐先峰</w:t>
      </w:r>
      <w:r>
        <w:rPr>
          <w:rFonts w:eastAsia="楷体"/>
          <w:bCs/>
          <w:color w:val="auto"/>
          <w:sz w:val="28"/>
          <w:szCs w:val="28"/>
          <w:highlight w:val="none"/>
          <w:vertAlign w:val="superscript"/>
        </w:rPr>
        <w:t>2</w:t>
      </w:r>
    </w:p>
    <w:p w14:paraId="4F536430">
      <w:pPr>
        <w:adjustRightInd w:val="0"/>
        <w:snapToGrid w:val="0"/>
        <w:jc w:val="center"/>
        <w:rPr>
          <w:rFonts w:eastAsia="仿宋"/>
          <w:color w:val="auto"/>
          <w:szCs w:val="21"/>
          <w:highlight w:val="none"/>
        </w:rPr>
      </w:pPr>
      <w:r>
        <w:rPr>
          <w:rFonts w:eastAsia="仿宋"/>
          <w:color w:val="auto"/>
          <w:szCs w:val="21"/>
          <w:highlight w:val="none"/>
        </w:rPr>
        <w:t>（1.</w:t>
      </w:r>
      <w:r>
        <w:rPr>
          <w:rFonts w:eastAsia="仿宋"/>
          <w:color w:val="auto"/>
          <w:sz w:val="24"/>
          <w:szCs w:val="32"/>
          <w:highlight w:val="none"/>
        </w:rPr>
        <w:t xml:space="preserve"> </w:t>
      </w:r>
      <w:r>
        <w:rPr>
          <w:rFonts w:eastAsia="仿宋"/>
          <w:color w:val="auto"/>
          <w:szCs w:val="21"/>
          <w:highlight w:val="none"/>
        </w:rPr>
        <w:t>云南省交通科学研究院有限公司，云南 昆明  650011；2. 长安大学 能源与电气工程学院，陕西 西安  710018）</w:t>
      </w:r>
    </w:p>
    <w:p w14:paraId="4D375D54">
      <w:pPr>
        <w:adjustRightInd w:val="0"/>
        <w:snapToGrid w:val="0"/>
        <w:jc w:val="center"/>
        <w:rPr>
          <w:rFonts w:eastAsia="仿宋"/>
          <w:color w:val="auto"/>
          <w:szCs w:val="21"/>
          <w:highlight w:val="none"/>
        </w:rPr>
      </w:pPr>
    </w:p>
    <w:p w14:paraId="60043BD3">
      <w:pPr>
        <w:adjustRightInd w:val="0"/>
        <w:snapToGrid w:val="0"/>
        <w:rPr>
          <w:color w:val="auto"/>
          <w:szCs w:val="21"/>
          <w:highlight w:val="none"/>
        </w:rPr>
      </w:pPr>
      <w:r>
        <w:rPr>
          <w:rFonts w:ascii="黑体" w:hAnsi="黑体" w:eastAsia="黑体"/>
          <w:b/>
          <w:color w:val="auto"/>
          <w:szCs w:val="21"/>
          <w:highlight w:val="none"/>
        </w:rPr>
        <w:t>摘  要</w:t>
      </w:r>
      <w:r>
        <w:rPr>
          <w:rFonts w:ascii="黑体" w:hAnsi="黑体" w:eastAsia="黑体"/>
          <w:b/>
          <w:bCs/>
          <w:color w:val="auto"/>
          <w:szCs w:val="21"/>
          <w:highlight w:val="none"/>
        </w:rPr>
        <w:t>：</w:t>
      </w:r>
      <w:r>
        <w:rPr>
          <w:rFonts w:eastAsia="楷体"/>
          <w:color w:val="auto"/>
          <w:szCs w:val="21"/>
          <w:highlight w:val="none"/>
        </w:rPr>
        <w:t xml:space="preserve">【目的】为提升锂离子电池剩余使用寿命（Remaining </w:t>
      </w:r>
      <w:r>
        <w:rPr>
          <w:rFonts w:hint="eastAsia" w:eastAsia="楷体"/>
          <w:color w:val="auto"/>
          <w:szCs w:val="21"/>
          <w:highlight w:val="none"/>
        </w:rPr>
        <w:t>U</w:t>
      </w:r>
      <w:r>
        <w:rPr>
          <w:rFonts w:eastAsia="楷体"/>
          <w:color w:val="auto"/>
          <w:szCs w:val="21"/>
          <w:highlight w:val="none"/>
        </w:rPr>
        <w:t xml:space="preserve">seful </w:t>
      </w:r>
      <w:r>
        <w:rPr>
          <w:rFonts w:hint="eastAsia" w:eastAsia="楷体"/>
          <w:color w:val="auto"/>
          <w:szCs w:val="21"/>
          <w:highlight w:val="none"/>
        </w:rPr>
        <w:t>L</w:t>
      </w:r>
      <w:r>
        <w:rPr>
          <w:rFonts w:eastAsia="楷体"/>
          <w:color w:val="auto"/>
          <w:szCs w:val="21"/>
          <w:highlight w:val="none"/>
        </w:rPr>
        <w:t xml:space="preserve">ife, </w:t>
      </w:r>
      <w:r>
        <w:rPr>
          <w:rFonts w:eastAsia="楷体"/>
          <w:i/>
          <w:iCs/>
          <w:color w:val="auto"/>
          <w:szCs w:val="21"/>
          <w:highlight w:val="none"/>
        </w:rPr>
        <w:t>RUL</w:t>
      </w:r>
      <w:r>
        <w:rPr>
          <w:rFonts w:eastAsia="楷体"/>
          <w:color w:val="auto"/>
          <w:szCs w:val="21"/>
          <w:highlight w:val="none"/>
        </w:rPr>
        <w:t xml:space="preserve">）预测的精度与泛化能力，【方法】本研究提出了一种融合小龙虾优化算法（Crayfish </w:t>
      </w:r>
      <w:r>
        <w:rPr>
          <w:rFonts w:hint="eastAsia" w:eastAsia="楷体"/>
          <w:color w:val="auto"/>
          <w:szCs w:val="21"/>
          <w:highlight w:val="none"/>
        </w:rPr>
        <w:t>O</w:t>
      </w:r>
      <w:r>
        <w:rPr>
          <w:rFonts w:eastAsia="楷体"/>
          <w:color w:val="auto"/>
          <w:szCs w:val="21"/>
          <w:highlight w:val="none"/>
        </w:rPr>
        <w:t xml:space="preserve">ptimization </w:t>
      </w:r>
      <w:r>
        <w:rPr>
          <w:rFonts w:hint="eastAsia" w:eastAsia="楷体"/>
          <w:color w:val="auto"/>
          <w:szCs w:val="21"/>
          <w:highlight w:val="none"/>
        </w:rPr>
        <w:t>A</w:t>
      </w:r>
      <w:r>
        <w:rPr>
          <w:rFonts w:eastAsia="楷体"/>
          <w:color w:val="auto"/>
          <w:szCs w:val="21"/>
          <w:highlight w:val="none"/>
        </w:rPr>
        <w:t>lgorithm, COA）-误差反向传播（Back Propagation, BP）神经网络与Wiener过程的两阶段预测方法。该方法首先选取恒流充电时间作为健康因子，利用COA优化BP神经网络初始参数以追踪健康因子老化轨迹，进而引入Wiener过程建立随机退化模型，通过计算漂移系数和扩散系数实现</w:t>
      </w:r>
      <w:r>
        <w:rPr>
          <w:rFonts w:eastAsia="楷体"/>
          <w:i/>
          <w:iCs/>
          <w:color w:val="auto"/>
          <w:szCs w:val="21"/>
          <w:highlight w:val="none"/>
        </w:rPr>
        <w:t>RUL</w:t>
      </w:r>
      <w:r>
        <w:rPr>
          <w:rFonts w:eastAsia="楷体"/>
          <w:color w:val="auto"/>
          <w:szCs w:val="21"/>
          <w:highlight w:val="none"/>
        </w:rPr>
        <w:t xml:space="preserve">的预测。【结果】基于磷酸铁锂L1电池的循环老化数据验证表明，所提COA-BP-Wiener模型的预测误差显著降低，其均方根误差（Root </w:t>
      </w:r>
      <w:r>
        <w:rPr>
          <w:rFonts w:hint="eastAsia" w:eastAsia="楷体"/>
          <w:color w:val="auto"/>
          <w:szCs w:val="21"/>
          <w:highlight w:val="none"/>
        </w:rPr>
        <w:t>M</w:t>
      </w:r>
      <w:r>
        <w:rPr>
          <w:rFonts w:eastAsia="楷体"/>
          <w:color w:val="auto"/>
          <w:szCs w:val="21"/>
          <w:highlight w:val="none"/>
        </w:rPr>
        <w:t xml:space="preserve">ean </w:t>
      </w:r>
      <w:r>
        <w:rPr>
          <w:rFonts w:hint="eastAsia" w:eastAsia="楷体"/>
          <w:color w:val="auto"/>
          <w:szCs w:val="21"/>
          <w:highlight w:val="none"/>
        </w:rPr>
        <w:t>S</w:t>
      </w:r>
      <w:r>
        <w:rPr>
          <w:rFonts w:eastAsia="楷体"/>
          <w:color w:val="auto"/>
          <w:szCs w:val="21"/>
          <w:highlight w:val="none"/>
        </w:rPr>
        <w:t xml:space="preserve">quare </w:t>
      </w:r>
      <w:r>
        <w:rPr>
          <w:rFonts w:hint="eastAsia" w:eastAsia="楷体"/>
          <w:color w:val="auto"/>
          <w:szCs w:val="21"/>
          <w:highlight w:val="none"/>
        </w:rPr>
        <w:t>E</w:t>
      </w:r>
      <w:r>
        <w:rPr>
          <w:rFonts w:eastAsia="楷体"/>
          <w:color w:val="auto"/>
          <w:szCs w:val="21"/>
          <w:highlight w:val="none"/>
        </w:rPr>
        <w:t xml:space="preserve">rror, </w:t>
      </w:r>
      <w:r>
        <w:rPr>
          <w:rFonts w:eastAsia="楷体"/>
          <w:i/>
          <w:iCs/>
          <w:color w:val="auto"/>
          <w:szCs w:val="21"/>
          <w:highlight w:val="none"/>
        </w:rPr>
        <w:t>RMSE</w:t>
      </w:r>
      <w:r>
        <w:rPr>
          <w:rFonts w:eastAsia="楷体"/>
          <w:color w:val="auto"/>
          <w:szCs w:val="21"/>
          <w:highlight w:val="none"/>
        </w:rPr>
        <w:t xml:space="preserve">）为13.9975，平均绝对误差（Mean </w:t>
      </w:r>
      <w:r>
        <w:rPr>
          <w:rFonts w:hint="eastAsia" w:eastAsia="楷体"/>
          <w:color w:val="auto"/>
          <w:szCs w:val="21"/>
          <w:highlight w:val="none"/>
        </w:rPr>
        <w:t>A</w:t>
      </w:r>
      <w:r>
        <w:rPr>
          <w:rFonts w:eastAsia="楷体"/>
          <w:color w:val="auto"/>
          <w:szCs w:val="21"/>
          <w:highlight w:val="none"/>
        </w:rPr>
        <w:t xml:space="preserve">bsolute </w:t>
      </w:r>
      <w:r>
        <w:rPr>
          <w:rFonts w:hint="eastAsia" w:eastAsia="楷体"/>
          <w:color w:val="auto"/>
          <w:szCs w:val="21"/>
          <w:highlight w:val="none"/>
        </w:rPr>
        <w:t>E</w:t>
      </w:r>
      <w:r>
        <w:rPr>
          <w:rFonts w:eastAsia="楷体"/>
          <w:color w:val="auto"/>
          <w:szCs w:val="21"/>
          <w:highlight w:val="none"/>
        </w:rPr>
        <w:t xml:space="preserve">rror, </w:t>
      </w:r>
      <w:r>
        <w:rPr>
          <w:rFonts w:eastAsia="楷体"/>
          <w:i/>
          <w:iCs/>
          <w:color w:val="auto"/>
          <w:szCs w:val="21"/>
          <w:highlight w:val="none"/>
        </w:rPr>
        <w:t>MAE</w:t>
      </w:r>
      <w:r>
        <w:rPr>
          <w:rFonts w:eastAsia="楷体"/>
          <w:color w:val="auto"/>
          <w:szCs w:val="21"/>
          <w:highlight w:val="none"/>
        </w:rPr>
        <w:t xml:space="preserve">）为11.7289，决定系数（Coefficient of Determination, </w:t>
      </w:r>
      <w:r>
        <w:rPr>
          <w:rFonts w:eastAsia="楷体"/>
          <w:i/>
          <w:iCs/>
          <w:color w:val="auto"/>
          <w:szCs w:val="21"/>
          <w:highlight w:val="none"/>
        </w:rPr>
        <w:t>R</w:t>
      </w:r>
      <w:r>
        <w:rPr>
          <w:rFonts w:eastAsia="楷体"/>
          <w:color w:val="auto"/>
          <w:szCs w:val="21"/>
          <w:highlight w:val="none"/>
        </w:rPr>
        <w:t>²）高达0.9948。与DBO-BP-Wiener、LSTM-Wiener及BP神经网络模型相比，</w:t>
      </w:r>
      <w:r>
        <w:rPr>
          <w:rFonts w:eastAsia="楷体"/>
          <w:i/>
          <w:iCs/>
          <w:color w:val="auto"/>
          <w:szCs w:val="21"/>
          <w:highlight w:val="none"/>
        </w:rPr>
        <w:t>RMSE</w:t>
      </w:r>
      <w:r>
        <w:rPr>
          <w:rFonts w:eastAsia="楷体"/>
          <w:color w:val="auto"/>
          <w:szCs w:val="21"/>
          <w:highlight w:val="none"/>
        </w:rPr>
        <w:t>分别降低7.10%、31.34%和63.60%，</w:t>
      </w:r>
      <w:r>
        <w:rPr>
          <w:rFonts w:eastAsia="楷体"/>
          <w:i/>
          <w:iCs/>
          <w:color w:val="auto"/>
          <w:szCs w:val="21"/>
          <w:highlight w:val="none"/>
        </w:rPr>
        <w:t>MAE</w:t>
      </w:r>
      <w:r>
        <w:rPr>
          <w:rFonts w:eastAsia="楷体"/>
          <w:color w:val="auto"/>
          <w:szCs w:val="21"/>
          <w:highlight w:val="none"/>
        </w:rPr>
        <w:t>分别降低7.55%、42.47%和67.52%。在公开数据集（同济大学NCA1电池）上的进一步验证显示，该模型在不同电池体系与实验条件下仍保持较好性能，</w:t>
      </w:r>
      <w:r>
        <w:rPr>
          <w:rFonts w:eastAsia="楷体"/>
          <w:i/>
          <w:iCs/>
          <w:color w:val="auto"/>
          <w:szCs w:val="21"/>
          <w:highlight w:val="none"/>
        </w:rPr>
        <w:t>RMSE</w:t>
      </w:r>
      <w:r>
        <w:rPr>
          <w:rFonts w:eastAsia="楷体"/>
          <w:color w:val="auto"/>
          <w:szCs w:val="21"/>
          <w:highlight w:val="none"/>
        </w:rPr>
        <w:t>为7.2345，</w:t>
      </w:r>
      <w:r>
        <w:rPr>
          <w:rFonts w:eastAsia="楷体"/>
          <w:i/>
          <w:iCs/>
          <w:color w:val="auto"/>
          <w:szCs w:val="21"/>
          <w:highlight w:val="none"/>
        </w:rPr>
        <w:t>MAE</w:t>
      </w:r>
      <w:r>
        <w:rPr>
          <w:rFonts w:eastAsia="楷体"/>
          <w:color w:val="auto"/>
          <w:szCs w:val="21"/>
          <w:highlight w:val="none"/>
        </w:rPr>
        <w:t>为5.6781，</w:t>
      </w:r>
      <w:r>
        <w:rPr>
          <w:rFonts w:eastAsia="楷体"/>
          <w:i/>
          <w:iCs/>
          <w:color w:val="auto"/>
          <w:szCs w:val="21"/>
          <w:highlight w:val="none"/>
        </w:rPr>
        <w:t>R</w:t>
      </w:r>
      <w:r>
        <w:rPr>
          <w:rFonts w:eastAsia="楷体"/>
          <w:color w:val="auto"/>
          <w:szCs w:val="21"/>
          <w:highlight w:val="none"/>
        </w:rPr>
        <w:t>²为0.9949。【结论】综上，COA-BP-Wiener模型能够有效刻画电池老化过程中的非线性与随机性，在保证高预测精度的同时具备良好的鲁棒性与跨数据适用性，为锂离子电池</w:t>
      </w:r>
      <w:r>
        <w:rPr>
          <w:rFonts w:eastAsia="楷体"/>
          <w:i/>
          <w:iCs/>
          <w:color w:val="auto"/>
          <w:szCs w:val="21"/>
          <w:highlight w:val="none"/>
        </w:rPr>
        <w:t>RUL</w:t>
      </w:r>
      <w:r>
        <w:rPr>
          <w:rFonts w:eastAsia="楷体"/>
          <w:color w:val="auto"/>
          <w:szCs w:val="21"/>
          <w:highlight w:val="none"/>
        </w:rPr>
        <w:t>的可靠预测提供了有效方法。</w:t>
      </w:r>
    </w:p>
    <w:p w14:paraId="1D780577">
      <w:pPr>
        <w:adjustRightInd w:val="0"/>
        <w:snapToGrid w:val="0"/>
        <w:rPr>
          <w:color w:val="auto"/>
          <w:sz w:val="18"/>
          <w:szCs w:val="18"/>
          <w:highlight w:val="none"/>
        </w:rPr>
      </w:pPr>
      <w:r>
        <w:rPr>
          <w:rFonts w:ascii="黑体" w:hAnsi="黑体" w:eastAsia="黑体"/>
          <w:b/>
          <w:color w:val="auto"/>
          <w:szCs w:val="21"/>
          <w:highlight w:val="none"/>
        </w:rPr>
        <w:t>关键词</w:t>
      </w:r>
      <w:r>
        <w:rPr>
          <w:rFonts w:hint="eastAsia" w:ascii="黑体" w:hAnsi="黑体" w:eastAsia="黑体"/>
          <w:b/>
          <w:color w:val="auto"/>
          <w:szCs w:val="21"/>
          <w:highlight w:val="none"/>
        </w:rPr>
        <w:t>：</w:t>
      </w:r>
      <w:r>
        <w:rPr>
          <w:rFonts w:ascii="楷体" w:hAnsi="楷体" w:eastAsia="楷体"/>
          <w:color w:val="auto"/>
          <w:szCs w:val="21"/>
          <w:highlight w:val="none"/>
        </w:rPr>
        <w:t>锂离子电池；剩余使用寿命；小龙虾优化算法；BP神经网络；Wiener过程；寿命预测；健康因子；混合预测模型</w:t>
      </w:r>
    </w:p>
    <w:p w14:paraId="20766AB8">
      <w:pPr>
        <w:autoSpaceDE w:val="0"/>
        <w:autoSpaceDN w:val="0"/>
        <w:adjustRightInd w:val="0"/>
        <w:snapToGrid w:val="0"/>
        <w:rPr>
          <w:color w:val="auto"/>
          <w:sz w:val="18"/>
          <w:szCs w:val="18"/>
          <w:highlight w:val="none"/>
        </w:rPr>
      </w:pPr>
      <w:r>
        <w:rPr>
          <w:rFonts w:ascii="黑体" w:hAnsi="黑体" w:eastAsia="黑体"/>
          <w:b/>
          <w:color w:val="auto"/>
          <w:sz w:val="18"/>
          <w:szCs w:val="18"/>
          <w:highlight w:val="none"/>
        </w:rPr>
        <w:t>中图分类号</w:t>
      </w:r>
      <w:r>
        <w:rPr>
          <w:rFonts w:hint="eastAsia" w:ascii="黑体" w:hAnsi="黑体" w:eastAsia="黑体"/>
          <w:b/>
          <w:color w:val="auto"/>
          <w:sz w:val="18"/>
          <w:szCs w:val="18"/>
          <w:highlight w:val="none"/>
        </w:rPr>
        <w:t>：</w:t>
      </w:r>
      <w:r>
        <w:rPr>
          <w:color w:val="auto"/>
          <w:sz w:val="18"/>
          <w:szCs w:val="18"/>
          <w:highlight w:val="none"/>
        </w:rPr>
        <w:t xml:space="preserve">TM911              </w:t>
      </w:r>
      <w:r>
        <w:rPr>
          <w:rFonts w:ascii="黑体" w:hAnsi="黑体" w:eastAsia="黑体"/>
          <w:b/>
          <w:color w:val="auto"/>
          <w:sz w:val="18"/>
          <w:szCs w:val="18"/>
          <w:highlight w:val="none"/>
        </w:rPr>
        <w:t>文献标志码</w:t>
      </w:r>
      <w:r>
        <w:rPr>
          <w:rFonts w:hint="eastAsia" w:ascii="黑体" w:hAnsi="黑体" w:eastAsia="黑体"/>
          <w:b/>
          <w:color w:val="auto"/>
          <w:sz w:val="18"/>
          <w:szCs w:val="18"/>
          <w:highlight w:val="none"/>
        </w:rPr>
        <w:t>：</w:t>
      </w:r>
      <w:r>
        <w:rPr>
          <w:color w:val="auto"/>
          <w:sz w:val="18"/>
          <w:szCs w:val="18"/>
          <w:highlight w:val="none"/>
        </w:rPr>
        <w:t>A</w:t>
      </w:r>
    </w:p>
    <w:p w14:paraId="79E8C911">
      <w:pPr>
        <w:adjustRightInd w:val="0"/>
        <w:snapToGrid w:val="0"/>
        <w:jc w:val="center"/>
        <w:rPr>
          <w:b/>
          <w:bCs/>
          <w:color w:val="auto"/>
          <w:kern w:val="0"/>
          <w:sz w:val="32"/>
          <w:szCs w:val="32"/>
          <w:highlight w:val="none"/>
        </w:rPr>
      </w:pPr>
      <w:r>
        <w:rPr>
          <w:rStyle w:val="18"/>
          <w:b/>
          <w:bCs/>
          <w:color w:val="auto"/>
          <w:kern w:val="0"/>
          <w:sz w:val="18"/>
          <w:szCs w:val="18"/>
          <w:highlight w:val="none"/>
        </w:rPr>
        <w:footnoteReference w:id="0" w:customMarkFollows="1"/>
        <w:sym w:font="Symbol" w:char="F020"/>
      </w:r>
    </w:p>
    <w:p w14:paraId="7276822A">
      <w:pPr>
        <w:adjustRightInd w:val="0"/>
        <w:snapToGrid w:val="0"/>
        <w:jc w:val="center"/>
        <w:rPr>
          <w:b/>
          <w:bCs/>
          <w:color w:val="auto"/>
          <w:kern w:val="0"/>
          <w:sz w:val="32"/>
          <w:szCs w:val="32"/>
          <w:highlight w:val="none"/>
        </w:rPr>
      </w:pPr>
      <w:r>
        <w:rPr>
          <w:b/>
          <w:bCs/>
          <w:color w:val="auto"/>
          <w:kern w:val="0"/>
          <w:sz w:val="32"/>
          <w:szCs w:val="32"/>
          <w:highlight w:val="none"/>
        </w:rPr>
        <w:t xml:space="preserve">Research on remaining useful life prediction method </w:t>
      </w:r>
      <w:r>
        <w:rPr>
          <w:rFonts w:hint="eastAsia"/>
          <w:b/>
          <w:bCs/>
          <w:color w:val="auto"/>
          <w:kern w:val="0"/>
          <w:sz w:val="32"/>
          <w:szCs w:val="32"/>
          <w:highlight w:val="none"/>
        </w:rPr>
        <w:t>for</w:t>
      </w:r>
      <w:r>
        <w:rPr>
          <w:b/>
          <w:bCs/>
          <w:color w:val="auto"/>
          <w:kern w:val="0"/>
          <w:sz w:val="32"/>
          <w:szCs w:val="32"/>
          <w:highlight w:val="none"/>
        </w:rPr>
        <w:t xml:space="preserve"> lithium-ion batter</w:t>
      </w:r>
      <w:r>
        <w:rPr>
          <w:rFonts w:hint="eastAsia"/>
          <w:b/>
          <w:bCs/>
          <w:color w:val="auto"/>
          <w:kern w:val="0"/>
          <w:sz w:val="32"/>
          <w:szCs w:val="32"/>
          <w:highlight w:val="none"/>
        </w:rPr>
        <w:t>ies</w:t>
      </w:r>
      <w:r>
        <w:rPr>
          <w:b/>
          <w:bCs/>
          <w:color w:val="auto"/>
          <w:kern w:val="0"/>
          <w:sz w:val="32"/>
          <w:szCs w:val="32"/>
          <w:highlight w:val="none"/>
        </w:rPr>
        <w:t xml:space="preserve"> based on COA-BP-Wiener</w:t>
      </w:r>
    </w:p>
    <w:p w14:paraId="476C822A">
      <w:pPr>
        <w:adjustRightInd w:val="0"/>
        <w:snapToGrid w:val="0"/>
        <w:jc w:val="center"/>
        <w:rPr>
          <w:color w:val="auto"/>
          <w:szCs w:val="21"/>
          <w:highlight w:val="none"/>
        </w:rPr>
      </w:pPr>
      <w:r>
        <w:rPr>
          <w:color w:val="auto"/>
          <w:szCs w:val="21"/>
          <w:highlight w:val="none"/>
        </w:rPr>
        <w:t>TAN Yingfeng</w:t>
      </w:r>
      <w:r>
        <w:rPr>
          <w:color w:val="auto"/>
          <w:szCs w:val="21"/>
          <w:highlight w:val="none"/>
          <w:vertAlign w:val="superscript"/>
        </w:rPr>
        <w:t>1</w:t>
      </w:r>
      <w:r>
        <w:rPr>
          <w:rFonts w:hint="eastAsia"/>
          <w:color w:val="auto"/>
          <w:szCs w:val="21"/>
          <w:highlight w:val="none"/>
        </w:rPr>
        <w:t>，</w:t>
      </w:r>
      <w:r>
        <w:rPr>
          <w:color w:val="auto"/>
          <w:szCs w:val="21"/>
          <w:highlight w:val="none"/>
        </w:rPr>
        <w:t>ZHAO Jun</w:t>
      </w:r>
      <w:r>
        <w:rPr>
          <w:color w:val="auto"/>
          <w:szCs w:val="21"/>
          <w:highlight w:val="none"/>
          <w:vertAlign w:val="superscript"/>
        </w:rPr>
        <w:t>1</w:t>
      </w:r>
      <w:r>
        <w:rPr>
          <w:rFonts w:hint="eastAsia"/>
          <w:color w:val="auto"/>
          <w:szCs w:val="21"/>
          <w:highlight w:val="none"/>
        </w:rPr>
        <w:t>，</w:t>
      </w:r>
      <w:r>
        <w:rPr>
          <w:color w:val="auto"/>
          <w:szCs w:val="21"/>
          <w:highlight w:val="none"/>
        </w:rPr>
        <w:t>CHEN Minquan</w:t>
      </w:r>
      <w:r>
        <w:rPr>
          <w:color w:val="auto"/>
          <w:szCs w:val="21"/>
          <w:highlight w:val="none"/>
          <w:vertAlign w:val="superscript"/>
        </w:rPr>
        <w:t>1</w:t>
      </w:r>
      <w:r>
        <w:rPr>
          <w:rFonts w:hint="eastAsia"/>
          <w:color w:val="auto"/>
          <w:szCs w:val="21"/>
          <w:highlight w:val="none"/>
        </w:rPr>
        <w:t>，</w:t>
      </w:r>
      <w:r>
        <w:rPr>
          <w:color w:val="auto"/>
          <w:szCs w:val="21"/>
          <w:highlight w:val="none"/>
        </w:rPr>
        <w:t>QIU Yidan</w:t>
      </w:r>
      <w:r>
        <w:rPr>
          <w:color w:val="auto"/>
          <w:szCs w:val="21"/>
          <w:highlight w:val="none"/>
          <w:vertAlign w:val="superscript"/>
        </w:rPr>
        <w:t>1</w:t>
      </w:r>
      <w:r>
        <w:rPr>
          <w:rFonts w:hint="eastAsia"/>
          <w:color w:val="auto"/>
          <w:szCs w:val="21"/>
          <w:highlight w:val="none"/>
        </w:rPr>
        <w:t>，</w:t>
      </w:r>
      <w:r>
        <w:rPr>
          <w:color w:val="auto"/>
          <w:szCs w:val="21"/>
          <w:highlight w:val="none"/>
        </w:rPr>
        <w:t>LIU Zhigang</w:t>
      </w:r>
      <w:r>
        <w:rPr>
          <w:color w:val="auto"/>
          <w:szCs w:val="21"/>
          <w:highlight w:val="none"/>
          <w:vertAlign w:val="superscript"/>
        </w:rPr>
        <w:t>1</w:t>
      </w:r>
      <w:r>
        <w:rPr>
          <w:rFonts w:hint="eastAsia"/>
          <w:color w:val="auto"/>
          <w:szCs w:val="21"/>
          <w:highlight w:val="none"/>
        </w:rPr>
        <w:t>，</w:t>
      </w:r>
      <w:r>
        <w:rPr>
          <w:color w:val="auto"/>
          <w:szCs w:val="21"/>
          <w:highlight w:val="none"/>
        </w:rPr>
        <w:t>XU Xianfeng</w:t>
      </w:r>
      <w:r>
        <w:rPr>
          <w:color w:val="auto"/>
          <w:szCs w:val="21"/>
          <w:highlight w:val="none"/>
          <w:vertAlign w:val="superscript"/>
        </w:rPr>
        <w:t>2</w:t>
      </w:r>
    </w:p>
    <w:p w14:paraId="28CA574E">
      <w:pPr>
        <w:adjustRightInd w:val="0"/>
        <w:snapToGrid w:val="0"/>
        <w:jc w:val="center"/>
        <w:rPr>
          <w:color w:val="auto"/>
          <w:sz w:val="18"/>
          <w:szCs w:val="18"/>
          <w:highlight w:val="none"/>
        </w:rPr>
      </w:pPr>
      <w:r>
        <w:rPr>
          <w:color w:val="auto"/>
          <w:sz w:val="18"/>
          <w:szCs w:val="18"/>
          <w:highlight w:val="none"/>
        </w:rPr>
        <w:t>（1.</w:t>
      </w:r>
      <w:r>
        <w:rPr>
          <w:color w:val="auto"/>
          <w:sz w:val="18"/>
          <w:szCs w:val="21"/>
          <w:highlight w:val="none"/>
        </w:rPr>
        <w:t xml:space="preserve"> </w:t>
      </w:r>
      <w:r>
        <w:rPr>
          <w:color w:val="auto"/>
          <w:sz w:val="18"/>
          <w:szCs w:val="18"/>
          <w:highlight w:val="none"/>
        </w:rPr>
        <w:t>Yunnan Transportation Research Institute Co.，Ltd，Kunming  650011，Yunnan, China；2. School of Energy and Electrical Engineering，Chang’an University，Xi’an  710018，Shaanxi，China）</w:t>
      </w:r>
    </w:p>
    <w:p w14:paraId="75842133">
      <w:pPr>
        <w:adjustRightInd w:val="0"/>
        <w:snapToGrid w:val="0"/>
        <w:rPr>
          <w:color w:val="auto"/>
          <w:sz w:val="18"/>
          <w:szCs w:val="18"/>
          <w:highlight w:val="none"/>
        </w:rPr>
      </w:pPr>
    </w:p>
    <w:p w14:paraId="68FAA7DF">
      <w:pPr>
        <w:adjustRightInd w:val="0"/>
        <w:snapToGrid w:val="0"/>
        <w:rPr>
          <w:color w:val="auto"/>
          <w:sz w:val="18"/>
          <w:szCs w:val="18"/>
          <w:highlight w:val="none"/>
        </w:rPr>
      </w:pPr>
      <w:r>
        <w:rPr>
          <w:b/>
          <w:color w:val="auto"/>
          <w:szCs w:val="21"/>
          <w:highlight w:val="none"/>
        </w:rPr>
        <w:t xml:space="preserve">Abstract: </w:t>
      </w:r>
      <w:r>
        <w:rPr>
          <w:color w:val="auto"/>
          <w:szCs w:val="21"/>
          <w:highlight w:val="none"/>
        </w:rPr>
        <w:t>[Objective] T</w:t>
      </w:r>
      <w:r>
        <w:rPr>
          <w:rFonts w:hint="eastAsia"/>
          <w:color w:val="auto"/>
          <w:szCs w:val="21"/>
          <w:highlight w:val="none"/>
        </w:rPr>
        <w:t>he aim is to</w:t>
      </w:r>
      <w:r>
        <w:rPr>
          <w:color w:val="auto"/>
          <w:szCs w:val="21"/>
          <w:highlight w:val="none"/>
        </w:rPr>
        <w:t xml:space="preserve"> improve the accuracy and generalization ability of remaining useful life (</w:t>
      </w:r>
      <w:r>
        <w:rPr>
          <w:i/>
          <w:iCs/>
          <w:color w:val="auto"/>
          <w:szCs w:val="21"/>
          <w:highlight w:val="none"/>
        </w:rPr>
        <w:t>RUL</w:t>
      </w:r>
      <w:r>
        <w:rPr>
          <w:color w:val="auto"/>
          <w:szCs w:val="21"/>
          <w:highlight w:val="none"/>
        </w:rPr>
        <w:t>) prediction for lithium-ion batteries</w:t>
      </w:r>
      <w:r>
        <w:rPr>
          <w:rFonts w:hint="eastAsia"/>
          <w:color w:val="auto"/>
          <w:szCs w:val="21"/>
          <w:highlight w:val="none"/>
        </w:rPr>
        <w:t>.</w:t>
      </w:r>
      <w:r>
        <w:rPr>
          <w:color w:val="auto"/>
          <w:szCs w:val="21"/>
          <w:highlight w:val="none"/>
        </w:rPr>
        <w:t xml:space="preserve"> [Methods] A two-stage prediction method integrating the crayfish optimization algorithm (COA)-back propagation (BP) neural network with the Wiener process was proposed. First, the constant current charging time was selected as the health indicator (</w:t>
      </w:r>
      <w:r>
        <w:rPr>
          <w:i/>
          <w:color w:val="auto"/>
          <w:szCs w:val="21"/>
          <w:highlight w:val="none"/>
        </w:rPr>
        <w:t>HI</w:t>
      </w:r>
      <w:r>
        <w:rPr>
          <w:color w:val="auto"/>
          <w:szCs w:val="21"/>
          <w:highlight w:val="none"/>
        </w:rPr>
        <w:t xml:space="preserve">). The COA was used to optimize the initial parameters of the BP neural network to track the </w:t>
      </w:r>
      <w:r>
        <w:rPr>
          <w:rFonts w:hint="eastAsia"/>
          <w:color w:val="auto"/>
          <w:szCs w:val="21"/>
          <w:highlight w:val="none"/>
        </w:rPr>
        <w:t>aging</w:t>
      </w:r>
      <w:r>
        <w:rPr>
          <w:color w:val="auto"/>
          <w:szCs w:val="21"/>
          <w:highlight w:val="none"/>
        </w:rPr>
        <w:t xml:space="preserve"> trajectory of the </w:t>
      </w:r>
      <w:r>
        <w:rPr>
          <w:i/>
          <w:color w:val="auto"/>
          <w:szCs w:val="21"/>
          <w:highlight w:val="none"/>
        </w:rPr>
        <w:t>HI</w:t>
      </w:r>
      <w:r>
        <w:rPr>
          <w:color w:val="auto"/>
          <w:szCs w:val="21"/>
          <w:highlight w:val="none"/>
        </w:rPr>
        <w:t xml:space="preserve">. Subsequently, the Wiener process was introduced to establish a stochastic degradation model, and </w:t>
      </w:r>
      <w:r>
        <w:rPr>
          <w:i/>
          <w:iCs/>
          <w:color w:val="auto"/>
          <w:szCs w:val="21"/>
          <w:highlight w:val="none"/>
        </w:rPr>
        <w:t>RUL</w:t>
      </w:r>
      <w:r>
        <w:rPr>
          <w:color w:val="auto"/>
          <w:szCs w:val="21"/>
          <w:highlight w:val="none"/>
        </w:rPr>
        <w:t xml:space="preserve"> was predicted by calculating the drift and diffusion coefficients. [Results] Experimental results based on cycle aging data of the L1 LiFePO4 battery indicated that the prediction error</w:t>
      </w:r>
      <w:r>
        <w:rPr>
          <w:rFonts w:hint="eastAsia"/>
          <w:color w:val="auto"/>
          <w:szCs w:val="21"/>
          <w:highlight w:val="none"/>
        </w:rPr>
        <w:t>s</w:t>
      </w:r>
      <w:r>
        <w:rPr>
          <w:color w:val="auto"/>
          <w:szCs w:val="21"/>
          <w:highlight w:val="none"/>
        </w:rPr>
        <w:t xml:space="preserve"> of the proposed COA-BP-Wiener model </w:t>
      </w:r>
      <w:r>
        <w:rPr>
          <w:rFonts w:hint="eastAsia"/>
          <w:color w:val="auto"/>
          <w:szCs w:val="21"/>
          <w:highlight w:val="none"/>
        </w:rPr>
        <w:t>were</w:t>
      </w:r>
      <w:r>
        <w:rPr>
          <w:color w:val="auto"/>
          <w:szCs w:val="21"/>
          <w:highlight w:val="none"/>
        </w:rPr>
        <w:t xml:space="preserve"> significantly reduced, with a root mean square error (</w:t>
      </w:r>
      <w:r>
        <w:rPr>
          <w:i/>
          <w:iCs/>
          <w:color w:val="auto"/>
          <w:szCs w:val="21"/>
          <w:highlight w:val="none"/>
        </w:rPr>
        <w:t>RMSE</w:t>
      </w:r>
      <w:r>
        <w:rPr>
          <w:color w:val="auto"/>
          <w:szCs w:val="21"/>
          <w:highlight w:val="none"/>
        </w:rPr>
        <w:t>) of 13.9975, a mean absolute error (</w:t>
      </w:r>
      <w:r>
        <w:rPr>
          <w:i/>
          <w:iCs/>
          <w:color w:val="auto"/>
          <w:szCs w:val="21"/>
          <w:highlight w:val="none"/>
        </w:rPr>
        <w:t>MAE</w:t>
      </w:r>
      <w:r>
        <w:rPr>
          <w:color w:val="auto"/>
          <w:szCs w:val="21"/>
          <w:highlight w:val="none"/>
        </w:rPr>
        <w:t>) of 11.7289, and a coefficient of determination (</w:t>
      </w:r>
      <w:r>
        <w:rPr>
          <w:i/>
          <w:iCs/>
          <w:color w:val="auto"/>
          <w:szCs w:val="21"/>
          <w:highlight w:val="none"/>
        </w:rPr>
        <w:t>R</w:t>
      </w:r>
      <w:r>
        <w:rPr>
          <w:color w:val="auto"/>
          <w:szCs w:val="21"/>
          <w:highlight w:val="none"/>
          <w:vertAlign w:val="superscript"/>
        </w:rPr>
        <w:t>2</w:t>
      </w:r>
      <w:r>
        <w:rPr>
          <w:color w:val="auto"/>
          <w:szCs w:val="21"/>
          <w:highlight w:val="none"/>
        </w:rPr>
        <w:t xml:space="preserve">) of 0.9948. Compared with the DBO-BP-Wiener, LSTM-Wiener, and BP neural network models, the </w:t>
      </w:r>
      <w:r>
        <w:rPr>
          <w:i/>
          <w:iCs/>
          <w:color w:val="auto"/>
          <w:szCs w:val="21"/>
          <w:highlight w:val="none"/>
        </w:rPr>
        <w:t>RMSE</w:t>
      </w:r>
      <w:r>
        <w:rPr>
          <w:color w:val="auto"/>
          <w:szCs w:val="21"/>
          <w:highlight w:val="none"/>
        </w:rPr>
        <w:t xml:space="preserve"> </w:t>
      </w:r>
      <w:r>
        <w:rPr>
          <w:rFonts w:hint="eastAsia"/>
          <w:color w:val="auto"/>
          <w:szCs w:val="21"/>
          <w:highlight w:val="none"/>
        </w:rPr>
        <w:t>decreased</w:t>
      </w:r>
      <w:r>
        <w:rPr>
          <w:color w:val="auto"/>
          <w:szCs w:val="21"/>
          <w:highlight w:val="none"/>
        </w:rPr>
        <w:t xml:space="preserve"> by 7.10%, 31.34%, and 63.60%, respectively, and the </w:t>
      </w:r>
      <w:r>
        <w:rPr>
          <w:i/>
          <w:iCs/>
          <w:color w:val="auto"/>
          <w:szCs w:val="21"/>
          <w:highlight w:val="none"/>
        </w:rPr>
        <w:t>MAE</w:t>
      </w:r>
      <w:r>
        <w:rPr>
          <w:color w:val="auto"/>
          <w:szCs w:val="21"/>
          <w:highlight w:val="none"/>
        </w:rPr>
        <w:t xml:space="preserve"> </w:t>
      </w:r>
      <w:r>
        <w:rPr>
          <w:rFonts w:hint="eastAsia"/>
          <w:color w:val="auto"/>
          <w:szCs w:val="21"/>
          <w:highlight w:val="none"/>
        </w:rPr>
        <w:t>decreased</w:t>
      </w:r>
      <w:r>
        <w:rPr>
          <w:color w:val="auto"/>
          <w:szCs w:val="21"/>
          <w:highlight w:val="none"/>
        </w:rPr>
        <w:t xml:space="preserve"> by 7.55%, 42.47%, and 67.52%, respectively. Further validation on the public dataset (NCA1 battery</w:t>
      </w:r>
      <w:r>
        <w:rPr>
          <w:rFonts w:hint="eastAsia"/>
          <w:color w:val="auto"/>
          <w:szCs w:val="21"/>
          <w:highlight w:val="none"/>
        </w:rPr>
        <w:t xml:space="preserve"> from </w:t>
      </w:r>
      <w:r>
        <w:rPr>
          <w:color w:val="auto"/>
          <w:szCs w:val="21"/>
          <w:highlight w:val="none"/>
        </w:rPr>
        <w:t xml:space="preserve">Tongji University) showed that the model maintained good performance under different battery chemistries and experimental conditions, with an </w:t>
      </w:r>
      <w:r>
        <w:rPr>
          <w:i/>
          <w:iCs/>
          <w:color w:val="auto"/>
          <w:szCs w:val="21"/>
          <w:highlight w:val="none"/>
        </w:rPr>
        <w:t>RMSE</w:t>
      </w:r>
      <w:r>
        <w:rPr>
          <w:color w:val="auto"/>
          <w:szCs w:val="21"/>
          <w:highlight w:val="none"/>
        </w:rPr>
        <w:t xml:space="preserve"> of 7.2345, an </w:t>
      </w:r>
      <w:r>
        <w:rPr>
          <w:i/>
          <w:iCs/>
          <w:color w:val="auto"/>
          <w:szCs w:val="21"/>
          <w:highlight w:val="none"/>
        </w:rPr>
        <w:t>MAE</w:t>
      </w:r>
      <w:r>
        <w:rPr>
          <w:color w:val="auto"/>
          <w:szCs w:val="21"/>
          <w:highlight w:val="none"/>
        </w:rPr>
        <w:t xml:space="preserve"> of 5.6781, and an </w:t>
      </w:r>
      <w:r>
        <w:rPr>
          <w:i/>
          <w:iCs/>
          <w:color w:val="auto"/>
          <w:szCs w:val="21"/>
          <w:highlight w:val="none"/>
        </w:rPr>
        <w:t>R</w:t>
      </w:r>
      <w:r>
        <w:rPr>
          <w:color w:val="auto"/>
          <w:szCs w:val="21"/>
          <w:highlight w:val="none"/>
          <w:vertAlign w:val="superscript"/>
        </w:rPr>
        <w:t>2</w:t>
      </w:r>
      <w:r>
        <w:rPr>
          <w:color w:val="auto"/>
          <w:szCs w:val="21"/>
          <w:highlight w:val="none"/>
        </w:rPr>
        <w:t xml:space="preserve"> of 0.9949. [Conclusion] In summary, the COA-BP-Wiener model can effectively characterize the nonlinear and stochastic features in the battery aging process, </w:t>
      </w:r>
      <w:r>
        <w:rPr>
          <w:rFonts w:hint="eastAsia"/>
          <w:color w:val="auto"/>
          <w:szCs w:val="21"/>
          <w:highlight w:val="none"/>
        </w:rPr>
        <w:t>achieving</w:t>
      </w:r>
      <w:r>
        <w:rPr>
          <w:color w:val="auto"/>
          <w:szCs w:val="21"/>
          <w:highlight w:val="none"/>
        </w:rPr>
        <w:t xml:space="preserve"> high prediction accuracy</w:t>
      </w:r>
      <w:r>
        <w:rPr>
          <w:rFonts w:hint="eastAsia"/>
          <w:color w:val="auto"/>
          <w:szCs w:val="21"/>
          <w:highlight w:val="none"/>
        </w:rPr>
        <w:t xml:space="preserve"> while maintaining</w:t>
      </w:r>
      <w:r>
        <w:rPr>
          <w:color w:val="auto"/>
          <w:szCs w:val="21"/>
          <w:highlight w:val="none"/>
        </w:rPr>
        <w:t xml:space="preserve"> good robustness and cross-data applicability</w:t>
      </w:r>
      <w:r>
        <w:rPr>
          <w:rFonts w:hint="eastAsia"/>
          <w:color w:val="auto"/>
          <w:szCs w:val="21"/>
          <w:highlight w:val="none"/>
        </w:rPr>
        <w:t>.</w:t>
      </w:r>
      <w:r>
        <w:rPr>
          <w:color w:val="auto"/>
          <w:szCs w:val="21"/>
          <w:highlight w:val="none"/>
        </w:rPr>
        <w:t xml:space="preserve"> </w:t>
      </w:r>
      <w:r>
        <w:rPr>
          <w:rFonts w:hint="eastAsia"/>
          <w:color w:val="auto"/>
          <w:szCs w:val="21"/>
          <w:highlight w:val="none"/>
        </w:rPr>
        <w:t xml:space="preserve">This </w:t>
      </w:r>
      <w:r>
        <w:rPr>
          <w:color w:val="auto"/>
          <w:szCs w:val="21"/>
          <w:highlight w:val="none"/>
        </w:rPr>
        <w:t>provid</w:t>
      </w:r>
      <w:r>
        <w:rPr>
          <w:rFonts w:hint="eastAsia"/>
          <w:color w:val="auto"/>
          <w:szCs w:val="21"/>
          <w:highlight w:val="none"/>
        </w:rPr>
        <w:t>es</w:t>
      </w:r>
      <w:r>
        <w:rPr>
          <w:color w:val="auto"/>
          <w:szCs w:val="21"/>
          <w:highlight w:val="none"/>
        </w:rPr>
        <w:t xml:space="preserve"> an effective method for reliable </w:t>
      </w:r>
      <w:r>
        <w:rPr>
          <w:i/>
          <w:iCs/>
          <w:color w:val="auto"/>
          <w:szCs w:val="21"/>
          <w:highlight w:val="none"/>
        </w:rPr>
        <w:t>RUL</w:t>
      </w:r>
      <w:r>
        <w:rPr>
          <w:color w:val="auto"/>
          <w:szCs w:val="21"/>
          <w:highlight w:val="none"/>
        </w:rPr>
        <w:t xml:space="preserve"> prediction of lithium-ion batteries.</w:t>
      </w:r>
    </w:p>
    <w:p w14:paraId="73070A13">
      <w:pPr>
        <w:adjustRightInd w:val="0"/>
        <w:snapToGrid w:val="0"/>
        <w:jc w:val="left"/>
        <w:rPr>
          <w:color w:val="auto"/>
          <w:szCs w:val="21"/>
          <w:highlight w:val="none"/>
        </w:rPr>
      </w:pPr>
      <w:r>
        <w:rPr>
          <w:b/>
          <w:color w:val="auto"/>
          <w:szCs w:val="21"/>
          <w:highlight w:val="none"/>
        </w:rPr>
        <w:t>Keywords：</w:t>
      </w:r>
      <w:r>
        <w:rPr>
          <w:color w:val="auto"/>
          <w:szCs w:val="21"/>
          <w:highlight w:val="none"/>
        </w:rPr>
        <w:t>lithium-ion battery；remaining useful life；crayfish optimization algorithm；BP neural network；Wiener process；life prediction；health indicator；hybrid prediction model</w:t>
      </w:r>
    </w:p>
    <w:p w14:paraId="701A629A">
      <w:pPr>
        <w:adjustRightInd w:val="0"/>
        <w:snapToGrid w:val="0"/>
        <w:jc w:val="left"/>
        <w:rPr>
          <w:color w:val="auto"/>
          <w:szCs w:val="21"/>
          <w:highlight w:val="none"/>
        </w:rPr>
      </w:pPr>
    </w:p>
    <w:p w14:paraId="3F4596C5">
      <w:pPr>
        <w:adjustRightInd w:val="0"/>
        <w:snapToGrid w:val="0"/>
        <w:ind w:firstLine="420"/>
        <w:rPr>
          <w:color w:val="auto"/>
          <w:szCs w:val="21"/>
          <w:highlight w:val="none"/>
        </w:rPr>
        <w:sectPr>
          <w:headerReference r:id="rId4" w:type="default"/>
          <w:footerReference r:id="rId5" w:type="default"/>
          <w:type w:val="continuous"/>
          <w:pgSz w:w="11906" w:h="16838"/>
          <w:pgMar w:top="1134" w:right="1134" w:bottom="1134" w:left="1134" w:header="851" w:footer="992" w:gutter="0"/>
          <w:cols w:space="425" w:num="1"/>
          <w:docGrid w:type="lines" w:linePitch="312" w:charSpace="0"/>
        </w:sectPr>
      </w:pPr>
    </w:p>
    <w:p w14:paraId="6BB5E1E6">
      <w:pPr>
        <w:adjustRightInd w:val="0"/>
        <w:snapToGrid w:val="0"/>
        <w:rPr>
          <w:rFonts w:eastAsia="黑体"/>
          <w:b/>
          <w:color w:val="auto"/>
          <w:sz w:val="28"/>
          <w:szCs w:val="28"/>
          <w:highlight w:val="none"/>
        </w:rPr>
      </w:pPr>
      <w:bookmarkStart w:id="0" w:name="_Hlk536691732"/>
      <w:r>
        <w:rPr>
          <w:rFonts w:eastAsia="黑体"/>
          <w:b/>
          <w:color w:val="auto"/>
          <w:sz w:val="28"/>
          <w:szCs w:val="28"/>
          <w:highlight w:val="none"/>
        </w:rPr>
        <w:t>0 引  言</w:t>
      </w:r>
    </w:p>
    <w:p w14:paraId="3BA828B2">
      <w:pPr>
        <w:adjustRightInd w:val="0"/>
        <w:snapToGrid w:val="0"/>
        <w:ind w:firstLine="420" w:firstLineChars="200"/>
        <w:rPr>
          <w:color w:val="auto"/>
          <w:szCs w:val="21"/>
          <w:highlight w:val="none"/>
        </w:rPr>
      </w:pPr>
      <w:r>
        <w:rPr>
          <w:color w:val="auto"/>
          <w:szCs w:val="21"/>
          <w:highlight w:val="none"/>
        </w:rPr>
        <w:t>在全球环境问题日益严峻以及化石能源逐渐枯竭的背景下，新能源技术已成为能源领域的研究热点。其中，锂离子电池因其具有能量密度高、自放电率低、循环寿命长等优点，被广泛应用于电动汽车、储能系统及各类便携式电子设备中。然而，在长期充放电循环和复杂工况条件下，电池内部不可逆的电化学反应不断累积，导致其性能逐渐老化，主要表现为可用容量衰减和内阻持续增大，最终引发电池失效</w:t>
      </w:r>
      <w:r>
        <w:rPr>
          <w:color w:val="auto"/>
          <w:szCs w:val="21"/>
          <w:highlight w:val="none"/>
          <w:vertAlign w:val="superscript"/>
        </w:rPr>
        <w:t>[1</w:t>
      </w:r>
      <w:r>
        <w:rPr>
          <w:rFonts w:hint="eastAsia"/>
          <w:color w:val="auto"/>
          <w:szCs w:val="21"/>
          <w:highlight w:val="none"/>
          <w:vertAlign w:val="superscript"/>
          <w:lang w:val="en-US" w:eastAsia="zh-CN"/>
        </w:rPr>
        <w:t>-</w:t>
      </w:r>
      <w:r>
        <w:rPr>
          <w:color w:val="auto"/>
          <w:szCs w:val="21"/>
          <w:highlight w:val="none"/>
          <w:vertAlign w:val="superscript"/>
        </w:rPr>
        <w:t>2]</w:t>
      </w:r>
      <w:r>
        <w:rPr>
          <w:color w:val="auto"/>
          <w:szCs w:val="21"/>
          <w:highlight w:val="none"/>
        </w:rPr>
        <w:t>。通常认为，当锂离子电池的剩余容量衰减至其额定容量的70%-80%时，即达到寿命终期（End of life, EoL）</w:t>
      </w:r>
      <w:r>
        <w:rPr>
          <w:color w:val="auto"/>
          <w:szCs w:val="21"/>
          <w:highlight w:val="none"/>
          <w:vertAlign w:val="superscript"/>
        </w:rPr>
        <w:t>[3-5]</w:t>
      </w:r>
      <w:r>
        <w:rPr>
          <w:color w:val="auto"/>
          <w:szCs w:val="21"/>
          <w:highlight w:val="none"/>
        </w:rPr>
        <w:t>。电池失效不仅会造成设备功能异常、系统性能下降</w:t>
      </w:r>
      <w:r>
        <w:rPr>
          <w:color w:val="auto"/>
          <w:szCs w:val="21"/>
          <w:highlight w:val="none"/>
          <w:vertAlign w:val="superscript"/>
        </w:rPr>
        <w:t>[6]</w:t>
      </w:r>
      <w:r>
        <w:rPr>
          <w:color w:val="auto"/>
          <w:szCs w:val="21"/>
          <w:highlight w:val="none"/>
        </w:rPr>
        <w:t>，还可能引发电路损坏、数据丢失甚至安全事故</w:t>
      </w:r>
      <w:r>
        <w:rPr>
          <w:color w:val="auto"/>
          <w:szCs w:val="21"/>
          <w:highlight w:val="none"/>
          <w:vertAlign w:val="superscript"/>
        </w:rPr>
        <w:t>[7]</w:t>
      </w:r>
      <w:r>
        <w:rPr>
          <w:color w:val="auto"/>
          <w:szCs w:val="21"/>
          <w:highlight w:val="none"/>
        </w:rPr>
        <w:t>，严重影响系统的可靠性与运行安全</w:t>
      </w:r>
      <w:r>
        <w:rPr>
          <w:color w:val="auto"/>
          <w:szCs w:val="21"/>
          <w:highlight w:val="none"/>
          <w:vertAlign w:val="superscript"/>
        </w:rPr>
        <w:t>[8</w:t>
      </w:r>
      <w:r>
        <w:rPr>
          <w:rFonts w:hint="eastAsia"/>
          <w:color w:val="auto"/>
          <w:szCs w:val="21"/>
          <w:highlight w:val="none"/>
          <w:vertAlign w:val="superscript"/>
        </w:rPr>
        <w:t>-</w:t>
      </w:r>
      <w:r>
        <w:rPr>
          <w:color w:val="auto"/>
          <w:szCs w:val="21"/>
          <w:highlight w:val="none"/>
          <w:vertAlign w:val="superscript"/>
        </w:rPr>
        <w:t>9]</w:t>
      </w:r>
      <w:r>
        <w:rPr>
          <w:color w:val="auto"/>
          <w:szCs w:val="21"/>
          <w:highlight w:val="none"/>
        </w:rPr>
        <w:t>。因此，如何对锂离子电池剩余使用寿命进行准确预测，已成为保障系统安全运行的关键问题。</w:t>
      </w:r>
    </w:p>
    <w:p w14:paraId="3D2DFD1F">
      <w:pPr>
        <w:adjustRightInd w:val="0"/>
        <w:snapToGrid w:val="0"/>
        <w:ind w:firstLine="420" w:firstLineChars="200"/>
        <w:rPr>
          <w:color w:val="auto"/>
          <w:szCs w:val="21"/>
          <w:highlight w:val="none"/>
        </w:rPr>
      </w:pPr>
      <w:r>
        <w:rPr>
          <w:color w:val="auto"/>
          <w:szCs w:val="21"/>
          <w:highlight w:val="none"/>
        </w:rPr>
        <w:t xml:space="preserve">预测与健康管理（Prognostics and </w:t>
      </w:r>
      <w:r>
        <w:rPr>
          <w:rFonts w:hint="eastAsia"/>
          <w:color w:val="auto"/>
          <w:szCs w:val="21"/>
          <w:highlight w:val="none"/>
        </w:rPr>
        <w:t>H</w:t>
      </w:r>
      <w:r>
        <w:rPr>
          <w:color w:val="auto"/>
          <w:szCs w:val="21"/>
          <w:highlight w:val="none"/>
        </w:rPr>
        <w:t xml:space="preserve">ealth </w:t>
      </w:r>
      <w:r>
        <w:rPr>
          <w:rFonts w:hint="eastAsia"/>
          <w:color w:val="auto"/>
          <w:szCs w:val="21"/>
          <w:highlight w:val="none"/>
        </w:rPr>
        <w:t>M</w:t>
      </w:r>
      <w:r>
        <w:rPr>
          <w:color w:val="auto"/>
          <w:szCs w:val="21"/>
          <w:highlight w:val="none"/>
        </w:rPr>
        <w:t xml:space="preserve">anagement, PHM）技术通过对系统运行状态和老化行为进行监测、建模与分析，实现对设备健康状态的评估和剩余使用寿命的预测，为系统的安全管理提供科学依据。将PHM技术引入电池管理系统（Battery </w:t>
      </w:r>
      <w:r>
        <w:rPr>
          <w:rFonts w:hint="eastAsia"/>
          <w:color w:val="auto"/>
          <w:szCs w:val="21"/>
          <w:highlight w:val="none"/>
        </w:rPr>
        <w:t>M</w:t>
      </w:r>
      <w:r>
        <w:rPr>
          <w:color w:val="auto"/>
          <w:szCs w:val="21"/>
          <w:highlight w:val="none"/>
        </w:rPr>
        <w:t xml:space="preserve">anagement </w:t>
      </w:r>
      <w:r>
        <w:rPr>
          <w:rFonts w:hint="eastAsia"/>
          <w:color w:val="auto"/>
          <w:szCs w:val="21"/>
          <w:highlight w:val="none"/>
        </w:rPr>
        <w:t>S</w:t>
      </w:r>
      <w:r>
        <w:rPr>
          <w:color w:val="auto"/>
          <w:szCs w:val="21"/>
          <w:highlight w:val="none"/>
        </w:rPr>
        <w:t>ystem, BMS），不仅有助于提前识别潜在失效风险，还能够实现电池的优化使用和安全运行，在新能源系统的可靠性保障中具有重要的工程意义和应用价值</w:t>
      </w:r>
      <w:r>
        <w:rPr>
          <w:color w:val="auto"/>
          <w:szCs w:val="21"/>
          <w:highlight w:val="none"/>
          <w:vertAlign w:val="superscript"/>
        </w:rPr>
        <w:t>[10-13]</w:t>
      </w:r>
      <w:r>
        <w:rPr>
          <w:color w:val="auto"/>
          <w:szCs w:val="21"/>
          <w:highlight w:val="none"/>
        </w:rPr>
        <w:t xml:space="preserve">。PHM框架下，剩余使用寿命（Remaining </w:t>
      </w:r>
      <w:r>
        <w:rPr>
          <w:rFonts w:hint="eastAsia"/>
          <w:color w:val="auto"/>
          <w:szCs w:val="21"/>
          <w:highlight w:val="none"/>
        </w:rPr>
        <w:t>U</w:t>
      </w:r>
      <w:r>
        <w:rPr>
          <w:color w:val="auto"/>
          <w:szCs w:val="21"/>
          <w:highlight w:val="none"/>
        </w:rPr>
        <w:t xml:space="preserve">seful </w:t>
      </w:r>
      <w:r>
        <w:rPr>
          <w:rFonts w:hint="eastAsia"/>
          <w:color w:val="auto"/>
          <w:szCs w:val="21"/>
          <w:highlight w:val="none"/>
        </w:rPr>
        <w:t>L</w:t>
      </w:r>
      <w:r>
        <w:rPr>
          <w:color w:val="auto"/>
          <w:szCs w:val="21"/>
          <w:highlight w:val="none"/>
        </w:rPr>
        <w:t xml:space="preserve">ife, </w:t>
      </w:r>
      <w:r>
        <w:rPr>
          <w:i/>
          <w:iCs/>
          <w:color w:val="auto"/>
          <w:szCs w:val="21"/>
          <w:highlight w:val="none"/>
        </w:rPr>
        <w:t>RUL</w:t>
      </w:r>
      <w:r>
        <w:rPr>
          <w:color w:val="auto"/>
          <w:szCs w:val="21"/>
          <w:highlight w:val="none"/>
        </w:rPr>
        <w:t>）预测是评估系统可靠性与安全性的核心环节。针对锂离子电池复杂且不可逆的老化过程，学者围绕</w:t>
      </w:r>
      <w:r>
        <w:rPr>
          <w:i/>
          <w:iCs/>
          <w:color w:val="auto"/>
          <w:szCs w:val="21"/>
          <w:highlight w:val="none"/>
        </w:rPr>
        <w:t>RUL</w:t>
      </w:r>
      <w:r>
        <w:rPr>
          <w:color w:val="auto"/>
          <w:szCs w:val="21"/>
          <w:highlight w:val="none"/>
        </w:rPr>
        <w:t>预测问题开展了大量研究，现有研究方法可大致分为基于模型的方法、基于数据驱动的方法以及模型与数据相结合的混合方法</w:t>
      </w:r>
      <w:r>
        <w:rPr>
          <w:color w:val="auto"/>
          <w:szCs w:val="21"/>
          <w:highlight w:val="none"/>
          <w:vertAlign w:val="superscript"/>
        </w:rPr>
        <w:t>[14</w:t>
      </w:r>
      <w:r>
        <w:rPr>
          <w:rFonts w:hint="eastAsia"/>
          <w:color w:val="auto"/>
          <w:szCs w:val="21"/>
          <w:highlight w:val="none"/>
          <w:vertAlign w:val="superscript"/>
          <w:lang w:val="en-US" w:eastAsia="zh-CN"/>
        </w:rPr>
        <w:t>-</w:t>
      </w:r>
      <w:r>
        <w:rPr>
          <w:color w:val="auto"/>
          <w:szCs w:val="21"/>
          <w:highlight w:val="none"/>
          <w:vertAlign w:val="superscript"/>
        </w:rPr>
        <w:t>15]</w:t>
      </w:r>
      <w:r>
        <w:rPr>
          <w:color w:val="auto"/>
          <w:szCs w:val="21"/>
          <w:highlight w:val="none"/>
        </w:rPr>
        <w:t>。</w:t>
      </w:r>
    </w:p>
    <w:p w14:paraId="28545A8A">
      <w:pPr>
        <w:adjustRightInd w:val="0"/>
        <w:snapToGrid w:val="0"/>
        <w:ind w:firstLine="420" w:firstLineChars="200"/>
        <w:rPr>
          <w:color w:val="auto"/>
          <w:szCs w:val="21"/>
          <w:highlight w:val="none"/>
        </w:rPr>
      </w:pPr>
      <w:r>
        <w:rPr>
          <w:color w:val="auto"/>
          <w:szCs w:val="21"/>
          <w:highlight w:val="none"/>
        </w:rPr>
        <w:t>基于模型的方法通常从电池内部老化机理或统计老化过程出发，通过建立物理模型或随机过程模型对电池老化行为进行描述。例如，等效电路模型</w:t>
      </w:r>
      <w:r>
        <w:rPr>
          <w:color w:val="auto"/>
          <w:szCs w:val="21"/>
          <w:highlight w:val="none"/>
          <w:vertAlign w:val="superscript"/>
        </w:rPr>
        <w:t>[16]</w:t>
      </w:r>
      <w:r>
        <w:rPr>
          <w:color w:val="auto"/>
          <w:szCs w:val="21"/>
          <w:highlight w:val="none"/>
        </w:rPr>
        <w:t>、电化学模型</w:t>
      </w:r>
      <w:r>
        <w:rPr>
          <w:color w:val="auto"/>
          <w:szCs w:val="21"/>
          <w:highlight w:val="none"/>
          <w:vertAlign w:val="superscript"/>
        </w:rPr>
        <w:t>[17]</w:t>
      </w:r>
      <w:r>
        <w:rPr>
          <w:color w:val="auto"/>
          <w:szCs w:val="21"/>
          <w:highlight w:val="none"/>
        </w:rPr>
        <w:t>以及基于Wiener过程</w:t>
      </w:r>
      <w:r>
        <w:rPr>
          <w:color w:val="auto"/>
          <w:szCs w:val="21"/>
          <w:highlight w:val="none"/>
          <w:vertAlign w:val="superscript"/>
        </w:rPr>
        <w:t>[18]</w:t>
      </w:r>
      <w:r>
        <w:rPr>
          <w:color w:val="auto"/>
          <w:szCs w:val="21"/>
          <w:highlight w:val="none"/>
        </w:rPr>
        <w:t>、Gamma过程</w:t>
      </w:r>
      <w:r>
        <w:rPr>
          <w:color w:val="auto"/>
          <w:szCs w:val="21"/>
          <w:highlight w:val="none"/>
          <w:vertAlign w:val="superscript"/>
        </w:rPr>
        <w:t>[19]</w:t>
      </w:r>
      <w:r>
        <w:rPr>
          <w:color w:val="auto"/>
          <w:szCs w:val="21"/>
          <w:highlight w:val="none"/>
        </w:rPr>
        <w:t>等随机老化模型</w:t>
      </w:r>
      <w:r>
        <w:rPr>
          <w:color w:val="auto"/>
          <w:szCs w:val="21"/>
          <w:highlight w:val="none"/>
          <w:vertAlign w:val="superscript"/>
        </w:rPr>
        <w:t>[20]</w:t>
      </w:r>
      <w:r>
        <w:rPr>
          <w:color w:val="auto"/>
          <w:szCs w:val="21"/>
          <w:highlight w:val="none"/>
        </w:rPr>
        <w:t>。该方法能够在一定程度上反映电池老化的物理或统计特性</w:t>
      </w:r>
      <w:r>
        <w:rPr>
          <w:color w:val="auto"/>
          <w:szCs w:val="21"/>
          <w:highlight w:val="none"/>
          <w:vertAlign w:val="superscript"/>
        </w:rPr>
        <w:t>[21, 22]</w:t>
      </w:r>
      <w:r>
        <w:rPr>
          <w:color w:val="auto"/>
          <w:szCs w:val="21"/>
          <w:highlight w:val="none"/>
        </w:rPr>
        <w:t>，并具有较好的可解释性。然而，这类方法往往依赖于模型假设及参数辨识的准确性，在复杂工况或个体差异较大的情况下，其预测精度和适应性仍面临挑战。</w:t>
      </w:r>
    </w:p>
    <w:p w14:paraId="47223686">
      <w:pPr>
        <w:adjustRightInd w:val="0"/>
        <w:snapToGrid w:val="0"/>
        <w:ind w:firstLine="420" w:firstLineChars="200"/>
        <w:rPr>
          <w:color w:val="auto"/>
          <w:szCs w:val="21"/>
          <w:highlight w:val="none"/>
        </w:rPr>
      </w:pPr>
      <w:r>
        <w:rPr>
          <w:color w:val="auto"/>
          <w:szCs w:val="21"/>
          <w:highlight w:val="none"/>
        </w:rPr>
        <w:t>基于数据驱动的方法则侧重于利用历史运行数据，通过机器学习或深度学习模型直接学习电池老化规律，实现RUL预测</w:t>
      </w:r>
      <w:r>
        <w:rPr>
          <w:color w:val="auto"/>
          <w:szCs w:val="21"/>
          <w:highlight w:val="none"/>
          <w:vertAlign w:val="superscript"/>
        </w:rPr>
        <w:t>[22</w:t>
      </w:r>
      <w:r>
        <w:rPr>
          <w:rFonts w:hint="eastAsia"/>
          <w:color w:val="auto"/>
          <w:szCs w:val="21"/>
          <w:highlight w:val="none"/>
          <w:vertAlign w:val="superscript"/>
          <w:lang w:val="en-US" w:eastAsia="zh-CN"/>
        </w:rPr>
        <w:t>-</w:t>
      </w:r>
      <w:r>
        <w:rPr>
          <w:color w:val="auto"/>
          <w:szCs w:val="21"/>
          <w:highlight w:val="none"/>
          <w:vertAlign w:val="superscript"/>
        </w:rPr>
        <w:t>23]</w:t>
      </w:r>
      <w:r>
        <w:rPr>
          <w:color w:val="auto"/>
          <w:szCs w:val="21"/>
          <w:highlight w:val="none"/>
        </w:rPr>
        <w:t>。典型方法包括支持向量机</w:t>
      </w:r>
      <w:r>
        <w:rPr>
          <w:color w:val="auto"/>
          <w:szCs w:val="21"/>
          <w:highlight w:val="none"/>
          <w:vertAlign w:val="superscript"/>
        </w:rPr>
        <w:t>[24]</w:t>
      </w:r>
      <w:r>
        <w:rPr>
          <w:color w:val="auto"/>
          <w:szCs w:val="21"/>
          <w:highlight w:val="none"/>
        </w:rPr>
        <w:t>、人工神经网络</w:t>
      </w:r>
      <w:r>
        <w:rPr>
          <w:color w:val="auto"/>
          <w:szCs w:val="21"/>
          <w:highlight w:val="none"/>
          <w:vertAlign w:val="superscript"/>
        </w:rPr>
        <w:t>[14, 25]</w:t>
      </w:r>
      <w:r>
        <w:rPr>
          <w:color w:val="auto"/>
          <w:szCs w:val="21"/>
          <w:highlight w:val="none"/>
        </w:rPr>
        <w:t>、长短期记忆网络</w:t>
      </w:r>
      <w:r>
        <w:rPr>
          <w:color w:val="auto"/>
          <w:szCs w:val="21"/>
          <w:highlight w:val="none"/>
          <w:vertAlign w:val="superscript"/>
        </w:rPr>
        <w:t>[23, 26]</w:t>
      </w:r>
      <w:r>
        <w:rPr>
          <w:color w:val="auto"/>
          <w:szCs w:val="21"/>
          <w:highlight w:val="none"/>
        </w:rPr>
        <w:t>等。这类方法对复杂非线性关系具有较强的建模能力</w:t>
      </w:r>
      <w:r>
        <w:rPr>
          <w:color w:val="auto"/>
          <w:szCs w:val="21"/>
          <w:highlight w:val="none"/>
          <w:vertAlign w:val="superscript"/>
        </w:rPr>
        <w:t>[27]</w:t>
      </w:r>
      <w:r>
        <w:rPr>
          <w:color w:val="auto"/>
          <w:szCs w:val="21"/>
          <w:highlight w:val="none"/>
        </w:rPr>
        <w:t>，且对先验物理知识依赖较小，但其预测结果通常缺乏明确的物理解释，且在样本规模有限或工况变化较大时，模型的泛化能力和稳定性仍有待进一步提高。</w:t>
      </w:r>
    </w:p>
    <w:p w14:paraId="06929D15">
      <w:pPr>
        <w:adjustRightInd w:val="0"/>
        <w:snapToGrid w:val="0"/>
        <w:ind w:firstLine="420" w:firstLineChars="200"/>
        <w:rPr>
          <w:color w:val="auto"/>
          <w:szCs w:val="21"/>
          <w:highlight w:val="none"/>
        </w:rPr>
      </w:pPr>
      <w:r>
        <w:rPr>
          <w:color w:val="auto"/>
          <w:szCs w:val="21"/>
          <w:highlight w:val="none"/>
        </w:rPr>
        <w:t>近年来，融合模型驱动与数据驱动优势的混合方法逐渐受到关注。该类方法通常利用数据驱动模型刻画复杂非线性老化特征，同时引入老化模型或物理约束对预测结果进行约束</w:t>
      </w:r>
      <w:r>
        <w:rPr>
          <w:color w:val="auto"/>
          <w:szCs w:val="21"/>
          <w:highlight w:val="none"/>
          <w:vertAlign w:val="superscript"/>
        </w:rPr>
        <w:t>[28</w:t>
      </w:r>
      <w:r>
        <w:rPr>
          <w:rFonts w:hint="eastAsia"/>
          <w:color w:val="auto"/>
          <w:szCs w:val="21"/>
          <w:highlight w:val="none"/>
          <w:vertAlign w:val="superscript"/>
        </w:rPr>
        <w:t>-30</w:t>
      </w:r>
      <w:r>
        <w:rPr>
          <w:color w:val="auto"/>
          <w:szCs w:val="21"/>
          <w:highlight w:val="none"/>
          <w:vertAlign w:val="superscript"/>
        </w:rPr>
        <w:t>]</w:t>
      </w:r>
      <w:r>
        <w:rPr>
          <w:color w:val="auto"/>
          <w:szCs w:val="21"/>
          <w:highlight w:val="none"/>
        </w:rPr>
        <w:t>，从而在提高预测精度的同时增强模型的可解释性与鲁棒性。然而，现有的混合方法仍存在两方面局限：首先，数据驱动模型极易陷入局部最优解，且初始参数的随机性导致其对轨迹跟踪不够稳定，直接影响后续预测精度；其次，目前的混合模型大多侧重于确定性的点预测，缺乏对</w:t>
      </w:r>
      <w:r>
        <w:rPr>
          <w:i/>
          <w:iCs/>
          <w:color w:val="auto"/>
          <w:szCs w:val="21"/>
          <w:highlight w:val="none"/>
        </w:rPr>
        <w:t>RUL</w:t>
      </w:r>
      <w:r>
        <w:rPr>
          <w:color w:val="auto"/>
          <w:szCs w:val="21"/>
          <w:highlight w:val="none"/>
        </w:rPr>
        <w:t>预测结果的概率分布与不确定性量化，难以满足高可靠性系统对风险评估的需求。如何构建一种既能精准捕捉非线性特征，又能提供可靠概率依据的融合框架，是当前亟需解决的关键问题。</w:t>
      </w:r>
    </w:p>
    <w:p w14:paraId="41A0DF68">
      <w:pPr>
        <w:adjustRightInd w:val="0"/>
        <w:snapToGrid w:val="0"/>
        <w:ind w:firstLine="420" w:firstLineChars="200"/>
        <w:rPr>
          <w:color w:val="auto"/>
          <w:szCs w:val="21"/>
          <w:highlight w:val="none"/>
        </w:rPr>
      </w:pPr>
      <w:r>
        <w:rPr>
          <w:color w:val="auto"/>
          <w:szCs w:val="21"/>
          <w:highlight w:val="none"/>
        </w:rPr>
        <w:t>针对上述方法的不足，本研究提出了一种改进的融合模型和数据驱动的混合方法：一方面，引入具有全局寻优能力的小龙虾优化算法（Crayfish Optimization Algorithm, COA）对误差反向传播（Back Propagation, BP）神经网络进行改进，解决了传统数据驱动模型易陷局部最优的难题；另一方面，结合Wiener随机过程构建两阶段框架，弥补了确定性模型缺乏统计学解释的短板。这种改进的双驱动框架旨在实现高精度非线性拟合与可靠概率预测的统一。本研究主要贡献如下：</w:t>
      </w:r>
    </w:p>
    <w:p w14:paraId="53A77C23">
      <w:pPr>
        <w:adjustRightInd w:val="0"/>
        <w:snapToGrid w:val="0"/>
        <w:ind w:firstLine="420" w:firstLineChars="200"/>
        <w:rPr>
          <w:color w:val="auto"/>
          <w:szCs w:val="21"/>
          <w:highlight w:val="none"/>
        </w:rPr>
      </w:pPr>
      <w:r>
        <w:rPr>
          <w:color w:val="auto"/>
          <w:szCs w:val="21"/>
          <w:highlight w:val="none"/>
        </w:rPr>
        <w:t>（1）提出了一种融合深度学习与随机过程的锂离子电池</w:t>
      </w:r>
      <w:r>
        <w:rPr>
          <w:i/>
          <w:iCs/>
          <w:color w:val="auto"/>
          <w:szCs w:val="21"/>
          <w:highlight w:val="none"/>
        </w:rPr>
        <w:t>RUL</w:t>
      </w:r>
      <w:r>
        <w:rPr>
          <w:color w:val="auto"/>
          <w:szCs w:val="21"/>
          <w:highlight w:val="none"/>
        </w:rPr>
        <w:t>两阶段预测框架。该框架将深度学习的非线性映射能力用于第一阶段的特征提取与初步预测，将随机过程的数学解析能力用于第二阶段的寿命预测。该框架结合了数据驱动方法和随机过程模型，在本研究实验条件下提升了算法的预测精度，并在所测试数据集上表现出一定的泛化能力。</w:t>
      </w:r>
    </w:p>
    <w:p w14:paraId="5B521F02">
      <w:pPr>
        <w:adjustRightInd w:val="0"/>
        <w:snapToGrid w:val="0"/>
        <w:ind w:firstLine="420" w:firstLineChars="200"/>
        <w:rPr>
          <w:color w:val="auto"/>
          <w:szCs w:val="21"/>
          <w:highlight w:val="none"/>
        </w:rPr>
      </w:pPr>
      <w:r>
        <w:rPr>
          <w:color w:val="auto"/>
          <w:szCs w:val="21"/>
          <w:highlight w:val="none"/>
        </w:rPr>
        <w:t xml:space="preserve">（2）在框架的第一阶段，提出了一种基于COA-BP神经网络的健康因子（Health Indicator, </w:t>
      </w:r>
      <w:r>
        <w:rPr>
          <w:i/>
          <w:color w:val="auto"/>
          <w:szCs w:val="21"/>
          <w:highlight w:val="none"/>
        </w:rPr>
        <w:t>HI</w:t>
      </w:r>
      <w:r>
        <w:rPr>
          <w:color w:val="auto"/>
          <w:szCs w:val="21"/>
          <w:highlight w:val="none"/>
        </w:rPr>
        <w:t>）的预测方法。针对锂离子电池普遍存在的容量再生局部波动及噪声干扰，利用COA算法特有的避暑-竞争双重机制优化BP神经网络的初始权重与阈值。与其他优化算法相比，该方法通过大跨度随机游走有效规避了局部最优陷阱，并利用高强度竞争机制实现了对非线性老化轨迹的微调，从而为后续寿命预测提供了高质量的先验数据输入。</w:t>
      </w:r>
    </w:p>
    <w:p w14:paraId="787C76D3">
      <w:pPr>
        <w:adjustRightInd w:val="0"/>
        <w:snapToGrid w:val="0"/>
        <w:ind w:firstLine="420" w:firstLineChars="200"/>
        <w:rPr>
          <w:color w:val="auto"/>
          <w:szCs w:val="21"/>
          <w:highlight w:val="none"/>
        </w:rPr>
      </w:pPr>
      <w:r>
        <w:rPr>
          <w:color w:val="auto"/>
          <w:szCs w:val="21"/>
          <w:highlight w:val="none"/>
        </w:rPr>
        <w:t>（3）在框架的第二阶段，提出了一种基于Wiener过程的</w:t>
      </w:r>
      <w:r>
        <w:rPr>
          <w:i/>
          <w:iCs/>
          <w:color w:val="auto"/>
          <w:szCs w:val="21"/>
          <w:highlight w:val="none"/>
        </w:rPr>
        <w:t>RUL</w:t>
      </w:r>
      <w:r>
        <w:rPr>
          <w:color w:val="auto"/>
          <w:szCs w:val="21"/>
          <w:highlight w:val="none"/>
        </w:rPr>
        <w:t>预测方法。将第一阶段输出的</w:t>
      </w:r>
      <w:r>
        <w:rPr>
          <w:i/>
          <w:color w:val="auto"/>
          <w:szCs w:val="21"/>
          <w:highlight w:val="none"/>
        </w:rPr>
        <w:t>HI</w:t>
      </w:r>
      <w:r>
        <w:rPr>
          <w:color w:val="auto"/>
          <w:szCs w:val="21"/>
          <w:highlight w:val="none"/>
        </w:rPr>
        <w:t>预测序列作为输入引入Wiener过程，通过计算漂移系数与扩散系数，构建</w:t>
      </w:r>
      <w:r>
        <w:rPr>
          <w:i/>
          <w:iCs/>
          <w:color w:val="auto"/>
          <w:szCs w:val="21"/>
          <w:highlight w:val="none"/>
        </w:rPr>
        <w:t>RUL</w:t>
      </w:r>
      <w:r>
        <w:rPr>
          <w:color w:val="auto"/>
          <w:szCs w:val="21"/>
          <w:highlight w:val="none"/>
        </w:rPr>
        <w:t>的概率密度函数，计算得到</w:t>
      </w:r>
      <w:r>
        <w:rPr>
          <w:i/>
          <w:iCs/>
          <w:color w:val="auto"/>
          <w:szCs w:val="21"/>
          <w:highlight w:val="none"/>
        </w:rPr>
        <w:t>RUL</w:t>
      </w:r>
      <w:r>
        <w:rPr>
          <w:color w:val="auto"/>
          <w:szCs w:val="21"/>
          <w:highlight w:val="none"/>
        </w:rPr>
        <w:t>的期望值，从而实现</w:t>
      </w:r>
      <w:r>
        <w:rPr>
          <w:i/>
          <w:iCs/>
          <w:color w:val="auto"/>
          <w:szCs w:val="21"/>
          <w:highlight w:val="none"/>
        </w:rPr>
        <w:t>RUL</w:t>
      </w:r>
      <w:r>
        <w:rPr>
          <w:color w:val="auto"/>
          <w:szCs w:val="21"/>
          <w:highlight w:val="none"/>
        </w:rPr>
        <w:t>的精准预测。该方法有效量化预测结果的不确定性，为电池</w:t>
      </w:r>
      <w:r>
        <w:rPr>
          <w:i/>
          <w:iCs/>
          <w:color w:val="auto"/>
          <w:szCs w:val="21"/>
          <w:highlight w:val="none"/>
        </w:rPr>
        <w:t>RUL</w:t>
      </w:r>
      <w:r>
        <w:rPr>
          <w:color w:val="auto"/>
          <w:szCs w:val="21"/>
          <w:highlight w:val="none"/>
        </w:rPr>
        <w:t>预测提供了具有参考价值的概率依据。</w:t>
      </w:r>
    </w:p>
    <w:p w14:paraId="59E77A75">
      <w:pPr>
        <w:adjustRightInd w:val="0"/>
        <w:snapToGrid w:val="0"/>
        <w:rPr>
          <w:rFonts w:hint="eastAsia" w:ascii="宋体" w:hAnsi="宋体"/>
          <w:color w:val="auto"/>
          <w:szCs w:val="21"/>
          <w:highlight w:val="none"/>
        </w:rPr>
      </w:pPr>
      <w:r>
        <w:rPr>
          <w:rFonts w:ascii="宋体" w:hAnsi="宋体"/>
          <w:b/>
          <w:color w:val="auto"/>
          <w:sz w:val="28"/>
          <w:szCs w:val="28"/>
          <w:highlight w:val="none"/>
        </w:rPr>
        <w:t>1</w:t>
      </w:r>
      <w:r>
        <w:rPr>
          <w:rFonts w:ascii="宋体" w:hAnsi="宋体"/>
          <w:color w:val="auto"/>
          <w:sz w:val="28"/>
          <w:szCs w:val="28"/>
          <w:highlight w:val="none"/>
        </w:rPr>
        <w:t xml:space="preserve"> 锂离子电池实验数据获取</w:t>
      </w:r>
    </w:p>
    <w:p w14:paraId="2051B372">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1.1 锂离子电池循环寿命实验</w:t>
      </w:r>
    </w:p>
    <w:p w14:paraId="795DE730">
      <w:pPr>
        <w:adjustRightInd w:val="0"/>
        <w:snapToGrid w:val="0"/>
        <w:ind w:firstLine="420" w:firstLineChars="200"/>
        <w:rPr>
          <w:color w:val="auto"/>
          <w:szCs w:val="18"/>
          <w:highlight w:val="none"/>
        </w:rPr>
      </w:pPr>
      <w:r>
        <w:rPr>
          <w:color w:val="auto"/>
          <w:szCs w:val="18"/>
          <w:highlight w:val="none"/>
        </w:rPr>
        <w:t>本研究以18650磷酸铁锂（LiFePO4）动力电池作为研究对象，这种电池产品的合格率高，电池的一致性相对较好，内阻比较小，有一定的安全和性能保证。电池的主要性能参数</w:t>
      </w:r>
      <w:r>
        <w:rPr>
          <w:rFonts w:hint="eastAsia"/>
          <w:color w:val="auto"/>
          <w:szCs w:val="18"/>
          <w:highlight w:val="none"/>
        </w:rPr>
        <w:t>如</w:t>
      </w:r>
      <w:r>
        <w:rPr>
          <w:color w:val="auto"/>
          <w:szCs w:val="18"/>
          <w:highlight w:val="none"/>
        </w:rPr>
        <w:t>表1所</w:t>
      </w:r>
      <w:r>
        <w:rPr>
          <w:rFonts w:hint="eastAsia"/>
          <w:color w:val="auto"/>
          <w:szCs w:val="18"/>
          <w:highlight w:val="none"/>
        </w:rPr>
        <w:t>列</w:t>
      </w:r>
      <w:r>
        <w:rPr>
          <w:color w:val="auto"/>
          <w:szCs w:val="18"/>
          <w:highlight w:val="none"/>
        </w:rPr>
        <w:t>。实验使用两块电池，分别命名L1、L2。</w:t>
      </w:r>
    </w:p>
    <w:p w14:paraId="227B2748">
      <w:pPr>
        <w:adjustRightInd w:val="0"/>
        <w:snapToGrid w:val="0"/>
        <w:jc w:val="center"/>
        <w:rPr>
          <w:rFonts w:hint="eastAsia" w:ascii="黑体" w:hAnsi="黑体" w:eastAsia="黑体"/>
          <w:color w:val="auto"/>
          <w:sz w:val="18"/>
          <w:szCs w:val="15"/>
          <w:highlight w:val="none"/>
        </w:rPr>
      </w:pPr>
      <w:r>
        <w:rPr>
          <w:rFonts w:ascii="黑体" w:hAnsi="黑体" w:eastAsia="黑体"/>
          <w:color w:val="auto"/>
          <w:sz w:val="18"/>
          <w:szCs w:val="15"/>
          <w:highlight w:val="none"/>
        </w:rPr>
        <w:t>表</w:t>
      </w:r>
      <w:r>
        <w:rPr>
          <w:rFonts w:eastAsia="黑体"/>
          <w:color w:val="auto"/>
          <w:sz w:val="18"/>
          <w:szCs w:val="15"/>
          <w:highlight w:val="none"/>
        </w:rPr>
        <w:t>1</w:t>
      </w:r>
      <w:r>
        <w:rPr>
          <w:rFonts w:hint="eastAsia" w:ascii="黑体" w:hAnsi="黑体" w:eastAsia="黑体"/>
          <w:color w:val="auto"/>
          <w:sz w:val="18"/>
          <w:szCs w:val="15"/>
          <w:highlight w:val="none"/>
        </w:rPr>
        <w:t xml:space="preserve"> </w:t>
      </w:r>
      <w:r>
        <w:rPr>
          <w:rFonts w:ascii="黑体" w:hAnsi="黑体" w:eastAsia="黑体"/>
          <w:color w:val="auto"/>
          <w:sz w:val="18"/>
          <w:szCs w:val="15"/>
          <w:highlight w:val="none"/>
        </w:rPr>
        <w:t xml:space="preserve"> 电池主要性能参数</w:t>
      </w:r>
    </w:p>
    <w:p w14:paraId="699EBEF5">
      <w:pPr>
        <w:adjustRightInd w:val="0"/>
        <w:snapToGrid w:val="0"/>
        <w:jc w:val="center"/>
        <w:rPr>
          <w:color w:val="auto"/>
          <w:sz w:val="18"/>
          <w:szCs w:val="15"/>
          <w:highlight w:val="none"/>
        </w:rPr>
      </w:pPr>
      <w:r>
        <w:rPr>
          <w:color w:val="auto"/>
          <w:sz w:val="18"/>
          <w:szCs w:val="15"/>
          <w:highlight w:val="none"/>
        </w:rPr>
        <w:t>Table 1</w:t>
      </w:r>
      <w:r>
        <w:rPr>
          <w:rFonts w:hint="eastAsia"/>
          <w:color w:val="auto"/>
          <w:sz w:val="18"/>
          <w:szCs w:val="15"/>
          <w:highlight w:val="none"/>
        </w:rPr>
        <w:t xml:space="preserve"> </w:t>
      </w:r>
      <w:r>
        <w:rPr>
          <w:color w:val="auto"/>
          <w:sz w:val="18"/>
          <w:szCs w:val="15"/>
          <w:highlight w:val="none"/>
        </w:rPr>
        <w:t xml:space="preserve"> Main battery performance parameters</w:t>
      </w:r>
    </w:p>
    <w:tbl>
      <w:tblPr>
        <w:tblStyle w:val="9"/>
        <w:tblW w:w="5000" w:type="pct"/>
        <w:jc w:val="center"/>
        <w:tblLayout w:type="autofit"/>
        <w:tblCellMar>
          <w:top w:w="0" w:type="dxa"/>
          <w:left w:w="108" w:type="dxa"/>
          <w:bottom w:w="0" w:type="dxa"/>
          <w:right w:w="108" w:type="dxa"/>
        </w:tblCellMar>
      </w:tblPr>
      <w:tblGrid>
        <w:gridCol w:w="4927"/>
        <w:gridCol w:w="4927"/>
      </w:tblGrid>
      <w:tr w14:paraId="46607330">
        <w:tblPrEx>
          <w:tblCellMar>
            <w:top w:w="0" w:type="dxa"/>
            <w:left w:w="108" w:type="dxa"/>
            <w:bottom w:w="0" w:type="dxa"/>
            <w:right w:w="108" w:type="dxa"/>
          </w:tblCellMar>
        </w:tblPrEx>
        <w:trPr>
          <w:jc w:val="center"/>
        </w:trPr>
        <w:tc>
          <w:tcPr>
            <w:tcW w:w="2500" w:type="pct"/>
            <w:tcBorders>
              <w:top w:val="single" w:color="auto" w:sz="12" w:space="0"/>
              <w:bottom w:val="single" w:color="auto" w:sz="8" w:space="0"/>
            </w:tcBorders>
            <w:vAlign w:val="center"/>
          </w:tcPr>
          <w:p w14:paraId="0A10B9FD">
            <w:pPr>
              <w:snapToGrid w:val="0"/>
              <w:jc w:val="center"/>
              <w:rPr>
                <w:color w:val="auto"/>
                <w:sz w:val="18"/>
                <w:szCs w:val="18"/>
                <w:highlight w:val="none"/>
              </w:rPr>
            </w:pPr>
            <w:r>
              <w:rPr>
                <w:color w:val="auto"/>
                <w:sz w:val="18"/>
                <w:szCs w:val="18"/>
                <w:highlight w:val="none"/>
              </w:rPr>
              <w:t>技术参数</w:t>
            </w:r>
          </w:p>
        </w:tc>
        <w:tc>
          <w:tcPr>
            <w:tcW w:w="2500" w:type="pct"/>
            <w:tcBorders>
              <w:top w:val="single" w:color="auto" w:sz="12" w:space="0"/>
              <w:bottom w:val="single" w:color="auto" w:sz="8" w:space="0"/>
            </w:tcBorders>
            <w:vAlign w:val="center"/>
          </w:tcPr>
          <w:p w14:paraId="3EBBD17D">
            <w:pPr>
              <w:snapToGrid w:val="0"/>
              <w:jc w:val="center"/>
              <w:rPr>
                <w:color w:val="auto"/>
                <w:sz w:val="18"/>
                <w:szCs w:val="18"/>
                <w:highlight w:val="none"/>
              </w:rPr>
            </w:pPr>
            <w:r>
              <w:rPr>
                <w:color w:val="auto"/>
                <w:sz w:val="18"/>
                <w:szCs w:val="18"/>
                <w:highlight w:val="none"/>
              </w:rPr>
              <w:t>规格</w:t>
            </w:r>
          </w:p>
        </w:tc>
      </w:tr>
      <w:tr w14:paraId="5FA6CE18">
        <w:tblPrEx>
          <w:tblCellMar>
            <w:top w:w="0" w:type="dxa"/>
            <w:left w:w="108" w:type="dxa"/>
            <w:bottom w:w="0" w:type="dxa"/>
            <w:right w:w="108" w:type="dxa"/>
          </w:tblCellMar>
        </w:tblPrEx>
        <w:trPr>
          <w:jc w:val="center"/>
        </w:trPr>
        <w:tc>
          <w:tcPr>
            <w:tcW w:w="2500" w:type="pct"/>
            <w:tcBorders>
              <w:top w:val="single" w:color="auto" w:sz="8" w:space="0"/>
            </w:tcBorders>
            <w:vAlign w:val="center"/>
          </w:tcPr>
          <w:p w14:paraId="7D2FDCEA">
            <w:pPr>
              <w:snapToGrid w:val="0"/>
              <w:jc w:val="center"/>
              <w:rPr>
                <w:color w:val="auto"/>
                <w:sz w:val="18"/>
                <w:szCs w:val="18"/>
                <w:highlight w:val="none"/>
              </w:rPr>
            </w:pPr>
            <w:r>
              <w:rPr>
                <w:color w:val="auto"/>
                <w:sz w:val="18"/>
                <w:szCs w:val="18"/>
                <w:highlight w:val="none"/>
              </w:rPr>
              <w:t>标称容量</w:t>
            </w:r>
            <w:r>
              <w:rPr>
                <w:rFonts w:hint="eastAsia" w:ascii="Calibri" w:hAnsi="Calibri" w:cs="Calibri"/>
                <w:color w:val="auto"/>
                <w:sz w:val="18"/>
                <w:szCs w:val="18"/>
                <w:highlight w:val="none"/>
              </w:rPr>
              <w:t>/</w:t>
            </w:r>
            <w:r>
              <w:rPr>
                <w:rFonts w:ascii="Calibri" w:hAnsi="Calibri" w:cs="Calibri"/>
                <w:color w:val="auto"/>
                <w:sz w:val="18"/>
                <w:szCs w:val="18"/>
                <w:highlight w:val="none"/>
              </w:rPr>
              <w:t>mAh</w:t>
            </w:r>
          </w:p>
        </w:tc>
        <w:tc>
          <w:tcPr>
            <w:tcW w:w="2500" w:type="pct"/>
            <w:tcBorders>
              <w:top w:val="single" w:color="auto" w:sz="8" w:space="0"/>
            </w:tcBorders>
            <w:vAlign w:val="center"/>
          </w:tcPr>
          <w:p w14:paraId="303AED1A">
            <w:pPr>
              <w:snapToGrid w:val="0"/>
              <w:jc w:val="center"/>
              <w:rPr>
                <w:rFonts w:ascii="Calibri" w:hAnsi="Calibri" w:cs="Calibri"/>
                <w:color w:val="auto"/>
                <w:sz w:val="18"/>
                <w:szCs w:val="18"/>
                <w:highlight w:val="none"/>
              </w:rPr>
            </w:pPr>
            <w:r>
              <w:rPr>
                <w:rFonts w:ascii="Calibri" w:hAnsi="Calibri" w:cs="Calibri"/>
                <w:color w:val="auto"/>
                <w:sz w:val="18"/>
                <w:szCs w:val="18"/>
                <w:highlight w:val="none"/>
              </w:rPr>
              <w:t>1100</w:t>
            </w:r>
          </w:p>
        </w:tc>
      </w:tr>
      <w:tr w14:paraId="7D08E172">
        <w:tblPrEx>
          <w:tblCellMar>
            <w:top w:w="0" w:type="dxa"/>
            <w:left w:w="108" w:type="dxa"/>
            <w:bottom w:w="0" w:type="dxa"/>
            <w:right w:w="108" w:type="dxa"/>
          </w:tblCellMar>
        </w:tblPrEx>
        <w:trPr>
          <w:jc w:val="center"/>
        </w:trPr>
        <w:tc>
          <w:tcPr>
            <w:tcW w:w="2500" w:type="pct"/>
            <w:vAlign w:val="center"/>
          </w:tcPr>
          <w:p w14:paraId="1D3D4BC8">
            <w:pPr>
              <w:snapToGrid w:val="0"/>
              <w:jc w:val="center"/>
              <w:rPr>
                <w:color w:val="auto"/>
                <w:sz w:val="18"/>
                <w:szCs w:val="18"/>
                <w:highlight w:val="none"/>
              </w:rPr>
            </w:pPr>
            <w:r>
              <w:rPr>
                <w:color w:val="auto"/>
                <w:sz w:val="18"/>
                <w:szCs w:val="18"/>
                <w:highlight w:val="none"/>
              </w:rPr>
              <w:t>标称电压</w:t>
            </w:r>
            <w:r>
              <w:rPr>
                <w:rFonts w:ascii="Calibri" w:hAnsi="Calibri" w:cs="Calibri"/>
                <w:color w:val="auto"/>
                <w:sz w:val="18"/>
                <w:szCs w:val="18"/>
                <w:highlight w:val="none"/>
              </w:rPr>
              <w:t>/V</w:t>
            </w:r>
          </w:p>
        </w:tc>
        <w:tc>
          <w:tcPr>
            <w:tcW w:w="2500" w:type="pct"/>
            <w:vAlign w:val="center"/>
          </w:tcPr>
          <w:p w14:paraId="5391020F">
            <w:pPr>
              <w:snapToGrid w:val="0"/>
              <w:jc w:val="center"/>
              <w:rPr>
                <w:rFonts w:ascii="Calibri" w:hAnsi="Calibri" w:cs="Calibri"/>
                <w:color w:val="auto"/>
                <w:sz w:val="18"/>
                <w:szCs w:val="18"/>
                <w:highlight w:val="none"/>
              </w:rPr>
            </w:pPr>
            <w:r>
              <w:rPr>
                <w:rFonts w:ascii="Calibri" w:hAnsi="Calibri" w:cs="Calibri"/>
                <w:color w:val="auto"/>
                <w:sz w:val="18"/>
                <w:szCs w:val="18"/>
                <w:highlight w:val="none"/>
              </w:rPr>
              <w:t>3.2</w:t>
            </w:r>
          </w:p>
        </w:tc>
      </w:tr>
      <w:tr w14:paraId="39C3423D">
        <w:tblPrEx>
          <w:tblCellMar>
            <w:top w:w="0" w:type="dxa"/>
            <w:left w:w="108" w:type="dxa"/>
            <w:bottom w:w="0" w:type="dxa"/>
            <w:right w:w="108" w:type="dxa"/>
          </w:tblCellMar>
        </w:tblPrEx>
        <w:trPr>
          <w:jc w:val="center"/>
        </w:trPr>
        <w:tc>
          <w:tcPr>
            <w:tcW w:w="2500" w:type="pct"/>
            <w:vAlign w:val="center"/>
          </w:tcPr>
          <w:p w14:paraId="58BDD71C">
            <w:pPr>
              <w:snapToGrid w:val="0"/>
              <w:jc w:val="center"/>
              <w:rPr>
                <w:color w:val="auto"/>
                <w:sz w:val="18"/>
                <w:szCs w:val="18"/>
                <w:highlight w:val="none"/>
              </w:rPr>
            </w:pPr>
            <w:r>
              <w:rPr>
                <w:color w:val="auto"/>
                <w:sz w:val="18"/>
                <w:szCs w:val="18"/>
                <w:highlight w:val="none"/>
              </w:rPr>
              <w:t>上限截止电压</w:t>
            </w:r>
            <w:r>
              <w:rPr>
                <w:rFonts w:hint="eastAsia" w:ascii="Calibri" w:hAnsi="Calibri" w:cs="Calibri"/>
                <w:color w:val="auto"/>
                <w:sz w:val="18"/>
                <w:szCs w:val="18"/>
                <w:highlight w:val="none"/>
              </w:rPr>
              <w:t>/V</w:t>
            </w:r>
          </w:p>
        </w:tc>
        <w:tc>
          <w:tcPr>
            <w:tcW w:w="2500" w:type="pct"/>
            <w:vAlign w:val="center"/>
          </w:tcPr>
          <w:p w14:paraId="05F24164">
            <w:pPr>
              <w:snapToGrid w:val="0"/>
              <w:jc w:val="center"/>
              <w:rPr>
                <w:rFonts w:ascii="Calibri" w:hAnsi="Calibri" w:cs="Calibri"/>
                <w:color w:val="auto"/>
                <w:sz w:val="18"/>
                <w:szCs w:val="18"/>
                <w:highlight w:val="none"/>
              </w:rPr>
            </w:pPr>
            <w:r>
              <w:rPr>
                <w:rFonts w:ascii="Calibri" w:hAnsi="Calibri" w:cs="Calibri"/>
                <w:color w:val="auto"/>
                <w:sz w:val="18"/>
                <w:szCs w:val="18"/>
                <w:highlight w:val="none"/>
              </w:rPr>
              <w:t>3.65</w:t>
            </w:r>
          </w:p>
        </w:tc>
      </w:tr>
      <w:tr w14:paraId="2FC07F09">
        <w:tblPrEx>
          <w:tblCellMar>
            <w:top w:w="0" w:type="dxa"/>
            <w:left w:w="108" w:type="dxa"/>
            <w:bottom w:w="0" w:type="dxa"/>
            <w:right w:w="108" w:type="dxa"/>
          </w:tblCellMar>
        </w:tblPrEx>
        <w:trPr>
          <w:trHeight w:val="224" w:hRule="atLeast"/>
          <w:jc w:val="center"/>
        </w:trPr>
        <w:tc>
          <w:tcPr>
            <w:tcW w:w="2500" w:type="pct"/>
            <w:vAlign w:val="center"/>
          </w:tcPr>
          <w:p w14:paraId="12D0FEBF">
            <w:pPr>
              <w:snapToGrid w:val="0"/>
              <w:jc w:val="center"/>
              <w:rPr>
                <w:color w:val="auto"/>
                <w:sz w:val="18"/>
                <w:szCs w:val="18"/>
                <w:highlight w:val="none"/>
              </w:rPr>
            </w:pPr>
            <w:r>
              <w:rPr>
                <w:color w:val="auto"/>
                <w:sz w:val="18"/>
                <w:szCs w:val="18"/>
                <w:highlight w:val="none"/>
              </w:rPr>
              <w:t>下限截止电压</w:t>
            </w:r>
            <w:r>
              <w:rPr>
                <w:rFonts w:hint="eastAsia" w:ascii="Calibri" w:hAnsi="Calibri" w:cs="Calibri"/>
                <w:color w:val="auto"/>
                <w:sz w:val="18"/>
                <w:szCs w:val="18"/>
                <w:highlight w:val="none"/>
              </w:rPr>
              <w:t>/V</w:t>
            </w:r>
          </w:p>
        </w:tc>
        <w:tc>
          <w:tcPr>
            <w:tcW w:w="2500" w:type="pct"/>
            <w:vAlign w:val="center"/>
          </w:tcPr>
          <w:p w14:paraId="76C99E08">
            <w:pPr>
              <w:snapToGrid w:val="0"/>
              <w:jc w:val="center"/>
              <w:rPr>
                <w:rFonts w:ascii="Calibri" w:hAnsi="Calibri" w:cs="Calibri"/>
                <w:color w:val="auto"/>
                <w:sz w:val="18"/>
                <w:szCs w:val="18"/>
                <w:highlight w:val="none"/>
              </w:rPr>
            </w:pPr>
            <w:r>
              <w:rPr>
                <w:rFonts w:ascii="Calibri" w:hAnsi="Calibri" w:cs="Calibri"/>
                <w:color w:val="auto"/>
                <w:sz w:val="18"/>
                <w:szCs w:val="18"/>
                <w:highlight w:val="none"/>
              </w:rPr>
              <w:t>2.5</w:t>
            </w:r>
          </w:p>
        </w:tc>
      </w:tr>
      <w:tr w14:paraId="312B7C7A">
        <w:tblPrEx>
          <w:tblCellMar>
            <w:top w:w="0" w:type="dxa"/>
            <w:left w:w="108" w:type="dxa"/>
            <w:bottom w:w="0" w:type="dxa"/>
            <w:right w:w="108" w:type="dxa"/>
          </w:tblCellMar>
        </w:tblPrEx>
        <w:trPr>
          <w:jc w:val="center"/>
        </w:trPr>
        <w:tc>
          <w:tcPr>
            <w:tcW w:w="2500" w:type="pct"/>
            <w:tcBorders>
              <w:bottom w:val="single" w:color="auto" w:sz="12" w:space="0"/>
            </w:tcBorders>
            <w:vAlign w:val="center"/>
          </w:tcPr>
          <w:p w14:paraId="06D645EE">
            <w:pPr>
              <w:snapToGrid w:val="0"/>
              <w:jc w:val="center"/>
              <w:rPr>
                <w:color w:val="auto"/>
                <w:sz w:val="18"/>
                <w:szCs w:val="18"/>
                <w:highlight w:val="none"/>
              </w:rPr>
            </w:pPr>
            <w:r>
              <w:rPr>
                <w:color w:val="auto"/>
                <w:sz w:val="18"/>
                <w:szCs w:val="18"/>
                <w:highlight w:val="none"/>
              </w:rPr>
              <w:t>标准放电的放电倍率</w:t>
            </w:r>
            <w:r>
              <w:rPr>
                <w:rFonts w:hint="eastAsia" w:ascii="Calibri" w:hAnsi="Calibri" w:cs="Calibri"/>
                <w:color w:val="auto"/>
                <w:sz w:val="18"/>
                <w:szCs w:val="18"/>
                <w:highlight w:val="none"/>
              </w:rPr>
              <w:t>/C</w:t>
            </w:r>
          </w:p>
        </w:tc>
        <w:tc>
          <w:tcPr>
            <w:tcW w:w="2500" w:type="pct"/>
            <w:tcBorders>
              <w:bottom w:val="single" w:color="auto" w:sz="12" w:space="0"/>
            </w:tcBorders>
            <w:vAlign w:val="center"/>
          </w:tcPr>
          <w:p w14:paraId="65455DC7">
            <w:pPr>
              <w:snapToGrid w:val="0"/>
              <w:jc w:val="center"/>
              <w:rPr>
                <w:rFonts w:ascii="Calibri" w:hAnsi="Calibri" w:cs="Calibri"/>
                <w:color w:val="auto"/>
                <w:sz w:val="18"/>
                <w:szCs w:val="18"/>
                <w:highlight w:val="none"/>
              </w:rPr>
            </w:pPr>
            <w:r>
              <w:rPr>
                <w:rFonts w:ascii="Calibri" w:hAnsi="Calibri" w:cs="Calibri"/>
                <w:color w:val="auto"/>
                <w:sz w:val="18"/>
                <w:szCs w:val="18"/>
                <w:highlight w:val="none"/>
              </w:rPr>
              <w:t>5</w:t>
            </w:r>
          </w:p>
        </w:tc>
      </w:tr>
    </w:tbl>
    <w:p w14:paraId="6C531E59">
      <w:pPr>
        <w:adjustRightInd w:val="0"/>
        <w:snapToGrid w:val="0"/>
        <w:ind w:firstLine="420" w:firstLineChars="200"/>
        <w:rPr>
          <w:color w:val="auto"/>
          <w:szCs w:val="18"/>
          <w:highlight w:val="none"/>
        </w:rPr>
      </w:pPr>
      <w:r>
        <w:rPr>
          <w:color w:val="auto"/>
          <w:szCs w:val="18"/>
          <w:highlight w:val="none"/>
        </w:rPr>
        <w:t>本次实验采用武汉蓝电电子股份有限公司生产的CT5002A型动力电池测试系统进行充放电测试。该设备具备16个独立测试通道，电压与电流测量精度均达到±0.1%FS，确保了实验数据采集的高可靠性。为消除环境温度波动对电化学特性的影响，所有电池均放置于上海博翎仪器设备有限公司生产的BLC-300型电池恒温箱中。该恒温箱采用平衡恒温调控系统与P.I.D微电脑集成控制器，实验全程温度恒定设置为25℃。</w:t>
      </w:r>
    </w:p>
    <w:p w14:paraId="4BC027DB">
      <w:pPr>
        <w:adjustRightInd w:val="0"/>
        <w:snapToGrid w:val="0"/>
        <w:ind w:firstLine="420" w:firstLineChars="200"/>
        <w:rPr>
          <w:rFonts w:hint="eastAsia" w:eastAsia="宋体"/>
          <w:color w:val="auto"/>
          <w:szCs w:val="18"/>
          <w:highlight w:val="none"/>
          <w:lang w:eastAsia="zh-CN"/>
        </w:rPr>
      </w:pPr>
      <w:r>
        <w:rPr>
          <w:color w:val="auto"/>
          <w:szCs w:val="18"/>
          <w:highlight w:val="none"/>
        </w:rPr>
        <w:t>为了获取电池全寿命周期的老化数据，实验设计了包含定期性能检测的循环老化方案，具体的测试流程如下</w:t>
      </w:r>
      <w:r>
        <w:rPr>
          <w:rFonts w:hint="eastAsia"/>
          <w:color w:val="auto"/>
          <w:szCs w:val="18"/>
          <w:highlight w:val="none"/>
          <w:lang w:eastAsia="zh-CN"/>
        </w:rPr>
        <w:t>。</w:t>
      </w:r>
    </w:p>
    <w:p w14:paraId="25C5C936">
      <w:pPr>
        <w:adjustRightInd w:val="0"/>
        <w:snapToGrid w:val="0"/>
        <w:ind w:firstLine="420" w:firstLineChars="200"/>
        <w:rPr>
          <w:color w:val="auto"/>
          <w:szCs w:val="18"/>
          <w:highlight w:val="none"/>
        </w:rPr>
      </w:pPr>
      <w:r>
        <w:rPr>
          <w:color w:val="auto"/>
          <w:szCs w:val="18"/>
          <w:highlight w:val="none"/>
        </w:rPr>
        <w:t>（1）在每个老化周期开始前，首先对电池进行最大可用容量测试和混合脉冲功率特性测试。</w:t>
      </w:r>
    </w:p>
    <w:p w14:paraId="2FC4EF7D">
      <w:pPr>
        <w:adjustRightInd w:val="0"/>
        <w:snapToGrid w:val="0"/>
        <w:ind w:firstLine="420" w:firstLineChars="200"/>
        <w:rPr>
          <w:rFonts w:hint="eastAsia" w:eastAsia="宋体"/>
          <w:color w:val="auto"/>
          <w:szCs w:val="18"/>
          <w:highlight w:val="none"/>
          <w:lang w:eastAsia="zh-CN"/>
        </w:rPr>
      </w:pPr>
      <w:r>
        <w:rPr>
          <w:color w:val="auto"/>
          <w:szCs w:val="18"/>
          <w:highlight w:val="none"/>
        </w:rPr>
        <w:t>（2）循环老化实验。完成性能检测后，对电池施加充放电循环以模拟老化。每个老化周期包含18次连续的充放电过程，单次充放电步骤如下</w:t>
      </w:r>
      <w:r>
        <w:rPr>
          <w:rFonts w:hint="eastAsia"/>
          <w:color w:val="auto"/>
          <w:szCs w:val="18"/>
          <w:highlight w:val="none"/>
          <w:lang w:eastAsia="zh-CN"/>
        </w:rPr>
        <w:t>。</w:t>
      </w:r>
    </w:p>
    <w:p w14:paraId="31246434">
      <w:pPr>
        <w:adjustRightInd w:val="0"/>
        <w:snapToGrid w:val="0"/>
        <w:ind w:firstLine="420" w:firstLineChars="200"/>
        <w:rPr>
          <w:color w:val="auto"/>
          <w:szCs w:val="18"/>
          <w:highlight w:val="none"/>
        </w:rPr>
      </w:pPr>
      <w:r>
        <w:rPr>
          <w:rFonts w:hint="eastAsia"/>
          <w:color w:val="auto"/>
          <w:szCs w:val="18"/>
          <w:highlight w:val="none"/>
        </w:rPr>
        <w:t>①</w:t>
      </w:r>
      <w:r>
        <w:rPr>
          <w:color w:val="auto"/>
          <w:szCs w:val="18"/>
          <w:highlight w:val="none"/>
        </w:rPr>
        <w:t>恒流-恒压充电：以5C的恒定电流对电池充电至截止电压3.65V，随后转为恒压充电，直至电流降至0.04C，充电结束后静置1h。</w:t>
      </w:r>
    </w:p>
    <w:p w14:paraId="5C24F7E7">
      <w:pPr>
        <w:adjustRightInd w:val="0"/>
        <w:snapToGrid w:val="0"/>
        <w:ind w:firstLine="420" w:firstLineChars="200"/>
        <w:rPr>
          <w:color w:val="auto"/>
          <w:szCs w:val="18"/>
          <w:highlight w:val="none"/>
        </w:rPr>
      </w:pPr>
      <w:r>
        <w:rPr>
          <w:rFonts w:hint="eastAsia"/>
          <w:color w:val="auto"/>
          <w:szCs w:val="18"/>
          <w:highlight w:val="none"/>
        </w:rPr>
        <w:t>②</w:t>
      </w:r>
      <w:r>
        <w:rPr>
          <w:color w:val="auto"/>
          <w:szCs w:val="18"/>
          <w:highlight w:val="none"/>
        </w:rPr>
        <w:t>恒流放电：以5C的恒定电流对电池放电，直至电压降至2.5V，放电结束后静置1h。</w:t>
      </w:r>
    </w:p>
    <w:p w14:paraId="11475108">
      <w:pPr>
        <w:adjustRightInd w:val="0"/>
        <w:snapToGrid w:val="0"/>
        <w:ind w:firstLine="420" w:firstLineChars="200"/>
        <w:rPr>
          <w:color w:val="auto"/>
          <w:szCs w:val="18"/>
          <w:highlight w:val="none"/>
        </w:rPr>
      </w:pPr>
      <w:r>
        <w:rPr>
          <w:rFonts w:hint="eastAsia"/>
          <w:color w:val="auto"/>
          <w:szCs w:val="18"/>
          <w:highlight w:val="none"/>
        </w:rPr>
        <w:t>③</w:t>
      </w:r>
      <w:r>
        <w:rPr>
          <w:color w:val="auto"/>
          <w:szCs w:val="18"/>
          <w:highlight w:val="none"/>
        </w:rPr>
        <w:t>循环设置：重复上述充电和放电步骤18次，完成一个老化周期。</w:t>
      </w:r>
    </w:p>
    <w:p w14:paraId="77FC59E6">
      <w:pPr>
        <w:adjustRightInd w:val="0"/>
        <w:snapToGrid w:val="0"/>
        <w:ind w:firstLine="420" w:firstLineChars="200"/>
        <w:rPr>
          <w:color w:val="auto"/>
          <w:szCs w:val="18"/>
          <w:highlight w:val="none"/>
        </w:rPr>
      </w:pPr>
      <w:r>
        <w:rPr>
          <w:color w:val="auto"/>
          <w:szCs w:val="18"/>
          <w:highlight w:val="none"/>
        </w:rPr>
        <w:t>（3）重复步骤（1）和（2），直至电池的最大可用容量衰减至初始容量的80%，此时停止实验。</w:t>
      </w:r>
    </w:p>
    <w:p w14:paraId="2711BD06">
      <w:pPr>
        <w:adjustRightInd w:val="0"/>
        <w:snapToGrid w:val="0"/>
        <w:ind w:firstLine="420" w:firstLineChars="200"/>
        <w:rPr>
          <w:color w:val="auto"/>
          <w:szCs w:val="18"/>
          <w:highlight w:val="none"/>
        </w:rPr>
      </w:pPr>
      <w:r>
        <w:rPr>
          <w:color w:val="auto"/>
          <w:szCs w:val="18"/>
          <w:highlight w:val="none"/>
        </w:rPr>
        <w:t>如图1所示为L1和L2在全寿命周期内的容量老化轨迹。可以看出随着老化循环的进行，最大可用容量呈现出明显的非线性下降趋势。</w:t>
      </w:r>
    </w:p>
    <w:p w14:paraId="6E8D5B61">
      <w:pPr>
        <w:adjustRightInd w:val="0"/>
        <w:snapToGrid w:val="0"/>
        <w:jc w:val="center"/>
        <w:rPr>
          <w:color w:val="auto"/>
          <w:szCs w:val="18"/>
          <w:highlight w:val="none"/>
        </w:rPr>
      </w:pPr>
      <w:r>
        <w:rPr>
          <w:color w:val="auto"/>
          <w:szCs w:val="18"/>
          <w:highlight w:val="none"/>
        </w:rPr>
        <w:drawing>
          <wp:inline distT="0" distB="0" distL="0" distR="0">
            <wp:extent cx="2666365" cy="2018665"/>
            <wp:effectExtent l="0" t="0" r="635" b="635"/>
            <wp:docPr id="20688413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4134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l="652" t="5502" r="5776"/>
                    <a:stretch>
                      <a:fillRect/>
                    </a:stretch>
                  </pic:blipFill>
                  <pic:spPr>
                    <a:xfrm>
                      <a:off x="0" y="0"/>
                      <a:ext cx="2689987" cy="2036526"/>
                    </a:xfrm>
                    <a:prstGeom prst="rect">
                      <a:avLst/>
                    </a:prstGeom>
                    <a:noFill/>
                    <a:ln>
                      <a:noFill/>
                    </a:ln>
                  </pic:spPr>
                </pic:pic>
              </a:graphicData>
            </a:graphic>
          </wp:inline>
        </w:drawing>
      </w:r>
    </w:p>
    <w:p w14:paraId="3FF78E07">
      <w:pPr>
        <w:adjustRightInd w:val="0"/>
        <w:snapToGrid w:val="0"/>
        <w:jc w:val="center"/>
        <w:rPr>
          <w:color w:val="auto"/>
          <w:sz w:val="18"/>
          <w:szCs w:val="15"/>
          <w:highlight w:val="none"/>
        </w:rPr>
      </w:pPr>
      <w:r>
        <w:rPr>
          <w:color w:val="auto"/>
          <w:sz w:val="18"/>
          <w:szCs w:val="15"/>
          <w:highlight w:val="none"/>
        </w:rPr>
        <w:t>图1  L1和L2电池的容量老化曲线</w:t>
      </w:r>
    </w:p>
    <w:p w14:paraId="17106AB4">
      <w:pPr>
        <w:adjustRightInd w:val="0"/>
        <w:snapToGrid w:val="0"/>
        <w:jc w:val="center"/>
        <w:rPr>
          <w:color w:val="auto"/>
          <w:sz w:val="18"/>
          <w:szCs w:val="15"/>
          <w:highlight w:val="none"/>
        </w:rPr>
      </w:pPr>
      <w:r>
        <w:rPr>
          <w:color w:val="auto"/>
          <w:sz w:val="18"/>
          <w:szCs w:val="15"/>
          <w:highlight w:val="none"/>
        </w:rPr>
        <w:t>Fig. 1  Capacity aging curves of batteries L1 and L2</w:t>
      </w:r>
    </w:p>
    <w:p w14:paraId="6BDA2BCB">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1.2 健康因子构建</w:t>
      </w:r>
    </w:p>
    <w:p w14:paraId="2BCEF1A0">
      <w:pPr>
        <w:adjustRightInd w:val="0"/>
        <w:snapToGrid w:val="0"/>
        <w:ind w:firstLine="444" w:firstLineChars="200"/>
        <w:rPr>
          <w:color w:val="auto"/>
          <w:spacing w:val="6"/>
          <w:kern w:val="20"/>
          <w:szCs w:val="28"/>
          <w:highlight w:val="none"/>
        </w:rPr>
      </w:pPr>
      <w:r>
        <w:rPr>
          <w:color w:val="auto"/>
          <w:spacing w:val="6"/>
          <w:kern w:val="20"/>
          <w:szCs w:val="28"/>
          <w:highlight w:val="none"/>
        </w:rPr>
        <w:t>在锂离子电池</w:t>
      </w:r>
      <w:r>
        <w:rPr>
          <w:i/>
          <w:iCs/>
          <w:color w:val="auto"/>
          <w:spacing w:val="6"/>
          <w:kern w:val="20"/>
          <w:szCs w:val="28"/>
          <w:highlight w:val="none"/>
        </w:rPr>
        <w:t>RUL</w:t>
      </w:r>
      <w:r>
        <w:rPr>
          <w:color w:val="auto"/>
          <w:spacing w:val="6"/>
          <w:kern w:val="20"/>
          <w:szCs w:val="28"/>
          <w:highlight w:val="none"/>
        </w:rPr>
        <w:t>预测研究中，容量和内阻是表征电池SOH最直接的指标。然而，获取精确的容量值通常需要进行完整的静态充放电测试，这在实际的BMS中既耗时又难以实现。因此，从常规运行数据中提取与容量老化高度相关的间接</w:t>
      </w:r>
      <w:r>
        <w:rPr>
          <w:i/>
          <w:iCs/>
          <w:color w:val="auto"/>
          <w:spacing w:val="6"/>
          <w:kern w:val="20"/>
          <w:szCs w:val="28"/>
          <w:highlight w:val="none"/>
        </w:rPr>
        <w:t>HI</w:t>
      </w:r>
      <w:r>
        <w:rPr>
          <w:color w:val="auto"/>
          <w:spacing w:val="6"/>
          <w:kern w:val="20"/>
          <w:szCs w:val="28"/>
          <w:highlight w:val="none"/>
        </w:rPr>
        <w:t>成为一种通用的解决方案</w:t>
      </w:r>
      <w:r>
        <w:rPr>
          <w:rFonts w:hint="eastAsia"/>
          <w:color w:val="auto"/>
          <w:spacing w:val="6"/>
          <w:kern w:val="20"/>
          <w:szCs w:val="28"/>
          <w:highlight w:val="none"/>
          <w:vertAlign w:val="superscript"/>
        </w:rPr>
        <w:t>[31</w:t>
      </w:r>
      <w:r>
        <w:rPr>
          <w:rFonts w:hint="eastAsia"/>
          <w:color w:val="auto"/>
          <w:spacing w:val="6"/>
          <w:kern w:val="20"/>
          <w:szCs w:val="28"/>
          <w:highlight w:val="none"/>
          <w:vertAlign w:val="superscript"/>
          <w:lang w:val="en-US" w:eastAsia="zh-CN"/>
        </w:rPr>
        <w:t>-</w:t>
      </w:r>
      <w:r>
        <w:rPr>
          <w:rFonts w:hint="eastAsia"/>
          <w:color w:val="auto"/>
          <w:spacing w:val="6"/>
          <w:kern w:val="20"/>
          <w:szCs w:val="28"/>
          <w:highlight w:val="none"/>
          <w:vertAlign w:val="superscript"/>
        </w:rPr>
        <w:t>32]</w:t>
      </w:r>
      <w:r>
        <w:rPr>
          <w:color w:val="auto"/>
          <w:spacing w:val="6"/>
          <w:kern w:val="20"/>
          <w:szCs w:val="28"/>
          <w:highlight w:val="none"/>
        </w:rPr>
        <w:t>。</w:t>
      </w:r>
    </w:p>
    <w:p w14:paraId="3D1849BD">
      <w:pPr>
        <w:adjustRightInd w:val="0"/>
        <w:snapToGrid w:val="0"/>
        <w:ind w:firstLine="444" w:firstLineChars="200"/>
        <w:rPr>
          <w:color w:val="auto"/>
          <w:spacing w:val="6"/>
          <w:kern w:val="20"/>
          <w:szCs w:val="28"/>
          <w:highlight w:val="none"/>
        </w:rPr>
      </w:pPr>
      <w:r>
        <w:rPr>
          <w:color w:val="auto"/>
          <w:spacing w:val="6"/>
          <w:kern w:val="20"/>
          <w:szCs w:val="28"/>
          <w:highlight w:val="none"/>
        </w:rPr>
        <w:t>对于本研究使用的锂离子电池而言，恒流充电时间（Constant Current Charging Time, CCCT）表现出单调衰减趋势。这是因为随着电池老化，极化效应增强且容量降低，导致电池端电压更快达到充电截止电压。因此，本研究选取恒流充电阶段的持续时间作为健康因子。提取的</w:t>
      </w:r>
      <w:r>
        <w:rPr>
          <w:i/>
          <w:iCs/>
          <w:color w:val="auto"/>
          <w:spacing w:val="6"/>
          <w:kern w:val="20"/>
          <w:szCs w:val="28"/>
          <w:highlight w:val="none"/>
        </w:rPr>
        <w:t>HI</w:t>
      </w:r>
      <w:r>
        <w:rPr>
          <w:color w:val="auto"/>
          <w:spacing w:val="6"/>
          <w:kern w:val="20"/>
          <w:szCs w:val="28"/>
          <w:highlight w:val="none"/>
        </w:rPr>
        <w:t>序列可表示为</w:t>
      </w:r>
    </w:p>
    <w:p w14:paraId="67D19D7E">
      <w:pPr>
        <w:pStyle w:val="36"/>
        <w:tabs>
          <w:tab w:val="center" w:pos="3969"/>
          <w:tab w:val="right" w:pos="7938"/>
          <w:tab w:val="clear" w:pos="2300"/>
          <w:tab w:val="clear" w:pos="4600"/>
        </w:tabs>
        <w:snapToGrid w:val="0"/>
        <w:ind w:right="0" w:rightChars="0" w:firstLine="0"/>
        <w:textAlignment w:val="center"/>
        <w:rPr>
          <w:color w:val="auto"/>
          <w:highlight w:val="none"/>
        </w:rPr>
      </w:pPr>
      <w:bookmarkStart w:id="1" w:name="MTBlankEqn"/>
      <w:r>
        <w:rPr>
          <w:color w:val="auto"/>
          <w:highlight w:val="none"/>
        </w:rPr>
        <w:tab/>
      </w:r>
      <w:bookmarkEnd w:id="1"/>
      <w:r>
        <w:rPr>
          <w:color w:val="auto"/>
          <w:position w:val="-4"/>
          <w:highlight w:val="none"/>
        </w:rPr>
        <w:object>
          <v:shape id="_x0000_i1025" o:spt="75" type="#_x0000_t75" style="height:19.65pt;width:122.0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w:instrText>
      </w:r>
      <w:r>
        <w:rPr>
          <w:color w:val="auto"/>
          <w:highlight w:val="none"/>
        </w:rPr>
        <w:fldChar w:fldCharType="end"/>
      </w:r>
    </w:p>
    <w:p w14:paraId="6F93CFB3">
      <w:pPr>
        <w:adjustRightInd w:val="0"/>
        <w:snapToGrid w:val="0"/>
        <w:rPr>
          <w:color w:val="auto"/>
          <w:szCs w:val="21"/>
          <w:highlight w:val="none"/>
        </w:rPr>
      </w:pPr>
      <w:r>
        <w:rPr>
          <w:color w:val="auto"/>
          <w:szCs w:val="21"/>
          <w:highlight w:val="none"/>
        </w:rPr>
        <w:t>式中，</w:t>
      </w:r>
      <w:r>
        <w:rPr>
          <w:color w:val="auto"/>
          <w:position w:val="-12"/>
          <w:highlight w:val="none"/>
        </w:rPr>
        <w:object>
          <v:shape id="_x0000_i1026" o:spt="75" type="#_x0000_t75" style="height:19.65pt;width:23.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color w:val="auto"/>
          <w:szCs w:val="21"/>
          <w:highlight w:val="none"/>
        </w:rPr>
        <w:t>表示第</w:t>
      </w:r>
      <w:r>
        <w:rPr>
          <w:color w:val="auto"/>
          <w:position w:val="-6"/>
          <w:highlight w:val="none"/>
        </w:rPr>
        <w:object>
          <v:shape id="_x0000_i1027" o:spt="75" type="#_x0000_t75" style="height:12.7pt;width:6.9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color w:val="auto"/>
          <w:szCs w:val="21"/>
          <w:highlight w:val="none"/>
        </w:rPr>
        <w:t>次循环中恒流充电阶段的持续时间</w:t>
      </w:r>
      <w:r>
        <w:rPr>
          <w:rFonts w:hint="eastAsia"/>
          <w:color w:val="auto"/>
          <w:szCs w:val="21"/>
          <w:highlight w:val="none"/>
        </w:rPr>
        <w:t>；</w:t>
      </w:r>
      <w:r>
        <w:rPr>
          <w:color w:val="auto"/>
          <w:position w:val="-6"/>
          <w:highlight w:val="none"/>
        </w:rPr>
        <w:object>
          <v:shape id="_x0000_i1028" o:spt="75" type="#_x0000_t75" style="height:11.15pt;width:10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color w:val="auto"/>
          <w:szCs w:val="21"/>
          <w:highlight w:val="none"/>
        </w:rPr>
        <w:t>表示总循环次数。</w:t>
      </w:r>
    </w:p>
    <w:p w14:paraId="1493F992">
      <w:pPr>
        <w:adjustRightInd w:val="0"/>
        <w:snapToGrid w:val="0"/>
        <w:ind w:firstLine="420" w:firstLineChars="200"/>
        <w:rPr>
          <w:color w:val="auto"/>
          <w:szCs w:val="21"/>
          <w:highlight w:val="none"/>
        </w:rPr>
      </w:pPr>
      <w:r>
        <w:rPr>
          <w:color w:val="auto"/>
          <w:szCs w:val="21"/>
          <w:highlight w:val="none"/>
        </w:rPr>
        <w:t>如图2所示为L1和L2电池提取出的</w:t>
      </w:r>
      <w:r>
        <w:rPr>
          <w:i/>
          <w:iCs/>
          <w:color w:val="auto"/>
          <w:szCs w:val="21"/>
          <w:highlight w:val="none"/>
        </w:rPr>
        <w:t>HI</w:t>
      </w:r>
      <w:r>
        <w:rPr>
          <w:color w:val="auto"/>
          <w:szCs w:val="21"/>
          <w:highlight w:val="none"/>
        </w:rPr>
        <w:t>曲线。可以看出该曲线呈现出清晰的下降趋势，且与电池容量的老化轨迹具有较好的一致性，证实了该参数的物理有效性。</w:t>
      </w:r>
    </w:p>
    <w:p w14:paraId="0BDA0D1D">
      <w:pPr>
        <w:adjustRightInd w:val="0"/>
        <w:snapToGrid w:val="0"/>
        <w:jc w:val="center"/>
        <w:rPr>
          <w:color w:val="auto"/>
          <w:szCs w:val="21"/>
          <w:highlight w:val="none"/>
        </w:rPr>
      </w:pPr>
      <w:r>
        <w:rPr>
          <w:color w:val="auto"/>
          <w:szCs w:val="21"/>
          <w:highlight w:val="none"/>
        </w:rPr>
        <w:drawing>
          <wp:inline distT="0" distB="0" distL="0" distR="0">
            <wp:extent cx="2781300" cy="2146300"/>
            <wp:effectExtent l="0" t="0" r="0" b="6350"/>
            <wp:docPr id="605273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73154"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l="2171" t="5213" r="5753"/>
                    <a:stretch>
                      <a:fillRect/>
                    </a:stretch>
                  </pic:blipFill>
                  <pic:spPr>
                    <a:xfrm>
                      <a:off x="0" y="0"/>
                      <a:ext cx="2792879" cy="2155410"/>
                    </a:xfrm>
                    <a:prstGeom prst="rect">
                      <a:avLst/>
                    </a:prstGeom>
                    <a:noFill/>
                    <a:ln>
                      <a:noFill/>
                    </a:ln>
                  </pic:spPr>
                </pic:pic>
              </a:graphicData>
            </a:graphic>
          </wp:inline>
        </w:drawing>
      </w:r>
    </w:p>
    <w:p w14:paraId="4735D86B">
      <w:pPr>
        <w:adjustRightInd w:val="0"/>
        <w:snapToGrid w:val="0"/>
        <w:jc w:val="center"/>
        <w:rPr>
          <w:color w:val="auto"/>
          <w:sz w:val="18"/>
          <w:szCs w:val="18"/>
          <w:highlight w:val="none"/>
        </w:rPr>
      </w:pPr>
      <w:r>
        <w:rPr>
          <w:color w:val="auto"/>
          <w:sz w:val="18"/>
          <w:szCs w:val="18"/>
          <w:highlight w:val="none"/>
        </w:rPr>
        <w:t>图2  L1和L2电池的健康因子曲线</w:t>
      </w:r>
    </w:p>
    <w:p w14:paraId="77BC5443">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2  Health indicator curves of batteries L1 and L2</w:t>
      </w:r>
    </w:p>
    <w:p w14:paraId="0EF994EA">
      <w:pPr>
        <w:adjustRightInd w:val="0"/>
        <w:snapToGrid w:val="0"/>
        <w:ind w:firstLine="420" w:firstLineChars="200"/>
        <w:rPr>
          <w:color w:val="auto"/>
          <w:szCs w:val="21"/>
          <w:highlight w:val="none"/>
        </w:rPr>
      </w:pPr>
      <w:r>
        <w:rPr>
          <w:color w:val="auto"/>
          <w:szCs w:val="21"/>
          <w:highlight w:val="none"/>
        </w:rPr>
        <w:t>为了定量评估所提取</w:t>
      </w:r>
      <w:r>
        <w:rPr>
          <w:i/>
          <w:iCs/>
          <w:color w:val="auto"/>
          <w:szCs w:val="21"/>
          <w:highlight w:val="none"/>
        </w:rPr>
        <w:t>HI</w:t>
      </w:r>
      <w:r>
        <w:rPr>
          <w:color w:val="auto"/>
          <w:szCs w:val="21"/>
          <w:highlight w:val="none"/>
        </w:rPr>
        <w:t>的代表性，本研究采用皮尔逊相关系数</w:t>
      </w:r>
      <w:r>
        <w:rPr>
          <w:rFonts w:hint="eastAsia"/>
          <w:color w:val="auto"/>
          <w:szCs w:val="21"/>
          <w:highlight w:val="none"/>
          <w:vertAlign w:val="superscript"/>
        </w:rPr>
        <w:t>[33</w:t>
      </w:r>
      <w:r>
        <w:rPr>
          <w:rFonts w:hint="eastAsia"/>
          <w:color w:val="auto"/>
          <w:szCs w:val="21"/>
          <w:highlight w:val="none"/>
          <w:vertAlign w:val="superscript"/>
          <w:lang w:val="en-US" w:eastAsia="zh-CN"/>
        </w:rPr>
        <w:t>-</w:t>
      </w:r>
      <w:r>
        <w:rPr>
          <w:rFonts w:hint="eastAsia"/>
          <w:color w:val="auto"/>
          <w:szCs w:val="21"/>
          <w:highlight w:val="none"/>
          <w:vertAlign w:val="superscript"/>
        </w:rPr>
        <w:t>34]</w:t>
      </w:r>
      <w:r>
        <w:rPr>
          <w:color w:val="auto"/>
          <w:szCs w:val="21"/>
          <w:highlight w:val="none"/>
        </w:rPr>
        <w:t>来分析基于CCCT的</w:t>
      </w:r>
      <w:r>
        <w:rPr>
          <w:i/>
          <w:iCs/>
          <w:color w:val="auto"/>
          <w:szCs w:val="21"/>
          <w:highlight w:val="none"/>
        </w:rPr>
        <w:t>HI</w:t>
      </w:r>
      <w:r>
        <w:rPr>
          <w:color w:val="auto"/>
          <w:szCs w:val="21"/>
          <w:highlight w:val="none"/>
        </w:rPr>
        <w:t>与真实容量之间的相关程度。计算公式为</w:t>
      </w:r>
    </w:p>
    <w:p w14:paraId="17D2912E">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29" o:spt="75" type="#_x0000_t75" style="height:53.15pt;width:181.7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w:instrText>
      </w:r>
      <w:r>
        <w:rPr>
          <w:color w:val="auto"/>
          <w:highlight w:val="none"/>
        </w:rPr>
        <w:fldChar w:fldCharType="end"/>
      </w:r>
    </w:p>
    <w:p w14:paraId="04183FB9">
      <w:pPr>
        <w:adjustRightInd w:val="0"/>
        <w:snapToGrid w:val="0"/>
        <w:rPr>
          <w:color w:val="auto"/>
          <w:szCs w:val="21"/>
          <w:highlight w:val="none"/>
        </w:rPr>
      </w:pPr>
      <w:r>
        <w:rPr>
          <w:color w:val="auto"/>
          <w:szCs w:val="21"/>
          <w:highlight w:val="none"/>
        </w:rPr>
        <w:t>式中，</w:t>
      </w:r>
      <w:r>
        <w:rPr>
          <w:color w:val="auto"/>
          <w:position w:val="-12"/>
          <w:highlight w:val="none"/>
        </w:rPr>
        <w:object>
          <v:shape id="_x0000_i1030" o:spt="75" type="#_x0000_t75" style="height:18.5pt;width:16.1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color w:val="auto"/>
          <w:szCs w:val="21"/>
          <w:highlight w:val="none"/>
        </w:rPr>
        <w:t>代表提取的</w:t>
      </w:r>
      <w:r>
        <w:rPr>
          <w:i/>
          <w:iCs/>
          <w:color w:val="auto"/>
          <w:szCs w:val="21"/>
          <w:highlight w:val="none"/>
        </w:rPr>
        <w:t>HI</w:t>
      </w:r>
      <w:r>
        <w:rPr>
          <w:color w:val="auto"/>
          <w:szCs w:val="21"/>
          <w:highlight w:val="none"/>
        </w:rPr>
        <w:t>序列；</w:t>
      </w:r>
      <w:r>
        <w:rPr>
          <w:color w:val="auto"/>
          <w:position w:val="-12"/>
          <w:highlight w:val="none"/>
        </w:rPr>
        <w:object>
          <v:shape id="_x0000_i1031" o:spt="75" type="#_x0000_t75" style="height:18.5pt;width:11.1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color w:val="auto"/>
          <w:szCs w:val="21"/>
          <w:highlight w:val="none"/>
        </w:rPr>
        <w:t>代表实测的容量序列，</w:t>
      </w:r>
      <w:r>
        <w:rPr>
          <w:color w:val="auto"/>
          <w:position w:val="-4"/>
          <w:highlight w:val="none"/>
        </w:rPr>
        <w:object>
          <v:shape id="_x0000_i1032" o:spt="75" type="#_x0000_t75" style="height:14.65pt;width:13.8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color w:val="auto"/>
          <w:szCs w:val="21"/>
          <w:highlight w:val="none"/>
        </w:rPr>
        <w:t>和</w:t>
      </w:r>
      <w:r>
        <w:rPr>
          <w:color w:val="auto"/>
          <w:position w:val="-4"/>
          <w:highlight w:val="none"/>
        </w:rPr>
        <w:object>
          <v:shape id="_x0000_i1033" o:spt="75" type="#_x0000_t75" style="height:14.65pt;width:11.9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color w:val="auto"/>
          <w:szCs w:val="21"/>
          <w:highlight w:val="none"/>
        </w:rPr>
        <w:t>分别为其均值。</w:t>
      </w:r>
    </w:p>
    <w:p w14:paraId="31513D8D">
      <w:pPr>
        <w:adjustRightInd w:val="0"/>
        <w:snapToGrid w:val="0"/>
        <w:ind w:firstLine="420" w:firstLineChars="200"/>
        <w:rPr>
          <w:color w:val="auto"/>
          <w:szCs w:val="21"/>
          <w:highlight w:val="none"/>
        </w:rPr>
      </w:pPr>
      <w:r>
        <w:rPr>
          <w:color w:val="auto"/>
          <w:szCs w:val="21"/>
          <w:highlight w:val="none"/>
        </w:rPr>
        <w:t>图3展示了相关性分析的结果。计算表明，电池L1和L2的</w:t>
      </w:r>
      <w:r>
        <w:rPr>
          <w:i/>
          <w:iCs/>
          <w:color w:val="auto"/>
          <w:szCs w:val="21"/>
          <w:highlight w:val="none"/>
        </w:rPr>
        <w:t>HI</w:t>
      </w:r>
      <w:r>
        <w:rPr>
          <w:color w:val="auto"/>
          <w:szCs w:val="21"/>
          <w:highlight w:val="none"/>
        </w:rPr>
        <w:t>与容量之间的皮尔逊相关系数绝对值均超过0.998。这一较高的正相关证明了所提出的基于恒流充电时间的</w:t>
      </w:r>
      <w:r>
        <w:rPr>
          <w:i/>
          <w:iCs/>
          <w:color w:val="auto"/>
          <w:szCs w:val="21"/>
          <w:highlight w:val="none"/>
        </w:rPr>
        <w:t>HI</w:t>
      </w:r>
      <w:r>
        <w:rPr>
          <w:color w:val="auto"/>
          <w:szCs w:val="21"/>
          <w:highlight w:val="none"/>
        </w:rPr>
        <w:t>能有效地捕捉锂离子电池的老化状态，可作为后续</w:t>
      </w:r>
      <w:r>
        <w:rPr>
          <w:i/>
          <w:iCs/>
          <w:color w:val="auto"/>
          <w:szCs w:val="21"/>
          <w:highlight w:val="none"/>
        </w:rPr>
        <w:t>RUL</w:t>
      </w:r>
      <w:r>
        <w:rPr>
          <w:color w:val="auto"/>
          <w:szCs w:val="21"/>
          <w:highlight w:val="none"/>
        </w:rPr>
        <w:t>预测模型中的输入特征。</w:t>
      </w:r>
    </w:p>
    <w:p w14:paraId="14B31D8C">
      <w:pPr>
        <w:adjustRightInd w:val="0"/>
        <w:snapToGrid w:val="0"/>
        <w:jc w:val="center"/>
        <w:rPr>
          <w:color w:val="auto"/>
          <w:szCs w:val="21"/>
          <w:highlight w:val="none"/>
        </w:rPr>
      </w:pPr>
      <w:r>
        <w:rPr>
          <w:color w:val="auto"/>
          <w:szCs w:val="21"/>
          <w:highlight w:val="none"/>
        </w:rPr>
        <w:drawing>
          <wp:inline distT="0" distB="0" distL="0" distR="0">
            <wp:extent cx="2604135" cy="1906270"/>
            <wp:effectExtent l="0" t="0" r="5715" b="0"/>
            <wp:docPr id="20129578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57891"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l="4710" t="5344" b="1656"/>
                    <a:stretch>
                      <a:fillRect/>
                    </a:stretch>
                  </pic:blipFill>
                  <pic:spPr>
                    <a:xfrm>
                      <a:off x="0" y="0"/>
                      <a:ext cx="2608183" cy="1909271"/>
                    </a:xfrm>
                    <a:prstGeom prst="rect">
                      <a:avLst/>
                    </a:prstGeom>
                    <a:noFill/>
                    <a:ln>
                      <a:noFill/>
                    </a:ln>
                  </pic:spPr>
                </pic:pic>
              </a:graphicData>
            </a:graphic>
          </wp:inline>
        </w:drawing>
      </w:r>
    </w:p>
    <w:p w14:paraId="368136BD">
      <w:pPr>
        <w:adjustRightInd w:val="0"/>
        <w:snapToGrid w:val="0"/>
        <w:jc w:val="center"/>
        <w:rPr>
          <w:color w:val="auto"/>
          <w:sz w:val="18"/>
          <w:szCs w:val="18"/>
          <w:highlight w:val="none"/>
        </w:rPr>
      </w:pPr>
      <w:r>
        <w:rPr>
          <w:color w:val="auto"/>
          <w:sz w:val="18"/>
          <w:szCs w:val="18"/>
          <w:highlight w:val="none"/>
        </w:rPr>
        <w:t>图3  皮尔逊相关性分析</w:t>
      </w:r>
    </w:p>
    <w:p w14:paraId="161DB0F4">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3  Pearson correlation analysis</w:t>
      </w:r>
    </w:p>
    <w:p w14:paraId="0C1A2E47">
      <w:pPr>
        <w:adjustRightInd w:val="0"/>
        <w:snapToGrid w:val="0"/>
        <w:rPr>
          <w:rFonts w:eastAsia="黑体"/>
          <w:bCs/>
          <w:color w:val="auto"/>
          <w:sz w:val="28"/>
          <w:szCs w:val="28"/>
          <w:highlight w:val="none"/>
        </w:rPr>
      </w:pPr>
      <w:r>
        <w:rPr>
          <w:rFonts w:eastAsia="黑体"/>
          <w:bCs/>
          <w:color w:val="auto"/>
          <w:sz w:val="28"/>
          <w:szCs w:val="28"/>
          <w:highlight w:val="none"/>
        </w:rPr>
        <w:t>2 基于COA-BP-Wiener模型的RUL预测</w:t>
      </w:r>
    </w:p>
    <w:p w14:paraId="636DFEA8">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2.1 基于COA-BP模型的健康因子预测</w:t>
      </w:r>
    </w:p>
    <w:p w14:paraId="0DCF5AF6">
      <w:pPr>
        <w:snapToGrid w:val="0"/>
        <w:rPr>
          <w:rFonts w:hint="eastAsia" w:ascii="楷体" w:hAnsi="楷体" w:eastAsia="楷体"/>
          <w:color w:val="auto"/>
          <w:highlight w:val="none"/>
        </w:rPr>
      </w:pPr>
      <w:r>
        <w:rPr>
          <w:rFonts w:ascii="楷体" w:hAnsi="楷体" w:eastAsia="楷体"/>
          <w:color w:val="auto"/>
          <w:highlight w:val="none"/>
        </w:rPr>
        <w:t>2.1.1</w:t>
      </w:r>
      <w:r>
        <w:rPr>
          <w:rFonts w:hint="eastAsia" w:ascii="楷体" w:hAnsi="楷体" w:eastAsia="楷体"/>
          <w:color w:val="auto"/>
          <w:highlight w:val="none"/>
        </w:rPr>
        <w:t xml:space="preserve"> </w:t>
      </w:r>
      <w:r>
        <w:rPr>
          <w:rFonts w:ascii="楷体" w:hAnsi="楷体" w:eastAsia="楷体"/>
          <w:color w:val="auto"/>
          <w:highlight w:val="none"/>
        </w:rPr>
        <w:t>小龙虾优化算法</w:t>
      </w:r>
    </w:p>
    <w:p w14:paraId="66E1405E">
      <w:pPr>
        <w:snapToGrid w:val="0"/>
        <w:ind w:firstLine="420" w:firstLineChars="200"/>
        <w:rPr>
          <w:color w:val="auto"/>
          <w:szCs w:val="21"/>
          <w:highlight w:val="none"/>
        </w:rPr>
      </w:pPr>
      <w:r>
        <w:rPr>
          <w:color w:val="auto"/>
          <w:szCs w:val="21"/>
          <w:highlight w:val="none"/>
        </w:rPr>
        <w:t>小龙虾优化算法（Crayfish Optimization Algorithm,</w:t>
      </w:r>
      <w:r>
        <w:rPr>
          <w:b/>
          <w:bCs/>
          <w:color w:val="auto"/>
          <w:szCs w:val="21"/>
          <w:highlight w:val="none"/>
        </w:rPr>
        <w:t xml:space="preserve"> </w:t>
      </w:r>
      <w:r>
        <w:rPr>
          <w:color w:val="auto"/>
          <w:szCs w:val="21"/>
          <w:highlight w:val="none"/>
        </w:rPr>
        <w:t>COA）是一种新型优化算法。该算法模拟了小龙虾在不同环境温度下的社会行为，主要包括避暑行为、竞争行为和觅食行为。COA通过引入温度变量来平衡算法的全局和局部开发能力，具有寻优精度高且不易陷入局部最优的特点。</w:t>
      </w:r>
    </w:p>
    <w:p w14:paraId="6A6F4E68">
      <w:pPr>
        <w:snapToGrid w:val="0"/>
        <w:ind w:firstLine="420" w:firstLineChars="200"/>
        <w:rPr>
          <w:color w:val="auto"/>
          <w:szCs w:val="21"/>
          <w:highlight w:val="none"/>
        </w:rPr>
      </w:pPr>
      <w:r>
        <w:rPr>
          <w:color w:val="auto"/>
          <w:szCs w:val="21"/>
          <w:highlight w:val="none"/>
        </w:rPr>
        <w:t>在COA的数学模型中，假设种群规模为</w:t>
      </w:r>
      <w:r>
        <w:rPr>
          <w:color w:val="auto"/>
          <w:position w:val="-6"/>
          <w:highlight w:val="none"/>
        </w:rPr>
        <w:object>
          <v:shape id="_x0000_i1034" o:spt="75" type="#_x0000_t75" style="height:13.85pt;width:13.8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color w:val="auto"/>
          <w:szCs w:val="21"/>
          <w:highlight w:val="none"/>
        </w:rPr>
        <w:t>，空间的维度为</w:t>
      </w:r>
      <w:r>
        <w:rPr>
          <w:color w:val="auto"/>
          <w:position w:val="-4"/>
          <w:highlight w:val="none"/>
        </w:rPr>
        <w:object>
          <v:shape id="_x0000_i1035" o:spt="75" type="#_x0000_t75" style="height:12.7pt;width:12.7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color w:val="auto"/>
          <w:szCs w:val="21"/>
          <w:highlight w:val="none"/>
        </w:rPr>
        <w:t>。第</w:t>
      </w:r>
      <w:r>
        <w:rPr>
          <w:color w:val="auto"/>
          <w:position w:val="-6"/>
          <w:highlight w:val="none"/>
        </w:rPr>
        <w:object>
          <v:shape id="_x0000_i1036" o:spt="75" type="#_x0000_t75" style="height:12.7pt;width:6.9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color w:val="auto"/>
          <w:szCs w:val="21"/>
          <w:highlight w:val="none"/>
        </w:rPr>
        <w:t>只小龙虾在第</w:t>
      </w:r>
      <w:r>
        <w:rPr>
          <w:color w:val="auto"/>
          <w:position w:val="-6"/>
          <w:highlight w:val="none"/>
        </w:rPr>
        <w:object>
          <v:shape id="_x0000_i1037" o:spt="75" type="#_x0000_t75" style="height:11.95pt;width:6.95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color w:val="auto"/>
          <w:szCs w:val="21"/>
          <w:highlight w:val="none"/>
        </w:rPr>
        <w:t>次迭代时的位置向量表示为</w:t>
      </w:r>
      <w:r>
        <w:rPr>
          <w:color w:val="auto"/>
          <w:position w:val="-14"/>
          <w:highlight w:val="none"/>
        </w:rPr>
        <w:object>
          <v:shape id="_x0000_i1038" o:spt="75" type="#_x0000_t75" style="height:21.2pt;width:107.4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color w:val="auto"/>
          <w:szCs w:val="21"/>
          <w:highlight w:val="none"/>
        </w:rPr>
        <w:t>。其中，在算法开始迭代前，即</w:t>
      </w:r>
      <w:r>
        <w:rPr>
          <w:color w:val="auto"/>
          <w:position w:val="-6"/>
          <w:highlight w:val="none"/>
        </w:rPr>
        <w:object>
          <v:shape id="_x0000_i1039" o:spt="75" type="#_x0000_t75" style="height:13.85pt;width:24.65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color w:val="auto"/>
          <w:szCs w:val="21"/>
          <w:highlight w:val="none"/>
        </w:rPr>
        <w:t>时，第</w:t>
      </w:r>
      <w:r>
        <w:rPr>
          <w:color w:val="auto"/>
          <w:position w:val="-6"/>
          <w:highlight w:val="none"/>
        </w:rPr>
        <w:object>
          <v:shape id="_x0000_i1040" o:spt="75" type="#_x0000_t75" style="height:12.7pt;width:6.95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color w:val="auto"/>
          <w:szCs w:val="21"/>
          <w:highlight w:val="none"/>
        </w:rPr>
        <w:t>只小龙虾在第</w:t>
      </w:r>
      <w:r>
        <w:rPr>
          <w:color w:val="auto"/>
          <w:position w:val="-10"/>
          <w:highlight w:val="none"/>
        </w:rPr>
        <w:object>
          <v:shape id="_x0000_i1041" o:spt="75" type="#_x0000_t75" style="height:14.65pt;width:10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color w:val="auto"/>
          <w:szCs w:val="21"/>
          <w:highlight w:val="none"/>
        </w:rPr>
        <w:t>维空间上的初始位置</w:t>
      </w:r>
      <w:r>
        <w:rPr>
          <w:color w:val="auto"/>
          <w:position w:val="-14"/>
          <w:highlight w:val="none"/>
        </w:rPr>
        <w:object>
          <v:shape id="_x0000_i1042" o:spt="75" type="#_x0000_t75" style="height:18.85pt;width:23.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color w:val="auto"/>
          <w:szCs w:val="21"/>
          <w:highlight w:val="none"/>
        </w:rPr>
        <w:t>根据空间的上下界随机生成，其数学表达式</w:t>
      </w:r>
      <w:r>
        <w:rPr>
          <w:rFonts w:hint="eastAsia"/>
          <w:color w:val="auto"/>
          <w:szCs w:val="21"/>
          <w:highlight w:val="none"/>
        </w:rPr>
        <w:t>为</w:t>
      </w:r>
    </w:p>
    <w:p w14:paraId="4B1FDA13">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43" o:spt="75" type="#_x0000_t75" style="height:18.85pt;width:143.2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w:instrText>
      </w:r>
      <w:r>
        <w:rPr>
          <w:color w:val="auto"/>
          <w:highlight w:val="none"/>
        </w:rPr>
        <w:fldChar w:fldCharType="end"/>
      </w:r>
    </w:p>
    <w:p w14:paraId="1FFDF321">
      <w:pPr>
        <w:snapToGrid w:val="0"/>
        <w:rPr>
          <w:color w:val="auto"/>
          <w:szCs w:val="21"/>
          <w:highlight w:val="none"/>
        </w:rPr>
      </w:pPr>
      <w:r>
        <w:rPr>
          <w:color w:val="auto"/>
          <w:szCs w:val="21"/>
          <w:highlight w:val="none"/>
        </w:rPr>
        <w:t>式中，</w:t>
      </w:r>
      <w:r>
        <w:rPr>
          <w:color w:val="auto"/>
          <w:position w:val="-14"/>
          <w:highlight w:val="none"/>
        </w:rPr>
        <w:object>
          <v:shape id="_x0000_i1044" o:spt="75" type="#_x0000_t75" style="height:18.85pt;width:18.85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color w:val="auto"/>
          <w:szCs w:val="21"/>
          <w:highlight w:val="none"/>
        </w:rPr>
        <w:t>和</w:t>
      </w:r>
      <w:r>
        <w:rPr>
          <w:color w:val="auto"/>
          <w:position w:val="-14"/>
          <w:highlight w:val="none"/>
        </w:rPr>
        <w:object>
          <v:shape id="_x0000_i1045" o:spt="75" type="#_x0000_t75" style="height:18.85pt;width:16.95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color w:val="auto"/>
          <w:szCs w:val="21"/>
          <w:highlight w:val="none"/>
        </w:rPr>
        <w:t>表示第</w:t>
      </w:r>
      <w:r>
        <w:rPr>
          <w:color w:val="auto"/>
          <w:position w:val="-10"/>
          <w:highlight w:val="none"/>
        </w:rPr>
        <w:object>
          <v:shape id="_x0000_i1046" o:spt="75" type="#_x0000_t75" style="height:14.65pt;width:10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color w:val="auto"/>
          <w:szCs w:val="21"/>
          <w:highlight w:val="none"/>
        </w:rPr>
        <w:t>维空间的上界和下界</w:t>
      </w:r>
      <w:r>
        <w:rPr>
          <w:rFonts w:hint="eastAsia"/>
          <w:color w:val="auto"/>
          <w:szCs w:val="21"/>
          <w:highlight w:val="none"/>
        </w:rPr>
        <w:t>；</w:t>
      </w:r>
      <w:r>
        <w:rPr>
          <w:color w:val="auto"/>
          <w:position w:val="-6"/>
          <w:highlight w:val="none"/>
        </w:rPr>
        <w:object>
          <v:shape id="_x0000_i1047" o:spt="75" type="#_x0000_t75" style="height:13.85pt;width:28.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color w:val="auto"/>
          <w:szCs w:val="21"/>
          <w:highlight w:val="none"/>
        </w:rPr>
        <w:t>表为</w:t>
      </w:r>
      <w:r>
        <w:rPr>
          <w:color w:val="auto"/>
          <w:position w:val="-10"/>
          <w:highlight w:val="none"/>
        </w:rPr>
        <w:object>
          <v:shape id="_x0000_i1048" o:spt="75" type="#_x0000_t75" style="height:16.15pt;width:24.6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color w:val="auto"/>
          <w:szCs w:val="21"/>
          <w:highlight w:val="none"/>
        </w:rPr>
        <w:t>之间的随机数。</w:t>
      </w:r>
    </w:p>
    <w:p w14:paraId="6C6505DD">
      <w:pPr>
        <w:snapToGrid w:val="0"/>
        <w:ind w:firstLine="420" w:firstLineChars="200"/>
        <w:rPr>
          <w:color w:val="auto"/>
          <w:szCs w:val="21"/>
          <w:highlight w:val="none"/>
        </w:rPr>
      </w:pPr>
      <w:r>
        <w:rPr>
          <w:color w:val="auto"/>
          <w:szCs w:val="21"/>
          <w:highlight w:val="none"/>
        </w:rPr>
        <w:t>温度的变化会影响小龙虾当前所处的行为模式。环境温度</w:t>
      </w:r>
      <w:r>
        <w:rPr>
          <w:color w:val="auto"/>
          <w:position w:val="-4"/>
          <w:highlight w:val="none"/>
        </w:rPr>
        <w:object>
          <v:shape id="_x0000_i1049" o:spt="75" type="#_x0000_t75" style="height:12.7pt;width:11.1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color w:val="auto"/>
          <w:szCs w:val="21"/>
          <w:highlight w:val="none"/>
        </w:rPr>
        <w:t>模拟了自然界中20℃至35℃的波动范围，其计算公式如式</w:t>
      </w:r>
      <w:r>
        <w:rPr>
          <w:iCs/>
          <w:color w:val="auto"/>
          <w:szCs w:val="21"/>
          <w:highlight w:val="none"/>
        </w:rPr>
        <w:fldChar w:fldCharType="begin"/>
      </w:r>
      <w:r>
        <w:rPr>
          <w:iCs/>
          <w:color w:val="auto"/>
          <w:szCs w:val="21"/>
          <w:highlight w:val="none"/>
        </w:rPr>
        <w:instrText xml:space="preserve"> GOTOBUTTON ZEqnNum188258  \* MERGEFORMAT (4)</w:instrText>
      </w:r>
      <w:r>
        <w:rPr>
          <w:iCs/>
          <w:color w:val="auto"/>
          <w:szCs w:val="21"/>
          <w:highlight w:val="none"/>
        </w:rPr>
        <w:fldChar w:fldCharType="end"/>
      </w:r>
      <w:r>
        <w:rPr>
          <w:color w:val="auto"/>
          <w:szCs w:val="21"/>
          <w:highlight w:val="none"/>
        </w:rPr>
        <w:t>所示。根据</w:t>
      </w:r>
      <w:r>
        <w:rPr>
          <w:color w:val="auto"/>
          <w:position w:val="-4"/>
          <w:highlight w:val="none"/>
        </w:rPr>
        <w:object>
          <v:shape id="_x0000_i1050" o:spt="75" type="#_x0000_t75" style="height:12.7pt;width:11.1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color w:val="auto"/>
          <w:szCs w:val="21"/>
          <w:highlight w:val="none"/>
        </w:rPr>
        <w:t>的数值大小，算法将迭代过程分为避暑阶段和觅食阶段</w:t>
      </w:r>
      <w:r>
        <w:rPr>
          <w:rFonts w:hint="eastAsia"/>
          <w:color w:val="auto"/>
          <w:szCs w:val="21"/>
          <w:highlight w:val="none"/>
        </w:rPr>
        <w:t>，具体为</w:t>
      </w:r>
    </w:p>
    <w:p w14:paraId="7A9ED70F">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51" o:spt="75" type="#_x0000_t75" style="height:13.85pt;width:90.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bookmarkStart w:id="2" w:name="ZEqnNum188258"/>
      <w:r>
        <w:rPr>
          <w:color w:val="auto"/>
          <w:highlight w:val="none"/>
        </w:rPr>
        <w:instrText xml:space="preserve">(4)</w:instrText>
      </w:r>
      <w:bookmarkEnd w:id="2"/>
      <w:r>
        <w:rPr>
          <w:color w:val="auto"/>
          <w:highlight w:val="none"/>
        </w:rPr>
        <w:fldChar w:fldCharType="end"/>
      </w:r>
    </w:p>
    <w:p w14:paraId="3AAD4A51">
      <w:pPr>
        <w:snapToGrid w:val="0"/>
        <w:ind w:firstLine="420" w:firstLineChars="200"/>
        <w:rPr>
          <w:color w:val="auto"/>
          <w:szCs w:val="21"/>
          <w:highlight w:val="none"/>
        </w:rPr>
      </w:pPr>
      <w:r>
        <w:rPr>
          <w:color w:val="auto"/>
          <w:szCs w:val="21"/>
          <w:highlight w:val="none"/>
        </w:rPr>
        <w:t>当环境温度过高，即</w:t>
      </w:r>
      <w:r>
        <w:rPr>
          <w:color w:val="auto"/>
          <w:position w:val="-4"/>
          <w:highlight w:val="none"/>
        </w:rPr>
        <w:object>
          <v:shape id="_x0000_i1052" o:spt="75" type="#_x0000_t75" style="height:12.7pt;width:11.15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color w:val="auto"/>
          <w:szCs w:val="21"/>
          <w:highlight w:val="none"/>
        </w:rPr>
        <w:t>＞30℃时，小龙虾为了维持生存，会进入避暑阶段。该阶段小龙虾会向当前种群中适应度最好的位置，即洞穴</w:t>
      </w:r>
      <w:r>
        <w:rPr>
          <w:color w:val="auto"/>
          <w:position w:val="-12"/>
          <w:highlight w:val="none"/>
        </w:rPr>
        <w:object>
          <v:shape id="_x0000_i1053" o:spt="75" type="#_x0000_t75" style="height:18.5pt;width:28.9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color w:val="auto"/>
          <w:szCs w:val="21"/>
          <w:highlight w:val="none"/>
        </w:rPr>
        <w:t>靠拢。洞穴</w:t>
      </w:r>
      <w:r>
        <w:rPr>
          <w:color w:val="auto"/>
          <w:position w:val="-12"/>
          <w:highlight w:val="none"/>
        </w:rPr>
        <w:object>
          <v:shape id="_x0000_i1054" o:spt="75" type="#_x0000_t75" style="height:18.5pt;width:28.9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color w:val="auto"/>
          <w:szCs w:val="21"/>
          <w:highlight w:val="none"/>
        </w:rPr>
        <w:t>的定义</w:t>
      </w:r>
      <w:r>
        <w:rPr>
          <w:rFonts w:hint="eastAsia"/>
          <w:color w:val="auto"/>
          <w:szCs w:val="21"/>
          <w:highlight w:val="none"/>
        </w:rPr>
        <w:t>为</w:t>
      </w:r>
    </w:p>
    <w:p w14:paraId="2508E69C">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55" o:spt="75" type="#_x0000_t75" style="height:18.5pt;width:107.4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bookmarkStart w:id="3" w:name="ZEqnNum348215"/>
      <w:r>
        <w:rPr>
          <w:color w:val="auto"/>
          <w:highlight w:val="none"/>
        </w:rPr>
        <w:instrText xml:space="preserve">(5)</w:instrText>
      </w:r>
      <w:bookmarkEnd w:id="3"/>
      <w:r>
        <w:rPr>
          <w:color w:val="auto"/>
          <w:highlight w:val="none"/>
        </w:rPr>
        <w:fldChar w:fldCharType="end"/>
      </w:r>
    </w:p>
    <w:p w14:paraId="6183B8B3">
      <w:pPr>
        <w:snapToGrid w:val="0"/>
        <w:rPr>
          <w:color w:val="auto"/>
          <w:szCs w:val="21"/>
          <w:highlight w:val="none"/>
        </w:rPr>
      </w:pPr>
      <w:r>
        <w:rPr>
          <w:color w:val="auto"/>
          <w:szCs w:val="21"/>
          <w:highlight w:val="none"/>
        </w:rPr>
        <w:t>式中，</w:t>
      </w:r>
      <w:r>
        <w:rPr>
          <w:color w:val="auto"/>
          <w:position w:val="-12"/>
          <w:highlight w:val="none"/>
        </w:rPr>
        <w:object>
          <v:shape id="_x0000_i1056" o:spt="75" type="#_x0000_t75" style="height:18.5pt;width:19.6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color w:val="auto"/>
          <w:szCs w:val="21"/>
          <w:highlight w:val="none"/>
        </w:rPr>
        <w:t>为目前为止通过迭代获得的最佳位置</w:t>
      </w:r>
      <w:r>
        <w:rPr>
          <w:rFonts w:hint="eastAsia"/>
          <w:color w:val="auto"/>
          <w:szCs w:val="21"/>
          <w:highlight w:val="none"/>
        </w:rPr>
        <w:t>；</w:t>
      </w:r>
      <w:r>
        <w:rPr>
          <w:color w:val="auto"/>
          <w:position w:val="-12"/>
          <w:highlight w:val="none"/>
        </w:rPr>
        <w:object>
          <v:shape id="_x0000_i1057" o:spt="75" type="#_x0000_t75" style="height:18.5pt;width:18.85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r>
        <w:rPr>
          <w:color w:val="auto"/>
          <w:szCs w:val="21"/>
          <w:highlight w:val="none"/>
        </w:rPr>
        <w:t>为上一代小龙虾更新后获得的最佳位置。</w:t>
      </w:r>
    </w:p>
    <w:p w14:paraId="1551968D">
      <w:pPr>
        <w:snapToGrid w:val="0"/>
        <w:ind w:firstLine="420" w:firstLineChars="200"/>
        <w:rPr>
          <w:rFonts w:hint="eastAsia" w:eastAsia="宋体"/>
          <w:color w:val="auto"/>
          <w:szCs w:val="21"/>
          <w:highlight w:val="none"/>
          <w:lang w:val="en-US" w:eastAsia="zh-CN"/>
        </w:rPr>
      </w:pPr>
      <w:r>
        <w:rPr>
          <w:color w:val="auto"/>
          <w:szCs w:val="21"/>
          <w:highlight w:val="none"/>
        </w:rPr>
        <w:t>（1）若</w:t>
      </w:r>
      <w:r>
        <w:rPr>
          <w:color w:val="auto"/>
          <w:position w:val="-6"/>
          <w:highlight w:val="none"/>
        </w:rPr>
        <w:object>
          <v:shape id="_x0000_i1058" o:spt="75" type="#_x0000_t75" style="height:13.85pt;width:28.5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color w:val="auto"/>
          <w:szCs w:val="21"/>
          <w:highlight w:val="none"/>
        </w:rPr>
        <w:t>＜0.5，则表示洞穴数量很多，小龙虾可以顺利找到空闲洞穴，直接向最优解靠拢，位置更新公式</w:t>
      </w:r>
      <w:r>
        <w:rPr>
          <w:rFonts w:hint="eastAsia"/>
          <w:color w:val="auto"/>
          <w:szCs w:val="21"/>
          <w:highlight w:val="none"/>
          <w:lang w:val="en-US" w:eastAsia="zh-CN"/>
        </w:rPr>
        <w:t>为</w:t>
      </w:r>
    </w:p>
    <w:p w14:paraId="76096BCC">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59" o:spt="75" type="#_x0000_t75" style="height:19.65pt;width:172.9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(6)</w:instrText>
      </w:r>
      <w:r>
        <w:rPr>
          <w:color w:val="auto"/>
          <w:highlight w:val="none"/>
        </w:rPr>
        <w:fldChar w:fldCharType="end"/>
      </w:r>
    </w:p>
    <w:p w14:paraId="62796360">
      <w:pPr>
        <w:snapToGrid w:val="0"/>
        <w:rPr>
          <w:color w:val="auto"/>
          <w:szCs w:val="21"/>
          <w:highlight w:val="none"/>
        </w:rPr>
      </w:pPr>
      <w:r>
        <w:rPr>
          <w:color w:val="auto"/>
          <w:szCs w:val="21"/>
          <w:highlight w:val="none"/>
        </w:rPr>
        <w:t>式中，</w:t>
      </w:r>
      <w:r>
        <w:rPr>
          <w:color w:val="auto"/>
          <w:position w:val="-12"/>
          <w:highlight w:val="none"/>
        </w:rPr>
        <w:object>
          <v:shape id="_x0000_i1060" o:spt="75" type="#_x0000_t75" style="height:19.65pt;width:24.6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color w:val="auto"/>
          <w:szCs w:val="21"/>
          <w:highlight w:val="none"/>
        </w:rPr>
        <w:t>表示更新后的位置，</w:t>
      </w:r>
      <w:r>
        <w:rPr>
          <w:color w:val="auto"/>
          <w:position w:val="-12"/>
          <w:highlight w:val="none"/>
        </w:rPr>
        <w:object>
          <v:shape id="_x0000_i1061" o:spt="75" type="#_x0000_t75" style="height:18.5pt;width:78.9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color w:val="auto"/>
          <w:szCs w:val="21"/>
          <w:highlight w:val="none"/>
        </w:rPr>
        <w:t>为随迭代递减的避暑系数，</w:t>
      </w:r>
      <w:r>
        <w:rPr>
          <w:color w:val="auto"/>
          <w:position w:val="-12"/>
          <w:highlight w:val="none"/>
        </w:rPr>
        <w:object>
          <v:shape id="_x0000_i1062" o:spt="75" type="#_x0000_t75" style="height:18.5pt;width:21.2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color w:val="auto"/>
          <w:szCs w:val="21"/>
          <w:highlight w:val="none"/>
        </w:rPr>
        <w:t>为最大迭代次数。</w:t>
      </w:r>
    </w:p>
    <w:p w14:paraId="65E633DD">
      <w:pPr>
        <w:snapToGrid w:val="0"/>
        <w:ind w:firstLine="420" w:firstLineChars="200"/>
        <w:rPr>
          <w:color w:val="auto"/>
          <w:szCs w:val="21"/>
          <w:highlight w:val="none"/>
        </w:rPr>
      </w:pPr>
      <w:r>
        <w:rPr>
          <w:color w:val="auto"/>
          <w:szCs w:val="21"/>
          <w:highlight w:val="none"/>
        </w:rPr>
        <w:t>（2）若</w:t>
      </w:r>
      <w:r>
        <w:rPr>
          <w:color w:val="auto"/>
          <w:position w:val="-6"/>
          <w:highlight w:val="none"/>
        </w:rPr>
        <w:object>
          <v:shape id="_x0000_i1063" o:spt="75" type="#_x0000_t75" style="height:13.85pt;width:28.5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r>
        <w:rPr>
          <w:color w:val="auto"/>
          <w:szCs w:val="21"/>
          <w:highlight w:val="none"/>
        </w:rPr>
        <w:t>≥0.5，则表示洞穴稀缺，小龙虾需要与其他个体竞争洞穴资源，此时触发竞争机制，位置更新公式</w:t>
      </w:r>
      <w:r>
        <w:rPr>
          <w:rFonts w:hint="eastAsia"/>
          <w:color w:val="auto"/>
          <w:szCs w:val="21"/>
          <w:highlight w:val="none"/>
        </w:rPr>
        <w:t>为</w:t>
      </w:r>
    </w:p>
    <w:p w14:paraId="4B6084E5">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64" o:spt="75" type="#_x0000_t75" style="height:19.65pt;width:115.1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(7)</w:instrText>
      </w:r>
      <w:r>
        <w:rPr>
          <w:color w:val="auto"/>
          <w:highlight w:val="none"/>
        </w:rPr>
        <w:fldChar w:fldCharType="end"/>
      </w:r>
    </w:p>
    <w:p w14:paraId="50D71657">
      <w:pPr>
        <w:snapToGrid w:val="0"/>
        <w:rPr>
          <w:color w:val="auto"/>
          <w:szCs w:val="21"/>
          <w:highlight w:val="none"/>
        </w:rPr>
      </w:pPr>
      <w:r>
        <w:rPr>
          <w:color w:val="auto"/>
          <w:szCs w:val="21"/>
          <w:highlight w:val="none"/>
        </w:rPr>
        <w:t>式中，</w:t>
      </w:r>
      <w:r>
        <w:rPr>
          <w:color w:val="auto"/>
          <w:position w:val="-12"/>
          <w:highlight w:val="none"/>
        </w:rPr>
        <w:object>
          <v:shape id="_x0000_i1065" o:spt="75" type="#_x0000_t75" style="height:19.65pt;width:18.85pt;" o:ole="t" filled="f" o:preferrelative="t" stroked="f" coordsize="21600,21600">
            <v:path/>
            <v:fill on="f" focussize="0,0"/>
            <v:stroke on="f" joinstyle="miter"/>
            <v:imagedata r:id="rId91" o:title=""/>
            <o:lock v:ext="edit" aspectratio="t"/>
            <w10:wrap type="none"/>
            <w10:anchorlock/>
          </v:shape>
          <o:OLEObject Type="Embed" ProgID="Equation.DSMT4" ShapeID="_x0000_i1065" DrawAspect="Content" ObjectID="_1468075765" r:id="rId90">
            <o:LockedField>false</o:LockedField>
          </o:OLEObject>
        </w:object>
      </w:r>
      <w:r>
        <w:rPr>
          <w:color w:val="auto"/>
          <w:szCs w:val="21"/>
          <w:highlight w:val="none"/>
        </w:rPr>
        <w:t>为从当前种群中随机选取的另一只小龙虾的位置，该机制模拟了高温下的资源争夺。</w:t>
      </w:r>
    </w:p>
    <w:p w14:paraId="6680D694">
      <w:pPr>
        <w:snapToGrid w:val="0"/>
        <w:ind w:firstLine="420" w:firstLineChars="200"/>
        <w:rPr>
          <w:color w:val="auto"/>
          <w:szCs w:val="21"/>
          <w:highlight w:val="none"/>
        </w:rPr>
      </w:pPr>
      <w:r>
        <w:rPr>
          <w:color w:val="auto"/>
          <w:szCs w:val="21"/>
          <w:highlight w:val="none"/>
        </w:rPr>
        <w:t>当环境温度适宜即</w:t>
      </w:r>
      <w:r>
        <w:rPr>
          <w:color w:val="auto"/>
          <w:position w:val="-4"/>
          <w:highlight w:val="none"/>
        </w:rPr>
        <w:object>
          <v:shape id="_x0000_i1066" o:spt="75" type="#_x0000_t75" style="height:12.7pt;width:11.15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color w:val="auto"/>
          <w:szCs w:val="21"/>
          <w:highlight w:val="none"/>
        </w:rPr>
        <w:t>≤30℃时，小龙虾进入活跃状态，个体的行为受到食物吸引，开始觅食活动。食物的定义为</w:t>
      </w:r>
      <w:r>
        <w:rPr>
          <w:color w:val="auto"/>
          <w:position w:val="-14"/>
          <w:highlight w:val="none"/>
        </w:rPr>
        <w:object>
          <v:shape id="_x0000_i1067" o:spt="75" type="#_x0000_t75" style="height:18.85pt;width:60.05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r>
        <w:rPr>
          <w:color w:val="auto"/>
          <w:szCs w:val="21"/>
          <w:highlight w:val="none"/>
        </w:rPr>
        <w:t>，同时引入觅食因子</w:t>
      </w:r>
      <w:r>
        <w:rPr>
          <w:color w:val="auto"/>
          <w:position w:val="-4"/>
          <w:highlight w:val="none"/>
        </w:rPr>
        <w:object>
          <v:shape id="_x0000_i1068" o:spt="75" type="#_x0000_t75" style="height:12.7pt;width:11.95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color w:val="auto"/>
          <w:szCs w:val="21"/>
          <w:highlight w:val="none"/>
        </w:rPr>
        <w:t>来描述食物的大小，计算公式</w:t>
      </w:r>
      <w:r>
        <w:rPr>
          <w:rFonts w:hint="eastAsia"/>
          <w:color w:val="auto"/>
          <w:szCs w:val="21"/>
          <w:highlight w:val="none"/>
        </w:rPr>
        <w:t>为</w:t>
      </w:r>
    </w:p>
    <w:p w14:paraId="77B4D6D6">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69" o:spt="75" type="#_x0000_t75" style="height:36.2pt;width:122.05pt;" o:ole="t" filled="f" o:preferrelative="t" stroked="f" coordsize="21600,21600">
            <v:path/>
            <v:fill on="f" focussize="0,0"/>
            <v:stroke on="f" joinstyle="miter"/>
            <v:imagedata r:id="rId99" o:title=""/>
            <o:lock v:ext="edit" aspectratio="t"/>
            <w10:wrap type="none"/>
            <w10:anchorlock/>
          </v:shape>
          <o:OLEObject Type="Embed" ProgID="Equation.DSMT4" ShapeID="_x0000_i1069" DrawAspect="Content" ObjectID="_1468075769" r:id="rId9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(8)</w:instrText>
      </w:r>
      <w:r>
        <w:rPr>
          <w:color w:val="auto"/>
          <w:highlight w:val="none"/>
        </w:rPr>
        <w:fldChar w:fldCharType="end"/>
      </w:r>
    </w:p>
    <w:p w14:paraId="6FA2BF3C">
      <w:pPr>
        <w:snapToGrid w:val="0"/>
        <w:rPr>
          <w:color w:val="auto"/>
          <w:szCs w:val="21"/>
          <w:highlight w:val="none"/>
        </w:rPr>
      </w:pPr>
      <w:r>
        <w:rPr>
          <w:color w:val="auto"/>
          <w:szCs w:val="21"/>
          <w:highlight w:val="none"/>
        </w:rPr>
        <w:t>式中，</w:t>
      </w:r>
      <w:r>
        <w:rPr>
          <w:color w:val="auto"/>
          <w:position w:val="-12"/>
          <w:highlight w:val="none"/>
        </w:rPr>
        <w:object>
          <v:shape id="_x0000_i1070" o:spt="75" type="#_x0000_t75" style="height:18.5pt;width:18.85pt;" o:ole="t" filled="f" o:preferrelative="t" stroked="f" coordsize="21600,21600">
            <v:path/>
            <v:fill on="f" focussize="0,0"/>
            <v:stroke on="f" joinstyle="miter"/>
            <v:imagedata r:id="rId101" o:title=""/>
            <o:lock v:ext="edit" aspectratio="t"/>
            <w10:wrap type="none"/>
            <w10:anchorlock/>
          </v:shape>
          <o:OLEObject Type="Embed" ProgID="Equation.DSMT4" ShapeID="_x0000_i1070" DrawAspect="Content" ObjectID="_1468075770" r:id="rId100">
            <o:LockedField>false</o:LockedField>
          </o:OLEObject>
        </w:object>
      </w:r>
      <w:r>
        <w:rPr>
          <w:color w:val="auto"/>
          <w:szCs w:val="21"/>
          <w:highlight w:val="none"/>
        </w:rPr>
        <w:t>和</w:t>
      </w:r>
      <w:r>
        <w:rPr>
          <w:color w:val="auto"/>
          <w:position w:val="-14"/>
          <w:highlight w:val="none"/>
        </w:rPr>
        <w:object>
          <v:shape id="_x0000_i1071" o:spt="75" type="#_x0000_t75" style="height:18.85pt;width:33.9pt;" o:ole="t" filled="f" o:preferrelative="t" stroked="f" coordsize="21600,21600">
            <v:path/>
            <v:fill on="f" focussize="0,0"/>
            <v:stroke on="f" joinstyle="miter"/>
            <v:imagedata r:id="rId103" o:title=""/>
            <o:lock v:ext="edit" aspectratio="t"/>
            <w10:wrap type="none"/>
            <w10:anchorlock/>
          </v:shape>
          <o:OLEObject Type="Embed" ProgID="Equation.DSMT4" ShapeID="_x0000_i1071" DrawAspect="Content" ObjectID="_1468075771" r:id="rId102">
            <o:LockedField>false</o:LockedField>
          </o:OLEObject>
        </w:object>
      </w:r>
      <w:r>
        <w:rPr>
          <w:color w:val="auto"/>
          <w:szCs w:val="21"/>
          <w:highlight w:val="none"/>
        </w:rPr>
        <w:t>分别为当前个体和食物的适应度值。</w:t>
      </w:r>
    </w:p>
    <w:p w14:paraId="518F456D">
      <w:pPr>
        <w:snapToGrid w:val="0"/>
        <w:ind w:firstLine="420" w:firstLineChars="200"/>
        <w:rPr>
          <w:rFonts w:hint="eastAsia" w:eastAsia="宋体"/>
          <w:color w:val="auto"/>
          <w:szCs w:val="21"/>
          <w:highlight w:val="none"/>
          <w:lang w:eastAsia="zh-CN"/>
        </w:rPr>
      </w:pPr>
      <w:r>
        <w:rPr>
          <w:color w:val="auto"/>
          <w:szCs w:val="21"/>
          <w:highlight w:val="none"/>
        </w:rPr>
        <w:t>当</w:t>
      </w:r>
      <w:r>
        <w:rPr>
          <w:color w:val="auto"/>
          <w:position w:val="-4"/>
          <w:highlight w:val="none"/>
        </w:rPr>
        <w:object>
          <v:shape id="_x0000_i1072" o:spt="75" type="#_x0000_t75" style="height:12.7pt;width:11.95pt;" o:ole="t" filled="f" o:preferrelative="t" stroked="f" coordsize="21600,21600">
            <v:path/>
            <v:fill on="f" focussize="0,0"/>
            <v:stroke on="f" joinstyle="miter"/>
            <v:imagedata r:id="rId105" o:title=""/>
            <o:lock v:ext="edit" aspectratio="t"/>
            <w10:wrap type="none"/>
            <w10:anchorlock/>
          </v:shape>
          <o:OLEObject Type="Embed" ProgID="Equation.DSMT4" ShapeID="_x0000_i1072" DrawAspect="Content" ObjectID="_1468075772" r:id="rId104">
            <o:LockedField>false</o:LockedField>
          </o:OLEObject>
        </w:object>
      </w:r>
      <w:r>
        <w:rPr>
          <w:color w:val="auto"/>
          <w:szCs w:val="21"/>
          <w:highlight w:val="none"/>
        </w:rPr>
        <w:t>≤2时，此时食物大小适中，小龙虾直接向食物移动并进食，数学表达式</w:t>
      </w:r>
      <w:r>
        <w:rPr>
          <w:rFonts w:hint="eastAsia"/>
          <w:color w:val="auto"/>
          <w:szCs w:val="21"/>
          <w:highlight w:val="none"/>
          <w:lang w:val="en-US" w:eastAsia="zh-CN"/>
        </w:rPr>
        <w:t>为</w:t>
      </w:r>
    </w:p>
    <w:p w14:paraId="00673E58">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73" o:spt="75" type="#_x0000_t75" style="height:21.2pt;width:142.05pt;" o:ole="t" filled="f" o:preferrelative="t" stroked="f" coordsize="21600,21600">
            <v:path/>
            <v:fill on="f" focussize="0,0"/>
            <v:stroke on="f" joinstyle="miter"/>
            <v:imagedata r:id="rId107" o:title=""/>
            <o:lock v:ext="edit" aspectratio="t"/>
            <w10:wrap type="none"/>
            <w10:anchorlock/>
          </v:shape>
          <o:OLEObject Type="Embed" ProgID="Equation.DSMT4" ShapeID="_x0000_i1073" DrawAspect="Content" ObjectID="_1468075773" r:id="rId106">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(9)</w:instrText>
      </w:r>
      <w:r>
        <w:rPr>
          <w:color w:val="auto"/>
          <w:highlight w:val="none"/>
        </w:rPr>
        <w:fldChar w:fldCharType="end"/>
      </w:r>
    </w:p>
    <w:p w14:paraId="13CF5DFC">
      <w:pPr>
        <w:snapToGrid w:val="0"/>
        <w:ind w:firstLine="420" w:firstLineChars="200"/>
        <w:rPr>
          <w:color w:val="auto"/>
          <w:szCs w:val="21"/>
          <w:highlight w:val="none"/>
        </w:rPr>
      </w:pPr>
      <w:r>
        <w:rPr>
          <w:color w:val="auto"/>
          <w:szCs w:val="21"/>
          <w:highlight w:val="none"/>
        </w:rPr>
        <w:t>当</w:t>
      </w:r>
      <w:r>
        <w:rPr>
          <w:color w:val="auto"/>
          <w:position w:val="-4"/>
          <w:highlight w:val="none"/>
        </w:rPr>
        <w:object>
          <v:shape id="_x0000_i1074" o:spt="75" type="#_x0000_t75" style="height:12.7pt;width:11.95pt;" o:ole="t" filled="f" o:preferrelative="t" stroked="f" coordsize="21600,21600">
            <v:path/>
            <v:fill on="f" focussize="0,0"/>
            <v:stroke on="f" joinstyle="miter"/>
            <v:imagedata r:id="rId109" o:title=""/>
            <o:lock v:ext="edit" aspectratio="t"/>
            <w10:wrap type="none"/>
            <w10:anchorlock/>
          </v:shape>
          <o:OLEObject Type="Embed" ProgID="Equation.DSMT4" ShapeID="_x0000_i1074" DrawAspect="Content" ObjectID="_1468075774" r:id="rId108">
            <o:LockedField>false</o:LockedField>
          </o:OLEObject>
        </w:object>
      </w:r>
      <w:r>
        <w:rPr>
          <w:color w:val="auto"/>
          <w:szCs w:val="21"/>
          <w:highlight w:val="none"/>
        </w:rPr>
        <w:t>＞2时，此时食物体积过大，小龙虾无法直接吞食，需要先将食物撕碎。数学上，使用指数衰减函数对食物位置进行分解，得到撕碎后的食物位置</w:t>
      </w:r>
      <w:r>
        <w:rPr>
          <w:color w:val="auto"/>
          <w:position w:val="-14"/>
          <w:highlight w:val="none"/>
        </w:rPr>
        <w:object>
          <v:shape id="_x0000_i1075" o:spt="75" type="#_x0000_t75" style="height:21.2pt;width:30.8pt;" o:ole="t" filled="f" o:preferrelative="t" stroked="f" coordsize="21600,21600">
            <v:path/>
            <v:fill on="f" focussize="0,0"/>
            <v:stroke on="f" joinstyle="miter"/>
            <v:imagedata r:id="rId111" o:title=""/>
            <o:lock v:ext="edit" aspectratio="t"/>
            <w10:wrap type="none"/>
            <w10:anchorlock/>
          </v:shape>
          <o:OLEObject Type="Embed" ProgID="Equation.DSMT4" ShapeID="_x0000_i1075" DrawAspect="Content" ObjectID="_1468075775" r:id="rId110">
            <o:LockedField>false</o:LockedField>
          </o:OLEObject>
        </w:object>
      </w:r>
      <w:r>
        <w:rPr>
          <w:rFonts w:hint="eastAsia"/>
          <w:color w:val="auto"/>
          <w:position w:val="-14"/>
          <w:highlight w:val="none"/>
        </w:rPr>
        <w:t>为</w:t>
      </w:r>
    </w:p>
    <w:p w14:paraId="15553FE1">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76" o:spt="75" type="#_x0000_t75" style="height:30.8pt;width:125.15pt;" o:ole="t" filled="f" o:preferrelative="t" stroked="f" coordsize="21600,21600">
            <v:path/>
            <v:fill on="f" focussize="0,0"/>
            <v:stroke on="f" joinstyle="miter"/>
            <v:imagedata r:id="rId113" o:title=""/>
            <o:lock v:ext="edit" aspectratio="t"/>
            <w10:wrap type="none"/>
            <w10:anchorlock/>
          </v:shape>
          <o:OLEObject Type="Embed" ProgID="Equation.DSMT4" ShapeID="_x0000_i1076" DrawAspect="Content" ObjectID="_1468075776" r:id="rId11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(10)</w:instrText>
      </w:r>
      <w:r>
        <w:rPr>
          <w:color w:val="auto"/>
          <w:highlight w:val="none"/>
        </w:rPr>
        <w:fldChar w:fldCharType="end"/>
      </w:r>
    </w:p>
    <w:p w14:paraId="0280467B">
      <w:pPr>
        <w:snapToGrid w:val="0"/>
        <w:ind w:firstLine="420" w:firstLineChars="200"/>
        <w:rPr>
          <w:color w:val="auto"/>
          <w:szCs w:val="21"/>
          <w:highlight w:val="none"/>
        </w:rPr>
      </w:pPr>
      <w:r>
        <w:rPr>
          <w:color w:val="auto"/>
          <w:szCs w:val="21"/>
          <w:highlight w:val="none"/>
        </w:rPr>
        <w:t>此时，小龙虾围绕撕碎后的食物进行觅食，其位置更新引入了正弦函数和余弦函数以模拟撕扯动作</w:t>
      </w:r>
    </w:p>
    <w:p w14:paraId="0E1C9B02">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77" o:spt="75" type="#_x0000_t75" style="height:21.2pt;width:259.9pt;" o:ole="t" filled="f" o:preferrelative="t" stroked="f" coordsize="21600,21600">
            <v:path/>
            <v:fill on="f" focussize="0,0"/>
            <v:stroke on="f" joinstyle="miter"/>
            <v:imagedata r:id="rId115" o:title=""/>
            <o:lock v:ext="edit" aspectratio="t"/>
            <w10:wrap type="none"/>
            <w10:anchorlock/>
          </v:shape>
          <o:OLEObject Type="Embed" ProgID="Equation.DSMT4" ShapeID="_x0000_i1077" DrawAspect="Content" ObjectID="_1468075777" r:id="rId114">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(11)</w:instrText>
      </w:r>
      <w:r>
        <w:rPr>
          <w:color w:val="auto"/>
          <w:highlight w:val="none"/>
        </w:rPr>
        <w:fldChar w:fldCharType="end"/>
      </w:r>
    </w:p>
    <w:p w14:paraId="7A735BD8">
      <w:pPr>
        <w:snapToGrid w:val="0"/>
        <w:ind w:firstLine="420" w:firstLineChars="200"/>
        <w:rPr>
          <w:color w:val="auto"/>
          <w:szCs w:val="21"/>
          <w:highlight w:val="none"/>
        </w:rPr>
      </w:pPr>
      <w:r>
        <w:rPr>
          <w:color w:val="auto"/>
          <w:szCs w:val="21"/>
          <w:highlight w:val="none"/>
        </w:rPr>
        <w:t>综上所述，COA算法通过温度参数</w:t>
      </w:r>
      <w:r>
        <w:rPr>
          <w:color w:val="auto"/>
          <w:position w:val="-4"/>
          <w:highlight w:val="none"/>
        </w:rPr>
        <w:object>
          <v:shape id="_x0000_i1078" o:spt="75" type="#_x0000_t75" style="height:12.7pt;width:11.15pt;" o:ole="t" filled="f" o:preferrelative="t" stroked="f" coordsize="21600,21600">
            <v:path/>
            <v:fill on="f" focussize="0,0"/>
            <v:stroke on="f" joinstyle="miter"/>
            <v:imagedata r:id="rId117" o:title=""/>
            <o:lock v:ext="edit" aspectratio="t"/>
            <w10:wrap type="none"/>
            <w10:anchorlock/>
          </v:shape>
          <o:OLEObject Type="Embed" ProgID="Equation.DSMT4" ShapeID="_x0000_i1078" DrawAspect="Content" ObjectID="_1468075778" r:id="rId116">
            <o:LockedField>false</o:LockedField>
          </o:OLEObject>
        </w:object>
      </w:r>
      <w:r>
        <w:rPr>
          <w:color w:val="auto"/>
          <w:szCs w:val="21"/>
          <w:highlight w:val="none"/>
        </w:rPr>
        <w:t>和随机概率</w:t>
      </w:r>
      <w:r>
        <w:rPr>
          <w:color w:val="auto"/>
          <w:position w:val="-6"/>
          <w:highlight w:val="none"/>
        </w:rPr>
        <w:object>
          <v:shape id="_x0000_i1079" o:spt="75" type="#_x0000_t75" style="height:13.85pt;width:28.5pt;" o:ole="t" filled="f" o:preferrelative="t" stroked="f" coordsize="21600,21600">
            <v:path/>
            <v:fill on="f" focussize="0,0"/>
            <v:stroke on="f" joinstyle="miter"/>
            <v:imagedata r:id="rId119" o:title=""/>
            <o:lock v:ext="edit" aspectratio="t"/>
            <w10:wrap type="none"/>
            <w10:anchorlock/>
          </v:shape>
          <o:OLEObject Type="Embed" ProgID="Equation.DSMT4" ShapeID="_x0000_i1079" DrawAspect="Content" ObjectID="_1468075779" r:id="rId118">
            <o:LockedField>false</o:LockedField>
          </o:OLEObject>
        </w:object>
      </w:r>
      <w:r>
        <w:rPr>
          <w:color w:val="auto"/>
          <w:szCs w:val="21"/>
          <w:highlight w:val="none"/>
        </w:rPr>
        <w:t>的双重判定机制，自适应地在避暑、竞争和觅食三种模式间切换，为BP神经网络初始参数的寻优提供了高效的搜索策略。</w:t>
      </w:r>
    </w:p>
    <w:p w14:paraId="369778BE">
      <w:pPr>
        <w:snapToGrid w:val="0"/>
        <w:rPr>
          <w:rFonts w:eastAsia="黑体"/>
          <w:b/>
          <w:bCs/>
          <w:color w:val="auto"/>
          <w:highlight w:val="none"/>
        </w:rPr>
      </w:pPr>
      <w:r>
        <w:rPr>
          <w:rFonts w:ascii="楷体" w:hAnsi="楷体" w:eastAsia="楷体"/>
          <w:color w:val="auto"/>
          <w:highlight w:val="none"/>
        </w:rPr>
        <w:t>2.1.2</w:t>
      </w:r>
      <w:r>
        <w:rPr>
          <w:rFonts w:hint="eastAsia" w:ascii="楷体" w:hAnsi="楷体" w:eastAsia="楷体"/>
          <w:color w:val="auto"/>
          <w:highlight w:val="none"/>
        </w:rPr>
        <w:t xml:space="preserve"> </w:t>
      </w:r>
      <w:r>
        <w:rPr>
          <w:rFonts w:ascii="楷体" w:hAnsi="楷体" w:eastAsia="楷体"/>
          <w:color w:val="auto"/>
          <w:highlight w:val="none"/>
        </w:rPr>
        <w:t>BP神经网络模型</w:t>
      </w:r>
    </w:p>
    <w:p w14:paraId="6BFFE611">
      <w:pPr>
        <w:adjustRightInd w:val="0"/>
        <w:snapToGrid w:val="0"/>
        <w:ind w:firstLine="420" w:firstLineChars="200"/>
        <w:rPr>
          <w:color w:val="auto"/>
          <w:szCs w:val="21"/>
          <w:highlight w:val="none"/>
        </w:rPr>
      </w:pPr>
      <w:r>
        <w:rPr>
          <w:color w:val="auto"/>
          <w:szCs w:val="21"/>
          <w:highlight w:val="none"/>
        </w:rPr>
        <w:t>BP神经网络通常由输入层、隐含层和输出层构成。输入层用于接收外部特征，隐含层通过非线性激活函数对输入特征进行变换，输出层则给出预测结果。在训练过程中，网络首先根据当前权重完成前向传播，得到输出值；随后将预测值与真实值之间的误差逐层反向传播，并利用梯度下降原理对网络权重进行更新，直至误差满足预设条件。</w:t>
      </w:r>
    </w:p>
    <w:p w14:paraId="5329FA3C">
      <w:pPr>
        <w:adjustRightInd w:val="0"/>
        <w:snapToGrid w:val="0"/>
        <w:ind w:firstLine="420" w:firstLineChars="200"/>
        <w:rPr>
          <w:color w:val="auto"/>
          <w:szCs w:val="21"/>
          <w:highlight w:val="none"/>
        </w:rPr>
      </w:pPr>
      <w:r>
        <w:rPr>
          <w:color w:val="auto"/>
          <w:szCs w:val="21"/>
          <w:highlight w:val="none"/>
        </w:rPr>
        <w:t>BP神经网络包含输入层、隐含层和输出层。对于预测时刻</w:t>
      </w:r>
      <w:r>
        <w:rPr>
          <w:color w:val="auto"/>
          <w:position w:val="-6"/>
          <w:highlight w:val="none"/>
        </w:rPr>
        <w:object>
          <v:shape id="_x0000_i1080" o:spt="75" type="#_x0000_t75" style="height:11.95pt;width:6.95pt;" o:ole="t" filled="f" o:preferrelative="t" stroked="f" coordsize="21600,21600">
            <v:path/>
            <v:fill on="f" focussize="0,0"/>
            <v:stroke on="f" joinstyle="miter"/>
            <v:imagedata r:id="rId121" o:title=""/>
            <o:lock v:ext="edit" aspectratio="t"/>
            <w10:wrap type="none"/>
            <w10:anchorlock/>
          </v:shape>
          <o:OLEObject Type="Embed" ProgID="Equation.DSMT4" ShapeID="_x0000_i1080" DrawAspect="Content" ObjectID="_1468075780" r:id="rId120">
            <o:LockedField>false</o:LockedField>
          </o:OLEObject>
        </w:object>
      </w:r>
      <w:r>
        <w:rPr>
          <w:color w:val="auto"/>
          <w:szCs w:val="21"/>
          <w:highlight w:val="none"/>
        </w:rPr>
        <w:t>，输入层接收包含前</w:t>
      </w:r>
      <w:r>
        <w:rPr>
          <w:color w:val="auto"/>
          <w:position w:val="-6"/>
          <w:highlight w:val="none"/>
        </w:rPr>
        <w:object>
          <v:shape id="_x0000_i1081" o:spt="75" type="#_x0000_t75" style="height:11.15pt;width:11.95pt;" o:ole="t" filled="f" o:preferrelative="t" stroked="f" coordsize="21600,21600">
            <v:path/>
            <v:fill on="f" focussize="0,0"/>
            <v:stroke on="f" joinstyle="miter"/>
            <v:imagedata r:id="rId123" o:title=""/>
            <o:lock v:ext="edit" aspectratio="t"/>
            <w10:wrap type="none"/>
            <w10:anchorlock/>
          </v:shape>
          <o:OLEObject Type="Embed" ProgID="Equation.DSMT4" ShapeID="_x0000_i1081" DrawAspect="Content" ObjectID="_1468075781" r:id="rId122">
            <o:LockedField>false</o:LockedField>
          </o:OLEObject>
        </w:object>
      </w:r>
      <w:r>
        <w:rPr>
          <w:color w:val="auto"/>
          <w:szCs w:val="21"/>
          <w:highlight w:val="none"/>
        </w:rPr>
        <w:t>个历史</w:t>
      </w:r>
      <w:r>
        <w:rPr>
          <w:i/>
          <w:color w:val="auto"/>
          <w:szCs w:val="21"/>
          <w:highlight w:val="none"/>
        </w:rPr>
        <w:t>HI</w:t>
      </w:r>
      <w:r>
        <w:rPr>
          <w:color w:val="auto"/>
          <w:szCs w:val="21"/>
          <w:highlight w:val="none"/>
        </w:rPr>
        <w:t>值的特征向量</w:t>
      </w:r>
      <w:r>
        <w:rPr>
          <w:color w:val="auto"/>
          <w:position w:val="-14"/>
          <w:highlight w:val="none"/>
        </w:rPr>
        <w:object>
          <v:shape id="_x0000_i1082" o:spt="75" type="#_x0000_t75" style="height:21.2pt;width:98.2pt;" o:ole="t" filled="f" o:preferrelative="t" stroked="f" coordsize="21600,21600">
            <v:path/>
            <v:fill on="f" focussize="0,0"/>
            <v:stroke on="f" joinstyle="miter"/>
            <v:imagedata r:id="rId125" o:title=""/>
            <o:lock v:ext="edit" aspectratio="t"/>
            <w10:wrap type="none"/>
            <w10:anchorlock/>
          </v:shape>
          <o:OLEObject Type="Embed" ProgID="Equation.DSMT4" ShapeID="_x0000_i1082" DrawAspect="Content" ObjectID="_1468075782" r:id="rId124">
            <o:LockedField>false</o:LockedField>
          </o:OLEObject>
        </w:object>
      </w:r>
      <w:r>
        <w:rPr>
          <w:color w:val="auto"/>
          <w:szCs w:val="21"/>
          <w:highlight w:val="none"/>
        </w:rPr>
        <w:t>。整体流程如图4所示。</w:t>
      </w:r>
    </w:p>
    <w:p w14:paraId="0C71A48B">
      <w:pPr>
        <w:adjustRightInd w:val="0"/>
        <w:snapToGrid w:val="0"/>
        <w:jc w:val="center"/>
        <w:rPr>
          <w:color w:val="auto"/>
          <w:szCs w:val="21"/>
          <w:highlight w:val="none"/>
        </w:rPr>
      </w:pPr>
      <w:r>
        <w:rPr>
          <w:color w:val="auto"/>
          <w:szCs w:val="21"/>
          <w:highlight w:val="none"/>
        </w:rPr>
        <w:drawing>
          <wp:inline distT="0" distB="0" distL="0" distR="0">
            <wp:extent cx="3771900" cy="2007870"/>
            <wp:effectExtent l="0" t="0" r="0" b="0"/>
            <wp:docPr id="17162972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7251" name="图片 8"/>
                    <pic:cNvPicPr>
                      <a:picLocks noChangeAspect="1"/>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3775144" cy="2009835"/>
                    </a:xfrm>
                    <a:prstGeom prst="rect">
                      <a:avLst/>
                    </a:prstGeom>
                  </pic:spPr>
                </pic:pic>
              </a:graphicData>
            </a:graphic>
          </wp:inline>
        </w:drawing>
      </w:r>
    </w:p>
    <w:p w14:paraId="7EC22CAD">
      <w:pPr>
        <w:adjustRightInd w:val="0"/>
        <w:snapToGrid w:val="0"/>
        <w:jc w:val="center"/>
        <w:rPr>
          <w:color w:val="auto"/>
          <w:sz w:val="18"/>
          <w:szCs w:val="18"/>
          <w:highlight w:val="none"/>
        </w:rPr>
      </w:pPr>
      <w:r>
        <w:rPr>
          <w:color w:val="auto"/>
          <w:sz w:val="18"/>
          <w:szCs w:val="18"/>
          <w:highlight w:val="none"/>
        </w:rPr>
        <w:t>图4  BP</w:t>
      </w:r>
      <w:r>
        <w:rPr>
          <w:color w:val="auto"/>
          <w:szCs w:val="21"/>
          <w:highlight w:val="none"/>
        </w:rPr>
        <w:t>神经网络</w:t>
      </w:r>
      <w:r>
        <w:rPr>
          <w:color w:val="auto"/>
          <w:sz w:val="18"/>
          <w:szCs w:val="18"/>
          <w:highlight w:val="none"/>
        </w:rPr>
        <w:t>拓扑结构图</w:t>
      </w:r>
    </w:p>
    <w:p w14:paraId="7A38F449">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4  Topological structure of BP neural network</w:t>
      </w:r>
    </w:p>
    <w:p w14:paraId="76009611">
      <w:pPr>
        <w:adjustRightInd w:val="0"/>
        <w:snapToGrid w:val="0"/>
        <w:ind w:firstLine="420" w:firstLineChars="200"/>
        <w:rPr>
          <w:color w:val="auto"/>
          <w:szCs w:val="21"/>
          <w:highlight w:val="none"/>
        </w:rPr>
      </w:pPr>
      <w:r>
        <w:rPr>
          <w:color w:val="auto"/>
          <w:szCs w:val="21"/>
          <w:highlight w:val="none"/>
        </w:rPr>
        <w:t>信号的前向传播计算过程如下：输入向量</w:t>
      </w:r>
      <w:r>
        <w:rPr>
          <w:color w:val="auto"/>
          <w:position w:val="-12"/>
          <w:highlight w:val="none"/>
        </w:rPr>
        <w:object>
          <v:shape id="_x0000_i1083" o:spt="75" type="#_x0000_t75" style="height:18.5pt;width:11.95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3" r:id="rId128">
            <o:LockedField>false</o:LockedField>
          </o:OLEObject>
        </w:object>
      </w:r>
      <w:r>
        <w:rPr>
          <w:color w:val="auto"/>
          <w:szCs w:val="21"/>
          <w:highlight w:val="none"/>
        </w:rPr>
        <w:t>经连接权重矩阵</w:t>
      </w:r>
      <w:r>
        <w:rPr>
          <w:color w:val="auto"/>
          <w:position w:val="-6"/>
          <w:highlight w:val="none"/>
        </w:rPr>
        <w:object>
          <v:shape id="_x0000_i1084" o:spt="75" type="#_x0000_t75" style="height:16.95pt;width:23.85pt;" o:ole="t" filled="f" o:preferrelative="t" stroked="f" coordsize="21600,21600">
            <v:path/>
            <v:fill on="f" focussize="0,0"/>
            <v:stroke on="f" joinstyle="miter"/>
            <v:imagedata r:id="rId131" o:title=""/>
            <o:lock v:ext="edit" aspectratio="t"/>
            <w10:wrap type="none"/>
            <w10:anchorlock/>
          </v:shape>
          <o:OLEObject Type="Embed" ProgID="Equation.DSMT4" ShapeID="_x0000_i1084" DrawAspect="Content" ObjectID="_1468075784" r:id="rId130">
            <o:LockedField>false</o:LockedField>
          </o:OLEObject>
        </w:object>
      </w:r>
      <w:r>
        <w:rPr>
          <w:color w:val="auto"/>
          <w:szCs w:val="21"/>
          <w:highlight w:val="none"/>
        </w:rPr>
        <w:t>加权后传入包含</w:t>
      </w:r>
      <w:r>
        <w:rPr>
          <w:color w:val="auto"/>
          <w:position w:val="-6"/>
          <w:highlight w:val="none"/>
        </w:rPr>
        <w:object>
          <v:shape id="_x0000_i1085" o:spt="75" type="#_x0000_t75" style="height:11.15pt;width:12.7pt;" o:ole="t" filled="f" o:preferrelative="t" stroked="f" coordsize="21600,21600">
            <v:path/>
            <v:fill on="f" focussize="0,0"/>
            <v:stroke on="f" joinstyle="miter"/>
            <v:imagedata r:id="rId133" o:title=""/>
            <o:lock v:ext="edit" aspectratio="t"/>
            <w10:wrap type="none"/>
            <w10:anchorlock/>
          </v:shape>
          <o:OLEObject Type="Embed" ProgID="Equation.DSMT4" ShapeID="_x0000_i1085" DrawAspect="Content" ObjectID="_1468075785" r:id="rId132">
            <o:LockedField>false</o:LockedField>
          </o:OLEObject>
        </w:object>
      </w:r>
      <w:r>
        <w:rPr>
          <w:color w:val="auto"/>
          <w:szCs w:val="21"/>
          <w:highlight w:val="none"/>
        </w:rPr>
        <w:t>个神经元的隐含层。隐含层神经元的输出向量</w:t>
      </w:r>
      <w:r>
        <w:rPr>
          <w:color w:val="auto"/>
          <w:position w:val="-4"/>
          <w:highlight w:val="none"/>
        </w:rPr>
        <w:object>
          <v:shape id="_x0000_i1086" o:spt="75" type="#_x0000_t75" style="height:10pt;width:10pt;" o:ole="t" filled="f" o:preferrelative="t" stroked="f" coordsize="21600,21600">
            <v:path/>
            <v:fill on="f" focussize="0,0"/>
            <v:stroke on="f" joinstyle="miter"/>
            <v:imagedata r:id="rId135" o:title=""/>
            <o:lock v:ext="edit" aspectratio="t"/>
            <w10:wrap type="none"/>
            <w10:anchorlock/>
          </v:shape>
          <o:OLEObject Type="Embed" ProgID="Equation.DSMT4" ShapeID="_x0000_i1086" DrawAspect="Content" ObjectID="_1468075786" r:id="rId134">
            <o:LockedField>false</o:LockedField>
          </o:OLEObject>
        </w:object>
      </w:r>
      <w:r>
        <w:rPr>
          <w:color w:val="auto"/>
          <w:szCs w:val="21"/>
          <w:highlight w:val="none"/>
        </w:rPr>
        <w:t>由非线性激活函数</w:t>
      </w:r>
      <w:r>
        <w:rPr>
          <w:color w:val="auto"/>
          <w:position w:val="-10"/>
          <w:highlight w:val="none"/>
        </w:rPr>
        <w:object>
          <v:shape id="_x0000_i1087" o:spt="75" type="#_x0000_t75" style="height:16.15pt;width:23.5pt;" o:ole="t" filled="f" o:preferrelative="t" stroked="f" coordsize="21600,21600">
            <v:path/>
            <v:fill on="f" focussize="0,0"/>
            <v:stroke on="f" joinstyle="miter"/>
            <v:imagedata r:id="rId137" o:title=""/>
            <o:lock v:ext="edit" aspectratio="t"/>
            <w10:wrap type="none"/>
            <w10:anchorlock/>
          </v:shape>
          <o:OLEObject Type="Embed" ProgID="Equation.DSMT4" ShapeID="_x0000_i1087" DrawAspect="Content" ObjectID="_1468075787" r:id="rId136">
            <o:LockedField>false</o:LockedField>
          </o:OLEObject>
        </w:object>
      </w:r>
      <w:r>
        <w:rPr>
          <w:color w:val="auto"/>
          <w:szCs w:val="21"/>
          <w:highlight w:val="none"/>
        </w:rPr>
        <w:t>处理得到</w:t>
      </w:r>
    </w:p>
    <w:p w14:paraId="0F8A0CA1">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88" o:spt="75" type="#_x0000_t75" style="height:19.65pt;width:95.5pt;" o:ole="t" filled="f" o:preferrelative="t" stroked="f" coordsize="21600,21600">
            <v:path/>
            <v:fill on="f" focussize="0,0"/>
            <v:stroke on="f" joinstyle="miter"/>
            <v:imagedata r:id="rId139" o:title=""/>
            <o:lock v:ext="edit" aspectratio="t"/>
            <w10:wrap type="none"/>
            <w10:anchorlock/>
          </v:shape>
          <o:OLEObject Type="Embed" ProgID="Equation.DSMT4" ShapeID="_x0000_i1088" DrawAspect="Content" ObjectID="_1468075788" r:id="rId13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(12)</w:instrText>
      </w:r>
      <w:r>
        <w:rPr>
          <w:color w:val="auto"/>
          <w:highlight w:val="none"/>
        </w:rPr>
        <w:fldChar w:fldCharType="end"/>
      </w:r>
    </w:p>
    <w:p w14:paraId="3E13391B">
      <w:pPr>
        <w:adjustRightInd w:val="0"/>
        <w:snapToGrid w:val="0"/>
        <w:rPr>
          <w:color w:val="auto"/>
          <w:szCs w:val="21"/>
          <w:highlight w:val="none"/>
        </w:rPr>
      </w:pPr>
      <w:r>
        <w:rPr>
          <w:color w:val="auto"/>
          <w:szCs w:val="21"/>
          <w:highlight w:val="none"/>
        </w:rPr>
        <w:t>式中，</w:t>
      </w:r>
      <w:r>
        <w:rPr>
          <w:color w:val="auto"/>
          <w:position w:val="-6"/>
          <w:highlight w:val="none"/>
        </w:rPr>
        <w:object>
          <v:shape id="_x0000_i1089" o:spt="75" type="#_x0000_t75" style="height:16.95pt;width:18.85pt;" o:ole="t" filled="f" o:preferrelative="t" stroked="f" coordsize="21600,21600">
            <v:path/>
            <v:fill on="f" focussize="0,0"/>
            <v:stroke on="f" joinstyle="miter"/>
            <v:imagedata r:id="rId141" o:title=""/>
            <o:lock v:ext="edit" aspectratio="t"/>
            <w10:wrap type="none"/>
            <w10:anchorlock/>
          </v:shape>
          <o:OLEObject Type="Embed" ProgID="Equation.DSMT4" ShapeID="_x0000_i1089" DrawAspect="Content" ObjectID="_1468075789" r:id="rId140">
            <o:LockedField>false</o:LockedField>
          </o:OLEObject>
        </w:object>
      </w:r>
      <w:r>
        <w:rPr>
          <w:color w:val="auto"/>
          <w:szCs w:val="21"/>
          <w:highlight w:val="none"/>
        </w:rPr>
        <w:t>为隐含层偏置向量。</w:t>
      </w:r>
    </w:p>
    <w:p w14:paraId="028298A1">
      <w:pPr>
        <w:adjustRightInd w:val="0"/>
        <w:snapToGrid w:val="0"/>
        <w:ind w:firstLine="420" w:firstLineChars="200"/>
        <w:rPr>
          <w:color w:val="auto"/>
          <w:szCs w:val="21"/>
          <w:highlight w:val="none"/>
        </w:rPr>
      </w:pPr>
      <w:r>
        <w:rPr>
          <w:color w:val="auto"/>
          <w:szCs w:val="21"/>
          <w:highlight w:val="none"/>
        </w:rPr>
        <w:t>随后，隐含层输出</w:t>
      </w:r>
      <w:r>
        <w:rPr>
          <w:color w:val="auto"/>
          <w:position w:val="-4"/>
          <w:highlight w:val="none"/>
        </w:rPr>
        <w:object>
          <v:shape id="_x0000_i1090" o:spt="75" type="#_x0000_t75" style="height:10pt;width:10pt;" o:ole="t" filled="f" o:preferrelative="t" stroked="f" coordsize="21600,21600">
            <v:path/>
            <v:fill on="f" focussize="0,0"/>
            <v:stroke on="f" joinstyle="miter"/>
            <v:imagedata r:id="rId143" o:title=""/>
            <o:lock v:ext="edit" aspectratio="t"/>
            <w10:wrap type="none"/>
            <w10:anchorlock/>
          </v:shape>
          <o:OLEObject Type="Embed" ProgID="Equation.DSMT4" ShapeID="_x0000_i1090" DrawAspect="Content" ObjectID="_1468075790" r:id="rId142">
            <o:LockedField>false</o:LockedField>
          </o:OLEObject>
        </w:object>
      </w:r>
      <w:r>
        <w:rPr>
          <w:color w:val="auto"/>
          <w:szCs w:val="21"/>
          <w:highlight w:val="none"/>
        </w:rPr>
        <w:t>经权重矩阵</w:t>
      </w:r>
      <w:r>
        <w:rPr>
          <w:color w:val="auto"/>
          <w:position w:val="-6"/>
          <w:highlight w:val="none"/>
        </w:rPr>
        <w:object>
          <v:shape id="_x0000_i1091" o:spt="75" type="#_x0000_t75" style="height:16.95pt;width:24.65pt;" o:ole="t" filled="f" o:preferrelative="t" stroked="f" coordsize="21600,21600">
            <v:path/>
            <v:fill on="f" focussize="0,0"/>
            <v:stroke on="f" joinstyle="miter"/>
            <v:imagedata r:id="rId145" o:title=""/>
            <o:lock v:ext="edit" aspectratio="t"/>
            <w10:wrap type="none"/>
            <w10:anchorlock/>
          </v:shape>
          <o:OLEObject Type="Embed" ProgID="Equation.DSMT4" ShapeID="_x0000_i1091" DrawAspect="Content" ObjectID="_1468075791" r:id="rId144">
            <o:LockedField>false</o:LockedField>
          </o:OLEObject>
        </w:object>
      </w:r>
      <w:r>
        <w:rPr>
          <w:color w:val="auto"/>
          <w:szCs w:val="21"/>
          <w:highlight w:val="none"/>
        </w:rPr>
        <w:t>加权传递至包含</w:t>
      </w:r>
      <w:r>
        <w:rPr>
          <w:color w:val="auto"/>
          <w:position w:val="-6"/>
          <w:highlight w:val="none"/>
        </w:rPr>
        <w:object>
          <v:shape id="_x0000_i1092" o:spt="75" type="#_x0000_t75" style="height:11.15pt;width:10pt;" o:ole="t" filled="f" o:preferrelative="t" stroked="f" coordsize="21600,21600">
            <v:path/>
            <v:fill on="f" focussize="0,0"/>
            <v:stroke on="f" joinstyle="miter"/>
            <v:imagedata r:id="rId147" o:title=""/>
            <o:lock v:ext="edit" aspectratio="t"/>
            <w10:wrap type="none"/>
            <w10:anchorlock/>
          </v:shape>
          <o:OLEObject Type="Embed" ProgID="Equation.DSMT4" ShapeID="_x0000_i1092" DrawAspect="Content" ObjectID="_1468075792" r:id="rId146">
            <o:LockedField>false</o:LockedField>
          </o:OLEObject>
        </w:object>
      </w:r>
      <w:r>
        <w:rPr>
          <w:color w:val="auto"/>
          <w:szCs w:val="21"/>
          <w:highlight w:val="none"/>
        </w:rPr>
        <w:t>个神经元的输出层。最终的预测值</w:t>
      </w:r>
      <w:r>
        <w:rPr>
          <w:color w:val="auto"/>
          <w:position w:val="-12"/>
          <w:highlight w:val="none"/>
        </w:rPr>
        <w:object>
          <v:shape id="_x0000_i1093" o:spt="75" type="#_x0000_t75" style="height:18.5pt;width:12.7pt;" o:ole="t" filled="f" o:preferrelative="t" stroked="f" coordsize="21600,21600">
            <v:path/>
            <v:fill on="f" focussize="0,0"/>
            <v:stroke on="f" joinstyle="miter"/>
            <v:imagedata r:id="rId149" o:title=""/>
            <o:lock v:ext="edit" aspectratio="t"/>
            <w10:wrap type="none"/>
            <w10:anchorlock/>
          </v:shape>
          <o:OLEObject Type="Embed" ProgID="Equation.DSMT4" ShapeID="_x0000_i1093" DrawAspect="Content" ObjectID="_1468075793" r:id="rId148">
            <o:LockedField>false</o:LockedField>
          </o:OLEObject>
        </w:object>
      </w:r>
      <w:r>
        <w:rPr>
          <w:color w:val="auto"/>
          <w:szCs w:val="21"/>
          <w:highlight w:val="none"/>
        </w:rPr>
        <w:t>由线性传递函数</w:t>
      </w:r>
      <w:r>
        <w:rPr>
          <w:color w:val="auto"/>
          <w:position w:val="-10"/>
          <w:highlight w:val="none"/>
        </w:rPr>
        <w:object>
          <v:shape id="_x0000_i1094" o:spt="75" type="#_x0000_t75" style="height:16.15pt;width:21.95pt;" o:ole="t" filled="f" o:preferrelative="t" stroked="f" coordsize="21600,21600">
            <v:path/>
            <v:fill on="f" focussize="0,0"/>
            <v:stroke on="f" joinstyle="miter"/>
            <v:imagedata r:id="rId151" o:title=""/>
            <o:lock v:ext="edit" aspectratio="t"/>
            <w10:wrap type="none"/>
            <w10:anchorlock/>
          </v:shape>
          <o:OLEObject Type="Embed" ProgID="Equation.DSMT4" ShapeID="_x0000_i1094" DrawAspect="Content" ObjectID="_1468075794" r:id="rId150">
            <o:LockedField>false</o:LockedField>
          </o:OLEObject>
        </w:object>
      </w:r>
      <w:r>
        <w:rPr>
          <w:color w:val="auto"/>
          <w:szCs w:val="21"/>
          <w:highlight w:val="none"/>
        </w:rPr>
        <w:t>计算得出</w:t>
      </w:r>
    </w:p>
    <w:p w14:paraId="67260777">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095" o:spt="75" type="#_x0000_t75" style="height:19.65pt;width:102.4pt;" o:ole="t" filled="f" o:preferrelative="t" stroked="f" coordsize="21600,21600">
            <v:path/>
            <v:fill on="f" focussize="0,0"/>
            <v:stroke on="f" joinstyle="miter"/>
            <v:imagedata r:id="rId153" o:title=""/>
            <o:lock v:ext="edit" aspectratio="t"/>
            <w10:wrap type="none"/>
            <w10:anchorlock/>
          </v:shape>
          <o:OLEObject Type="Embed" ProgID="Equation.DSMT4" ShapeID="_x0000_i1095" DrawAspect="Content" ObjectID="_1468075795" r:id="rId15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(13)</w:instrText>
      </w:r>
      <w:r>
        <w:rPr>
          <w:color w:val="auto"/>
          <w:highlight w:val="none"/>
        </w:rPr>
        <w:fldChar w:fldCharType="end"/>
      </w:r>
    </w:p>
    <w:p w14:paraId="38F95C2A">
      <w:pPr>
        <w:adjustRightInd w:val="0"/>
        <w:snapToGrid w:val="0"/>
        <w:rPr>
          <w:color w:val="auto"/>
          <w:szCs w:val="21"/>
          <w:highlight w:val="none"/>
        </w:rPr>
      </w:pPr>
      <w:r>
        <w:rPr>
          <w:color w:val="auto"/>
          <w:szCs w:val="21"/>
          <w:highlight w:val="none"/>
        </w:rPr>
        <w:t>式中，</w:t>
      </w:r>
      <w:r>
        <w:rPr>
          <w:color w:val="auto"/>
          <w:position w:val="-6"/>
          <w:highlight w:val="none"/>
        </w:rPr>
        <w:object>
          <v:shape id="_x0000_i1096" o:spt="75" type="#_x0000_t75" style="height:16.95pt;width:19.65pt;" o:ole="t" filled="f" o:preferrelative="t" stroked="f" coordsize="21600,21600">
            <v:path/>
            <v:fill on="f" focussize="0,0"/>
            <v:stroke on="f" joinstyle="miter"/>
            <v:imagedata r:id="rId155" o:title=""/>
            <o:lock v:ext="edit" aspectratio="t"/>
            <w10:wrap type="none"/>
            <w10:anchorlock/>
          </v:shape>
          <o:OLEObject Type="Embed" ProgID="Equation.DSMT4" ShapeID="_x0000_i1096" DrawAspect="Content" ObjectID="_1468075796" r:id="rId154">
            <o:LockedField>false</o:LockedField>
          </o:OLEObject>
        </w:object>
      </w:r>
      <w:r>
        <w:rPr>
          <w:color w:val="auto"/>
          <w:szCs w:val="21"/>
          <w:highlight w:val="none"/>
        </w:rPr>
        <w:t>为输出层偏置向量。</w:t>
      </w:r>
    </w:p>
    <w:p w14:paraId="5151925F">
      <w:pPr>
        <w:adjustRightInd w:val="0"/>
        <w:snapToGrid w:val="0"/>
        <w:ind w:firstLine="420" w:firstLineChars="200"/>
        <w:rPr>
          <w:color w:val="auto"/>
          <w:szCs w:val="21"/>
          <w:highlight w:val="none"/>
        </w:rPr>
      </w:pPr>
      <w:r>
        <w:rPr>
          <w:color w:val="auto"/>
          <w:szCs w:val="21"/>
          <w:highlight w:val="none"/>
        </w:rPr>
        <w:t>网络的参数学习基于误差反向传播原理。在训练阶段，模型计算当前时刻的预测输出</w:t>
      </w:r>
      <w:r>
        <w:rPr>
          <w:color w:val="auto"/>
          <w:position w:val="-12"/>
          <w:highlight w:val="none"/>
        </w:rPr>
        <w:object>
          <v:shape id="_x0000_i1097" o:spt="75" type="#_x0000_t75" style="height:18.5pt;width:12.7pt;" o:ole="t" filled="f" o:preferrelative="t" stroked="f" coordsize="21600,21600">
            <v:path/>
            <v:fill on="f" focussize="0,0"/>
            <v:stroke on="f" joinstyle="miter"/>
            <v:imagedata r:id="rId157" o:title=""/>
            <o:lock v:ext="edit" aspectratio="t"/>
            <w10:wrap type="none"/>
            <w10:anchorlock/>
          </v:shape>
          <o:OLEObject Type="Embed" ProgID="Equation.DSMT4" ShapeID="_x0000_i1097" DrawAspect="Content" ObjectID="_1468075797" r:id="rId156">
            <o:LockedField>false</o:LockedField>
          </o:OLEObject>
        </w:object>
      </w:r>
      <w:r>
        <w:rPr>
          <w:color w:val="auto"/>
          <w:szCs w:val="21"/>
          <w:highlight w:val="none"/>
        </w:rPr>
        <w:t>与真实监测值</w:t>
      </w:r>
      <w:r>
        <w:rPr>
          <w:color w:val="auto"/>
          <w:position w:val="-12"/>
          <w:highlight w:val="none"/>
        </w:rPr>
        <w:object>
          <v:shape id="_x0000_i1098" o:spt="75" type="#_x0000_t75" style="height:18.5pt;width:11.95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r>
        <w:rPr>
          <w:color w:val="auto"/>
          <w:szCs w:val="21"/>
          <w:highlight w:val="none"/>
        </w:rPr>
        <w:t>之间的偏差</w:t>
      </w:r>
      <w:r>
        <w:rPr>
          <w:color w:val="auto"/>
          <w:position w:val="-12"/>
          <w:highlight w:val="none"/>
        </w:rPr>
        <w:object>
          <v:shape id="_x0000_i1099" o:spt="75" type="#_x0000_t75" style="height:18.5pt;width:11.15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p>
    <w:p w14:paraId="41691B8E">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00" o:spt="75" type="#_x0000_t75" style="height:18.5pt;width:54.3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(14)</w:instrText>
      </w:r>
      <w:r>
        <w:rPr>
          <w:color w:val="auto"/>
          <w:highlight w:val="none"/>
        </w:rPr>
        <w:fldChar w:fldCharType="end"/>
      </w:r>
    </w:p>
    <w:p w14:paraId="7852F6A4">
      <w:pPr>
        <w:adjustRightInd w:val="0"/>
        <w:snapToGrid w:val="0"/>
        <w:ind w:firstLine="420" w:firstLineChars="200"/>
        <w:rPr>
          <w:color w:val="auto"/>
          <w:szCs w:val="21"/>
          <w:highlight w:val="none"/>
        </w:rPr>
      </w:pPr>
      <w:r>
        <w:rPr>
          <w:color w:val="auto"/>
          <w:szCs w:val="21"/>
          <w:highlight w:val="none"/>
        </w:rPr>
        <w:t>误差信号</w:t>
      </w:r>
      <w:r>
        <w:rPr>
          <w:color w:val="auto"/>
          <w:position w:val="-12"/>
          <w:highlight w:val="none"/>
        </w:rPr>
        <w:object>
          <v:shape id="_x0000_i1101" o:spt="75" type="#_x0000_t75" style="height:18.5pt;width:11.15pt;" o:ole="t" filled="f" o:preferrelative="t" stroked="f" coordsize="21600,21600">
            <v:path/>
            <v:fill on="f" focussize="0,0"/>
            <v:stroke on="f" joinstyle="miter"/>
            <v:imagedata r:id="rId165" o:title=""/>
            <o:lock v:ext="edit" aspectratio="t"/>
            <w10:wrap type="none"/>
            <w10:anchorlock/>
          </v:shape>
          <o:OLEObject Type="Embed" ProgID="Equation.DSMT4" ShapeID="_x0000_i1101" DrawAspect="Content" ObjectID="_1468075801" r:id="rId164">
            <o:LockedField>false</o:LockedField>
          </o:OLEObject>
        </w:object>
      </w:r>
      <w:r>
        <w:rPr>
          <w:color w:val="auto"/>
          <w:szCs w:val="21"/>
          <w:highlight w:val="none"/>
        </w:rPr>
        <w:t>被逐层反向传播至隐含层和输入层。网络基于梯度下降原理，利用误差梯度对各层间的连接权重</w:t>
      </w:r>
      <w:r>
        <w:rPr>
          <w:color w:val="auto"/>
          <w:position w:val="-10"/>
          <w:highlight w:val="none"/>
        </w:rPr>
        <w:object>
          <v:shape id="_x0000_i1102" o:spt="75" type="#_x0000_t75" style="height:18.85pt;width:60.05pt;" o:ole="t" filled="f" o:preferrelative="t" stroked="f" coordsize="21600,21600">
            <v:path/>
            <v:fill on="f" focussize="0,0"/>
            <v:stroke on="f" joinstyle="miter"/>
            <v:imagedata r:id="rId167" o:title=""/>
            <o:lock v:ext="edit" aspectratio="t"/>
            <w10:wrap type="none"/>
            <w10:anchorlock/>
          </v:shape>
          <o:OLEObject Type="Embed" ProgID="Equation.DSMT4" ShapeID="_x0000_i1102" DrawAspect="Content" ObjectID="_1468075802" r:id="rId166">
            <o:LockedField>false</o:LockedField>
          </o:OLEObject>
        </w:object>
      </w:r>
      <w:r>
        <w:rPr>
          <w:color w:val="auto"/>
          <w:szCs w:val="21"/>
          <w:highlight w:val="none"/>
        </w:rPr>
        <w:t>和偏置参数进行迭代更新。</w:t>
      </w:r>
    </w:p>
    <w:p w14:paraId="21CCEC8A">
      <w:pPr>
        <w:adjustRightInd w:val="0"/>
        <w:snapToGrid w:val="0"/>
        <w:ind w:firstLine="420" w:firstLineChars="200"/>
        <w:rPr>
          <w:color w:val="auto"/>
          <w:szCs w:val="21"/>
          <w:highlight w:val="none"/>
        </w:rPr>
      </w:pPr>
      <w:r>
        <w:rPr>
          <w:color w:val="auto"/>
          <w:szCs w:val="21"/>
          <w:highlight w:val="none"/>
        </w:rPr>
        <w:t>本研究基于MATLAB神经网络工具箱搭建实验环境。具体的网络超参数设置如下：滑动窗口大小设定为10，隐含层节点数设定为5，输出层节点数设定为1，优化算法选用trainlm，初始学习率设定为0.01，最大迭代次数设定为200。</w:t>
      </w:r>
    </w:p>
    <w:p w14:paraId="4D9B2075">
      <w:pPr>
        <w:snapToGrid w:val="0"/>
        <w:rPr>
          <w:rFonts w:hint="eastAsia" w:ascii="楷体" w:hAnsi="楷体" w:eastAsia="楷体"/>
          <w:color w:val="auto"/>
          <w:highlight w:val="none"/>
        </w:rPr>
      </w:pPr>
      <w:r>
        <w:rPr>
          <w:rFonts w:ascii="楷体" w:hAnsi="楷体" w:eastAsia="楷体"/>
          <w:color w:val="auto"/>
          <w:highlight w:val="none"/>
        </w:rPr>
        <w:t>2.1.3</w:t>
      </w:r>
      <w:r>
        <w:rPr>
          <w:rFonts w:hint="eastAsia" w:ascii="楷体" w:hAnsi="楷体" w:eastAsia="楷体"/>
          <w:color w:val="auto"/>
          <w:highlight w:val="none"/>
        </w:rPr>
        <w:t xml:space="preserve"> </w:t>
      </w:r>
      <w:r>
        <w:rPr>
          <w:rFonts w:ascii="楷体" w:hAnsi="楷体" w:eastAsia="楷体"/>
          <w:color w:val="auto"/>
          <w:highlight w:val="none"/>
        </w:rPr>
        <w:t>COA-B</w:t>
      </w:r>
      <w:r>
        <w:rPr>
          <w:rFonts w:hint="eastAsia" w:ascii="楷体" w:hAnsi="楷体" w:eastAsia="楷体"/>
          <w:color w:val="auto"/>
          <w:highlight w:val="none"/>
        </w:rPr>
        <w:t>P</w:t>
      </w:r>
      <w:r>
        <w:rPr>
          <w:rFonts w:ascii="楷体" w:hAnsi="楷体" w:eastAsia="楷体"/>
          <w:color w:val="auto"/>
          <w:highlight w:val="none"/>
        </w:rPr>
        <w:t>耦合优化与</w:t>
      </w:r>
      <w:r>
        <w:rPr>
          <w:rFonts w:hint="eastAsia" w:ascii="楷体" w:hAnsi="楷体" w:eastAsia="楷体"/>
          <w:color w:val="auto"/>
          <w:highlight w:val="none"/>
        </w:rPr>
        <w:t>健康因子</w:t>
      </w:r>
      <w:r>
        <w:rPr>
          <w:rFonts w:ascii="楷体" w:hAnsi="楷体" w:eastAsia="楷体"/>
          <w:color w:val="auto"/>
          <w:highlight w:val="none"/>
        </w:rPr>
        <w:t>预测流程</w:t>
      </w:r>
    </w:p>
    <w:p w14:paraId="5338F66E">
      <w:pPr>
        <w:adjustRightInd w:val="0"/>
        <w:snapToGrid w:val="0"/>
        <w:ind w:firstLine="420" w:firstLineChars="200"/>
        <w:rPr>
          <w:color w:val="auto"/>
          <w:szCs w:val="21"/>
          <w:highlight w:val="none"/>
        </w:rPr>
      </w:pPr>
      <w:r>
        <w:rPr>
          <w:color w:val="auto"/>
          <w:szCs w:val="21"/>
          <w:highlight w:val="none"/>
        </w:rPr>
        <w:t>锂电池健康状态的老化轨迹受复杂电化学反应影响，呈现显著的非线性与时变特征，传统线性回归模型难以充分刻画。BP神经网络虽具有较强的非线性拟合能力，但其依赖梯度下降的训练过程易受初始参数影响，常收敛至局部最优解。为此本研究引入全局寻优能力较强的COA，对BP神经网络的初始权重与阈值进行优化，构建COA-BP混合预测模型，以提升电池健康状态预测的精度与稳定性。</w:t>
      </w:r>
    </w:p>
    <w:p w14:paraId="4B52B034">
      <w:pPr>
        <w:adjustRightInd w:val="0"/>
        <w:snapToGrid w:val="0"/>
        <w:ind w:firstLine="420" w:firstLineChars="200"/>
        <w:rPr>
          <w:color w:val="auto"/>
          <w:szCs w:val="21"/>
          <w:highlight w:val="none"/>
        </w:rPr>
      </w:pPr>
      <w:r>
        <w:rPr>
          <w:color w:val="auto"/>
          <w:szCs w:val="21"/>
          <w:highlight w:val="none"/>
        </w:rPr>
        <w:t>为充分利用</w:t>
      </w:r>
      <w:r>
        <w:rPr>
          <w:i/>
          <w:iCs/>
          <w:color w:val="auto"/>
          <w:szCs w:val="21"/>
          <w:highlight w:val="none"/>
        </w:rPr>
        <w:t>HI</w:t>
      </w:r>
      <w:r>
        <w:rPr>
          <w:color w:val="auto"/>
          <w:szCs w:val="21"/>
          <w:highlight w:val="none"/>
        </w:rPr>
        <w:t>序列中的信息，引入滑动窗口机制构建学习样本。设在监测时刻</w:t>
      </w:r>
      <w:r>
        <w:rPr>
          <w:color w:val="auto"/>
          <w:position w:val="-14"/>
          <w:highlight w:val="none"/>
        </w:rPr>
        <w:object>
          <v:shape id="_x0000_i1103" o:spt="75" type="#_x0000_t75" style="height:18.85pt;width:98.2pt;" o:ole="t" filled="f" o:preferrelative="t" stroked="f" coordsize="21600,21600">
            <v:path/>
            <v:fill on="f" focussize="0,0"/>
            <v:stroke on="f" joinstyle="miter"/>
            <v:imagedata r:id="rId169" o:title=""/>
            <o:lock v:ext="edit" aspectratio="t"/>
            <w10:wrap type="none"/>
            <w10:anchorlock/>
          </v:shape>
          <o:OLEObject Type="Embed" ProgID="Equation.DSMT4" ShapeID="_x0000_i1103" DrawAspect="Content" ObjectID="_1468075803" r:id="rId168">
            <o:LockedField>false</o:LockedField>
          </o:OLEObject>
        </w:object>
      </w:r>
      <w:r>
        <w:rPr>
          <w:color w:val="auto"/>
          <w:szCs w:val="21"/>
          <w:highlight w:val="none"/>
        </w:rPr>
        <w:t>处获得健康指标序列</w:t>
      </w:r>
      <w:r>
        <w:rPr>
          <w:color w:val="auto"/>
          <w:position w:val="-14"/>
          <w:highlight w:val="none"/>
        </w:rPr>
        <w:object>
          <v:shape id="_x0000_i1104" o:spt="75" type="#_x0000_t75" style="height:18.85pt;width:139.75pt;" o:ole="t" filled="f" o:preferrelative="t" stroked="f" coordsize="21600,21600">
            <v:path/>
            <v:fill on="f" focussize="0,0"/>
            <v:stroke on="f" joinstyle="miter"/>
            <v:imagedata r:id="rId171" o:title=""/>
            <o:lock v:ext="edit" aspectratio="t"/>
            <w10:wrap type="none"/>
            <w10:anchorlock/>
          </v:shape>
          <o:OLEObject Type="Embed" ProgID="Equation.DSMT4" ShapeID="_x0000_i1104" DrawAspect="Content" ObjectID="_1468075804" r:id="rId170">
            <o:LockedField>false</o:LockedField>
          </o:OLEObject>
        </w:object>
      </w:r>
      <w:r>
        <w:rPr>
          <w:i/>
          <w:color w:val="auto"/>
          <w:szCs w:val="21"/>
          <w:highlight w:val="none"/>
        </w:rPr>
        <w:t>，</w:t>
      </w:r>
      <w:r>
        <w:rPr>
          <w:color w:val="auto"/>
          <w:szCs w:val="21"/>
          <w:highlight w:val="none"/>
        </w:rPr>
        <w:t>选取长度为</w:t>
      </w:r>
      <w:r>
        <w:rPr>
          <w:color w:val="auto"/>
          <w:position w:val="-6"/>
          <w:highlight w:val="none"/>
        </w:rPr>
        <w:object>
          <v:shape id="_x0000_i1105" o:spt="75" type="#_x0000_t75" style="height:11.15pt;width:11.95pt;" o:ole="t" filled="f" o:preferrelative="t" stroked="f" coordsize="21600,21600">
            <v:path/>
            <v:fill on="f" focussize="0,0"/>
            <v:stroke on="f" joinstyle="miter"/>
            <v:imagedata r:id="rId173" o:title=""/>
            <o:lock v:ext="edit" aspectratio="t"/>
            <w10:wrap type="none"/>
            <w10:anchorlock/>
          </v:shape>
          <o:OLEObject Type="Embed" ProgID="Equation.DSMT4" ShapeID="_x0000_i1105" DrawAspect="Content" ObjectID="_1468075805" r:id="rId172">
            <o:LockedField>false</o:LockedField>
          </o:OLEObject>
        </w:object>
      </w:r>
      <w:r>
        <w:rPr>
          <w:color w:val="auto"/>
          <w:szCs w:val="21"/>
          <w:highlight w:val="none"/>
        </w:rPr>
        <w:t>的滑动窗口，将连续</w:t>
      </w:r>
      <w:r>
        <w:rPr>
          <w:color w:val="auto"/>
          <w:position w:val="-6"/>
          <w:highlight w:val="none"/>
        </w:rPr>
        <w:object>
          <v:shape id="_x0000_i1106" o:spt="75" type="#_x0000_t75" style="height:11.15pt;width:11.95pt;" o:ole="t" filled="f" o:preferrelative="t" stroked="f" coordsize="21600,21600">
            <v:path/>
            <v:fill on="f" focussize="0,0"/>
            <v:stroke on="f" joinstyle="miter"/>
            <v:imagedata r:id="rId175" o:title=""/>
            <o:lock v:ext="edit" aspectratio="t"/>
            <w10:wrap type="none"/>
            <w10:anchorlock/>
          </v:shape>
          <o:OLEObject Type="Embed" ProgID="Equation.DSMT4" ShapeID="_x0000_i1106" DrawAspect="Content" ObjectID="_1468075806" r:id="rId174">
            <o:LockedField>false</o:LockedField>
          </o:OLEObject>
        </w:object>
      </w:r>
      <w:r>
        <w:rPr>
          <w:color w:val="auto"/>
          <w:szCs w:val="21"/>
          <w:highlight w:val="none"/>
        </w:rPr>
        <w:t>个历史</w:t>
      </w:r>
      <w:r>
        <w:rPr>
          <w:i/>
          <w:iCs/>
          <w:color w:val="auto"/>
          <w:szCs w:val="21"/>
          <w:highlight w:val="none"/>
        </w:rPr>
        <w:t>HI</w:t>
      </w:r>
      <w:r>
        <w:rPr>
          <w:color w:val="auto"/>
          <w:szCs w:val="21"/>
          <w:highlight w:val="none"/>
        </w:rPr>
        <w:t>值作为网络输入，以其下一时刻的</w:t>
      </w:r>
      <w:r>
        <w:rPr>
          <w:i/>
          <w:iCs/>
          <w:color w:val="auto"/>
          <w:szCs w:val="21"/>
          <w:highlight w:val="none"/>
        </w:rPr>
        <w:t>HI</w:t>
      </w:r>
      <w:r>
        <w:rPr>
          <w:color w:val="auto"/>
          <w:szCs w:val="21"/>
          <w:highlight w:val="none"/>
        </w:rPr>
        <w:t>值作为网络输出，从而构建如式</w:t>
      </w:r>
      <w:r>
        <w:rPr>
          <w:iCs/>
          <w:color w:val="auto"/>
          <w:szCs w:val="21"/>
          <w:highlight w:val="none"/>
        </w:rPr>
        <w:fldChar w:fldCharType="begin"/>
      </w:r>
      <w:r>
        <w:rPr>
          <w:iCs/>
          <w:color w:val="auto"/>
          <w:szCs w:val="21"/>
          <w:highlight w:val="none"/>
        </w:rPr>
        <w:instrText xml:space="preserve"> GOTOBUTTON ZEqnNum960253  \* MERGEFORMAT (15)</w:instrText>
      </w:r>
      <w:r>
        <w:rPr>
          <w:iCs/>
          <w:color w:val="auto"/>
          <w:szCs w:val="21"/>
          <w:highlight w:val="none"/>
        </w:rPr>
        <w:fldChar w:fldCharType="end"/>
      </w:r>
      <w:r>
        <w:rPr>
          <w:iCs/>
          <w:color w:val="auto"/>
          <w:szCs w:val="21"/>
          <w:highlight w:val="none"/>
        </w:rPr>
        <w:t>的</w:t>
      </w:r>
      <w:r>
        <w:rPr>
          <w:color w:val="auto"/>
          <w:szCs w:val="21"/>
          <w:highlight w:val="none"/>
        </w:rPr>
        <w:t>非线性映射关系。通过该方式，一维</w:t>
      </w:r>
      <w:r>
        <w:rPr>
          <w:i/>
          <w:iCs/>
          <w:color w:val="auto"/>
          <w:szCs w:val="21"/>
          <w:highlight w:val="none"/>
        </w:rPr>
        <w:t>HI</w:t>
      </w:r>
      <w:r>
        <w:rPr>
          <w:color w:val="auto"/>
          <w:szCs w:val="21"/>
          <w:highlight w:val="none"/>
        </w:rPr>
        <w:t>序列预测问题被转化为监督学习问题</w:t>
      </w:r>
      <w:r>
        <w:rPr>
          <w:rFonts w:hint="eastAsia"/>
          <w:color w:val="auto"/>
          <w:szCs w:val="21"/>
          <w:highlight w:val="none"/>
        </w:rPr>
        <w:t>，具体为</w:t>
      </w:r>
    </w:p>
    <w:p w14:paraId="3E3E975A">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07" o:spt="75" type="#_x0000_t75" style="height:21.95pt;width:259.1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bookmarkStart w:id="4" w:name="ZEqnNum960253"/>
      <w:r>
        <w:rPr>
          <w:color w:val="auto"/>
          <w:highlight w:val="none"/>
        </w:rPr>
        <w:instrText xml:space="preserve">(15)</w:instrText>
      </w:r>
      <w:bookmarkEnd w:id="4"/>
      <w:r>
        <w:rPr>
          <w:color w:val="auto"/>
          <w:highlight w:val="none"/>
        </w:rPr>
        <w:fldChar w:fldCharType="end"/>
      </w:r>
      <w:r>
        <w:rPr>
          <w:color w:val="auto"/>
          <w:highlight w:val="none"/>
        </w:rPr>
        <w:tab/>
      </w:r>
    </w:p>
    <w:p w14:paraId="02413715">
      <w:pPr>
        <w:adjustRightInd w:val="0"/>
        <w:snapToGrid w:val="0"/>
        <w:ind w:firstLine="420" w:firstLineChars="200"/>
        <w:rPr>
          <w:color w:val="auto"/>
          <w:szCs w:val="21"/>
          <w:highlight w:val="none"/>
        </w:rPr>
      </w:pPr>
      <w:r>
        <w:rPr>
          <w:color w:val="auto"/>
          <w:szCs w:val="21"/>
          <w:highlight w:val="none"/>
        </w:rPr>
        <w:t>在COA-BP模型中，COA的核心任务是寻找一组最优的初始权重和阈值。COA中的每一只小龙虾的位置向量代表BP神经网络的一组潜在网络参数。则小龙虾编码维度</w:t>
      </w:r>
      <w:r>
        <w:rPr>
          <w:color w:val="auto"/>
          <w:position w:val="-4"/>
          <w:highlight w:val="none"/>
        </w:rPr>
        <w:object>
          <v:shape id="_x0000_i1108" o:spt="75" type="#_x0000_t75" style="height:12.7pt;width:12.7pt;" o:ole="t" filled="f" o:preferrelative="t" stroked="f" coordsize="21600,21600">
            <v:path/>
            <v:fill on="f" focussize="0,0"/>
            <v:stroke on="f" joinstyle="miter"/>
            <v:imagedata r:id="rId179" o:title=""/>
            <o:lock v:ext="edit" aspectratio="t"/>
            <w10:wrap type="none"/>
            <w10:anchorlock/>
          </v:shape>
          <o:OLEObject Type="Embed" ProgID="Equation.DSMT4" ShapeID="_x0000_i1108" DrawAspect="Content" ObjectID="_1468075808" r:id="rId178">
            <o:LockedField>false</o:LockedField>
          </o:OLEObject>
        </w:object>
      </w:r>
      <w:r>
        <w:rPr>
          <w:color w:val="auto"/>
          <w:szCs w:val="21"/>
          <w:highlight w:val="none"/>
        </w:rPr>
        <w:t>计算</w:t>
      </w:r>
      <w:r>
        <w:rPr>
          <w:rFonts w:hint="eastAsia"/>
          <w:color w:val="auto"/>
          <w:szCs w:val="21"/>
          <w:highlight w:val="none"/>
        </w:rPr>
        <w:t>为</w:t>
      </w:r>
    </w:p>
    <w:p w14:paraId="1AEADCE0">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09" o:spt="75" type="#_x0000_t75" style="height:18.5pt;width:180.6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(16)</w:instrText>
      </w:r>
      <w:r>
        <w:rPr>
          <w:color w:val="auto"/>
          <w:highlight w:val="none"/>
        </w:rPr>
        <w:fldChar w:fldCharType="end"/>
      </w:r>
    </w:p>
    <w:p w14:paraId="3F28325A">
      <w:pPr>
        <w:adjustRightInd w:val="0"/>
        <w:snapToGrid w:val="0"/>
        <w:rPr>
          <w:color w:val="auto"/>
          <w:szCs w:val="21"/>
          <w:highlight w:val="none"/>
        </w:rPr>
      </w:pPr>
      <w:r>
        <w:rPr>
          <w:color w:val="auto"/>
          <w:szCs w:val="21"/>
          <w:highlight w:val="none"/>
        </w:rPr>
        <w:t>式中，</w:t>
      </w:r>
      <w:r>
        <w:rPr>
          <w:color w:val="auto"/>
          <w:position w:val="-12"/>
          <w:highlight w:val="none"/>
        </w:rPr>
        <w:object>
          <v:shape id="_x0000_i1110" o:spt="75" type="#_x0000_t75" style="height:18.5pt;width:16.15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color w:val="auto"/>
          <w:szCs w:val="21"/>
          <w:highlight w:val="none"/>
        </w:rPr>
        <w:t>表示BP神经网络的输入层节点数</w:t>
      </w:r>
      <w:r>
        <w:rPr>
          <w:rFonts w:hint="eastAsia"/>
          <w:color w:val="auto"/>
          <w:szCs w:val="21"/>
          <w:highlight w:val="none"/>
        </w:rPr>
        <w:t>；</w:t>
      </w:r>
      <w:r>
        <w:rPr>
          <w:color w:val="auto"/>
          <w:position w:val="-12"/>
          <w:highlight w:val="none"/>
        </w:rPr>
        <w:object>
          <v:shape id="_x0000_i1111" o:spt="75" type="#_x0000_t75" style="height:18.5pt;width:21.2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color w:val="auto"/>
          <w:szCs w:val="21"/>
          <w:highlight w:val="none"/>
        </w:rPr>
        <w:t>表示BP神经网络的隐藏层节点数</w:t>
      </w:r>
      <w:r>
        <w:rPr>
          <w:rFonts w:hint="eastAsia"/>
          <w:color w:val="auto"/>
          <w:szCs w:val="21"/>
          <w:highlight w:val="none"/>
        </w:rPr>
        <w:t>；</w:t>
      </w:r>
      <w:r>
        <w:rPr>
          <w:color w:val="auto"/>
          <w:position w:val="-12"/>
          <w:highlight w:val="none"/>
        </w:rPr>
        <w:object>
          <v:shape id="_x0000_i1112" o:spt="75" type="#_x0000_t75" style="height:18.5pt;width:21.2pt;" o:ole="t" filled="f" o:preferrelative="t" stroked="f" coordsize="21600,21600">
            <v:path/>
            <v:fill on="f" focussize="0,0"/>
            <v:stroke on="f" joinstyle="miter"/>
            <v:imagedata r:id="rId187" o:title=""/>
            <o:lock v:ext="edit" aspectratio="t"/>
            <w10:wrap type="none"/>
            <w10:anchorlock/>
          </v:shape>
          <o:OLEObject Type="Embed" ProgID="Equation.DSMT4" ShapeID="_x0000_i1112" DrawAspect="Content" ObjectID="_1468075812" r:id="rId186">
            <o:LockedField>false</o:LockedField>
          </o:OLEObject>
        </w:object>
      </w:r>
      <w:r>
        <w:rPr>
          <w:color w:val="auto"/>
          <w:szCs w:val="21"/>
          <w:highlight w:val="none"/>
        </w:rPr>
        <w:t>表示BP神经网络的输出层节点数。</w:t>
      </w:r>
    </w:p>
    <w:p w14:paraId="0420814A">
      <w:pPr>
        <w:adjustRightInd w:val="0"/>
        <w:snapToGrid w:val="0"/>
        <w:ind w:firstLine="420" w:firstLineChars="200"/>
        <w:rPr>
          <w:color w:val="auto"/>
          <w:szCs w:val="21"/>
          <w:highlight w:val="none"/>
        </w:rPr>
      </w:pPr>
      <w:r>
        <w:rPr>
          <w:color w:val="auto"/>
          <w:szCs w:val="21"/>
          <w:highlight w:val="none"/>
        </w:rPr>
        <w:t>选取训练集上的均方误差（Mean Square Error, MSE）作为适应度函数</w:t>
      </w:r>
      <w:r>
        <w:rPr>
          <w:color w:val="auto"/>
          <w:position w:val="-6"/>
          <w:highlight w:val="none"/>
        </w:rPr>
        <w:object>
          <v:shape id="_x0000_i1113" o:spt="75" type="#_x0000_t75" style="height:13.85pt;width:18.85pt;" o:ole="t" filled="f" o:preferrelative="t" stroked="f" coordsize="21600,21600">
            <v:path/>
            <v:fill on="f" focussize="0,0"/>
            <v:stroke on="f" joinstyle="miter"/>
            <v:imagedata r:id="rId189" o:title=""/>
            <o:lock v:ext="edit" aspectratio="t"/>
            <w10:wrap type="none"/>
            <w10:anchorlock/>
          </v:shape>
          <o:OLEObject Type="Embed" ProgID="Equation.DSMT4" ShapeID="_x0000_i1113" DrawAspect="Content" ObjectID="_1468075813" r:id="rId188">
            <o:LockedField>false</o:LockedField>
          </o:OLEObject>
        </w:object>
      </w:r>
      <w:r>
        <w:rPr>
          <w:color w:val="auto"/>
          <w:szCs w:val="21"/>
          <w:highlight w:val="none"/>
        </w:rPr>
        <w:t>。对于第</w:t>
      </w:r>
      <w:r>
        <w:rPr>
          <w:color w:val="auto"/>
          <w:position w:val="-6"/>
          <w:highlight w:val="none"/>
        </w:rPr>
        <w:object>
          <v:shape id="_x0000_i1114" o:spt="75" type="#_x0000_t75" style="height:12.7pt;width:6.95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4" r:id="rId190">
            <o:LockedField>false</o:LockedField>
          </o:OLEObject>
        </w:object>
      </w:r>
      <w:r>
        <w:rPr>
          <w:color w:val="auto"/>
          <w:szCs w:val="21"/>
          <w:highlight w:val="none"/>
        </w:rPr>
        <w:t>只小龙虾，将其位置向量解码并赋值给BP神经网络，计算</w:t>
      </w:r>
      <w:r>
        <w:rPr>
          <w:rFonts w:hint="eastAsia"/>
          <w:color w:val="auto"/>
          <w:szCs w:val="21"/>
          <w:highlight w:val="none"/>
        </w:rPr>
        <w:t>公式为</w:t>
      </w:r>
    </w:p>
    <w:p w14:paraId="6E0C9825">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15" o:spt="75" type="#_x0000_t75" style="height:36.2pt;width:102.4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5" r:id="rId19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(17)</w:instrText>
      </w:r>
      <w:r>
        <w:rPr>
          <w:color w:val="auto"/>
          <w:highlight w:val="none"/>
        </w:rPr>
        <w:fldChar w:fldCharType="end"/>
      </w:r>
    </w:p>
    <w:p w14:paraId="7435C058">
      <w:pPr>
        <w:adjustRightInd w:val="0"/>
        <w:snapToGrid w:val="0"/>
        <w:rPr>
          <w:color w:val="auto"/>
          <w:szCs w:val="21"/>
          <w:highlight w:val="none"/>
        </w:rPr>
      </w:pPr>
      <w:r>
        <w:rPr>
          <w:color w:val="auto"/>
          <w:szCs w:val="21"/>
          <w:highlight w:val="none"/>
        </w:rPr>
        <w:t>式中，</w:t>
      </w:r>
      <w:r>
        <w:rPr>
          <w:color w:val="auto"/>
          <w:position w:val="-6"/>
          <w:highlight w:val="none"/>
        </w:rPr>
        <w:object>
          <v:shape id="_x0000_i1116" o:spt="75" type="#_x0000_t75" style="height:13.85pt;width:13.85pt;" o:ole="t" filled="f" o:preferrelative="t" stroked="f" coordsize="21600,21600">
            <v:path/>
            <v:fill on="f" focussize="0,0"/>
            <v:stroke on="f" joinstyle="miter"/>
            <v:imagedata r:id="rId195" o:title=""/>
            <o:lock v:ext="edit" aspectratio="t"/>
            <w10:wrap type="none"/>
            <w10:anchorlock/>
          </v:shape>
          <o:OLEObject Type="Embed" ProgID="Equation.DSMT4" ShapeID="_x0000_i1116" DrawAspect="Content" ObjectID="_1468075816" r:id="rId194">
            <o:LockedField>false</o:LockedField>
          </o:OLEObject>
        </w:object>
      </w:r>
      <w:r>
        <w:rPr>
          <w:color w:val="auto"/>
          <w:szCs w:val="21"/>
          <w:highlight w:val="none"/>
        </w:rPr>
        <w:t>为训练样本数</w:t>
      </w:r>
      <w:r>
        <w:rPr>
          <w:rFonts w:hint="eastAsia"/>
          <w:color w:val="auto"/>
          <w:szCs w:val="21"/>
          <w:highlight w:val="none"/>
        </w:rPr>
        <w:t>；</w:t>
      </w:r>
      <w:r>
        <w:rPr>
          <w:color w:val="auto"/>
          <w:position w:val="-12"/>
          <w:highlight w:val="none"/>
        </w:rPr>
        <w:object>
          <v:shape id="_x0000_i1117" o:spt="75" type="#_x0000_t75" style="height:18.5pt;width:14.65pt;" o:ole="t" filled="f" o:preferrelative="t" stroked="f" coordsize="21600,21600">
            <v:path/>
            <v:fill on="f" focussize="0,0"/>
            <v:stroke on="f" joinstyle="miter"/>
            <v:imagedata r:id="rId197" o:title=""/>
            <o:lock v:ext="edit" aspectratio="t"/>
            <w10:wrap type="none"/>
            <w10:anchorlock/>
          </v:shape>
          <o:OLEObject Type="Embed" ProgID="Equation.DSMT4" ShapeID="_x0000_i1117" DrawAspect="Content" ObjectID="_1468075817" r:id="rId196">
            <o:LockedField>false</o:LockedField>
          </o:OLEObject>
        </w:object>
      </w:r>
      <w:r>
        <w:rPr>
          <w:color w:val="auto"/>
          <w:szCs w:val="21"/>
          <w:highlight w:val="none"/>
        </w:rPr>
        <w:t>和</w:t>
      </w:r>
      <w:r>
        <w:rPr>
          <w:color w:val="auto"/>
          <w:position w:val="-12"/>
          <w:highlight w:val="none"/>
        </w:rPr>
        <w:object>
          <v:shape id="_x0000_i1118" o:spt="75" type="#_x0000_t75" style="height:18.5pt;width:14.65pt;" o:ole="t" filled="f" o:preferrelative="t" stroked="f" coordsize="21600,21600">
            <v:path/>
            <v:fill on="f" focussize="0,0"/>
            <v:stroke on="f" joinstyle="miter"/>
            <v:imagedata r:id="rId199" o:title=""/>
            <o:lock v:ext="edit" aspectratio="t"/>
            <w10:wrap type="none"/>
            <w10:anchorlock/>
          </v:shape>
          <o:OLEObject Type="Embed" ProgID="Equation.DSMT4" ShapeID="_x0000_i1118" DrawAspect="Content" ObjectID="_1468075818" r:id="rId198">
            <o:LockedField>false</o:LockedField>
          </o:OLEObject>
        </w:object>
      </w:r>
      <w:r>
        <w:rPr>
          <w:color w:val="auto"/>
          <w:szCs w:val="21"/>
          <w:highlight w:val="none"/>
        </w:rPr>
        <w:t>分别为真实值和预测值。适应度值越小，表明该组参数对应的网络预测误差越低。</w:t>
      </w:r>
    </w:p>
    <w:p w14:paraId="4D20E861">
      <w:pPr>
        <w:adjustRightInd w:val="0"/>
        <w:snapToGrid w:val="0"/>
        <w:ind w:firstLine="420" w:firstLineChars="200"/>
        <w:rPr>
          <w:color w:val="auto"/>
          <w:szCs w:val="21"/>
          <w:highlight w:val="none"/>
        </w:rPr>
      </w:pPr>
      <w:r>
        <w:rPr>
          <w:color w:val="auto"/>
          <w:szCs w:val="21"/>
          <w:highlight w:val="none"/>
        </w:rPr>
        <w:t>COA-BP模型的整体流程如图5所示。基于该方法的滑动窗口法无需预先假设</w:t>
      </w:r>
      <w:r>
        <w:rPr>
          <w:i/>
          <w:iCs/>
          <w:color w:val="auto"/>
          <w:szCs w:val="21"/>
          <w:highlight w:val="none"/>
        </w:rPr>
        <w:t>HI</w:t>
      </w:r>
      <w:r>
        <w:rPr>
          <w:color w:val="auto"/>
          <w:szCs w:val="21"/>
          <w:highlight w:val="none"/>
        </w:rPr>
        <w:t>的具体老化形式，能有效捕捉电池老化过程中由工况变化、老化机理耦合等因素引起的非线性特征。且避免了传统的BP神经网络在梯度下降过程中可能受到初始权重的影响，难以找到全局最优解的问题，同时COA优化后，可以更灵活地调整搜索方向，因此，该方法适用于对</w:t>
      </w:r>
      <w:r>
        <w:rPr>
          <w:i/>
          <w:iCs/>
          <w:color w:val="auto"/>
          <w:szCs w:val="21"/>
          <w:highlight w:val="none"/>
        </w:rPr>
        <w:t>HI</w:t>
      </w:r>
      <w:r>
        <w:rPr>
          <w:color w:val="auto"/>
          <w:szCs w:val="21"/>
          <w:highlight w:val="none"/>
        </w:rPr>
        <w:t>的预测，并可为后续基于Wiener过程的寿命预测提供可靠的先验老化轨迹。</w:t>
      </w:r>
    </w:p>
    <w:p w14:paraId="027FA72F">
      <w:pPr>
        <w:adjustRightInd w:val="0"/>
        <w:snapToGrid w:val="0"/>
        <w:ind w:firstLine="420" w:firstLineChars="200"/>
        <w:rPr>
          <w:color w:val="auto"/>
          <w:szCs w:val="21"/>
          <w:highlight w:val="none"/>
        </w:rPr>
      </w:pPr>
      <w:r>
        <w:rPr>
          <w:color w:val="auto"/>
          <w:szCs w:val="21"/>
          <w:highlight w:val="none"/>
        </w:rPr>
        <w:t>值得注意的是，针对锂离子电池</w:t>
      </w:r>
      <w:r>
        <w:rPr>
          <w:i/>
          <w:color w:val="auto"/>
          <w:szCs w:val="21"/>
          <w:highlight w:val="none"/>
        </w:rPr>
        <w:t>HI</w:t>
      </w:r>
      <w:r>
        <w:rPr>
          <w:color w:val="auto"/>
          <w:szCs w:val="21"/>
          <w:highlight w:val="none"/>
        </w:rPr>
        <w:t>中普遍存在的容量再生及噪声干扰，COA算法相较于其他同类的元启发式优化算法展现出了更强的适应性。在优化BP神经网络权重的过程中，例如蜣螂优化算法（</w:t>
      </w:r>
      <w:r>
        <w:rPr>
          <w:color w:val="auto"/>
          <w:highlight w:val="none"/>
        </w:rPr>
        <w:fldChar w:fldCharType="begin"/>
      </w:r>
      <w:r>
        <w:rPr>
          <w:color w:val="auto"/>
          <w:highlight w:val="none"/>
        </w:rPr>
        <w:instrText xml:space="preserve"> HYPERLINK "https://zhida.zhihu.com/search?content_id=249187519&amp;content_type=Article&amp;match_order=1&amp;q=Dung+beetle+optimizer&amp;zd_token=eyJhbGciOiJIUzI1NiIsInR5cCI6IkpXVCJ9.eyJpc3MiOiJ6aGlkYV9zZXJ2ZXIiLCJleHAiOjE3NzA5NzQyNTMsInEiOiJEdW5nIGJlZXRsZSBvcHRpbWl6ZXIiLCJ6aGlkYV9zb3VyY2UiOiJlbnRpdHkiLCJjb250ZW50X2lkIjoyNDkxODc1MTksImNvbnRlbnRfdHlwZSI6IkFydGljbGUiLCJtYXRjaF9vcmRlciI6MSwiemRfdG9rZW4iOm51bGx9.2drG82xeWGZM3kG-I_x-wSURYUXe-y1Yr_lTgrba6zQ&amp;zhida_source=entity" \t "_blank" </w:instrText>
      </w:r>
      <w:r>
        <w:rPr>
          <w:color w:val="auto"/>
          <w:highlight w:val="none"/>
        </w:rPr>
        <w:fldChar w:fldCharType="separate"/>
      </w:r>
      <w:r>
        <w:rPr>
          <w:rStyle w:val="16"/>
          <w:color w:val="auto"/>
          <w:szCs w:val="21"/>
          <w:highlight w:val="none"/>
        </w:rPr>
        <w:t xml:space="preserve">Dung </w:t>
      </w:r>
      <w:r>
        <w:rPr>
          <w:rStyle w:val="16"/>
          <w:rFonts w:hint="eastAsia"/>
          <w:color w:val="auto"/>
          <w:szCs w:val="21"/>
          <w:highlight w:val="none"/>
        </w:rPr>
        <w:t>B</w:t>
      </w:r>
      <w:r>
        <w:rPr>
          <w:rStyle w:val="16"/>
          <w:color w:val="auto"/>
          <w:szCs w:val="21"/>
          <w:highlight w:val="none"/>
        </w:rPr>
        <w:t xml:space="preserve">eetle </w:t>
      </w:r>
      <w:r>
        <w:rPr>
          <w:rStyle w:val="16"/>
          <w:rFonts w:hint="eastAsia"/>
          <w:color w:val="auto"/>
          <w:szCs w:val="21"/>
          <w:highlight w:val="none"/>
        </w:rPr>
        <w:t>O</w:t>
      </w:r>
      <w:r>
        <w:rPr>
          <w:rStyle w:val="16"/>
          <w:color w:val="auto"/>
          <w:szCs w:val="21"/>
          <w:highlight w:val="none"/>
        </w:rPr>
        <w:t>ptimizer</w:t>
      </w:r>
      <w:r>
        <w:rPr>
          <w:rStyle w:val="16"/>
          <w:color w:val="auto"/>
          <w:szCs w:val="21"/>
          <w:highlight w:val="none"/>
        </w:rPr>
        <w:fldChar w:fldCharType="end"/>
      </w:r>
      <w:r>
        <w:rPr>
          <w:color w:val="auto"/>
          <w:szCs w:val="21"/>
          <w:highlight w:val="none"/>
        </w:rPr>
        <w:t>, DBO）的滚球机制虽然具备一定的全局搜索能力，但在面对由</w:t>
      </w:r>
      <w:r>
        <w:rPr>
          <w:i/>
          <w:color w:val="auto"/>
          <w:szCs w:val="21"/>
          <w:highlight w:val="none"/>
        </w:rPr>
        <w:t>HI</w:t>
      </w:r>
      <w:r>
        <w:rPr>
          <w:color w:val="auto"/>
          <w:szCs w:val="21"/>
          <w:highlight w:val="none"/>
        </w:rPr>
        <w:t>波动形成的复杂多峰误差曲面时，往往因局部开发力度不足而陷入早熟收敛。相比之下，COA算法通过避暑-竞争双重机制构建了更具鲁棒性的寻优策略：其避暑阶段用大跨度的随机游走帮助种群有效跳出由容量波动造成的局部伪极值陷阱；而竞争阶段则通过模拟高强度的洞穴争夺行为，迫使个体在最优解邻域内进行深度挖掘。这种机制提升了BP神经网络对电池老化轨迹中非线性特征的捕捉精度。</w:t>
      </w:r>
    </w:p>
    <w:p w14:paraId="763D76A9">
      <w:pPr>
        <w:adjustRightInd w:val="0"/>
        <w:snapToGrid w:val="0"/>
        <w:jc w:val="center"/>
        <w:rPr>
          <w:color w:val="auto"/>
          <w:szCs w:val="21"/>
          <w:highlight w:val="none"/>
        </w:rPr>
      </w:pPr>
      <w:r>
        <w:rPr>
          <w:color w:val="auto"/>
          <w:szCs w:val="21"/>
          <w:highlight w:val="none"/>
        </w:rPr>
        <w:drawing>
          <wp:inline distT="0" distB="0" distL="0" distR="0">
            <wp:extent cx="4521200" cy="2672080"/>
            <wp:effectExtent l="0" t="0" r="0" b="0"/>
            <wp:docPr id="9286309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30906" name="图片 7"/>
                    <pic:cNvPicPr>
                      <a:picLocks noChangeAspect="1"/>
                    </pic:cNvPicPr>
                  </pic:nvPicPr>
                  <pic:blipFill>
                    <a:blip r:embed="rId200">
                      <a:extLst>
                        <a:ext uri="{BEBA8EAE-BF5A-486C-A8C5-ECC9F3942E4B}">
                          <a14:imgProps xmlns:a14="http://schemas.microsoft.com/office/drawing/2010/main">
                            <a14:imgLayer r:embed="rId201">
                              <a14:imgEffect>
                                <a14:brightnessContrast contrast="20000"/>
                              </a14:imgEffect>
                            </a14:imgLayer>
                          </a14:imgProps>
                        </a:ext>
                      </a:extLst>
                    </a:blip>
                    <a:srcRect l="802" b="192"/>
                    <a:stretch>
                      <a:fillRect/>
                    </a:stretch>
                  </pic:blipFill>
                  <pic:spPr>
                    <a:xfrm>
                      <a:off x="0" y="0"/>
                      <a:ext cx="4548819" cy="2688415"/>
                    </a:xfrm>
                    <a:prstGeom prst="rect">
                      <a:avLst/>
                    </a:prstGeom>
                    <a:ln>
                      <a:noFill/>
                    </a:ln>
                  </pic:spPr>
                </pic:pic>
              </a:graphicData>
            </a:graphic>
          </wp:inline>
        </w:drawing>
      </w:r>
    </w:p>
    <w:p w14:paraId="2EFE2144">
      <w:pPr>
        <w:adjustRightInd w:val="0"/>
        <w:snapToGrid w:val="0"/>
        <w:jc w:val="center"/>
        <w:rPr>
          <w:color w:val="auto"/>
          <w:sz w:val="18"/>
          <w:szCs w:val="18"/>
          <w:highlight w:val="none"/>
        </w:rPr>
      </w:pPr>
      <w:r>
        <w:rPr>
          <w:color w:val="auto"/>
          <w:sz w:val="18"/>
          <w:szCs w:val="18"/>
          <w:highlight w:val="none"/>
        </w:rPr>
        <w:t>图5  基于COA-BP</w:t>
      </w:r>
      <w:r>
        <w:rPr>
          <w:color w:val="auto"/>
          <w:szCs w:val="21"/>
          <w:highlight w:val="none"/>
        </w:rPr>
        <w:t>神经网络</w:t>
      </w:r>
      <w:r>
        <w:rPr>
          <w:color w:val="auto"/>
          <w:sz w:val="18"/>
          <w:szCs w:val="18"/>
          <w:highlight w:val="none"/>
        </w:rPr>
        <w:t>的</w:t>
      </w:r>
      <w:r>
        <w:rPr>
          <w:i/>
          <w:color w:val="auto"/>
          <w:sz w:val="18"/>
          <w:szCs w:val="18"/>
          <w:highlight w:val="none"/>
        </w:rPr>
        <w:t>HI</w:t>
      </w:r>
      <w:r>
        <w:rPr>
          <w:color w:val="auto"/>
          <w:sz w:val="18"/>
          <w:szCs w:val="18"/>
          <w:highlight w:val="none"/>
        </w:rPr>
        <w:t>预测算法流程</w:t>
      </w:r>
    </w:p>
    <w:p w14:paraId="664EFF73">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5  Flowchart of </w:t>
      </w:r>
      <w:r>
        <w:rPr>
          <w:i/>
          <w:color w:val="auto"/>
          <w:sz w:val="18"/>
          <w:szCs w:val="18"/>
          <w:highlight w:val="none"/>
        </w:rPr>
        <w:t>HI</w:t>
      </w:r>
      <w:r>
        <w:rPr>
          <w:color w:val="auto"/>
          <w:sz w:val="18"/>
          <w:szCs w:val="18"/>
          <w:highlight w:val="none"/>
        </w:rPr>
        <w:t xml:space="preserve"> prediction algorithm based on COA-BP neural network</w:t>
      </w:r>
    </w:p>
    <w:p w14:paraId="7FAABF22">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2.2 基于Wiener过程的RUL预测</w:t>
      </w:r>
    </w:p>
    <w:p w14:paraId="54736BD1">
      <w:pPr>
        <w:adjustRightInd w:val="0"/>
        <w:snapToGrid w:val="0"/>
        <w:ind w:firstLine="420" w:firstLineChars="200"/>
        <w:rPr>
          <w:color w:val="auto"/>
          <w:szCs w:val="21"/>
          <w:highlight w:val="none"/>
        </w:rPr>
      </w:pPr>
      <w:r>
        <w:rPr>
          <w:color w:val="auto"/>
          <w:szCs w:val="21"/>
          <w:highlight w:val="none"/>
        </w:rPr>
        <w:t>Wiener过程是一类典型的连续时间随机过程，因其能够同时描述系统退化的趋势和波动，被广泛应用于工程系统的退化建模与</w:t>
      </w:r>
      <w:r>
        <w:rPr>
          <w:i/>
          <w:iCs/>
          <w:color w:val="auto"/>
          <w:szCs w:val="21"/>
          <w:highlight w:val="none"/>
        </w:rPr>
        <w:t>RUL</w:t>
      </w:r>
      <w:r>
        <w:rPr>
          <w:color w:val="auto"/>
          <w:szCs w:val="21"/>
          <w:highlight w:val="none"/>
        </w:rPr>
        <w:t>的预测中</w:t>
      </w:r>
      <w:r>
        <w:rPr>
          <w:rFonts w:hint="eastAsia"/>
          <w:color w:val="auto"/>
          <w:szCs w:val="21"/>
          <w:highlight w:val="none"/>
          <w:vertAlign w:val="superscript"/>
        </w:rPr>
        <w:t>[35]</w:t>
      </w:r>
      <w:r>
        <w:rPr>
          <w:color w:val="auto"/>
          <w:szCs w:val="21"/>
          <w:highlight w:val="none"/>
        </w:rPr>
        <w:t>。Wiener过程具有以下特点：（1）初始值</w:t>
      </w:r>
      <w:r>
        <w:rPr>
          <w:color w:val="auto"/>
          <w:position w:val="-10"/>
          <w:highlight w:val="none"/>
        </w:rPr>
        <w:object>
          <v:shape id="_x0000_i1119" o:spt="75" type="#_x0000_t75" style="height:16.15pt;width:26.2pt;" o:ole="t" filled="f" o:preferrelative="t" stroked="f" coordsize="21600,21600">
            <v:path/>
            <v:fill on="f" focussize="0,0"/>
            <v:stroke on="f" joinstyle="miter"/>
            <v:imagedata r:id="rId203" o:title=""/>
            <o:lock v:ext="edit" aspectratio="t"/>
            <w10:wrap type="none"/>
            <w10:anchorlock/>
          </v:shape>
          <o:OLEObject Type="Embed" ProgID="Equation.DSMT4" ShapeID="_x0000_i1119" DrawAspect="Content" ObjectID="_1468075819" r:id="rId202">
            <o:LockedField>false</o:LockedField>
          </o:OLEObject>
        </w:object>
      </w:r>
      <w:r>
        <w:rPr>
          <w:color w:val="auto"/>
          <w:szCs w:val="21"/>
          <w:highlight w:val="none"/>
        </w:rPr>
        <w:t>为0。（2）Wiener过程具有独立平稳增量。（3）在任意时刻内</w:t>
      </w:r>
      <w:r>
        <w:rPr>
          <w:color w:val="auto"/>
          <w:position w:val="-10"/>
          <w:highlight w:val="none"/>
        </w:rPr>
        <w:object>
          <v:shape id="_x0000_i1120" o:spt="75" type="#_x0000_t75" style="height:16.15pt;width:23.85pt;" o:ole="t" filled="f" o:preferrelative="t" stroked="f" coordsize="21600,21600">
            <v:path/>
            <v:fill on="f" focussize="0,0"/>
            <v:stroke on="f" joinstyle="miter"/>
            <v:imagedata r:id="rId205" o:title=""/>
            <o:lock v:ext="edit" aspectratio="t"/>
            <w10:wrap type="none"/>
            <w10:anchorlock/>
          </v:shape>
          <o:OLEObject Type="Embed" ProgID="Equation.DSMT4" ShapeID="_x0000_i1120" DrawAspect="Content" ObjectID="_1468075820" r:id="rId204">
            <o:LockedField>false</o:LockedField>
          </o:OLEObject>
        </w:object>
      </w:r>
      <w:r>
        <w:rPr>
          <w:color w:val="auto"/>
          <w:szCs w:val="21"/>
          <w:highlight w:val="none"/>
        </w:rPr>
        <w:t>的变化服从正态分布。（4）Wiener过程在时间上处处连续，满足马尔可夫性质。因此，可以利用维纳模型来拟合真实的退化变化曲线，并根据当前和历史的退化数据来估计下一时刻的退化。</w:t>
      </w:r>
    </w:p>
    <w:p w14:paraId="6AFC237D">
      <w:pPr>
        <w:adjustRightInd w:val="0"/>
        <w:snapToGrid w:val="0"/>
        <w:ind w:firstLine="420" w:firstLineChars="200"/>
        <w:rPr>
          <w:color w:val="auto"/>
          <w:szCs w:val="21"/>
          <w:highlight w:val="none"/>
        </w:rPr>
      </w:pPr>
      <w:r>
        <w:rPr>
          <w:color w:val="auto"/>
          <w:szCs w:val="21"/>
          <w:highlight w:val="none"/>
        </w:rPr>
        <w:t>基于上述定义，维纳过程的表达式可表示为公式</w:t>
      </w:r>
      <w:r>
        <w:rPr>
          <w:iCs/>
          <w:color w:val="auto"/>
          <w:szCs w:val="21"/>
          <w:highlight w:val="none"/>
        </w:rPr>
        <w:fldChar w:fldCharType="begin"/>
      </w:r>
      <w:r>
        <w:rPr>
          <w:iCs/>
          <w:color w:val="auto"/>
          <w:szCs w:val="21"/>
          <w:highlight w:val="none"/>
        </w:rPr>
        <w:instrText xml:space="preserve"> GOTOBUTTON ZEqnNum699383  \* MERGEFORMAT (18)</w:instrText>
      </w:r>
      <w:r>
        <w:rPr>
          <w:iCs/>
          <w:color w:val="auto"/>
          <w:szCs w:val="21"/>
          <w:highlight w:val="none"/>
        </w:rPr>
        <w:fldChar w:fldCharType="end"/>
      </w:r>
      <w:r>
        <w:rPr>
          <w:color w:val="auto"/>
          <w:szCs w:val="21"/>
          <w:highlight w:val="none"/>
        </w:rPr>
        <w:t>。</w:t>
      </w:r>
      <w:r>
        <w:rPr>
          <w:color w:val="auto"/>
          <w:position w:val="-10"/>
          <w:highlight w:val="none"/>
        </w:rPr>
        <w:object>
          <v:shape id="_x0000_i1121" o:spt="75" type="#_x0000_t75" style="height:16.15pt;width:23.85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06">
            <o:LockedField>false</o:LockedField>
          </o:OLEObject>
        </w:object>
      </w:r>
      <w:r>
        <w:rPr>
          <w:color w:val="auto"/>
          <w:szCs w:val="21"/>
          <w:highlight w:val="none"/>
        </w:rPr>
        <w:t>表示时间</w:t>
      </w:r>
      <w:r>
        <w:rPr>
          <w:color w:val="auto"/>
          <w:position w:val="-6"/>
          <w:highlight w:val="none"/>
        </w:rPr>
        <w:object>
          <v:shape id="_x0000_i1122" o:spt="75" type="#_x0000_t75" style="height:11.95pt;width:6.95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08">
            <o:LockedField>false</o:LockedField>
          </o:OLEObject>
        </w:object>
      </w:r>
      <w:r>
        <w:rPr>
          <w:color w:val="auto"/>
          <w:szCs w:val="21"/>
          <w:highlight w:val="none"/>
        </w:rPr>
        <w:t>处退化的值，</w:t>
      </w:r>
      <w:r>
        <w:rPr>
          <w:color w:val="auto"/>
          <w:position w:val="-10"/>
          <w:highlight w:val="none"/>
        </w:rPr>
        <w:object>
          <v:shape id="_x0000_i1123" o:spt="75" type="#_x0000_t75" style="height:16.15pt;width:26.2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10">
            <o:LockedField>false</o:LockedField>
          </o:OLEObject>
        </w:object>
      </w:r>
      <w:r>
        <w:rPr>
          <w:color w:val="auto"/>
          <w:szCs w:val="21"/>
          <w:highlight w:val="none"/>
        </w:rPr>
        <w:t>为初始退化值，令</w:t>
      </w:r>
      <w:r>
        <w:rPr>
          <w:color w:val="auto"/>
          <w:position w:val="-10"/>
          <w:highlight w:val="none"/>
        </w:rPr>
        <w:object>
          <v:shape id="_x0000_i1124" o:spt="75" type="#_x0000_t75" style="height:16.15pt;width:26.2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12">
            <o:LockedField>false</o:LockedField>
          </o:OLEObject>
        </w:object>
      </w:r>
      <w:r>
        <w:rPr>
          <w:color w:val="auto"/>
          <w:szCs w:val="21"/>
          <w:highlight w:val="none"/>
        </w:rPr>
        <w:t>为0。</w:t>
      </w:r>
      <w:r>
        <w:rPr>
          <w:rFonts w:ascii="Cambria Math" w:hAnsi="Cambria Math" w:cs="Cambria Math"/>
          <w:color w:val="auto"/>
          <w:szCs w:val="21"/>
          <w:highlight w:val="none"/>
        </w:rPr>
        <w:t>𝜆</w:t>
      </w:r>
      <w:r>
        <w:rPr>
          <w:color w:val="auto"/>
          <w:szCs w:val="21"/>
          <w:highlight w:val="none"/>
        </w:rPr>
        <w:t>为漂移系数，反映产品的退化速率，</w:t>
      </w:r>
      <w:r>
        <w:rPr>
          <w:rFonts w:ascii="Cambria Math" w:hAnsi="Cambria Math" w:cs="Cambria Math"/>
          <w:color w:val="auto"/>
          <w:szCs w:val="21"/>
          <w:highlight w:val="none"/>
        </w:rPr>
        <w:t>𝜎</w:t>
      </w:r>
      <w:r>
        <w:rPr>
          <w:color w:val="auto"/>
          <w:szCs w:val="21"/>
          <w:highlight w:val="none"/>
        </w:rPr>
        <w:t>为扩散系数，</w:t>
      </w:r>
      <w:r>
        <w:rPr>
          <w:color w:val="auto"/>
          <w:position w:val="-10"/>
          <w:highlight w:val="none"/>
        </w:rPr>
        <w:object>
          <v:shape id="_x0000_i1125" o:spt="75" type="#_x0000_t75" style="height:16.15pt;width:26.55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14">
            <o:LockedField>false</o:LockedField>
          </o:OLEObject>
        </w:object>
      </w:r>
      <w:r>
        <w:rPr>
          <w:color w:val="auto"/>
          <w:szCs w:val="21"/>
          <w:highlight w:val="none"/>
        </w:rPr>
        <w:t>表示标准布朗运动，且</w:t>
      </w:r>
      <w:r>
        <w:rPr>
          <w:color w:val="auto"/>
          <w:position w:val="-10"/>
          <w:highlight w:val="none"/>
        </w:rPr>
        <w:object>
          <v:shape id="_x0000_i1126" o:spt="75" type="#_x0000_t75" style="height:16.15pt;width:71.25pt;" o:ole="t" filled="f" o:preferrelative="t" stroked="f" coordsize="21600,21600">
            <v:path/>
            <v:fill on="f" focussize="0,0"/>
            <v:stroke on="f" joinstyle="miter"/>
            <v:imagedata r:id="rId217" o:title=""/>
            <o:lock v:ext="edit" aspectratio="t"/>
            <w10:wrap type="none"/>
            <w10:anchorlock/>
          </v:shape>
          <o:OLEObject Type="Embed" ProgID="Equation.DSMT4" ShapeID="_x0000_i1126" DrawAspect="Content" ObjectID="_1468075826" r:id="rId216">
            <o:LockedField>false</o:LockedField>
          </o:OLEObject>
        </w:object>
      </w:r>
      <w:r>
        <w:rPr>
          <w:color w:val="auto"/>
          <w:szCs w:val="21"/>
          <w:highlight w:val="none"/>
        </w:rPr>
        <w:t>，反映产品退化过程的不确定性</w:t>
      </w:r>
      <w:r>
        <w:rPr>
          <w:rFonts w:hint="eastAsia"/>
          <w:color w:val="auto"/>
          <w:szCs w:val="21"/>
          <w:highlight w:val="none"/>
        </w:rPr>
        <w:t>，具体为</w:t>
      </w:r>
    </w:p>
    <w:p w14:paraId="65EA6832">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27" o:spt="75" type="#_x0000_t75" style="height:16.15pt;width:122.05pt;" o:ole="t" filled="f" o:preferrelative="t" stroked="f" coordsize="21600,21600">
            <v:path/>
            <v:fill on="f" focussize="0,0"/>
            <v:stroke on="f" joinstyle="miter"/>
            <v:imagedata r:id="rId219" o:title=""/>
            <o:lock v:ext="edit" aspectratio="t"/>
            <w10:wrap type="none"/>
            <w10:anchorlock/>
          </v:shape>
          <o:OLEObject Type="Embed" ProgID="Equation.DSMT4" ShapeID="_x0000_i1127" DrawAspect="Content" ObjectID="_1468075827" r:id="rId21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bookmarkStart w:id="5" w:name="ZEqnNum699383"/>
      <w:r>
        <w:rPr>
          <w:color w:val="auto"/>
          <w:highlight w:val="none"/>
        </w:rPr>
        <w:instrText xml:space="preserve">(18)</w:instrText>
      </w:r>
      <w:bookmarkEnd w:id="5"/>
      <w:r>
        <w:rPr>
          <w:color w:val="auto"/>
          <w:highlight w:val="none"/>
        </w:rPr>
        <w:fldChar w:fldCharType="end"/>
      </w:r>
    </w:p>
    <w:p w14:paraId="6CAC34AE">
      <w:pPr>
        <w:adjustRightInd w:val="0"/>
        <w:snapToGrid w:val="0"/>
        <w:ind w:firstLine="420" w:firstLineChars="200"/>
        <w:rPr>
          <w:color w:val="auto"/>
          <w:szCs w:val="21"/>
          <w:highlight w:val="none"/>
        </w:rPr>
      </w:pPr>
      <w:r>
        <w:rPr>
          <w:color w:val="auto"/>
          <w:szCs w:val="21"/>
          <w:highlight w:val="none"/>
        </w:rPr>
        <w:t>由Wiener过程定义可知，其数学期望和方差分别表示为</w:t>
      </w:r>
    </w:p>
    <w:p w14:paraId="256DF458">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28" o:spt="75" type="#_x0000_t75" style="height:16.15pt;width:62pt;" o:ole="t" filled="f" o:preferrelative="t" stroked="f" coordsize="21600,21600">
            <v:path/>
            <v:fill on="f" focussize="0,0"/>
            <v:stroke on="f" joinstyle="miter"/>
            <v:imagedata r:id="rId221" o:title=""/>
            <o:lock v:ext="edit" aspectratio="t"/>
            <w10:wrap type="none"/>
            <w10:anchorlock/>
          </v:shape>
          <o:OLEObject Type="Embed" ProgID="Equation.DSMT4" ShapeID="_x0000_i1128" DrawAspect="Content" ObjectID="_1468075828" r:id="rId22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(19)</w:instrText>
      </w:r>
      <w:r>
        <w:rPr>
          <w:color w:val="auto"/>
          <w:highlight w:val="none"/>
        </w:rPr>
        <w:fldChar w:fldCharType="end"/>
      </w:r>
    </w:p>
    <w:p w14:paraId="064394A3">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29" o:spt="75" type="#_x0000_t75" style="height:18.85pt;width:79.7pt;" o:ole="t" filled="f" o:preferrelative="t" stroked="f" coordsize="21600,21600">
            <v:path/>
            <v:fill on="f" focussize="0,0"/>
            <v:stroke on="f" joinstyle="miter"/>
            <v:imagedata r:id="rId223" o:title=""/>
            <o:lock v:ext="edit" aspectratio="t"/>
            <w10:wrap type="none"/>
            <w10:anchorlock/>
          </v:shape>
          <o:OLEObject Type="Embed" ProgID="Equation.DSMT4" ShapeID="_x0000_i1129" DrawAspect="Content" ObjectID="_1468075829" r:id="rId22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(20)</w:instrText>
      </w:r>
      <w:r>
        <w:rPr>
          <w:color w:val="auto"/>
          <w:highlight w:val="none"/>
        </w:rPr>
        <w:fldChar w:fldCharType="end"/>
      </w:r>
    </w:p>
    <w:p w14:paraId="69A9DB53">
      <w:pPr>
        <w:adjustRightInd w:val="0"/>
        <w:snapToGrid w:val="0"/>
        <w:ind w:firstLine="420" w:firstLineChars="200"/>
        <w:rPr>
          <w:color w:val="auto"/>
          <w:szCs w:val="21"/>
          <w:highlight w:val="none"/>
        </w:rPr>
      </w:pPr>
      <w:r>
        <w:rPr>
          <w:color w:val="auto"/>
          <w:szCs w:val="21"/>
          <w:highlight w:val="none"/>
        </w:rPr>
        <w:t>在锂离子电池寿命预测中，电池失效定义为退化状态首次达到失效阈值</w:t>
      </w:r>
      <w:r>
        <w:rPr>
          <w:color w:val="auto"/>
          <w:position w:val="-6"/>
          <w:highlight w:val="none"/>
        </w:rPr>
        <w:object>
          <v:shape id="_x0000_i1130" o:spt="75" type="#_x0000_t75" style="height:11.15pt;width:12.7pt;" o:ole="t" filled="f" o:preferrelative="t" stroked="f" coordsize="21600,21600">
            <v:path/>
            <v:fill on="f" focussize="0,0"/>
            <v:stroke on="f" joinstyle="miter"/>
            <v:imagedata r:id="rId225" o:title=""/>
            <o:lock v:ext="edit" aspectratio="t"/>
            <w10:wrap type="none"/>
            <w10:anchorlock/>
          </v:shape>
          <o:OLEObject Type="Embed" ProgID="Equation.DSMT4" ShapeID="_x0000_i1130" DrawAspect="Content" ObjectID="_1468075830" r:id="rId224">
            <o:LockedField>false</o:LockedField>
          </o:OLEObject>
        </w:object>
      </w:r>
      <w:r>
        <w:rPr>
          <w:color w:val="auto"/>
          <w:szCs w:val="21"/>
          <w:highlight w:val="none"/>
        </w:rPr>
        <w:t>。因此电池的失效时间可表示为Wiener过程的首达时间（First Hitting time, FHT），可表示为</w:t>
      </w:r>
    </w:p>
    <w:p w14:paraId="344FDC24">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31" o:spt="75" type="#_x0000_t75" style="height:16.15pt;width:146.7pt;" o:ole="t" filled="f" o:preferrelative="t" stroked="f" coordsize="21600,21600">
            <v:path/>
            <v:fill on="f" focussize="0,0"/>
            <v:stroke on="f" joinstyle="miter"/>
            <v:imagedata r:id="rId227" o:title=""/>
            <o:lock v:ext="edit" aspectratio="t"/>
            <w10:wrap type="none"/>
            <w10:anchorlock/>
          </v:shape>
          <o:OLEObject Type="Embed" ProgID="Equation.DSMT4" ShapeID="_x0000_i1131" DrawAspect="Content" ObjectID="_1468075831" r:id="rId226">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(21)</w:instrText>
      </w:r>
      <w:r>
        <w:rPr>
          <w:color w:val="auto"/>
          <w:highlight w:val="none"/>
        </w:rPr>
        <w:fldChar w:fldCharType="end"/>
      </w:r>
    </w:p>
    <w:p w14:paraId="76BD1483">
      <w:pPr>
        <w:adjustRightInd w:val="0"/>
        <w:snapToGrid w:val="0"/>
        <w:rPr>
          <w:color w:val="auto"/>
          <w:szCs w:val="21"/>
          <w:highlight w:val="none"/>
        </w:rPr>
      </w:pPr>
      <w:r>
        <w:rPr>
          <w:color w:val="auto"/>
          <w:szCs w:val="21"/>
          <w:highlight w:val="none"/>
        </w:rPr>
        <w:t>式中</w:t>
      </w:r>
      <w:r>
        <w:rPr>
          <w:rFonts w:hint="eastAsia"/>
          <w:color w:val="auto"/>
          <w:szCs w:val="21"/>
          <w:highlight w:val="none"/>
          <w:lang w:eastAsia="zh-CN"/>
        </w:rPr>
        <w:t>，</w:t>
      </w:r>
      <w:r>
        <w:rPr>
          <w:color w:val="auto"/>
          <w:position w:val="-6"/>
          <w:highlight w:val="none"/>
        </w:rPr>
        <w:object>
          <v:shape id="_x0000_i1132" o:spt="75" type="#_x0000_t75" style="height:11.15pt;width:12.7pt;" o:ole="t" filled="f" o:preferrelative="t" stroked="f" coordsize="21600,21600">
            <v:path/>
            <v:fill on="f" focussize="0,0"/>
            <v:stroke on="f" joinstyle="miter"/>
            <v:imagedata r:id="rId229" o:title=""/>
            <o:lock v:ext="edit" aspectratio="t"/>
            <w10:wrap type="none"/>
            <w10:anchorlock/>
          </v:shape>
          <o:OLEObject Type="Embed" ProgID="Equation.DSMT4" ShapeID="_x0000_i1132" DrawAspect="Content" ObjectID="_1468075832" r:id="rId228">
            <o:LockedField>false</o:LockedField>
          </o:OLEObject>
        </w:object>
      </w:r>
      <w:r>
        <w:rPr>
          <w:color w:val="auto"/>
          <w:szCs w:val="21"/>
          <w:highlight w:val="none"/>
        </w:rPr>
        <w:t>为失效阈值。则在当前监测时刻</w:t>
      </w:r>
      <w:r>
        <w:rPr>
          <w:color w:val="auto"/>
          <w:position w:val="-12"/>
          <w:highlight w:val="none"/>
        </w:rPr>
        <w:object>
          <v:shape id="_x0000_i1133" o:spt="75" type="#_x0000_t75" style="height:18.5pt;width:11.15pt;" o:ole="t" filled="f" o:preferrelative="t" stroked="f" coordsize="21600,21600">
            <v:path/>
            <v:fill on="f" focussize="0,0"/>
            <v:stroke on="f" joinstyle="miter"/>
            <v:imagedata r:id="rId231" o:title=""/>
            <o:lock v:ext="edit" aspectratio="t"/>
            <w10:wrap type="none"/>
            <w10:anchorlock/>
          </v:shape>
          <o:OLEObject Type="Embed" ProgID="Equation.DSMT4" ShapeID="_x0000_i1133" DrawAspect="Content" ObjectID="_1468075833" r:id="rId230">
            <o:LockedField>false</o:LockedField>
          </o:OLEObject>
        </w:object>
      </w:r>
      <w:r>
        <w:rPr>
          <w:color w:val="auto"/>
          <w:szCs w:val="21"/>
          <w:highlight w:val="none"/>
        </w:rPr>
        <w:t>，对应的退化状态为</w:t>
      </w:r>
      <w:r>
        <w:rPr>
          <w:color w:val="auto"/>
          <w:position w:val="-12"/>
          <w:highlight w:val="none"/>
        </w:rPr>
        <w:object>
          <v:shape id="_x0000_i1134" o:spt="75" type="#_x0000_t75" style="height:18.5pt;width:28.9pt;" o:ole="t" filled="f" o:preferrelative="t" stroked="f" coordsize="21600,21600">
            <v:path/>
            <v:fill on="f" focussize="0,0"/>
            <v:stroke on="f" joinstyle="miter"/>
            <v:imagedata r:id="rId233" o:title=""/>
            <o:lock v:ext="edit" aspectratio="t"/>
            <w10:wrap type="none"/>
            <w10:anchorlock/>
          </v:shape>
          <o:OLEObject Type="Embed" ProgID="Equation.DSMT4" ShapeID="_x0000_i1134" DrawAspect="Content" ObjectID="_1468075834" r:id="rId232">
            <o:LockedField>false</o:LockedField>
          </o:OLEObject>
        </w:object>
      </w:r>
      <w:r>
        <w:rPr>
          <w:color w:val="auto"/>
          <w:szCs w:val="21"/>
          <w:highlight w:val="none"/>
        </w:rPr>
        <w:t>，则电池的</w:t>
      </w:r>
      <w:r>
        <w:rPr>
          <w:i/>
          <w:iCs/>
          <w:color w:val="auto"/>
          <w:szCs w:val="21"/>
          <w:highlight w:val="none"/>
        </w:rPr>
        <w:t>RUL</w:t>
      </w:r>
      <w:r>
        <w:rPr>
          <w:color w:val="auto"/>
          <w:szCs w:val="21"/>
          <w:highlight w:val="none"/>
        </w:rPr>
        <w:t>可表示为</w:t>
      </w:r>
    </w:p>
    <w:p w14:paraId="4EC8D1B6">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35" o:spt="75" type="#_x0000_t75" style="height:18.5pt;width:70.05pt;" o:ole="t" filled="f" o:preferrelative="t" stroked="f" coordsize="21600,21600">
            <v:path/>
            <v:fill on="f" focussize="0,0"/>
            <v:stroke on="f" joinstyle="miter"/>
            <v:imagedata r:id="rId235" o:title=""/>
            <o:lock v:ext="edit" aspectratio="t"/>
            <w10:wrap type="none"/>
            <w10:anchorlock/>
          </v:shape>
          <o:OLEObject Type="Embed" ProgID="Equation.DSMT4" ShapeID="_x0000_i1135" DrawAspect="Content" ObjectID="_1468075835" r:id="rId234">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(22)</w:instrText>
      </w:r>
      <w:r>
        <w:rPr>
          <w:color w:val="auto"/>
          <w:highlight w:val="none"/>
        </w:rPr>
        <w:fldChar w:fldCharType="end"/>
      </w:r>
    </w:p>
    <w:p w14:paraId="09221128">
      <w:pPr>
        <w:adjustRightInd w:val="0"/>
        <w:snapToGrid w:val="0"/>
        <w:ind w:firstLine="420" w:firstLineChars="200"/>
        <w:rPr>
          <w:rFonts w:hint="eastAsia" w:eastAsia="宋体"/>
          <w:color w:val="auto"/>
          <w:szCs w:val="21"/>
          <w:highlight w:val="none"/>
          <w:lang w:val="en-US" w:eastAsia="zh-CN"/>
        </w:rPr>
      </w:pPr>
      <w:r>
        <w:rPr>
          <w:color w:val="auto"/>
          <w:szCs w:val="21"/>
          <w:highlight w:val="none"/>
        </w:rPr>
        <w:t>在</w:t>
      </w:r>
      <w:r>
        <w:rPr>
          <w:color w:val="auto"/>
          <w:position w:val="-6"/>
          <w:highlight w:val="none"/>
        </w:rPr>
        <w:object>
          <v:shape id="_x0000_i1136" o:spt="75" type="#_x0000_t75" style="height:13.85pt;width:11.15pt;" o:ole="t" filled="f" o:preferrelative="t" stroked="f" coordsize="21600,21600">
            <v:path/>
            <v:fill on="f" focussize="0,0"/>
            <v:stroke on="f" joinstyle="miter"/>
            <v:imagedata r:id="rId237" o:title=""/>
            <o:lock v:ext="edit" aspectratio="t"/>
            <w10:wrap type="none"/>
            <w10:anchorlock/>
          </v:shape>
          <o:OLEObject Type="Embed" ProgID="Equation.DSMT4" ShapeID="_x0000_i1136" DrawAspect="Content" ObjectID="_1468075836" r:id="rId236">
            <o:LockedField>false</o:LockedField>
          </o:OLEObject>
        </w:object>
      </w:r>
      <w:r>
        <w:rPr>
          <w:color w:val="auto"/>
          <w:szCs w:val="21"/>
          <w:highlight w:val="none"/>
        </w:rPr>
        <w:t>和</w:t>
      </w:r>
      <w:r>
        <w:rPr>
          <w:color w:val="auto"/>
          <w:position w:val="-6"/>
          <w:highlight w:val="none"/>
        </w:rPr>
        <w:object>
          <v:shape id="_x0000_i1137" o:spt="75" type="#_x0000_t75" style="height:16.95pt;width:16.95pt;" o:ole="t" filled="f" o:preferrelative="t" stroked="f" coordsize="21600,21600">
            <v:path/>
            <v:fill on="f" focussize="0,0"/>
            <v:stroke on="f" joinstyle="miter"/>
            <v:imagedata r:id="rId239" o:title=""/>
            <o:lock v:ext="edit" aspectratio="t"/>
            <w10:wrap type="none"/>
            <w10:anchorlock/>
          </v:shape>
          <o:OLEObject Type="Embed" ProgID="Equation.DSMT4" ShapeID="_x0000_i1137" DrawAspect="Content" ObjectID="_1468075837" r:id="rId238">
            <o:LockedField>false</o:LockedField>
          </o:OLEObject>
        </w:object>
      </w:r>
      <w:r>
        <w:rPr>
          <w:color w:val="auto"/>
          <w:szCs w:val="21"/>
          <w:highlight w:val="none"/>
        </w:rPr>
        <w:t>均为常数的条件下，FHT的概率分布具有解析解，并服从逆高斯分布。其概率密度函数（Probability Density Function, PDF）可表示</w:t>
      </w:r>
      <w:r>
        <w:rPr>
          <w:rFonts w:hint="eastAsia"/>
          <w:color w:val="auto"/>
          <w:szCs w:val="21"/>
          <w:highlight w:val="none"/>
          <w:lang w:val="en-US" w:eastAsia="zh-CN"/>
        </w:rPr>
        <w:t>为</w:t>
      </w:r>
    </w:p>
    <w:p w14:paraId="7AF8DD6E">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38" o:spt="75" type="#_x0000_t75" style="height:38.5pt;width:169.8pt;" o:ole="t" filled="f" o:preferrelative="t" stroked="f" coordsize="21600,21600">
            <v:path/>
            <v:fill on="f" focussize="0,0"/>
            <v:stroke on="f" joinstyle="miter"/>
            <v:imagedata r:id="rId241" o:title=""/>
            <o:lock v:ext="edit" aspectratio="t"/>
            <w10:wrap type="none"/>
            <w10:anchorlock/>
          </v:shape>
          <o:OLEObject Type="Embed" ProgID="Equation.DSMT4" ShapeID="_x0000_i1138" DrawAspect="Content" ObjectID="_1468075838" r:id="rId24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bookmarkStart w:id="6" w:name="ZEqnNum746404"/>
      <w:r>
        <w:rPr>
          <w:color w:val="auto"/>
          <w:highlight w:val="none"/>
        </w:rPr>
        <w:instrText xml:space="preserve">(23)</w:instrText>
      </w:r>
      <w:bookmarkEnd w:id="6"/>
      <w:r>
        <w:rPr>
          <w:color w:val="auto"/>
          <w:highlight w:val="none"/>
        </w:rPr>
        <w:fldChar w:fldCharType="end"/>
      </w:r>
    </w:p>
    <w:p w14:paraId="3853C41D">
      <w:pPr>
        <w:adjustRightInd w:val="0"/>
        <w:snapToGrid w:val="0"/>
        <w:ind w:firstLine="420" w:firstLineChars="200"/>
        <w:rPr>
          <w:color w:val="auto"/>
          <w:szCs w:val="21"/>
          <w:highlight w:val="none"/>
        </w:rPr>
      </w:pPr>
      <w:r>
        <w:rPr>
          <w:color w:val="auto"/>
          <w:szCs w:val="21"/>
          <w:highlight w:val="none"/>
        </w:rPr>
        <w:t>基于上述退化模型，需要利用监测到的历史退化数据对未知参数</w:t>
      </w:r>
      <w:r>
        <w:rPr>
          <w:color w:val="auto"/>
          <w:position w:val="-6"/>
          <w:highlight w:val="none"/>
        </w:rPr>
        <w:object>
          <v:shape id="_x0000_i1139" o:spt="75" type="#_x0000_t75" style="height:13.85pt;width:11.15pt;" o:ole="t" filled="f" o:preferrelative="t" stroked="f" coordsize="21600,21600">
            <v:path/>
            <v:fill on="f" focussize="0,0"/>
            <v:stroke on="f" joinstyle="miter"/>
            <v:imagedata r:id="rId243" o:title=""/>
            <o:lock v:ext="edit" aspectratio="t"/>
            <w10:wrap type="none"/>
            <w10:anchorlock/>
          </v:shape>
          <o:OLEObject Type="Embed" ProgID="Equation.DSMT4" ShapeID="_x0000_i1139" DrawAspect="Content" ObjectID="_1468075839" r:id="rId242">
            <o:LockedField>false</o:LockedField>
          </o:OLEObject>
        </w:object>
      </w:r>
      <w:r>
        <w:rPr>
          <w:color w:val="auto"/>
          <w:szCs w:val="21"/>
          <w:highlight w:val="none"/>
        </w:rPr>
        <w:t>和</w:t>
      </w:r>
      <w:r>
        <w:rPr>
          <w:color w:val="auto"/>
          <w:position w:val="-6"/>
          <w:highlight w:val="none"/>
        </w:rPr>
        <w:object>
          <v:shape id="_x0000_i1140" o:spt="75" type="#_x0000_t75" style="height:16.95pt;width:16.95pt;" o:ole="t" filled="f" o:preferrelative="t" stroked="f" coordsize="21600,21600">
            <v:path/>
            <v:fill on="f" focussize="0,0"/>
            <v:stroke on="f" joinstyle="miter"/>
            <v:imagedata r:id="rId245" o:title=""/>
            <o:lock v:ext="edit" aspectratio="t"/>
            <w10:wrap type="none"/>
            <w10:anchorlock/>
          </v:shape>
          <o:OLEObject Type="Embed" ProgID="Equation.DSMT4" ShapeID="_x0000_i1140" DrawAspect="Content" ObjectID="_1468075840" r:id="rId244">
            <o:LockedField>false</o:LockedField>
          </o:OLEObject>
        </w:object>
      </w:r>
      <w:r>
        <w:rPr>
          <w:color w:val="auto"/>
          <w:szCs w:val="21"/>
          <w:highlight w:val="none"/>
        </w:rPr>
        <w:t>进行估计。由于Wiener过程具有明确的概率分布形式，最大似然估计（Maximum Likelihood Estimation, MLE）成为最常用且具有统计最优性的参数估计方法。</w:t>
      </w:r>
    </w:p>
    <w:p w14:paraId="00976FD2">
      <w:pPr>
        <w:adjustRightInd w:val="0"/>
        <w:snapToGrid w:val="0"/>
        <w:ind w:firstLine="420" w:firstLineChars="200"/>
        <w:rPr>
          <w:color w:val="auto"/>
          <w:szCs w:val="21"/>
          <w:highlight w:val="none"/>
        </w:rPr>
      </w:pPr>
      <w:r>
        <w:rPr>
          <w:color w:val="auto"/>
          <w:szCs w:val="21"/>
          <w:highlight w:val="none"/>
        </w:rPr>
        <w:t>在监测时刻</w:t>
      </w:r>
      <w:r>
        <w:rPr>
          <w:color w:val="auto"/>
          <w:position w:val="-12"/>
          <w:highlight w:val="none"/>
        </w:rPr>
        <w:object>
          <v:shape id="_x0000_i1141" o:spt="75" type="#_x0000_t75" style="height:18.5pt;width:84.7pt;" o:ole="t" filled="f" o:preferrelative="t" stroked="f" coordsize="21600,21600">
            <v:path/>
            <v:fill on="f" focussize="0,0"/>
            <v:stroke on="f" joinstyle="miter"/>
            <v:imagedata r:id="rId247" o:title=""/>
            <o:lock v:ext="edit" aspectratio="t"/>
            <w10:wrap type="none"/>
            <w10:anchorlock/>
          </v:shape>
          <o:OLEObject Type="Embed" ProgID="Equation.DSMT4" ShapeID="_x0000_i1141" DrawAspect="Content" ObjectID="_1468075841" r:id="rId246">
            <o:LockedField>false</o:LockedField>
          </o:OLEObject>
        </w:object>
      </w:r>
      <w:r>
        <w:rPr>
          <w:color w:val="auto"/>
          <w:szCs w:val="21"/>
          <w:highlight w:val="none"/>
        </w:rPr>
        <w:t>的退化数据为</w:t>
      </w:r>
      <w:r>
        <w:rPr>
          <w:color w:val="auto"/>
          <w:position w:val="-12"/>
          <w:highlight w:val="none"/>
        </w:rPr>
        <w:object>
          <v:shape id="_x0000_i1142" o:spt="75" type="#_x0000_t75" style="height:18.5pt;width:102.4pt;" o:ole="t" filled="f" o:preferrelative="t" stroked="f" coordsize="21600,21600">
            <v:path/>
            <v:fill on="f" focussize="0,0"/>
            <v:stroke on="f" joinstyle="miter"/>
            <v:imagedata r:id="rId249" o:title=""/>
            <o:lock v:ext="edit" aspectratio="t"/>
            <w10:wrap type="none"/>
            <w10:anchorlock/>
          </v:shape>
          <o:OLEObject Type="Embed" ProgID="Equation.DSMT4" ShapeID="_x0000_i1142" DrawAspect="Content" ObjectID="_1468075842" r:id="rId248">
            <o:LockedField>false</o:LockedField>
          </o:OLEObject>
        </w:object>
      </w:r>
      <w:r>
        <w:rPr>
          <w:color w:val="auto"/>
          <w:szCs w:val="21"/>
          <w:highlight w:val="none"/>
        </w:rPr>
        <w:t>，则其时间增量和退化数据增量分别为：</w:t>
      </w:r>
      <w:r>
        <w:rPr>
          <w:color w:val="auto"/>
          <w:position w:val="-14"/>
          <w:highlight w:val="none"/>
        </w:rPr>
        <w:object>
          <v:shape id="_x0000_i1143" o:spt="75" type="#_x0000_t75" style="height:18.85pt;width:67pt;" o:ole="t" filled="f" o:preferrelative="t" stroked="f" coordsize="21600,21600">
            <v:path/>
            <v:fill on="f" focussize="0,0"/>
            <v:stroke on="f" joinstyle="miter"/>
            <v:imagedata r:id="rId251" o:title=""/>
            <o:lock v:ext="edit" aspectratio="t"/>
            <w10:wrap type="none"/>
            <w10:anchorlock/>
          </v:shape>
          <o:OLEObject Type="Embed" ProgID="Equation.DSMT4" ShapeID="_x0000_i1143" DrawAspect="Content" ObjectID="_1468075843" r:id="rId250">
            <o:LockedField>false</o:LockedField>
          </o:OLEObject>
        </w:object>
      </w:r>
      <w:r>
        <w:rPr>
          <w:color w:val="auto"/>
          <w:szCs w:val="21"/>
          <w:highlight w:val="none"/>
        </w:rPr>
        <w:t>和</w:t>
      </w:r>
      <w:r>
        <w:rPr>
          <w:color w:val="auto"/>
          <w:position w:val="-14"/>
          <w:highlight w:val="none"/>
        </w:rPr>
        <w:object>
          <v:shape id="_x0000_i1144" o:spt="75" type="#_x0000_t75" style="height:18.85pt;width:78.95pt;" o:ole="t" filled="f" o:preferrelative="t" stroked="f" coordsize="21600,21600">
            <v:path/>
            <v:fill on="f" focussize="0,0"/>
            <v:stroke on="f" joinstyle="miter"/>
            <v:imagedata r:id="rId253" o:title=""/>
            <o:lock v:ext="edit" aspectratio="t"/>
            <w10:wrap type="none"/>
            <w10:anchorlock/>
          </v:shape>
          <o:OLEObject Type="Embed" ProgID="Equation.DSMT4" ShapeID="_x0000_i1144" DrawAspect="Content" ObjectID="_1468075844" r:id="rId252">
            <o:LockedField>false</o:LockedField>
          </o:OLEObject>
        </w:object>
      </w:r>
      <w:r>
        <w:rPr>
          <w:color w:val="auto"/>
          <w:szCs w:val="21"/>
          <w:highlight w:val="none"/>
        </w:rPr>
        <w:t>，其中</w:t>
      </w:r>
      <w:r>
        <w:rPr>
          <w:color w:val="auto"/>
          <w:position w:val="-10"/>
          <w:highlight w:val="none"/>
        </w:rPr>
        <w:object>
          <v:shape id="_x0000_i1145" o:spt="75" type="#_x0000_t75" style="height:16.15pt;width:59.3pt;" o:ole="t" filled="f" o:preferrelative="t" stroked="f" coordsize="21600,21600">
            <v:path/>
            <v:fill on="f" focussize="0,0"/>
            <v:stroke on="f" joinstyle="miter"/>
            <v:imagedata r:id="rId255" o:title=""/>
            <o:lock v:ext="edit" aspectratio="t"/>
            <w10:wrap type="none"/>
            <w10:anchorlock/>
          </v:shape>
          <o:OLEObject Type="Embed" ProgID="Equation.DSMT4" ShapeID="_x0000_i1145" DrawAspect="Content" ObjectID="_1468075845" r:id="rId254">
            <o:LockedField>false</o:LockedField>
          </o:OLEObject>
        </w:object>
      </w:r>
      <w:r>
        <w:rPr>
          <w:color w:val="auto"/>
          <w:szCs w:val="21"/>
          <w:highlight w:val="none"/>
        </w:rPr>
        <w:t>。由于Wiener过程的独立增量性质，相邻时刻的退化数据增量可表示为：</w:t>
      </w:r>
      <w:r>
        <w:rPr>
          <w:color w:val="auto"/>
          <w:position w:val="-14"/>
          <w:highlight w:val="none"/>
        </w:rPr>
        <w:object>
          <v:shape id="_x0000_i1146" o:spt="75" type="#_x0000_t75" style="height:18.85pt;width:95.5pt;" o:ole="t" filled="f" o:preferrelative="t" stroked="f" coordsize="21600,21600">
            <v:path/>
            <v:fill on="f" focussize="0,0"/>
            <v:stroke on="f" joinstyle="miter"/>
            <v:imagedata r:id="rId257" o:title=""/>
            <o:lock v:ext="edit" aspectratio="t"/>
            <w10:wrap type="none"/>
            <w10:anchorlock/>
          </v:shape>
          <o:OLEObject Type="Embed" ProgID="Equation.DSMT4" ShapeID="_x0000_i1146" DrawAspect="Content" ObjectID="_1468075846" r:id="rId256">
            <o:LockedField>false</o:LockedField>
          </o:OLEObject>
        </w:object>
      </w:r>
      <w:r>
        <w:rPr>
          <w:color w:val="auto"/>
          <w:szCs w:val="21"/>
          <w:highlight w:val="none"/>
        </w:rPr>
        <w:t>，且</w:t>
      </w:r>
      <w:r>
        <w:rPr>
          <w:color w:val="auto"/>
          <w:position w:val="-14"/>
          <w:highlight w:val="none"/>
        </w:rPr>
        <w:object>
          <v:shape id="_x0000_i1147" o:spt="75" type="#_x0000_t75" style="height:21.2pt;width:110.1pt;" o:ole="t" filled="f" o:preferrelative="t" stroked="f" coordsize="21600,21600">
            <v:path/>
            <v:fill on="f" focussize="0,0"/>
            <v:stroke on="f" joinstyle="miter"/>
            <v:imagedata r:id="rId259" o:title=""/>
            <o:lock v:ext="edit" aspectratio="t"/>
            <w10:wrap type="none"/>
            <w10:anchorlock/>
          </v:shape>
          <o:OLEObject Type="Embed" ProgID="Equation.DSMT4" ShapeID="_x0000_i1147" DrawAspect="Content" ObjectID="_1468075847" r:id="rId258">
            <o:LockedField>false</o:LockedField>
          </o:OLEObject>
        </w:object>
      </w:r>
      <w:r>
        <w:rPr>
          <w:color w:val="auto"/>
          <w:szCs w:val="21"/>
          <w:highlight w:val="none"/>
        </w:rPr>
        <w:t>。在各增量相互独立的条件下，监测序列的联合概率密度函数可表示为各增量概率密度函数的乘积</w:t>
      </w:r>
      <w:r>
        <w:rPr>
          <w:rFonts w:hint="eastAsia"/>
          <w:color w:val="auto"/>
          <w:szCs w:val="21"/>
          <w:highlight w:val="none"/>
        </w:rPr>
        <w:t>，具体为</w:t>
      </w:r>
    </w:p>
    <w:p w14:paraId="4CA97240">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48" o:spt="75" type="#_x0000_t75" style="height:45.45pt;width:227.15pt;" o:ole="t" filled="f" o:preferrelative="t" stroked="f" coordsize="21600,21600">
            <v:path/>
            <v:fill on="f" focussize="0,0"/>
            <v:stroke on="f" joinstyle="miter"/>
            <v:imagedata r:id="rId261" o:title=""/>
            <o:lock v:ext="edit" aspectratio="t"/>
            <w10:wrap type="none"/>
            <w10:anchorlock/>
          </v:shape>
          <o:OLEObject Type="Embed" ProgID="Equation.DSMT4" ShapeID="_x0000_i1148" DrawAspect="Content" ObjectID="_1468075848" r:id="rId26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(24)</w:instrText>
      </w:r>
      <w:r>
        <w:rPr>
          <w:color w:val="auto"/>
          <w:highlight w:val="none"/>
        </w:rPr>
        <w:fldChar w:fldCharType="end"/>
      </w:r>
    </w:p>
    <w:p w14:paraId="1B90EC7A">
      <w:pPr>
        <w:adjustRightInd w:val="0"/>
        <w:snapToGrid w:val="0"/>
        <w:ind w:firstLine="420" w:firstLineChars="200"/>
        <w:rPr>
          <w:color w:val="auto"/>
          <w:szCs w:val="21"/>
          <w:highlight w:val="none"/>
        </w:rPr>
      </w:pPr>
      <w:r>
        <w:rPr>
          <w:color w:val="auto"/>
          <w:szCs w:val="21"/>
          <w:highlight w:val="none"/>
        </w:rPr>
        <w:t>对上式两边求对数，可得对数似然函数为</w:t>
      </w:r>
    </w:p>
    <w:p w14:paraId="21CCC07D">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49" o:spt="75" type="#_x0000_t75" style="height:42.35pt;width:333.05pt;" o:ole="t" filled="f" o:preferrelative="t" stroked="f" coordsize="21600,21600">
            <v:path/>
            <v:fill on="f" focussize="0,0"/>
            <v:stroke on="f" joinstyle="miter"/>
            <v:imagedata r:id="rId263" o:title=""/>
            <o:lock v:ext="edit" aspectratio="t"/>
            <w10:wrap type="none"/>
            <w10:anchorlock/>
          </v:shape>
          <o:OLEObject Type="Embed" ProgID="Equation.DSMT4" ShapeID="_x0000_i1149" DrawAspect="Content" ObjectID="_1468075849" r:id="rId26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(25)</w:instrText>
      </w:r>
      <w:r>
        <w:rPr>
          <w:color w:val="auto"/>
          <w:highlight w:val="none"/>
        </w:rPr>
        <w:fldChar w:fldCharType="end"/>
      </w:r>
    </w:p>
    <w:p w14:paraId="47014FC8">
      <w:pPr>
        <w:adjustRightInd w:val="0"/>
        <w:snapToGrid w:val="0"/>
        <w:ind w:firstLine="420" w:firstLineChars="200"/>
        <w:rPr>
          <w:color w:val="auto"/>
          <w:szCs w:val="21"/>
          <w:highlight w:val="none"/>
        </w:rPr>
      </w:pPr>
      <w:r>
        <w:rPr>
          <w:color w:val="auto"/>
          <w:szCs w:val="21"/>
          <w:highlight w:val="none"/>
        </w:rPr>
        <w:t>为了获得参数</w:t>
      </w:r>
      <w:r>
        <w:rPr>
          <w:color w:val="auto"/>
          <w:position w:val="-6"/>
          <w:highlight w:val="none"/>
        </w:rPr>
        <w:object>
          <v:shape id="_x0000_i1150" o:spt="75" type="#_x0000_t75" style="height:13.85pt;width:11.15pt;" o:ole="t" filled="f" o:preferrelative="t" stroked="f" coordsize="21600,21600">
            <v:path/>
            <v:fill on="f" focussize="0,0"/>
            <v:stroke on="f" joinstyle="miter"/>
            <v:imagedata r:id="rId265" o:title=""/>
            <o:lock v:ext="edit" aspectratio="t"/>
            <w10:wrap type="none"/>
            <w10:anchorlock/>
          </v:shape>
          <o:OLEObject Type="Embed" ProgID="Equation.DSMT4" ShapeID="_x0000_i1150" DrawAspect="Content" ObjectID="_1468075850" r:id="rId264">
            <o:LockedField>false</o:LockedField>
          </o:OLEObject>
        </w:object>
      </w:r>
      <w:r>
        <w:rPr>
          <w:color w:val="auto"/>
          <w:szCs w:val="21"/>
          <w:highlight w:val="none"/>
        </w:rPr>
        <w:t>和</w:t>
      </w:r>
      <w:r>
        <w:rPr>
          <w:color w:val="auto"/>
          <w:position w:val="-6"/>
          <w:highlight w:val="none"/>
        </w:rPr>
        <w:object>
          <v:shape id="_x0000_i1151" o:spt="75" type="#_x0000_t75" style="height:16.95pt;width:16.95pt;" o:ole="t" filled="f" o:preferrelative="t" stroked="f" coordsize="21600,21600">
            <v:path/>
            <v:fill on="f" focussize="0,0"/>
            <v:stroke on="f" joinstyle="miter"/>
            <v:imagedata r:id="rId267" o:title=""/>
            <o:lock v:ext="edit" aspectratio="t"/>
            <w10:wrap type="none"/>
            <w10:anchorlock/>
          </v:shape>
          <o:OLEObject Type="Embed" ProgID="Equation.DSMT4" ShapeID="_x0000_i1151" DrawAspect="Content" ObjectID="_1468075851" r:id="rId266">
            <o:LockedField>false</o:LockedField>
          </o:OLEObject>
        </w:object>
      </w:r>
      <w:r>
        <w:rPr>
          <w:color w:val="auto"/>
          <w:szCs w:val="21"/>
          <w:highlight w:val="none"/>
        </w:rPr>
        <w:t>的极大似然估计值，令对数似然函数关于</w:t>
      </w:r>
      <w:r>
        <w:rPr>
          <w:color w:val="auto"/>
          <w:position w:val="-6"/>
          <w:highlight w:val="none"/>
        </w:rPr>
        <w:object>
          <v:shape id="_x0000_i1152" o:spt="75" type="#_x0000_t75" style="height:13.85pt;width:11.15pt;" o:ole="t" filled="f" o:preferrelative="t" stroked="f" coordsize="21600,21600">
            <v:path/>
            <v:fill on="f" focussize="0,0"/>
            <v:stroke on="f" joinstyle="miter"/>
            <v:imagedata r:id="rId269" o:title=""/>
            <o:lock v:ext="edit" aspectratio="t"/>
            <w10:wrap type="none"/>
            <w10:anchorlock/>
          </v:shape>
          <o:OLEObject Type="Embed" ProgID="Equation.DSMT4" ShapeID="_x0000_i1152" DrawAspect="Content" ObjectID="_1468075852" r:id="rId268">
            <o:LockedField>false</o:LockedField>
          </o:OLEObject>
        </w:object>
      </w:r>
      <w:r>
        <w:rPr>
          <w:color w:val="auto"/>
          <w:szCs w:val="21"/>
          <w:highlight w:val="none"/>
        </w:rPr>
        <w:t>和</w:t>
      </w:r>
      <w:r>
        <w:rPr>
          <w:color w:val="auto"/>
          <w:position w:val="-6"/>
          <w:highlight w:val="none"/>
        </w:rPr>
        <w:object>
          <v:shape id="_x0000_i1153" o:spt="75" type="#_x0000_t75" style="height:16.95pt;width:16.95pt;" o:ole="t" filled="f" o:preferrelative="t" stroked="f" coordsize="21600,21600">
            <v:path/>
            <v:fill on="f" focussize="0,0"/>
            <v:stroke on="f" joinstyle="miter"/>
            <v:imagedata r:id="rId271" o:title=""/>
            <o:lock v:ext="edit" aspectratio="t"/>
            <w10:wrap type="none"/>
            <w10:anchorlock/>
          </v:shape>
          <o:OLEObject Type="Embed" ProgID="Equation.DSMT4" ShapeID="_x0000_i1153" DrawAspect="Content" ObjectID="_1468075853" r:id="rId270">
            <o:LockedField>false</o:LockedField>
          </o:OLEObject>
        </w:object>
      </w:r>
      <w:r>
        <w:rPr>
          <w:color w:val="auto"/>
          <w:szCs w:val="21"/>
          <w:highlight w:val="none"/>
        </w:rPr>
        <w:t>的偏导数为零</w:t>
      </w:r>
      <w:r>
        <w:rPr>
          <w:rFonts w:hint="eastAsia"/>
          <w:color w:val="auto"/>
          <w:szCs w:val="21"/>
          <w:highlight w:val="none"/>
        </w:rPr>
        <w:t>，则</w:t>
      </w:r>
    </w:p>
    <w:p w14:paraId="185E735E">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54" o:spt="75" type="#_x0000_t75" style="height:38.1pt;width:160.55pt;" o:ole="t" filled="f" o:preferrelative="t" stroked="f" coordsize="21600,21600">
            <v:path/>
            <v:fill on="f" focussize="0,0"/>
            <v:stroke on="f" joinstyle="miter"/>
            <v:imagedata r:id="rId273" o:title=""/>
            <o:lock v:ext="edit" aspectratio="t"/>
            <w10:wrap type="none"/>
            <w10:anchorlock/>
          </v:shape>
          <o:OLEObject Type="Embed" ProgID="Equation.DSMT4" ShapeID="_x0000_i1154" DrawAspect="Content" ObjectID="_1468075854" r:id="rId27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(26)</w:instrText>
      </w:r>
      <w:r>
        <w:rPr>
          <w:color w:val="auto"/>
          <w:highlight w:val="none"/>
        </w:rPr>
        <w:fldChar w:fldCharType="end"/>
      </w:r>
    </w:p>
    <w:p w14:paraId="7A7C8A1A">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55" o:spt="75" type="#_x0000_t75" style="height:42.35pt;width:206pt;" o:ole="t" filled="f" o:preferrelative="t" stroked="f" coordsize="21600,21600">
            <v:path/>
            <v:fill on="f" focussize="0,0"/>
            <v:stroke on="f" joinstyle="miter"/>
            <v:imagedata r:id="rId275" o:title=""/>
            <o:lock v:ext="edit" aspectratio="t"/>
            <w10:wrap type="none"/>
            <w10:anchorlock/>
          </v:shape>
          <o:OLEObject Type="Embed" ProgID="Equation.DSMT4" ShapeID="_x0000_i1155" DrawAspect="Content" ObjectID="_1468075855" r:id="rId274">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(27)</w:instrText>
      </w:r>
      <w:r>
        <w:rPr>
          <w:color w:val="auto"/>
          <w:highlight w:val="none"/>
        </w:rPr>
        <w:fldChar w:fldCharType="end"/>
      </w:r>
    </w:p>
    <w:p w14:paraId="16CB070D">
      <w:pPr>
        <w:adjustRightInd w:val="0"/>
        <w:snapToGrid w:val="0"/>
        <w:ind w:firstLine="420" w:firstLineChars="200"/>
        <w:rPr>
          <w:color w:val="auto"/>
          <w:szCs w:val="21"/>
          <w:highlight w:val="none"/>
        </w:rPr>
      </w:pPr>
      <w:r>
        <w:rPr>
          <w:color w:val="auto"/>
          <w:szCs w:val="21"/>
          <w:highlight w:val="none"/>
        </w:rPr>
        <w:t>联立上述方程求解，可得极大似然估计值</w:t>
      </w:r>
      <w:r>
        <w:rPr>
          <w:color w:val="auto"/>
          <w:position w:val="-6"/>
          <w:highlight w:val="none"/>
        </w:rPr>
        <w:object>
          <v:shape id="_x0000_i1156" o:spt="75" type="#_x0000_t75" style="height:16.95pt;width:11.15pt;" o:ole="t" filled="f" o:preferrelative="t" stroked="f" coordsize="21600,21600">
            <v:path/>
            <v:fill on="f" focussize="0,0"/>
            <v:stroke on="f" joinstyle="miter"/>
            <v:imagedata r:id="rId277" o:title=""/>
            <o:lock v:ext="edit" aspectratio="t"/>
            <w10:wrap type="none"/>
            <w10:anchorlock/>
          </v:shape>
          <o:OLEObject Type="Embed" ProgID="Equation.DSMT4" ShapeID="_x0000_i1156" DrawAspect="Content" ObjectID="_1468075856" r:id="rId276">
            <o:LockedField>false</o:LockedField>
          </o:OLEObject>
        </w:object>
      </w:r>
      <w:r>
        <w:rPr>
          <w:color w:val="auto"/>
          <w:szCs w:val="21"/>
          <w:highlight w:val="none"/>
        </w:rPr>
        <w:t>和</w:t>
      </w:r>
      <w:r>
        <w:rPr>
          <w:color w:val="auto"/>
          <w:position w:val="-6"/>
          <w:highlight w:val="none"/>
        </w:rPr>
        <w:object>
          <v:shape id="_x0000_i1157" o:spt="75" type="#_x0000_t75" style="height:16.95pt;width:16.95pt;" o:ole="t" filled="f" o:preferrelative="t" stroked="f" coordsize="21600,21600">
            <v:path/>
            <v:fill on="f" focussize="0,0"/>
            <v:stroke on="f" joinstyle="miter"/>
            <v:imagedata r:id="rId279" o:title=""/>
            <o:lock v:ext="edit" aspectratio="t"/>
            <w10:wrap type="none"/>
            <w10:anchorlock/>
          </v:shape>
          <o:OLEObject Type="Embed" ProgID="Equation.DSMT4" ShapeID="_x0000_i1157" DrawAspect="Content" ObjectID="_1468075857" r:id="rId278">
            <o:LockedField>false</o:LockedField>
          </o:OLEObject>
        </w:object>
      </w:r>
      <w:r>
        <w:rPr>
          <w:color w:val="auto"/>
          <w:szCs w:val="21"/>
          <w:highlight w:val="none"/>
        </w:rPr>
        <w:t>分别为</w:t>
      </w:r>
    </w:p>
    <w:p w14:paraId="05DA3E17">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58" o:spt="75" type="#_x0000_t75" style="height:50.05pt;width:100.5pt;" o:ole="t" filled="f" o:preferrelative="t" stroked="f" coordsize="21600,21600">
            <v:path/>
            <v:fill on="f" focussize="0,0"/>
            <v:stroke on="f" joinstyle="miter"/>
            <v:imagedata r:id="rId281" o:title=""/>
            <o:lock v:ext="edit" aspectratio="t"/>
            <w10:wrap type="none"/>
            <w10:anchorlock/>
          </v:shape>
          <o:OLEObject Type="Embed" ProgID="Equation.DSMT4" ShapeID="_x0000_i1158" DrawAspect="Content" ObjectID="_1468075858" r:id="rId28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(28)</w:instrText>
      </w:r>
      <w:r>
        <w:rPr>
          <w:color w:val="auto"/>
          <w:highlight w:val="none"/>
        </w:rPr>
        <w:fldChar w:fldCharType="end"/>
      </w:r>
    </w:p>
    <w:p w14:paraId="208CACF5">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59" o:spt="75" type="#_x0000_t75" style="height:40.8pt;width:122.8pt;" o:ole="t" filled="f" o:preferrelative="t" stroked="f" coordsize="21600,21600">
            <v:path/>
            <v:fill on="f" focussize="0,0"/>
            <v:stroke on="f" joinstyle="miter"/>
            <v:imagedata r:id="rId283" o:title=""/>
            <o:lock v:ext="edit" aspectratio="t"/>
            <w10:wrap type="none"/>
            <w10:anchorlock/>
          </v:shape>
          <o:OLEObject Type="Embed" ProgID="Equation.DSMT4" ShapeID="_x0000_i1159" DrawAspect="Content" ObjectID="_1468075859" r:id="rId28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(29)</w:instrText>
      </w:r>
      <w:r>
        <w:rPr>
          <w:color w:val="auto"/>
          <w:highlight w:val="none"/>
        </w:rPr>
        <w:fldChar w:fldCharType="end"/>
      </w:r>
    </w:p>
    <w:p w14:paraId="4FD3FA1C">
      <w:pPr>
        <w:snapToGrid w:val="0"/>
        <w:ind w:firstLine="420" w:firstLineChars="200"/>
        <w:rPr>
          <w:color w:val="auto"/>
          <w:highlight w:val="none"/>
        </w:rPr>
      </w:pPr>
      <w:r>
        <w:rPr>
          <w:color w:val="auto"/>
          <w:szCs w:val="21"/>
          <w:highlight w:val="none"/>
        </w:rPr>
        <w:t>由此可见，</w:t>
      </w:r>
      <w:r>
        <w:rPr>
          <w:color w:val="auto"/>
          <w:position w:val="-6"/>
          <w:highlight w:val="none"/>
        </w:rPr>
        <w:object>
          <v:shape id="_x0000_i1160" o:spt="75" type="#_x0000_t75" style="height:13.85pt;width:11.15pt;" o:ole="t" filled="f" o:preferrelative="t" stroked="f" coordsize="21600,21600">
            <v:path/>
            <v:fill on="f" focussize="0,0"/>
            <v:stroke on="f" joinstyle="miter"/>
            <v:imagedata r:id="rId285" o:title=""/>
            <o:lock v:ext="edit" aspectratio="t"/>
            <w10:wrap type="none"/>
            <w10:anchorlock/>
          </v:shape>
          <o:OLEObject Type="Embed" ProgID="Equation.DSMT4" ShapeID="_x0000_i1160" DrawAspect="Content" ObjectID="_1468075860" r:id="rId284">
            <o:LockedField>false</o:LockedField>
          </o:OLEObject>
        </w:object>
      </w:r>
      <w:r>
        <w:rPr>
          <w:color w:val="auto"/>
          <w:szCs w:val="21"/>
          <w:highlight w:val="none"/>
        </w:rPr>
        <w:t>的估计仅依赖于当前时刻的累积退化量与运行时间，而</w:t>
      </w:r>
      <w:r>
        <w:rPr>
          <w:color w:val="auto"/>
          <w:position w:val="-6"/>
          <w:highlight w:val="none"/>
        </w:rPr>
        <w:object>
          <v:shape id="_x0000_i1161" o:spt="75" type="#_x0000_t75" style="height:16.95pt;width:16.95pt;" o:ole="t" filled="f" o:preferrelative="t" stroked="f" coordsize="21600,21600">
            <v:path/>
            <v:fill on="f" focussize="0,0"/>
            <v:stroke on="f" joinstyle="miter"/>
            <v:imagedata r:id="rId287" o:title=""/>
            <o:lock v:ext="edit" aspectratio="t"/>
            <w10:wrap type="none"/>
            <w10:anchorlock/>
          </v:shape>
          <o:OLEObject Type="Embed" ProgID="Equation.DSMT4" ShapeID="_x0000_i1161" DrawAspect="Content" ObjectID="_1468075861" r:id="rId286">
            <o:LockedField>false</o:LockedField>
          </o:OLEObject>
        </w:object>
      </w:r>
      <w:r>
        <w:rPr>
          <w:color w:val="auto"/>
          <w:szCs w:val="21"/>
          <w:highlight w:val="none"/>
        </w:rPr>
        <w:t>则反映了历史退化路径在平均趋势周围的波动情况。将估计结果代入</w:t>
      </w:r>
      <w:r>
        <w:rPr>
          <w:iCs/>
          <w:color w:val="auto"/>
          <w:szCs w:val="21"/>
          <w:highlight w:val="none"/>
        </w:rPr>
        <w:fldChar w:fldCharType="begin"/>
      </w:r>
      <w:r>
        <w:rPr>
          <w:iCs/>
          <w:color w:val="auto"/>
          <w:szCs w:val="21"/>
          <w:highlight w:val="none"/>
        </w:rPr>
        <w:instrText xml:space="preserve"> GOTOBUTTON ZEqnNum746404  \* MERGEFORMAT (23)</w:instrText>
      </w:r>
      <w:r>
        <w:rPr>
          <w:iCs/>
          <w:color w:val="auto"/>
          <w:szCs w:val="21"/>
          <w:highlight w:val="none"/>
        </w:rPr>
        <w:fldChar w:fldCharType="end"/>
      </w:r>
      <w:r>
        <w:rPr>
          <w:color w:val="auto"/>
          <w:szCs w:val="21"/>
          <w:highlight w:val="none"/>
        </w:rPr>
        <w:t>，即可获得</w:t>
      </w:r>
      <w:r>
        <w:rPr>
          <w:i/>
          <w:iCs/>
          <w:color w:val="auto"/>
          <w:szCs w:val="21"/>
          <w:highlight w:val="none"/>
        </w:rPr>
        <w:t>RUL</w:t>
      </w:r>
      <w:r>
        <w:rPr>
          <w:color w:val="auto"/>
          <w:szCs w:val="21"/>
          <w:highlight w:val="none"/>
        </w:rPr>
        <w:t>的概率分布，并进一步计算其期望值作为</w:t>
      </w:r>
      <w:r>
        <w:rPr>
          <w:i/>
          <w:iCs/>
          <w:color w:val="auto"/>
          <w:szCs w:val="21"/>
          <w:highlight w:val="none"/>
        </w:rPr>
        <w:t>RUL</w:t>
      </w:r>
      <w:r>
        <w:rPr>
          <w:color w:val="auto"/>
          <w:szCs w:val="21"/>
          <w:highlight w:val="none"/>
        </w:rPr>
        <w:t>预测结果。</w:t>
      </w:r>
    </w:p>
    <w:bookmarkEnd w:id="0"/>
    <w:p w14:paraId="122EEC7A">
      <w:pPr>
        <w:adjustRightInd w:val="0"/>
        <w:snapToGrid w:val="0"/>
        <w:rPr>
          <w:rFonts w:hint="eastAsia" w:ascii="宋体" w:hAnsi="宋体"/>
          <w:bCs/>
          <w:color w:val="auto"/>
          <w:sz w:val="24"/>
          <w:highlight w:val="none"/>
          <w:lang w:val="en-GB"/>
        </w:rPr>
      </w:pPr>
      <w:r>
        <w:rPr>
          <w:rFonts w:ascii="宋体" w:hAnsi="宋体"/>
          <w:bCs/>
          <w:color w:val="auto"/>
          <w:sz w:val="28"/>
          <w:szCs w:val="28"/>
          <w:highlight w:val="none"/>
        </w:rPr>
        <w:t>3 结果与分析</w:t>
      </w:r>
    </w:p>
    <w:p w14:paraId="2D32B1CE">
      <w:pPr>
        <w:adjustRightInd w:val="0"/>
        <w:snapToGrid w:val="0"/>
        <w:ind w:firstLine="420" w:firstLineChars="200"/>
        <w:rPr>
          <w:color w:val="auto"/>
          <w:szCs w:val="21"/>
          <w:highlight w:val="none"/>
        </w:rPr>
      </w:pPr>
      <w:r>
        <w:rPr>
          <w:color w:val="auto"/>
          <w:szCs w:val="21"/>
          <w:highlight w:val="none"/>
        </w:rPr>
        <w:t>为评估所提出模型在</w:t>
      </w:r>
      <w:r>
        <w:rPr>
          <w:i/>
          <w:iCs/>
          <w:color w:val="auto"/>
          <w:szCs w:val="21"/>
          <w:highlight w:val="none"/>
        </w:rPr>
        <w:t>HI</w:t>
      </w:r>
      <w:r>
        <w:rPr>
          <w:color w:val="auto"/>
          <w:szCs w:val="21"/>
          <w:highlight w:val="none"/>
        </w:rPr>
        <w:t>和</w:t>
      </w:r>
      <w:r>
        <w:rPr>
          <w:i/>
          <w:iCs/>
          <w:color w:val="auto"/>
          <w:szCs w:val="21"/>
          <w:highlight w:val="none"/>
        </w:rPr>
        <w:t>RUL</w:t>
      </w:r>
      <w:r>
        <w:rPr>
          <w:color w:val="auto"/>
          <w:szCs w:val="21"/>
          <w:highlight w:val="none"/>
        </w:rPr>
        <w:t xml:space="preserve">预测中的性能，采用四种评价指标，分别是均方根误差（Root </w:t>
      </w:r>
      <w:r>
        <w:rPr>
          <w:rFonts w:hint="eastAsia"/>
          <w:color w:val="auto"/>
          <w:szCs w:val="21"/>
          <w:highlight w:val="none"/>
        </w:rPr>
        <w:t>M</w:t>
      </w:r>
      <w:r>
        <w:rPr>
          <w:color w:val="auto"/>
          <w:szCs w:val="21"/>
          <w:highlight w:val="none"/>
        </w:rPr>
        <w:t xml:space="preserve">ean </w:t>
      </w:r>
      <w:r>
        <w:rPr>
          <w:rFonts w:hint="eastAsia"/>
          <w:color w:val="auto"/>
          <w:szCs w:val="21"/>
          <w:highlight w:val="none"/>
        </w:rPr>
        <w:t>S</w:t>
      </w:r>
      <w:r>
        <w:rPr>
          <w:color w:val="auto"/>
          <w:szCs w:val="21"/>
          <w:highlight w:val="none"/>
        </w:rPr>
        <w:t xml:space="preserve">quare </w:t>
      </w:r>
      <w:r>
        <w:rPr>
          <w:rFonts w:hint="eastAsia"/>
          <w:color w:val="auto"/>
          <w:szCs w:val="21"/>
          <w:highlight w:val="none"/>
        </w:rPr>
        <w:t>E</w:t>
      </w:r>
      <w:r>
        <w:rPr>
          <w:color w:val="auto"/>
          <w:szCs w:val="21"/>
          <w:highlight w:val="none"/>
        </w:rPr>
        <w:t xml:space="preserve">rror, </w:t>
      </w:r>
      <w:r>
        <w:rPr>
          <w:i/>
          <w:iCs/>
          <w:color w:val="auto"/>
          <w:szCs w:val="21"/>
          <w:highlight w:val="none"/>
        </w:rPr>
        <w:t>RMSE</w:t>
      </w:r>
      <w:r>
        <w:rPr>
          <w:color w:val="auto"/>
          <w:szCs w:val="21"/>
          <w:highlight w:val="none"/>
        </w:rPr>
        <w:t xml:space="preserve">）、平均绝对误差（Mean </w:t>
      </w:r>
      <w:r>
        <w:rPr>
          <w:rFonts w:hint="eastAsia"/>
          <w:color w:val="auto"/>
          <w:szCs w:val="21"/>
          <w:highlight w:val="none"/>
        </w:rPr>
        <w:t>A</w:t>
      </w:r>
      <w:r>
        <w:rPr>
          <w:color w:val="auto"/>
          <w:szCs w:val="21"/>
          <w:highlight w:val="none"/>
        </w:rPr>
        <w:t xml:space="preserve">bsolute </w:t>
      </w:r>
      <w:r>
        <w:rPr>
          <w:rFonts w:hint="eastAsia"/>
          <w:color w:val="auto"/>
          <w:szCs w:val="21"/>
          <w:highlight w:val="none"/>
        </w:rPr>
        <w:t>E</w:t>
      </w:r>
      <w:r>
        <w:rPr>
          <w:color w:val="auto"/>
          <w:szCs w:val="21"/>
          <w:highlight w:val="none"/>
        </w:rPr>
        <w:t xml:space="preserve">rror, </w:t>
      </w:r>
      <w:r>
        <w:rPr>
          <w:i/>
          <w:iCs/>
          <w:color w:val="auto"/>
          <w:szCs w:val="21"/>
          <w:highlight w:val="none"/>
        </w:rPr>
        <w:t>MAE</w:t>
      </w:r>
      <w:r>
        <w:rPr>
          <w:color w:val="auto"/>
          <w:szCs w:val="21"/>
          <w:highlight w:val="none"/>
        </w:rPr>
        <w:t xml:space="preserve">）、平均绝对百分比误差（Mean </w:t>
      </w:r>
      <w:r>
        <w:rPr>
          <w:rFonts w:hint="eastAsia"/>
          <w:color w:val="auto"/>
          <w:szCs w:val="21"/>
          <w:highlight w:val="none"/>
        </w:rPr>
        <w:t>A</w:t>
      </w:r>
      <w:r>
        <w:rPr>
          <w:color w:val="auto"/>
          <w:szCs w:val="21"/>
          <w:highlight w:val="none"/>
        </w:rPr>
        <w:t xml:space="preserve">bsolute </w:t>
      </w:r>
      <w:r>
        <w:rPr>
          <w:rFonts w:hint="eastAsia"/>
          <w:color w:val="auto"/>
          <w:szCs w:val="21"/>
          <w:highlight w:val="none"/>
        </w:rPr>
        <w:t>P</w:t>
      </w:r>
      <w:r>
        <w:rPr>
          <w:color w:val="auto"/>
          <w:szCs w:val="21"/>
          <w:highlight w:val="none"/>
        </w:rPr>
        <w:t xml:space="preserve">ercentage </w:t>
      </w:r>
      <w:r>
        <w:rPr>
          <w:rFonts w:hint="eastAsia"/>
          <w:color w:val="auto"/>
          <w:szCs w:val="21"/>
          <w:highlight w:val="none"/>
        </w:rPr>
        <w:t>E</w:t>
      </w:r>
      <w:r>
        <w:rPr>
          <w:color w:val="auto"/>
          <w:szCs w:val="21"/>
          <w:highlight w:val="none"/>
        </w:rPr>
        <w:t xml:space="preserve">rror, </w:t>
      </w:r>
      <w:r>
        <w:rPr>
          <w:i/>
          <w:iCs/>
          <w:color w:val="auto"/>
          <w:szCs w:val="21"/>
          <w:highlight w:val="none"/>
        </w:rPr>
        <w:t>MAPE</w:t>
      </w:r>
      <w:r>
        <w:rPr>
          <w:color w:val="auto"/>
          <w:szCs w:val="21"/>
          <w:highlight w:val="none"/>
        </w:rPr>
        <w:t>）和决定系数（Coefficient of Determination,</w:t>
      </w:r>
      <w:r>
        <w:rPr>
          <w:i/>
          <w:iCs/>
          <w:color w:val="auto"/>
          <w:szCs w:val="21"/>
          <w:highlight w:val="none"/>
        </w:rPr>
        <w:t xml:space="preserve"> R</w:t>
      </w:r>
      <w:r>
        <w:rPr>
          <w:color w:val="auto"/>
          <w:szCs w:val="21"/>
          <w:highlight w:val="none"/>
          <w:vertAlign w:val="superscript"/>
        </w:rPr>
        <w:t>2</w:t>
      </w:r>
      <w:r>
        <w:rPr>
          <w:color w:val="auto"/>
          <w:szCs w:val="21"/>
          <w:highlight w:val="none"/>
        </w:rPr>
        <w:t>）。计算公式</w:t>
      </w:r>
      <w:r>
        <w:rPr>
          <w:rFonts w:hint="eastAsia"/>
          <w:color w:val="auto"/>
          <w:szCs w:val="21"/>
          <w:highlight w:val="none"/>
        </w:rPr>
        <w:t>为</w:t>
      </w:r>
    </w:p>
    <w:p w14:paraId="0CDBE921">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62" o:spt="75" type="#_x0000_t75" style="height:40.45pt;width:124.35pt;" o:ole="t" filled="f" o:preferrelative="t" stroked="f" coordsize="21600,21600">
            <v:path/>
            <v:fill on="f" focussize="0,0"/>
            <v:stroke on="f" joinstyle="miter"/>
            <v:imagedata r:id="rId289" o:title=""/>
            <o:lock v:ext="edit" aspectratio="t"/>
            <w10:wrap type="none"/>
            <w10:anchorlock/>
          </v:shape>
          <o:OLEObject Type="Embed" ProgID="Equation.DSMT4" ShapeID="_x0000_i1162" DrawAspect="Content" ObjectID="_1468075862" r:id="rId288">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(30)</w:instrText>
      </w:r>
      <w:r>
        <w:rPr>
          <w:color w:val="auto"/>
          <w:highlight w:val="none"/>
        </w:rPr>
        <w:fldChar w:fldCharType="end"/>
      </w:r>
    </w:p>
    <w:p w14:paraId="6B8B60CA">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63" o:spt="75" type="#_x0000_t75" style="height:36.2pt;width:100.9pt;" o:ole="t" filled="f" o:preferrelative="t" stroked="f" coordsize="21600,21600">
            <v:path/>
            <v:fill on="f" focussize="0,0"/>
            <v:stroke on="f" joinstyle="miter"/>
            <v:imagedata r:id="rId291" o:title=""/>
            <o:lock v:ext="edit" aspectratio="t"/>
            <w10:wrap type="none"/>
            <w10:anchorlock/>
          </v:shape>
          <o:OLEObject Type="Embed" ProgID="Equation.DSMT4" ShapeID="_x0000_i1163" DrawAspect="Content" ObjectID="_1468075863" r:id="rId290">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(31)</w:instrText>
      </w:r>
      <w:r>
        <w:rPr>
          <w:color w:val="auto"/>
          <w:highlight w:val="none"/>
        </w:rPr>
        <w:fldChar w:fldCharType="end"/>
      </w:r>
    </w:p>
    <w:p w14:paraId="5D0D225D">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64" o:spt="75" type="#_x0000_t75" style="height:38.1pt;width:144pt;" o:ole="t" filled="f" o:preferrelative="t" stroked="f" coordsize="21600,21600">
            <v:path/>
            <v:fill on="f" focussize="0,0"/>
            <v:stroke on="f" joinstyle="miter"/>
            <v:imagedata r:id="rId293" o:title=""/>
            <o:lock v:ext="edit" aspectratio="t"/>
            <w10:wrap type="none"/>
            <w10:anchorlock/>
          </v:shape>
          <o:OLEObject Type="Embed" ProgID="Equation.DSMT4" ShapeID="_x0000_i1164" DrawAspect="Content" ObjectID="_1468075864" r:id="rId292">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(32)</w:instrText>
      </w:r>
      <w:r>
        <w:rPr>
          <w:color w:val="auto"/>
          <w:highlight w:val="none"/>
        </w:rPr>
        <w:fldChar w:fldCharType="end"/>
      </w:r>
    </w:p>
    <w:p w14:paraId="5BEC22B9">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position w:val="-4"/>
          <w:highlight w:val="none"/>
        </w:rPr>
        <w:object>
          <v:shape id="_x0000_i1165" o:spt="75" type="#_x0000_t75" style="height:45.8pt;width:115.5pt;" o:ole="t" filled="f" o:preferrelative="t" stroked="f" coordsize="21600,21600">
            <v:path/>
            <v:fill on="f" focussize="0,0"/>
            <v:stroke on="f" joinstyle="miter"/>
            <v:imagedata r:id="rId295" o:title=""/>
            <o:lock v:ext="edit" aspectratio="t"/>
            <w10:wrap type="none"/>
            <w10:anchorlock/>
          </v:shape>
          <o:OLEObject Type="Embed" ProgID="Equation.DSMT4" ShapeID="_x0000_i1165" DrawAspect="Content" ObjectID="_1468075865" r:id="rId294">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(33)</w:instrText>
      </w:r>
      <w:r>
        <w:rPr>
          <w:color w:val="auto"/>
          <w:highlight w:val="none"/>
        </w:rPr>
        <w:fldChar w:fldCharType="end"/>
      </w:r>
    </w:p>
    <w:p w14:paraId="0CFD045A">
      <w:pPr>
        <w:adjustRightInd w:val="0"/>
        <w:snapToGrid w:val="0"/>
        <w:rPr>
          <w:color w:val="auto"/>
          <w:szCs w:val="21"/>
          <w:highlight w:val="none"/>
        </w:rPr>
      </w:pPr>
      <w:r>
        <w:rPr>
          <w:color w:val="auto"/>
          <w:szCs w:val="21"/>
          <w:highlight w:val="none"/>
        </w:rPr>
        <w:t>式中，</w:t>
      </w:r>
      <w:r>
        <w:rPr>
          <w:color w:val="auto"/>
          <w:position w:val="-6"/>
          <w:highlight w:val="none"/>
        </w:rPr>
        <w:object>
          <v:shape id="_x0000_i1166" o:spt="75" type="#_x0000_t75" style="height:11.15pt;width:10pt;" o:ole="t" filled="f" o:preferrelative="t" stroked="f" coordsize="21600,21600">
            <v:path/>
            <v:fill on="f" focussize="0,0"/>
            <v:stroke on="f" joinstyle="miter"/>
            <v:imagedata r:id="rId297" o:title=""/>
            <o:lock v:ext="edit" aspectratio="t"/>
            <w10:wrap type="none"/>
            <w10:anchorlock/>
          </v:shape>
          <o:OLEObject Type="Embed" ProgID="Equation.DSMT4" ShapeID="_x0000_i1166" DrawAspect="Content" ObjectID="_1468075866" r:id="rId296">
            <o:LockedField>false</o:LockedField>
          </o:OLEObject>
        </w:object>
      </w:r>
      <w:r>
        <w:rPr>
          <w:color w:val="auto"/>
          <w:szCs w:val="21"/>
          <w:highlight w:val="none"/>
        </w:rPr>
        <w:t>表示测试样本的总数；</w:t>
      </w:r>
      <w:r>
        <w:rPr>
          <w:color w:val="auto"/>
          <w:position w:val="-12"/>
          <w:highlight w:val="none"/>
        </w:rPr>
        <w:object>
          <v:shape id="_x0000_i1167" o:spt="75" type="#_x0000_t75" style="height:18.5pt;width:12.7pt;" o:ole="t" filled="f" o:preferrelative="t" stroked="f" coordsize="21600,21600">
            <v:path/>
            <v:fill on="f" focussize="0,0"/>
            <v:stroke on="f" joinstyle="miter"/>
            <v:imagedata r:id="rId299" o:title=""/>
            <o:lock v:ext="edit" aspectratio="t"/>
            <w10:wrap type="none"/>
            <w10:anchorlock/>
          </v:shape>
          <o:OLEObject Type="Embed" ProgID="Equation.DSMT4" ShapeID="_x0000_i1167" DrawAspect="Content" ObjectID="_1468075867" r:id="rId298">
            <o:LockedField>false</o:LockedField>
          </o:OLEObject>
        </w:object>
      </w:r>
      <w:r>
        <w:rPr>
          <w:color w:val="auto"/>
          <w:szCs w:val="21"/>
          <w:highlight w:val="none"/>
        </w:rPr>
        <w:t>表示第</w:t>
      </w:r>
      <w:r>
        <w:rPr>
          <w:color w:val="auto"/>
          <w:position w:val="-6"/>
          <w:highlight w:val="none"/>
        </w:rPr>
        <w:object>
          <v:shape id="_x0000_i1168" o:spt="75" type="#_x0000_t75" style="height:12.7pt;width:6.95pt;" o:ole="t" filled="f" o:preferrelative="t" stroked="f" coordsize="21600,21600">
            <v:path/>
            <v:fill on="f" focussize="0,0"/>
            <v:stroke on="f" joinstyle="miter"/>
            <v:imagedata r:id="rId301" o:title=""/>
            <o:lock v:ext="edit" aspectratio="t"/>
            <w10:wrap type="none"/>
            <w10:anchorlock/>
          </v:shape>
          <o:OLEObject Type="Embed" ProgID="Equation.DSMT4" ShapeID="_x0000_i1168" DrawAspect="Content" ObjectID="_1468075868" r:id="rId300">
            <o:LockedField>false</o:LockedField>
          </o:OLEObject>
        </w:object>
      </w:r>
      <w:r>
        <w:rPr>
          <w:color w:val="auto"/>
          <w:szCs w:val="21"/>
          <w:highlight w:val="none"/>
        </w:rPr>
        <w:t>个样本的真实值；</w:t>
      </w:r>
      <w:r>
        <w:rPr>
          <w:color w:val="auto"/>
          <w:position w:val="-12"/>
          <w:highlight w:val="none"/>
        </w:rPr>
        <w:object>
          <v:shape id="_x0000_i1169" o:spt="75" type="#_x0000_t75" style="height:18.5pt;width:12.7pt;" o:ole="t" filled="f" o:preferrelative="t" stroked="f" coordsize="21600,21600">
            <v:path/>
            <v:fill on="f" focussize="0,0"/>
            <v:stroke on="f" joinstyle="miter"/>
            <v:imagedata r:id="rId303" o:title=""/>
            <o:lock v:ext="edit" aspectratio="t"/>
            <w10:wrap type="none"/>
            <w10:anchorlock/>
          </v:shape>
          <o:OLEObject Type="Embed" ProgID="Equation.DSMT4" ShapeID="_x0000_i1169" DrawAspect="Content" ObjectID="_1468075869" r:id="rId302">
            <o:LockedField>false</o:LockedField>
          </o:OLEObject>
        </w:object>
      </w:r>
      <w:r>
        <w:rPr>
          <w:color w:val="auto"/>
          <w:szCs w:val="21"/>
          <w:highlight w:val="none"/>
        </w:rPr>
        <w:t>表示模型针对第</w:t>
      </w:r>
      <w:r>
        <w:rPr>
          <w:color w:val="auto"/>
          <w:position w:val="-6"/>
          <w:highlight w:val="none"/>
        </w:rPr>
        <w:object>
          <v:shape id="_x0000_i1170" o:spt="75" type="#_x0000_t75" style="height:12.7pt;width:6.95pt;" o:ole="t" filled="f" o:preferrelative="t" stroked="f" coordsize="21600,21600">
            <v:path/>
            <v:fill on="f" focussize="0,0"/>
            <v:stroke on="f" joinstyle="miter"/>
            <v:imagedata r:id="rId305" o:title=""/>
            <o:lock v:ext="edit" aspectratio="t"/>
            <w10:wrap type="none"/>
            <w10:anchorlock/>
          </v:shape>
          <o:OLEObject Type="Embed" ProgID="Equation.DSMT4" ShapeID="_x0000_i1170" DrawAspect="Content" ObjectID="_1468075870" r:id="rId304">
            <o:LockedField>false</o:LockedField>
          </o:OLEObject>
        </w:object>
      </w:r>
      <w:r>
        <w:rPr>
          <w:color w:val="auto"/>
          <w:szCs w:val="21"/>
          <w:highlight w:val="none"/>
        </w:rPr>
        <w:t>个样本的预测值；</w:t>
      </w:r>
      <w:r>
        <w:rPr>
          <w:color w:val="auto"/>
          <w:position w:val="-10"/>
          <w:highlight w:val="none"/>
        </w:rPr>
        <w:object>
          <v:shape id="_x0000_i1171" o:spt="75" type="#_x0000_t75" style="height:14.65pt;width:11.15pt;" o:ole="t" filled="f" o:preferrelative="t" stroked="f" coordsize="21600,21600">
            <v:path/>
            <v:fill on="f" focussize="0,0"/>
            <v:stroke on="f" joinstyle="miter"/>
            <v:imagedata r:id="rId307" o:title=""/>
            <o:lock v:ext="edit" aspectratio="t"/>
            <w10:wrap type="none"/>
            <w10:anchorlock/>
          </v:shape>
          <o:OLEObject Type="Embed" ProgID="Equation.DSMT4" ShapeID="_x0000_i1171" DrawAspect="Content" ObjectID="_1468075871" r:id="rId306">
            <o:LockedField>false</o:LockedField>
          </o:OLEObject>
        </w:object>
      </w:r>
      <w:r>
        <w:rPr>
          <w:color w:val="auto"/>
          <w:szCs w:val="21"/>
          <w:highlight w:val="none"/>
        </w:rPr>
        <w:t>表示真实值的平均值。</w:t>
      </w:r>
    </w:p>
    <w:p w14:paraId="619CAECF">
      <w:pPr>
        <w:adjustRightInd w:val="0"/>
        <w:snapToGrid w:val="0"/>
        <w:ind w:firstLine="420" w:firstLineChars="200"/>
        <w:rPr>
          <w:color w:val="auto"/>
          <w:szCs w:val="21"/>
          <w:highlight w:val="none"/>
        </w:rPr>
      </w:pPr>
      <w:r>
        <w:rPr>
          <w:color w:val="auto"/>
          <w:szCs w:val="21"/>
          <w:highlight w:val="none"/>
        </w:rPr>
        <w:t>需说明的是，考虑到电池失效时刻的真实</w:t>
      </w:r>
      <w:r>
        <w:rPr>
          <w:i/>
          <w:iCs/>
          <w:color w:val="auto"/>
          <w:szCs w:val="21"/>
          <w:highlight w:val="none"/>
        </w:rPr>
        <w:t>RUL</w:t>
      </w:r>
      <w:r>
        <w:rPr>
          <w:color w:val="auto"/>
          <w:szCs w:val="21"/>
          <w:highlight w:val="none"/>
        </w:rPr>
        <w:t>值为0，此时</w:t>
      </w:r>
      <w:r>
        <w:rPr>
          <w:i/>
          <w:iCs/>
          <w:color w:val="auto"/>
          <w:szCs w:val="21"/>
          <w:highlight w:val="none"/>
        </w:rPr>
        <w:t>MAPE</w:t>
      </w:r>
      <w:r>
        <w:rPr>
          <w:color w:val="auto"/>
          <w:szCs w:val="21"/>
          <w:highlight w:val="none"/>
        </w:rPr>
        <w:t>计算公式中的分母为0会导致存在奇异点问题，因此本研究未采用</w:t>
      </w:r>
      <w:r>
        <w:rPr>
          <w:i/>
          <w:iCs/>
          <w:color w:val="auto"/>
          <w:szCs w:val="21"/>
          <w:highlight w:val="none"/>
        </w:rPr>
        <w:t>MAPE</w:t>
      </w:r>
      <w:r>
        <w:rPr>
          <w:color w:val="auto"/>
          <w:szCs w:val="21"/>
          <w:highlight w:val="none"/>
        </w:rPr>
        <w:t>作为</w:t>
      </w:r>
      <w:r>
        <w:rPr>
          <w:i/>
          <w:iCs/>
          <w:color w:val="auto"/>
          <w:szCs w:val="21"/>
          <w:highlight w:val="none"/>
        </w:rPr>
        <w:t>RUL</w:t>
      </w:r>
      <w:r>
        <w:rPr>
          <w:color w:val="auto"/>
          <w:szCs w:val="21"/>
          <w:highlight w:val="none"/>
        </w:rPr>
        <w:t>预测的评价指标。</w:t>
      </w:r>
    </w:p>
    <w:p w14:paraId="52EB2B4B">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3.1 COA关键参数设置与分析</w:t>
      </w:r>
    </w:p>
    <w:p w14:paraId="22E8ABE6">
      <w:pPr>
        <w:adjustRightInd w:val="0"/>
        <w:snapToGrid w:val="0"/>
        <w:ind w:firstLine="420" w:firstLineChars="200"/>
        <w:rPr>
          <w:color w:val="auto"/>
          <w:szCs w:val="21"/>
          <w:highlight w:val="none"/>
        </w:rPr>
      </w:pPr>
      <w:r>
        <w:rPr>
          <w:color w:val="auto"/>
          <w:szCs w:val="21"/>
          <w:highlight w:val="none"/>
        </w:rPr>
        <w:t>基于2.1节提出的COA-BP模型，利用滑动窗口构造特征向量，对L1和L2电池的</w:t>
      </w:r>
      <w:r>
        <w:rPr>
          <w:i/>
          <w:iCs/>
          <w:color w:val="auto"/>
          <w:szCs w:val="21"/>
          <w:highlight w:val="none"/>
        </w:rPr>
        <w:t>HI</w:t>
      </w:r>
      <w:r>
        <w:rPr>
          <w:color w:val="auto"/>
          <w:szCs w:val="21"/>
          <w:highlight w:val="none"/>
        </w:rPr>
        <w:t>进行预测。实验中，选取前50%的数据作为训练集，后50%的数据作为测试集。</w:t>
      </w:r>
    </w:p>
    <w:p w14:paraId="53174D40">
      <w:pPr>
        <w:adjustRightInd w:val="0"/>
        <w:snapToGrid w:val="0"/>
        <w:ind w:firstLine="420" w:firstLineChars="200"/>
        <w:rPr>
          <w:color w:val="auto"/>
          <w:szCs w:val="21"/>
          <w:highlight w:val="none"/>
        </w:rPr>
      </w:pPr>
      <w:r>
        <w:rPr>
          <w:color w:val="auto"/>
          <w:szCs w:val="21"/>
          <w:highlight w:val="none"/>
        </w:rPr>
        <w:t>为了确定COA模型的最佳超参数组合，本研究利用L1电池进行了参数敏感性实验。实验设置种群规模在10~50范围内变化，实验结果如表2所示。当种群规模＜30时，算法搜索能力不足导致误差较高；而种群规模＝30当时，</w:t>
      </w:r>
      <w:r>
        <w:rPr>
          <w:i/>
          <w:iCs/>
          <w:color w:val="auto"/>
          <w:szCs w:val="21"/>
          <w:highlight w:val="none"/>
        </w:rPr>
        <w:t>RMSE</w:t>
      </w:r>
      <w:r>
        <w:rPr>
          <w:color w:val="auto"/>
          <w:szCs w:val="21"/>
          <w:highlight w:val="none"/>
        </w:rPr>
        <w:t>降至最低点，且计算时间适中；继续增加种群规模不仅未提升精度，反而显著增加了计算耗时。因此本研究将种群规模设置为30。</w:t>
      </w:r>
    </w:p>
    <w:p w14:paraId="3FFB8104">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2</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不同种群规模下的COA模型性能对比</w:t>
      </w:r>
    </w:p>
    <w:p w14:paraId="2E915E74">
      <w:pPr>
        <w:adjustRightInd w:val="0"/>
        <w:snapToGrid w:val="0"/>
        <w:jc w:val="center"/>
        <w:rPr>
          <w:color w:val="auto"/>
          <w:sz w:val="18"/>
          <w:szCs w:val="18"/>
          <w:highlight w:val="none"/>
        </w:rPr>
      </w:pPr>
      <w:r>
        <w:rPr>
          <w:color w:val="auto"/>
          <w:sz w:val="18"/>
          <w:szCs w:val="18"/>
          <w:highlight w:val="none"/>
        </w:rPr>
        <w:t xml:space="preserve">Table 2 </w:t>
      </w:r>
      <w:r>
        <w:rPr>
          <w:rFonts w:hint="eastAsia"/>
          <w:color w:val="auto"/>
          <w:sz w:val="18"/>
          <w:szCs w:val="18"/>
          <w:highlight w:val="none"/>
        </w:rPr>
        <w:t xml:space="preserve"> </w:t>
      </w:r>
      <w:r>
        <w:rPr>
          <w:color w:val="auto"/>
          <w:sz w:val="18"/>
          <w:szCs w:val="18"/>
          <w:highlight w:val="none"/>
        </w:rPr>
        <w:t>Performance comparison of COA model under different population sizes</w:t>
      </w:r>
    </w:p>
    <w:tbl>
      <w:tblPr>
        <w:tblStyle w:val="10"/>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0"/>
        <w:gridCol w:w="3015"/>
        <w:gridCol w:w="2493"/>
        <w:gridCol w:w="2836"/>
      </w:tblGrid>
      <w:tr w14:paraId="4256A3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tcBorders>
              <w:top w:val="single" w:color="auto" w:sz="12" w:space="0"/>
              <w:bottom w:val="single" w:color="auto" w:sz="8" w:space="0"/>
            </w:tcBorders>
            <w:vAlign w:val="center"/>
          </w:tcPr>
          <w:p w14:paraId="19E1667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1530" w:type="pct"/>
            <w:tcBorders>
              <w:top w:val="single" w:color="auto" w:sz="12" w:space="0"/>
              <w:bottom w:val="single" w:color="auto" w:sz="8" w:space="0"/>
            </w:tcBorders>
            <w:vAlign w:val="center"/>
          </w:tcPr>
          <w:p w14:paraId="7725241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种群规模</w:t>
            </w:r>
          </w:p>
        </w:tc>
        <w:tc>
          <w:tcPr>
            <w:tcW w:w="1265" w:type="pct"/>
            <w:tcBorders>
              <w:top w:val="single" w:color="auto" w:sz="12" w:space="0"/>
              <w:bottom w:val="single" w:color="auto" w:sz="8" w:space="0"/>
            </w:tcBorders>
            <w:vAlign w:val="center"/>
          </w:tcPr>
          <w:p w14:paraId="66E69B63">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1439" w:type="pct"/>
            <w:tcBorders>
              <w:top w:val="single" w:color="auto" w:sz="12" w:space="0"/>
              <w:bottom w:val="single" w:color="auto" w:sz="8" w:space="0"/>
            </w:tcBorders>
            <w:vAlign w:val="center"/>
          </w:tcPr>
          <w:p w14:paraId="37E409B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时间</w:t>
            </w:r>
            <w:r>
              <w:rPr>
                <w:rFonts w:hint="eastAsia" w:ascii="Calibri" w:hAnsi="Calibri"/>
                <w:color w:val="auto"/>
                <w:sz w:val="18"/>
                <w:szCs w:val="18"/>
                <w:highlight w:val="none"/>
              </w:rPr>
              <w:t>/</w:t>
            </w:r>
            <w:r>
              <w:rPr>
                <w:rFonts w:ascii="Calibri" w:hAnsi="Calibri"/>
                <w:color w:val="auto"/>
                <w:sz w:val="18"/>
                <w:szCs w:val="18"/>
                <w:highlight w:val="none"/>
              </w:rPr>
              <w:t>s</w:t>
            </w:r>
          </w:p>
        </w:tc>
      </w:tr>
      <w:tr w14:paraId="1AF9E0E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restart"/>
            <w:tcBorders>
              <w:top w:val="single" w:color="auto" w:sz="8" w:space="0"/>
              <w:bottom w:val="nil"/>
            </w:tcBorders>
            <w:vAlign w:val="center"/>
          </w:tcPr>
          <w:p w14:paraId="10D016A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1530" w:type="pct"/>
            <w:tcBorders>
              <w:top w:val="single" w:color="auto" w:sz="8" w:space="0"/>
              <w:bottom w:val="nil"/>
            </w:tcBorders>
            <w:vAlign w:val="center"/>
          </w:tcPr>
          <w:p w14:paraId="1A01E33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10</w:t>
            </w:r>
          </w:p>
        </w:tc>
        <w:tc>
          <w:tcPr>
            <w:tcW w:w="1265" w:type="pct"/>
            <w:tcBorders>
              <w:top w:val="single" w:color="auto" w:sz="8" w:space="0"/>
              <w:bottom w:val="nil"/>
            </w:tcBorders>
            <w:vAlign w:val="center"/>
          </w:tcPr>
          <w:p w14:paraId="55770AC0">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10.653</w:t>
            </w:r>
          </w:p>
        </w:tc>
        <w:tc>
          <w:tcPr>
            <w:tcW w:w="1439" w:type="pct"/>
            <w:tcBorders>
              <w:top w:val="single" w:color="auto" w:sz="8" w:space="0"/>
              <w:bottom w:val="nil"/>
            </w:tcBorders>
            <w:vAlign w:val="center"/>
          </w:tcPr>
          <w:p w14:paraId="52E44A0E">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8.4498</w:t>
            </w:r>
          </w:p>
        </w:tc>
      </w:tr>
      <w:tr w14:paraId="634A5B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7F364513">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6004E27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20</w:t>
            </w:r>
          </w:p>
        </w:tc>
        <w:tc>
          <w:tcPr>
            <w:tcW w:w="1265" w:type="pct"/>
            <w:tcBorders>
              <w:top w:val="nil"/>
              <w:bottom w:val="nil"/>
            </w:tcBorders>
            <w:vAlign w:val="center"/>
          </w:tcPr>
          <w:p w14:paraId="3670ACBF">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9.8709</w:t>
            </w:r>
          </w:p>
        </w:tc>
        <w:tc>
          <w:tcPr>
            <w:tcW w:w="1439" w:type="pct"/>
            <w:tcBorders>
              <w:top w:val="nil"/>
              <w:bottom w:val="nil"/>
            </w:tcBorders>
            <w:vAlign w:val="center"/>
          </w:tcPr>
          <w:p w14:paraId="1B9FFA19">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17.0063</w:t>
            </w:r>
          </w:p>
        </w:tc>
      </w:tr>
      <w:tr w14:paraId="3517E5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369ECC4F">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0510B2E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30</w:t>
            </w:r>
          </w:p>
        </w:tc>
        <w:tc>
          <w:tcPr>
            <w:tcW w:w="1265" w:type="pct"/>
            <w:tcBorders>
              <w:top w:val="nil"/>
              <w:bottom w:val="nil"/>
            </w:tcBorders>
            <w:vAlign w:val="center"/>
          </w:tcPr>
          <w:p w14:paraId="6CAC8808">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4.5528</w:t>
            </w:r>
          </w:p>
        </w:tc>
        <w:tc>
          <w:tcPr>
            <w:tcW w:w="1439" w:type="pct"/>
            <w:tcBorders>
              <w:top w:val="nil"/>
              <w:bottom w:val="nil"/>
            </w:tcBorders>
            <w:vAlign w:val="center"/>
          </w:tcPr>
          <w:p w14:paraId="31EB909F">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26.5975</w:t>
            </w:r>
          </w:p>
        </w:tc>
      </w:tr>
      <w:tr w14:paraId="46BB85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70B9F909">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2993B0A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40</w:t>
            </w:r>
          </w:p>
        </w:tc>
        <w:tc>
          <w:tcPr>
            <w:tcW w:w="1265" w:type="pct"/>
            <w:tcBorders>
              <w:top w:val="nil"/>
              <w:bottom w:val="nil"/>
            </w:tcBorders>
            <w:vAlign w:val="center"/>
          </w:tcPr>
          <w:p w14:paraId="21ECBD2D">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5.2179</w:t>
            </w:r>
          </w:p>
        </w:tc>
        <w:tc>
          <w:tcPr>
            <w:tcW w:w="1439" w:type="pct"/>
            <w:tcBorders>
              <w:top w:val="nil"/>
              <w:bottom w:val="nil"/>
            </w:tcBorders>
            <w:vAlign w:val="center"/>
          </w:tcPr>
          <w:p w14:paraId="12223E45">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35.0808</w:t>
            </w:r>
          </w:p>
        </w:tc>
      </w:tr>
      <w:tr w14:paraId="23E91F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single" w:color="auto" w:sz="12" w:space="0"/>
            </w:tcBorders>
            <w:vAlign w:val="center"/>
          </w:tcPr>
          <w:p w14:paraId="22F009D4">
            <w:pPr>
              <w:adjustRightInd w:val="0"/>
              <w:snapToGrid w:val="0"/>
              <w:jc w:val="center"/>
              <w:rPr>
                <w:rFonts w:ascii="Calibri" w:hAnsi="Calibri"/>
                <w:color w:val="auto"/>
                <w:sz w:val="18"/>
                <w:szCs w:val="18"/>
                <w:highlight w:val="none"/>
              </w:rPr>
            </w:pPr>
          </w:p>
        </w:tc>
        <w:tc>
          <w:tcPr>
            <w:tcW w:w="1530" w:type="pct"/>
            <w:tcBorders>
              <w:top w:val="nil"/>
              <w:bottom w:val="single" w:color="auto" w:sz="12" w:space="0"/>
            </w:tcBorders>
            <w:vAlign w:val="center"/>
          </w:tcPr>
          <w:p w14:paraId="6DB5C9A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50</w:t>
            </w:r>
          </w:p>
        </w:tc>
        <w:tc>
          <w:tcPr>
            <w:tcW w:w="1265" w:type="pct"/>
            <w:tcBorders>
              <w:top w:val="nil"/>
              <w:bottom w:val="single" w:color="auto" w:sz="12" w:space="0"/>
            </w:tcBorders>
            <w:vAlign w:val="center"/>
          </w:tcPr>
          <w:p w14:paraId="7205077E">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5.3258</w:t>
            </w:r>
          </w:p>
        </w:tc>
        <w:tc>
          <w:tcPr>
            <w:tcW w:w="1439" w:type="pct"/>
            <w:tcBorders>
              <w:top w:val="nil"/>
              <w:bottom w:val="single" w:color="auto" w:sz="12" w:space="0"/>
            </w:tcBorders>
            <w:vAlign w:val="center"/>
          </w:tcPr>
          <w:p w14:paraId="45FD5D17">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42.3921</w:t>
            </w:r>
          </w:p>
        </w:tc>
      </w:tr>
    </w:tbl>
    <w:p w14:paraId="417CDE37">
      <w:pPr>
        <w:adjustRightInd w:val="0"/>
        <w:snapToGrid w:val="0"/>
        <w:ind w:firstLine="420" w:firstLineChars="200"/>
        <w:rPr>
          <w:color w:val="auto"/>
          <w:szCs w:val="21"/>
          <w:highlight w:val="none"/>
        </w:rPr>
      </w:pPr>
      <w:r>
        <w:rPr>
          <w:color w:val="auto"/>
          <w:szCs w:val="21"/>
          <w:highlight w:val="none"/>
        </w:rPr>
        <w:t>在确定种群规模为30的基础上，本研究进一步探究了最大迭代次数对模型预测性能的影响。实验设置最大迭代次数分别为10~50次，对比结果如表3所示。</w:t>
      </w:r>
      <w:r>
        <w:rPr>
          <w:rFonts w:ascii="Segoe UI" w:hAnsi="Segoe UI" w:eastAsia="Segoe UI" w:cs="Segoe UI"/>
          <w:color w:val="auto"/>
          <w:sz w:val="19"/>
          <w:szCs w:val="19"/>
          <w:highlight w:val="none"/>
          <w:shd w:val="clear" w:color="auto" w:fill="FFFFFF"/>
        </w:rPr>
        <w:t>实验发现，在最大迭代次数为10次的条件下，迭代次数不足，</w:t>
      </w:r>
      <w:r>
        <w:rPr>
          <w:rFonts w:eastAsia="Segoe UI"/>
          <w:color w:val="auto"/>
          <w:szCs w:val="21"/>
          <w:highlight w:val="none"/>
          <w:shd w:val="clear" w:color="auto" w:fill="FFFFFF"/>
        </w:rPr>
        <w:t>COA</w:t>
      </w:r>
      <w:r>
        <w:rPr>
          <w:rFonts w:ascii="Segoe UI" w:hAnsi="Segoe UI" w:eastAsia="Segoe UI" w:cs="Segoe UI"/>
          <w:color w:val="auto"/>
          <w:sz w:val="19"/>
          <w:szCs w:val="19"/>
          <w:highlight w:val="none"/>
          <w:shd w:val="clear" w:color="auto" w:fill="FFFFFF"/>
        </w:rPr>
        <w:t>算法无法完全跳出局部最优陷阱或达到收敛状态，致使</w:t>
      </w:r>
      <w:r>
        <w:rPr>
          <w:i/>
          <w:iCs/>
          <w:color w:val="auto"/>
          <w:szCs w:val="21"/>
          <w:highlight w:val="none"/>
        </w:rPr>
        <w:t>HI</w:t>
      </w:r>
      <w:r>
        <w:rPr>
          <w:rFonts w:ascii="Segoe UI" w:hAnsi="Segoe UI" w:eastAsia="Segoe UI" w:cs="Segoe UI"/>
          <w:color w:val="auto"/>
          <w:sz w:val="19"/>
          <w:szCs w:val="19"/>
          <w:highlight w:val="none"/>
          <w:shd w:val="clear" w:color="auto" w:fill="FFFFFF"/>
        </w:rPr>
        <w:t>预测误差较大。</w:t>
      </w:r>
      <w:r>
        <w:rPr>
          <w:color w:val="auto"/>
          <w:szCs w:val="21"/>
          <w:highlight w:val="none"/>
        </w:rPr>
        <w:t>当最大迭代次数增加至30时，</w:t>
      </w:r>
      <w:r>
        <w:rPr>
          <w:i/>
          <w:iCs/>
          <w:color w:val="auto"/>
          <w:szCs w:val="21"/>
          <w:highlight w:val="none"/>
        </w:rPr>
        <w:t>RMSE</w:t>
      </w:r>
      <w:r>
        <w:rPr>
          <w:color w:val="auto"/>
          <w:szCs w:val="21"/>
          <w:highlight w:val="none"/>
        </w:rPr>
        <w:t>显著下降并趋于稳定，此时算法已在搜索空间内完成了充分的寻优过程。继续增加迭代次数至50次，模型精度提升幅度极小，但计算耗时却从26.5975s剧增至67.1702s。因此，本研究将最大迭代次数设定为30，以在本文实验条件下兼顾预测效果与计算耗时。</w:t>
      </w:r>
    </w:p>
    <w:p w14:paraId="6E65AB62">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3</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不同最大迭代次数下的COA模型性能对比</w:t>
      </w:r>
    </w:p>
    <w:p w14:paraId="4D6CD2C6">
      <w:pPr>
        <w:adjustRightInd w:val="0"/>
        <w:snapToGrid w:val="0"/>
        <w:jc w:val="center"/>
        <w:rPr>
          <w:color w:val="auto"/>
          <w:sz w:val="18"/>
          <w:szCs w:val="18"/>
          <w:highlight w:val="none"/>
        </w:rPr>
      </w:pPr>
      <w:r>
        <w:rPr>
          <w:color w:val="auto"/>
          <w:sz w:val="18"/>
          <w:szCs w:val="18"/>
          <w:highlight w:val="none"/>
        </w:rPr>
        <w:t xml:space="preserve">Table 3 </w:t>
      </w:r>
      <w:r>
        <w:rPr>
          <w:rFonts w:hint="eastAsia"/>
          <w:color w:val="auto"/>
          <w:sz w:val="18"/>
          <w:szCs w:val="18"/>
          <w:highlight w:val="none"/>
        </w:rPr>
        <w:t xml:space="preserve"> </w:t>
      </w:r>
      <w:r>
        <w:rPr>
          <w:color w:val="auto"/>
          <w:sz w:val="18"/>
          <w:szCs w:val="18"/>
          <w:highlight w:val="none"/>
        </w:rPr>
        <w:t>Performance comparison of COA model under different maximum iteration counts</w:t>
      </w:r>
    </w:p>
    <w:tbl>
      <w:tblPr>
        <w:tblStyle w:val="10"/>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0"/>
        <w:gridCol w:w="3015"/>
        <w:gridCol w:w="2493"/>
        <w:gridCol w:w="2836"/>
      </w:tblGrid>
      <w:tr w14:paraId="4E268B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tcBorders>
              <w:top w:val="single" w:color="auto" w:sz="12" w:space="0"/>
              <w:bottom w:val="single" w:color="auto" w:sz="8" w:space="0"/>
            </w:tcBorders>
            <w:vAlign w:val="center"/>
          </w:tcPr>
          <w:p w14:paraId="62DEDFA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1530" w:type="pct"/>
            <w:tcBorders>
              <w:top w:val="single" w:color="auto" w:sz="12" w:space="0"/>
              <w:bottom w:val="single" w:color="auto" w:sz="8" w:space="0"/>
            </w:tcBorders>
            <w:vAlign w:val="center"/>
          </w:tcPr>
          <w:p w14:paraId="1B36EED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最大迭代次数</w:t>
            </w:r>
          </w:p>
        </w:tc>
        <w:tc>
          <w:tcPr>
            <w:tcW w:w="1265" w:type="pct"/>
            <w:tcBorders>
              <w:top w:val="single" w:color="auto" w:sz="12" w:space="0"/>
              <w:bottom w:val="single" w:color="auto" w:sz="8" w:space="0"/>
            </w:tcBorders>
            <w:vAlign w:val="center"/>
          </w:tcPr>
          <w:p w14:paraId="2574D05F">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1439" w:type="pct"/>
            <w:tcBorders>
              <w:top w:val="single" w:color="auto" w:sz="12" w:space="0"/>
              <w:bottom w:val="single" w:color="auto" w:sz="8" w:space="0"/>
            </w:tcBorders>
            <w:vAlign w:val="center"/>
          </w:tcPr>
          <w:p w14:paraId="0D6A9D7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时间</w:t>
            </w:r>
            <w:r>
              <w:rPr>
                <w:rFonts w:hint="eastAsia" w:ascii="Calibri" w:hAnsi="Calibri"/>
                <w:color w:val="auto"/>
                <w:sz w:val="18"/>
                <w:szCs w:val="18"/>
                <w:highlight w:val="none"/>
              </w:rPr>
              <w:t>/</w:t>
            </w:r>
            <w:r>
              <w:rPr>
                <w:rFonts w:ascii="Calibri" w:hAnsi="Calibri"/>
                <w:color w:val="auto"/>
                <w:sz w:val="18"/>
                <w:szCs w:val="18"/>
                <w:highlight w:val="none"/>
              </w:rPr>
              <w:t>s</w:t>
            </w:r>
          </w:p>
        </w:tc>
      </w:tr>
      <w:tr w14:paraId="108314A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restart"/>
            <w:tcBorders>
              <w:top w:val="single" w:color="auto" w:sz="8" w:space="0"/>
              <w:bottom w:val="nil"/>
            </w:tcBorders>
            <w:vAlign w:val="center"/>
          </w:tcPr>
          <w:p w14:paraId="37CC628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1530" w:type="pct"/>
            <w:tcBorders>
              <w:top w:val="single" w:color="auto" w:sz="8" w:space="0"/>
              <w:bottom w:val="nil"/>
            </w:tcBorders>
            <w:vAlign w:val="center"/>
          </w:tcPr>
          <w:p w14:paraId="36ED833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10</w:t>
            </w:r>
          </w:p>
        </w:tc>
        <w:tc>
          <w:tcPr>
            <w:tcW w:w="1265" w:type="pct"/>
            <w:tcBorders>
              <w:top w:val="single" w:color="auto" w:sz="8" w:space="0"/>
              <w:bottom w:val="nil"/>
            </w:tcBorders>
            <w:vAlign w:val="center"/>
          </w:tcPr>
          <w:p w14:paraId="50D03743">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22.3511</w:t>
            </w:r>
          </w:p>
        </w:tc>
        <w:tc>
          <w:tcPr>
            <w:tcW w:w="1439" w:type="pct"/>
            <w:tcBorders>
              <w:top w:val="single" w:color="auto" w:sz="8" w:space="0"/>
              <w:bottom w:val="nil"/>
            </w:tcBorders>
            <w:vAlign w:val="center"/>
          </w:tcPr>
          <w:p w14:paraId="5EE4F475">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9.7732</w:t>
            </w:r>
          </w:p>
        </w:tc>
      </w:tr>
      <w:tr w14:paraId="0B6D5F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0FBC36F1">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4294811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20</w:t>
            </w:r>
          </w:p>
        </w:tc>
        <w:tc>
          <w:tcPr>
            <w:tcW w:w="1265" w:type="pct"/>
            <w:tcBorders>
              <w:top w:val="nil"/>
              <w:bottom w:val="nil"/>
            </w:tcBorders>
            <w:vAlign w:val="center"/>
          </w:tcPr>
          <w:p w14:paraId="5628F20C">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12.9629</w:t>
            </w:r>
          </w:p>
        </w:tc>
        <w:tc>
          <w:tcPr>
            <w:tcW w:w="1439" w:type="pct"/>
            <w:tcBorders>
              <w:top w:val="nil"/>
              <w:bottom w:val="nil"/>
            </w:tcBorders>
            <w:vAlign w:val="center"/>
          </w:tcPr>
          <w:p w14:paraId="7BDA9404">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18.8197</w:t>
            </w:r>
          </w:p>
        </w:tc>
      </w:tr>
      <w:tr w14:paraId="7396AC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7DF98469">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6859BEC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30</w:t>
            </w:r>
          </w:p>
        </w:tc>
        <w:tc>
          <w:tcPr>
            <w:tcW w:w="1265" w:type="pct"/>
            <w:tcBorders>
              <w:top w:val="nil"/>
              <w:bottom w:val="nil"/>
            </w:tcBorders>
            <w:vAlign w:val="center"/>
          </w:tcPr>
          <w:p w14:paraId="55F9DF0B">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4.5528</w:t>
            </w:r>
          </w:p>
        </w:tc>
        <w:tc>
          <w:tcPr>
            <w:tcW w:w="1439" w:type="pct"/>
            <w:tcBorders>
              <w:top w:val="nil"/>
              <w:bottom w:val="nil"/>
            </w:tcBorders>
            <w:vAlign w:val="center"/>
          </w:tcPr>
          <w:p w14:paraId="6DEE8CA6">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26.5975</w:t>
            </w:r>
          </w:p>
        </w:tc>
      </w:tr>
      <w:tr w14:paraId="276B94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nil"/>
            </w:tcBorders>
            <w:vAlign w:val="center"/>
          </w:tcPr>
          <w:p w14:paraId="766374A5">
            <w:pPr>
              <w:adjustRightInd w:val="0"/>
              <w:snapToGrid w:val="0"/>
              <w:jc w:val="center"/>
              <w:rPr>
                <w:rFonts w:ascii="Calibri" w:hAnsi="Calibri"/>
                <w:color w:val="auto"/>
                <w:sz w:val="18"/>
                <w:szCs w:val="18"/>
                <w:highlight w:val="none"/>
              </w:rPr>
            </w:pPr>
          </w:p>
        </w:tc>
        <w:tc>
          <w:tcPr>
            <w:tcW w:w="1530" w:type="pct"/>
            <w:tcBorders>
              <w:top w:val="nil"/>
              <w:bottom w:val="nil"/>
            </w:tcBorders>
            <w:vAlign w:val="center"/>
          </w:tcPr>
          <w:p w14:paraId="607EE44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40</w:t>
            </w:r>
          </w:p>
        </w:tc>
        <w:tc>
          <w:tcPr>
            <w:tcW w:w="1265" w:type="pct"/>
            <w:tcBorders>
              <w:top w:val="nil"/>
              <w:bottom w:val="nil"/>
            </w:tcBorders>
            <w:vAlign w:val="center"/>
          </w:tcPr>
          <w:p w14:paraId="7F08B894">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5.0633</w:t>
            </w:r>
          </w:p>
        </w:tc>
        <w:tc>
          <w:tcPr>
            <w:tcW w:w="1439" w:type="pct"/>
            <w:tcBorders>
              <w:top w:val="nil"/>
              <w:bottom w:val="nil"/>
            </w:tcBorders>
            <w:vAlign w:val="center"/>
          </w:tcPr>
          <w:p w14:paraId="0C9E13D5">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39.4576</w:t>
            </w:r>
          </w:p>
        </w:tc>
      </w:tr>
      <w:tr w14:paraId="77F1FA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66" w:type="pct"/>
            <w:vMerge w:val="continue"/>
            <w:tcBorders>
              <w:top w:val="nil"/>
              <w:bottom w:val="single" w:color="auto" w:sz="12" w:space="0"/>
            </w:tcBorders>
            <w:vAlign w:val="center"/>
          </w:tcPr>
          <w:p w14:paraId="6539DA5D">
            <w:pPr>
              <w:adjustRightInd w:val="0"/>
              <w:snapToGrid w:val="0"/>
              <w:jc w:val="center"/>
              <w:rPr>
                <w:rFonts w:ascii="Calibri" w:hAnsi="Calibri"/>
                <w:color w:val="auto"/>
                <w:sz w:val="18"/>
                <w:szCs w:val="18"/>
                <w:highlight w:val="none"/>
              </w:rPr>
            </w:pPr>
          </w:p>
        </w:tc>
        <w:tc>
          <w:tcPr>
            <w:tcW w:w="1530" w:type="pct"/>
            <w:tcBorders>
              <w:top w:val="nil"/>
              <w:bottom w:val="single" w:color="auto" w:sz="12" w:space="0"/>
            </w:tcBorders>
            <w:vAlign w:val="center"/>
          </w:tcPr>
          <w:p w14:paraId="777B0EF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50</w:t>
            </w:r>
          </w:p>
        </w:tc>
        <w:tc>
          <w:tcPr>
            <w:tcW w:w="1265" w:type="pct"/>
            <w:tcBorders>
              <w:top w:val="nil"/>
              <w:bottom w:val="single" w:color="auto" w:sz="12" w:space="0"/>
            </w:tcBorders>
            <w:vAlign w:val="center"/>
          </w:tcPr>
          <w:p w14:paraId="46F9996E">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4.4767</w:t>
            </w:r>
          </w:p>
        </w:tc>
        <w:tc>
          <w:tcPr>
            <w:tcW w:w="1439" w:type="pct"/>
            <w:tcBorders>
              <w:top w:val="nil"/>
              <w:bottom w:val="single" w:color="auto" w:sz="12" w:space="0"/>
            </w:tcBorders>
            <w:vAlign w:val="center"/>
          </w:tcPr>
          <w:p w14:paraId="707FF54A">
            <w:pPr>
              <w:adjustRightInd w:val="0"/>
              <w:snapToGrid w:val="0"/>
              <w:jc w:val="center"/>
              <w:rPr>
                <w:rFonts w:ascii="Calibri" w:hAnsi="Calibri"/>
                <w:color w:val="auto"/>
                <w:sz w:val="18"/>
                <w:szCs w:val="18"/>
                <w:highlight w:val="none"/>
              </w:rPr>
            </w:pPr>
            <w:r>
              <w:rPr>
                <w:rFonts w:ascii="Calibri" w:hAnsi="Calibri" w:eastAsia="等线"/>
                <w:color w:val="auto"/>
                <w:sz w:val="18"/>
                <w:szCs w:val="18"/>
                <w:highlight w:val="none"/>
              </w:rPr>
              <w:t>67.1702</w:t>
            </w:r>
          </w:p>
        </w:tc>
      </w:tr>
    </w:tbl>
    <w:p w14:paraId="191229AD">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3.2 健康因子预测验证与分析</w:t>
      </w:r>
    </w:p>
    <w:p w14:paraId="68D595CE">
      <w:pPr>
        <w:adjustRightInd w:val="0"/>
        <w:snapToGrid w:val="0"/>
        <w:ind w:firstLine="420" w:firstLineChars="200"/>
        <w:rPr>
          <w:color w:val="auto"/>
          <w:szCs w:val="21"/>
          <w:highlight w:val="none"/>
        </w:rPr>
      </w:pPr>
      <w:r>
        <w:rPr>
          <w:color w:val="auto"/>
          <w:szCs w:val="21"/>
          <w:highlight w:val="none"/>
        </w:rPr>
        <w:t>如图6所示为L1和L2电池使用不同算法的</w:t>
      </w:r>
      <w:r>
        <w:rPr>
          <w:i/>
          <w:iCs/>
          <w:color w:val="auto"/>
          <w:szCs w:val="21"/>
          <w:highlight w:val="none"/>
        </w:rPr>
        <w:t>HI</w:t>
      </w:r>
      <w:r>
        <w:rPr>
          <w:color w:val="auto"/>
          <w:szCs w:val="21"/>
          <w:highlight w:val="none"/>
        </w:rPr>
        <w:t>预测结果。</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4"/>
        <w:gridCol w:w="4814"/>
      </w:tblGrid>
      <w:tr w14:paraId="4F7F9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64E0F65F">
            <w:pPr>
              <w:adjustRightInd w:val="0"/>
              <w:snapToGrid w:val="0"/>
              <w:jc w:val="center"/>
              <w:rPr>
                <w:rFonts w:ascii="Calibri" w:hAnsi="Calibri"/>
                <w:color w:val="auto"/>
                <w:highlight w:val="none"/>
              </w:rPr>
            </w:pPr>
            <w:r>
              <w:rPr>
                <w:rFonts w:ascii="Times New Roman" w:hAnsi="Times New Roman"/>
                <w:color w:val="auto"/>
                <w:highlight w:val="none"/>
              </w:rPr>
              <w:object>
                <v:shape id="_x0000_i1172" o:spt="75" type="#_x0000_t75" style="height:175.2pt;width:222.95pt;" o:ole="t" filled="f" o:preferrelative="t" stroked="f" coordsize="21600,21600">
                  <v:path/>
                  <v:fill on="f" focussize="0,0"/>
                  <v:stroke on="f" joinstyle="miter"/>
                  <v:imagedata r:id="rId309" cropleft="712f" croptop="1700f" cropright="3989f" o:title=""/>
                  <o:lock v:ext="edit" aspectratio="t"/>
                  <w10:wrap type="none"/>
                  <w10:anchorlock/>
                </v:shape>
                <o:OLEObject Type="Embed" ProgID="Visio.Drawing.15" ShapeID="_x0000_i1172" DrawAspect="Content" ObjectID="_1468075872" r:id="rId308">
                  <o:LockedField>false</o:LockedField>
                </o:OLEObject>
              </w:object>
            </w:r>
          </w:p>
        </w:tc>
        <w:tc>
          <w:tcPr>
            <w:tcW w:w="4814" w:type="dxa"/>
          </w:tcPr>
          <w:p w14:paraId="255881FD">
            <w:pPr>
              <w:adjustRightInd w:val="0"/>
              <w:snapToGrid w:val="0"/>
              <w:jc w:val="center"/>
              <w:rPr>
                <w:rFonts w:ascii="Calibri" w:hAnsi="Calibri"/>
                <w:color w:val="auto"/>
                <w:highlight w:val="none"/>
              </w:rPr>
            </w:pPr>
            <w:r>
              <w:rPr>
                <w:rFonts w:ascii="Times New Roman" w:hAnsi="Times New Roman"/>
                <w:color w:val="auto"/>
                <w:highlight w:val="none"/>
              </w:rPr>
              <w:object>
                <v:shape id="_x0000_i1173" o:spt="75" type="#_x0000_t75" style="height:175.55pt;width:221pt;" o:ole="t" filled="f" o:preferrelative="t" stroked="f" coordsize="21600,21600">
                  <v:path/>
                  <v:fill on="f" focussize="0,0"/>
                  <v:stroke on="f" joinstyle="miter"/>
                  <v:imagedata r:id="rId311" cropleft="570f" croptop="1700f" cropright="4274f" o:title=""/>
                  <o:lock v:ext="edit" aspectratio="t"/>
                  <w10:wrap type="none"/>
                  <w10:anchorlock/>
                </v:shape>
                <o:OLEObject Type="Embed" ProgID="Visio.Drawing.15" ShapeID="_x0000_i1173" DrawAspect="Content" ObjectID="_1468075873" r:id="rId310">
                  <o:LockedField>false</o:LockedField>
                </o:OLEObject>
              </w:object>
            </w:r>
          </w:p>
        </w:tc>
      </w:tr>
      <w:tr w14:paraId="12F4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6D63A1A3">
            <w:pPr>
              <w:adjustRightInd w:val="0"/>
              <w:snapToGrid w:val="0"/>
              <w:jc w:val="center"/>
              <w:rPr>
                <w:rFonts w:ascii="Calibri" w:hAnsi="Calibri"/>
                <w:color w:val="auto"/>
                <w:highlight w:val="none"/>
              </w:rPr>
            </w:pPr>
            <w:r>
              <w:rPr>
                <w:rFonts w:ascii="Calibri" w:hAnsi="Calibri"/>
                <w:color w:val="auto"/>
                <w:sz w:val="15"/>
                <w:szCs w:val="15"/>
                <w:highlight w:val="none"/>
              </w:rPr>
              <w:t>(a) L1电池</w:t>
            </w:r>
          </w:p>
        </w:tc>
        <w:tc>
          <w:tcPr>
            <w:tcW w:w="4814" w:type="dxa"/>
          </w:tcPr>
          <w:p w14:paraId="223CD643">
            <w:pPr>
              <w:adjustRightInd w:val="0"/>
              <w:snapToGrid w:val="0"/>
              <w:jc w:val="center"/>
              <w:rPr>
                <w:rFonts w:ascii="Calibri" w:hAnsi="Calibri"/>
                <w:color w:val="auto"/>
                <w:highlight w:val="none"/>
              </w:rPr>
            </w:pPr>
            <w:r>
              <w:rPr>
                <w:rFonts w:ascii="Calibri" w:hAnsi="Calibri"/>
                <w:color w:val="auto"/>
                <w:sz w:val="15"/>
                <w:szCs w:val="15"/>
                <w:highlight w:val="none"/>
              </w:rPr>
              <w:t>(b) L2电池</w:t>
            </w:r>
          </w:p>
        </w:tc>
      </w:tr>
    </w:tbl>
    <w:p w14:paraId="4D97150A">
      <w:pPr>
        <w:adjustRightInd w:val="0"/>
        <w:snapToGrid w:val="0"/>
        <w:jc w:val="center"/>
        <w:rPr>
          <w:color w:val="auto"/>
          <w:sz w:val="18"/>
          <w:szCs w:val="18"/>
          <w:highlight w:val="none"/>
        </w:rPr>
      </w:pPr>
      <w:r>
        <w:rPr>
          <w:color w:val="auto"/>
          <w:sz w:val="18"/>
          <w:szCs w:val="18"/>
          <w:highlight w:val="none"/>
        </w:rPr>
        <w:t>图6  不同算法在电池L1和L2上的</w:t>
      </w:r>
      <w:r>
        <w:rPr>
          <w:i/>
          <w:iCs/>
          <w:color w:val="auto"/>
          <w:sz w:val="18"/>
          <w:szCs w:val="18"/>
          <w:highlight w:val="none"/>
        </w:rPr>
        <w:t>HI</w:t>
      </w:r>
      <w:r>
        <w:rPr>
          <w:color w:val="auto"/>
          <w:sz w:val="18"/>
          <w:szCs w:val="18"/>
          <w:highlight w:val="none"/>
        </w:rPr>
        <w:t>预测结果对比</w:t>
      </w:r>
    </w:p>
    <w:p w14:paraId="380EF4EE">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6  Comparison of </w:t>
      </w:r>
      <w:r>
        <w:rPr>
          <w:i/>
          <w:iCs/>
          <w:color w:val="auto"/>
          <w:sz w:val="18"/>
          <w:szCs w:val="18"/>
          <w:highlight w:val="none"/>
        </w:rPr>
        <w:t xml:space="preserve">HI </w:t>
      </w:r>
      <w:r>
        <w:rPr>
          <w:color w:val="auto"/>
          <w:sz w:val="18"/>
          <w:szCs w:val="18"/>
          <w:highlight w:val="none"/>
        </w:rPr>
        <w:t>prediction results for batteries L1 and L2 using different algorithms</w:t>
      </w:r>
    </w:p>
    <w:p w14:paraId="30D70F33">
      <w:pPr>
        <w:adjustRightInd w:val="0"/>
        <w:snapToGrid w:val="0"/>
        <w:ind w:firstLine="420" w:firstLineChars="200"/>
        <w:rPr>
          <w:color w:val="auto"/>
          <w:szCs w:val="21"/>
          <w:highlight w:val="none"/>
        </w:rPr>
      </w:pPr>
      <w:r>
        <w:rPr>
          <w:color w:val="auto"/>
          <w:szCs w:val="21"/>
          <w:highlight w:val="none"/>
        </w:rPr>
        <w:t>从图6可以看出，在电池老化后期，真实老化轨迹表现出明显的非线性波动特征。BP神经网络的预测值与</w:t>
      </w:r>
      <w:r>
        <w:rPr>
          <w:rFonts w:hint="eastAsia"/>
          <w:color w:val="auto"/>
          <w:szCs w:val="21"/>
          <w:highlight w:val="none"/>
        </w:rPr>
        <w:t>真实</w:t>
      </w:r>
      <w:r>
        <w:rPr>
          <w:color w:val="auto"/>
          <w:szCs w:val="21"/>
          <w:highlight w:val="none"/>
        </w:rPr>
        <w:t>值偏差最大，难以拟合该阶段复杂的退化趋势。LSTM和DBO-BP模型虽然在整体精度上有所提升，但对局部波动仍存在平滑效应，未能充分捕捉细节变化。相比之下，COA-BP模型在整个测试周期内表现出较好的跟踪性能，能够较好响应老化过程中的细微非线性波动。这表明，COA的引入在一定程度上增强了模型的全局优化能力与复杂特征提取能力，使其对本研究数据中的电池老化动态特性具有较好的适应性。</w:t>
      </w:r>
    </w:p>
    <w:p w14:paraId="456EEEF8">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4</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不同算法对L</w:t>
      </w:r>
      <w:r>
        <w:rPr>
          <w:rFonts w:eastAsia="黑体"/>
          <w:color w:val="auto"/>
          <w:sz w:val="18"/>
          <w:szCs w:val="18"/>
          <w:highlight w:val="none"/>
        </w:rPr>
        <w:t>1</w:t>
      </w:r>
      <w:r>
        <w:rPr>
          <w:rFonts w:ascii="黑体" w:hAnsi="黑体" w:eastAsia="黑体"/>
          <w:color w:val="auto"/>
          <w:sz w:val="18"/>
          <w:szCs w:val="18"/>
          <w:highlight w:val="none"/>
        </w:rPr>
        <w:t>和L</w:t>
      </w:r>
      <w:r>
        <w:rPr>
          <w:rFonts w:eastAsia="黑体"/>
          <w:color w:val="auto"/>
          <w:sz w:val="18"/>
          <w:szCs w:val="18"/>
          <w:highlight w:val="none"/>
        </w:rPr>
        <w:t>2</w:t>
      </w:r>
      <w:r>
        <w:rPr>
          <w:rFonts w:ascii="黑体" w:hAnsi="黑体" w:eastAsia="黑体"/>
          <w:color w:val="auto"/>
          <w:sz w:val="18"/>
          <w:szCs w:val="18"/>
          <w:highlight w:val="none"/>
        </w:rPr>
        <w:t>电池</w:t>
      </w:r>
      <w:r>
        <w:rPr>
          <w:rFonts w:ascii="黑体" w:hAnsi="黑体" w:eastAsia="黑体"/>
          <w:i/>
          <w:iCs/>
          <w:color w:val="auto"/>
          <w:sz w:val="18"/>
          <w:szCs w:val="18"/>
          <w:highlight w:val="none"/>
        </w:rPr>
        <w:t>HI</w:t>
      </w:r>
      <w:r>
        <w:rPr>
          <w:rFonts w:ascii="黑体" w:hAnsi="黑体" w:eastAsia="黑体"/>
          <w:color w:val="auto"/>
          <w:sz w:val="18"/>
          <w:szCs w:val="18"/>
          <w:highlight w:val="none"/>
        </w:rPr>
        <w:t>预测性能的评价指标</w:t>
      </w:r>
    </w:p>
    <w:p w14:paraId="4BD278F5">
      <w:pPr>
        <w:adjustRightInd w:val="0"/>
        <w:snapToGrid w:val="0"/>
        <w:jc w:val="center"/>
        <w:rPr>
          <w:color w:val="auto"/>
          <w:sz w:val="18"/>
          <w:szCs w:val="18"/>
          <w:highlight w:val="none"/>
        </w:rPr>
      </w:pPr>
      <w:r>
        <w:rPr>
          <w:color w:val="auto"/>
          <w:sz w:val="18"/>
          <w:szCs w:val="18"/>
          <w:highlight w:val="none"/>
        </w:rPr>
        <w:t>Table 4</w:t>
      </w: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E</w:t>
      </w:r>
      <w:r>
        <w:rPr>
          <w:color w:val="auto"/>
          <w:sz w:val="18"/>
          <w:szCs w:val="18"/>
          <w:highlight w:val="none"/>
        </w:rPr>
        <w:t xml:space="preserve">valuation </w:t>
      </w:r>
      <w:r>
        <w:rPr>
          <w:rFonts w:hint="eastAsia"/>
          <w:color w:val="auto"/>
          <w:sz w:val="18"/>
          <w:szCs w:val="18"/>
          <w:highlight w:val="none"/>
        </w:rPr>
        <w:t>indicators</w:t>
      </w:r>
      <w:r>
        <w:rPr>
          <w:color w:val="auto"/>
          <w:sz w:val="18"/>
          <w:szCs w:val="18"/>
          <w:highlight w:val="none"/>
        </w:rPr>
        <w:t xml:space="preserve"> of </w:t>
      </w:r>
      <w:r>
        <w:rPr>
          <w:i/>
          <w:iCs/>
          <w:color w:val="auto"/>
          <w:sz w:val="18"/>
          <w:szCs w:val="18"/>
          <w:highlight w:val="none"/>
        </w:rPr>
        <w:t>HI</w:t>
      </w:r>
      <w:r>
        <w:rPr>
          <w:color w:val="auto"/>
          <w:sz w:val="18"/>
          <w:szCs w:val="18"/>
          <w:highlight w:val="none"/>
        </w:rPr>
        <w:t xml:space="preserve"> prediction </w:t>
      </w:r>
      <w:r>
        <w:rPr>
          <w:rFonts w:hint="eastAsia"/>
          <w:color w:val="auto"/>
          <w:sz w:val="18"/>
          <w:szCs w:val="18"/>
          <w:highlight w:val="none"/>
        </w:rPr>
        <w:t>p</w:t>
      </w:r>
      <w:r>
        <w:rPr>
          <w:color w:val="auto"/>
          <w:sz w:val="18"/>
          <w:szCs w:val="18"/>
          <w:highlight w:val="none"/>
        </w:rPr>
        <w:t>erformance for batteries L1 and L2 using different algorithms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4"/>
        <w:gridCol w:w="2235"/>
        <w:gridCol w:w="1521"/>
        <w:gridCol w:w="1521"/>
        <w:gridCol w:w="1843"/>
        <w:gridCol w:w="1520"/>
      </w:tblGrid>
      <w:tr w14:paraId="748C06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tcBorders>
              <w:top w:val="single" w:color="auto" w:sz="12" w:space="0"/>
              <w:bottom w:val="single" w:color="auto" w:sz="4" w:space="0"/>
            </w:tcBorders>
            <w:vAlign w:val="center"/>
          </w:tcPr>
          <w:p w14:paraId="6477392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1134" w:type="pct"/>
            <w:tcBorders>
              <w:top w:val="single" w:color="auto" w:sz="12" w:space="0"/>
              <w:bottom w:val="single" w:color="auto" w:sz="4" w:space="0"/>
            </w:tcBorders>
            <w:vAlign w:val="center"/>
          </w:tcPr>
          <w:p w14:paraId="4CD95BF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算法</w:t>
            </w:r>
          </w:p>
        </w:tc>
        <w:tc>
          <w:tcPr>
            <w:tcW w:w="772" w:type="pct"/>
            <w:tcBorders>
              <w:top w:val="single" w:color="auto" w:sz="12" w:space="0"/>
              <w:bottom w:val="single" w:color="auto" w:sz="4" w:space="0"/>
            </w:tcBorders>
            <w:vAlign w:val="center"/>
          </w:tcPr>
          <w:p w14:paraId="49A942A2">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772" w:type="pct"/>
            <w:tcBorders>
              <w:top w:val="single" w:color="auto" w:sz="12" w:space="0"/>
              <w:bottom w:val="single" w:color="auto" w:sz="4" w:space="0"/>
            </w:tcBorders>
            <w:vAlign w:val="center"/>
          </w:tcPr>
          <w:p w14:paraId="7D6E1405">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935" w:type="pct"/>
            <w:tcBorders>
              <w:top w:val="single" w:color="auto" w:sz="12" w:space="0"/>
              <w:bottom w:val="single" w:color="auto" w:sz="4" w:space="0"/>
            </w:tcBorders>
            <w:vAlign w:val="center"/>
          </w:tcPr>
          <w:p w14:paraId="0302F57D">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MAPE</w:t>
            </w:r>
          </w:p>
        </w:tc>
        <w:tc>
          <w:tcPr>
            <w:tcW w:w="772" w:type="pct"/>
            <w:tcBorders>
              <w:top w:val="single" w:color="auto" w:sz="12" w:space="0"/>
              <w:bottom w:val="single" w:color="auto" w:sz="4" w:space="0"/>
            </w:tcBorders>
            <w:vAlign w:val="center"/>
          </w:tcPr>
          <w:p w14:paraId="23905EA8">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546C29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restart"/>
            <w:tcBorders>
              <w:top w:val="single" w:color="auto" w:sz="4" w:space="0"/>
              <w:bottom w:val="single" w:color="auto" w:sz="4" w:space="0"/>
            </w:tcBorders>
            <w:vAlign w:val="center"/>
          </w:tcPr>
          <w:p w14:paraId="3AF0F14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1134" w:type="pct"/>
            <w:tcBorders>
              <w:top w:val="single" w:color="auto" w:sz="4" w:space="0"/>
              <w:bottom w:val="nil"/>
            </w:tcBorders>
            <w:vAlign w:val="center"/>
          </w:tcPr>
          <w:p w14:paraId="48642CD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t>
            </w:r>
          </w:p>
        </w:tc>
        <w:tc>
          <w:tcPr>
            <w:tcW w:w="772" w:type="pct"/>
            <w:tcBorders>
              <w:top w:val="single" w:color="auto" w:sz="4" w:space="0"/>
              <w:bottom w:val="nil"/>
            </w:tcBorders>
            <w:vAlign w:val="center"/>
          </w:tcPr>
          <w:p w14:paraId="4619395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4.5528</w:t>
            </w:r>
          </w:p>
        </w:tc>
        <w:tc>
          <w:tcPr>
            <w:tcW w:w="772" w:type="pct"/>
            <w:tcBorders>
              <w:top w:val="single" w:color="auto" w:sz="4" w:space="0"/>
              <w:bottom w:val="nil"/>
            </w:tcBorders>
            <w:vAlign w:val="center"/>
          </w:tcPr>
          <w:p w14:paraId="50B923B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3.0472</w:t>
            </w:r>
          </w:p>
        </w:tc>
        <w:tc>
          <w:tcPr>
            <w:tcW w:w="935" w:type="pct"/>
            <w:tcBorders>
              <w:top w:val="single" w:color="auto" w:sz="4" w:space="0"/>
              <w:bottom w:val="nil"/>
            </w:tcBorders>
            <w:vAlign w:val="center"/>
          </w:tcPr>
          <w:p w14:paraId="699BA89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0.4820%</w:t>
            </w:r>
          </w:p>
        </w:tc>
        <w:tc>
          <w:tcPr>
            <w:tcW w:w="772" w:type="pct"/>
            <w:tcBorders>
              <w:top w:val="single" w:color="auto" w:sz="4" w:space="0"/>
              <w:bottom w:val="nil"/>
            </w:tcBorders>
            <w:vAlign w:val="center"/>
          </w:tcPr>
          <w:p w14:paraId="139EF6B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0.9650</w:t>
            </w:r>
          </w:p>
        </w:tc>
      </w:tr>
      <w:tr w14:paraId="13A758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tcBorders>
              <w:top w:val="nil"/>
              <w:bottom w:val="single" w:color="auto" w:sz="4" w:space="0"/>
            </w:tcBorders>
            <w:vAlign w:val="center"/>
          </w:tcPr>
          <w:p w14:paraId="5490E8DF">
            <w:pPr>
              <w:adjustRightInd w:val="0"/>
              <w:snapToGrid w:val="0"/>
              <w:jc w:val="center"/>
              <w:rPr>
                <w:rFonts w:ascii="Calibri" w:hAnsi="Calibri"/>
                <w:color w:val="auto"/>
                <w:sz w:val="18"/>
                <w:szCs w:val="18"/>
                <w:highlight w:val="none"/>
              </w:rPr>
            </w:pPr>
          </w:p>
        </w:tc>
        <w:tc>
          <w:tcPr>
            <w:tcW w:w="1134" w:type="pct"/>
            <w:tcBorders>
              <w:top w:val="nil"/>
              <w:bottom w:val="nil"/>
            </w:tcBorders>
            <w:vAlign w:val="center"/>
          </w:tcPr>
          <w:p w14:paraId="56429E4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t>
            </w:r>
          </w:p>
        </w:tc>
        <w:tc>
          <w:tcPr>
            <w:tcW w:w="772" w:type="pct"/>
            <w:tcBorders>
              <w:top w:val="nil"/>
              <w:bottom w:val="nil"/>
            </w:tcBorders>
            <w:vAlign w:val="center"/>
          </w:tcPr>
          <w:p w14:paraId="54C01AB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5.8471</w:t>
            </w:r>
          </w:p>
        </w:tc>
        <w:tc>
          <w:tcPr>
            <w:tcW w:w="772" w:type="pct"/>
            <w:tcBorders>
              <w:top w:val="nil"/>
              <w:bottom w:val="nil"/>
            </w:tcBorders>
            <w:vAlign w:val="center"/>
          </w:tcPr>
          <w:p w14:paraId="68CE768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4.0905</w:t>
            </w:r>
          </w:p>
        </w:tc>
        <w:tc>
          <w:tcPr>
            <w:tcW w:w="935" w:type="pct"/>
            <w:tcBorders>
              <w:top w:val="nil"/>
              <w:bottom w:val="nil"/>
            </w:tcBorders>
            <w:vAlign w:val="center"/>
          </w:tcPr>
          <w:p w14:paraId="53A74B1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0.6466%</w:t>
            </w:r>
          </w:p>
        </w:tc>
        <w:tc>
          <w:tcPr>
            <w:tcW w:w="772" w:type="pct"/>
            <w:tcBorders>
              <w:top w:val="nil"/>
              <w:bottom w:val="nil"/>
            </w:tcBorders>
            <w:vAlign w:val="center"/>
          </w:tcPr>
          <w:p w14:paraId="53F907A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0.9422</w:t>
            </w:r>
          </w:p>
        </w:tc>
      </w:tr>
      <w:tr w14:paraId="77ED7D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tcBorders>
              <w:top w:val="nil"/>
              <w:bottom w:val="single" w:color="auto" w:sz="4" w:space="0"/>
            </w:tcBorders>
            <w:vAlign w:val="center"/>
          </w:tcPr>
          <w:p w14:paraId="15E8CD87">
            <w:pPr>
              <w:adjustRightInd w:val="0"/>
              <w:snapToGrid w:val="0"/>
              <w:jc w:val="center"/>
              <w:rPr>
                <w:rFonts w:ascii="Calibri" w:hAnsi="Calibri"/>
                <w:color w:val="auto"/>
                <w:sz w:val="18"/>
                <w:szCs w:val="18"/>
                <w:highlight w:val="none"/>
              </w:rPr>
            </w:pPr>
          </w:p>
        </w:tc>
        <w:tc>
          <w:tcPr>
            <w:tcW w:w="1134" w:type="pct"/>
            <w:tcBorders>
              <w:top w:val="nil"/>
              <w:bottom w:val="nil"/>
            </w:tcBorders>
            <w:vAlign w:val="center"/>
          </w:tcPr>
          <w:p w14:paraId="1F21646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t>
            </w:r>
          </w:p>
        </w:tc>
        <w:tc>
          <w:tcPr>
            <w:tcW w:w="772" w:type="pct"/>
            <w:tcBorders>
              <w:top w:val="nil"/>
              <w:bottom w:val="nil"/>
            </w:tcBorders>
            <w:vAlign w:val="center"/>
          </w:tcPr>
          <w:p w14:paraId="5F14706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5.2054</w:t>
            </w:r>
          </w:p>
        </w:tc>
        <w:tc>
          <w:tcPr>
            <w:tcW w:w="772" w:type="pct"/>
            <w:tcBorders>
              <w:top w:val="nil"/>
              <w:bottom w:val="nil"/>
            </w:tcBorders>
            <w:vAlign w:val="center"/>
          </w:tcPr>
          <w:p w14:paraId="2E29A5E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3.7683</w:t>
            </w:r>
          </w:p>
        </w:tc>
        <w:tc>
          <w:tcPr>
            <w:tcW w:w="935" w:type="pct"/>
            <w:tcBorders>
              <w:top w:val="nil"/>
              <w:bottom w:val="nil"/>
            </w:tcBorders>
            <w:vAlign w:val="center"/>
          </w:tcPr>
          <w:p w14:paraId="0ECE00A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0.5923%</w:t>
            </w:r>
          </w:p>
        </w:tc>
        <w:tc>
          <w:tcPr>
            <w:tcW w:w="772" w:type="pct"/>
            <w:tcBorders>
              <w:top w:val="nil"/>
              <w:bottom w:val="nil"/>
            </w:tcBorders>
            <w:vAlign w:val="center"/>
          </w:tcPr>
          <w:p w14:paraId="0FFCFFC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0.9542</w:t>
            </w:r>
          </w:p>
        </w:tc>
      </w:tr>
      <w:tr w14:paraId="7DB565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tcBorders>
              <w:top w:val="single" w:color="auto" w:sz="4" w:space="0"/>
              <w:bottom w:val="single" w:color="auto" w:sz="4" w:space="0"/>
            </w:tcBorders>
            <w:vAlign w:val="center"/>
          </w:tcPr>
          <w:p w14:paraId="6CE3ADBF">
            <w:pPr>
              <w:adjustRightInd w:val="0"/>
              <w:snapToGrid w:val="0"/>
              <w:jc w:val="center"/>
              <w:rPr>
                <w:rFonts w:ascii="Calibri" w:hAnsi="Calibri"/>
                <w:color w:val="auto"/>
                <w:sz w:val="18"/>
                <w:szCs w:val="18"/>
                <w:highlight w:val="none"/>
              </w:rPr>
            </w:pPr>
          </w:p>
        </w:tc>
        <w:tc>
          <w:tcPr>
            <w:tcW w:w="1134" w:type="pct"/>
            <w:tcBorders>
              <w:top w:val="nil"/>
              <w:bottom w:val="single" w:color="auto" w:sz="4" w:space="0"/>
            </w:tcBorders>
            <w:vAlign w:val="center"/>
          </w:tcPr>
          <w:p w14:paraId="758D579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772" w:type="pct"/>
            <w:tcBorders>
              <w:top w:val="nil"/>
              <w:bottom w:val="single" w:color="auto" w:sz="4" w:space="0"/>
            </w:tcBorders>
            <w:vAlign w:val="center"/>
          </w:tcPr>
          <w:p w14:paraId="4A67438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6.0825</w:t>
            </w:r>
          </w:p>
        </w:tc>
        <w:tc>
          <w:tcPr>
            <w:tcW w:w="772" w:type="pct"/>
            <w:tcBorders>
              <w:top w:val="nil"/>
              <w:bottom w:val="single" w:color="auto" w:sz="4" w:space="0"/>
            </w:tcBorders>
            <w:vAlign w:val="center"/>
          </w:tcPr>
          <w:p w14:paraId="7695967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4.0801</w:t>
            </w:r>
          </w:p>
        </w:tc>
        <w:tc>
          <w:tcPr>
            <w:tcW w:w="935" w:type="pct"/>
            <w:tcBorders>
              <w:top w:val="nil"/>
              <w:bottom w:val="single" w:color="auto" w:sz="4" w:space="0"/>
            </w:tcBorders>
            <w:vAlign w:val="center"/>
          </w:tcPr>
          <w:p w14:paraId="63BAFF1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0.6463%</w:t>
            </w:r>
          </w:p>
        </w:tc>
        <w:tc>
          <w:tcPr>
            <w:tcW w:w="772" w:type="pct"/>
            <w:tcBorders>
              <w:top w:val="nil"/>
              <w:bottom w:val="single" w:color="auto" w:sz="4" w:space="0"/>
            </w:tcBorders>
            <w:vAlign w:val="center"/>
          </w:tcPr>
          <w:p w14:paraId="17D912D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0.9375</w:t>
            </w:r>
          </w:p>
        </w:tc>
      </w:tr>
      <w:tr w14:paraId="42CEED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restart"/>
            <w:tcBorders>
              <w:top w:val="single" w:color="auto" w:sz="4" w:space="0"/>
            </w:tcBorders>
            <w:vAlign w:val="center"/>
          </w:tcPr>
          <w:p w14:paraId="32FB291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w:t>
            </w:r>
          </w:p>
        </w:tc>
        <w:tc>
          <w:tcPr>
            <w:tcW w:w="1134" w:type="pct"/>
            <w:tcBorders>
              <w:top w:val="single" w:color="auto" w:sz="4" w:space="0"/>
            </w:tcBorders>
            <w:vAlign w:val="center"/>
          </w:tcPr>
          <w:p w14:paraId="6864182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t>
            </w:r>
          </w:p>
        </w:tc>
        <w:tc>
          <w:tcPr>
            <w:tcW w:w="772" w:type="pct"/>
            <w:tcBorders>
              <w:top w:val="single" w:color="auto" w:sz="4" w:space="0"/>
            </w:tcBorders>
            <w:vAlign w:val="center"/>
          </w:tcPr>
          <w:p w14:paraId="6300080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4.6989</w:t>
            </w:r>
          </w:p>
        </w:tc>
        <w:tc>
          <w:tcPr>
            <w:tcW w:w="772" w:type="pct"/>
            <w:tcBorders>
              <w:top w:val="single" w:color="auto" w:sz="4" w:space="0"/>
            </w:tcBorders>
            <w:vAlign w:val="center"/>
          </w:tcPr>
          <w:p w14:paraId="1340EFA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3.3545</w:t>
            </w:r>
          </w:p>
        </w:tc>
        <w:tc>
          <w:tcPr>
            <w:tcW w:w="935" w:type="pct"/>
            <w:tcBorders>
              <w:top w:val="single" w:color="auto" w:sz="4" w:space="0"/>
            </w:tcBorders>
            <w:vAlign w:val="center"/>
          </w:tcPr>
          <w:p w14:paraId="3D369DD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0.5355%</w:t>
            </w:r>
          </w:p>
        </w:tc>
        <w:tc>
          <w:tcPr>
            <w:tcW w:w="772" w:type="pct"/>
            <w:tcBorders>
              <w:top w:val="single" w:color="auto" w:sz="4" w:space="0"/>
            </w:tcBorders>
            <w:vAlign w:val="center"/>
          </w:tcPr>
          <w:p w14:paraId="7352994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0.9644</w:t>
            </w:r>
          </w:p>
        </w:tc>
      </w:tr>
      <w:tr w14:paraId="0814CA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vAlign w:val="center"/>
          </w:tcPr>
          <w:p w14:paraId="177BC28B">
            <w:pPr>
              <w:adjustRightInd w:val="0"/>
              <w:snapToGrid w:val="0"/>
              <w:jc w:val="center"/>
              <w:rPr>
                <w:rFonts w:ascii="Calibri" w:hAnsi="Calibri"/>
                <w:color w:val="auto"/>
                <w:sz w:val="18"/>
                <w:szCs w:val="18"/>
                <w:highlight w:val="none"/>
              </w:rPr>
            </w:pPr>
          </w:p>
        </w:tc>
        <w:tc>
          <w:tcPr>
            <w:tcW w:w="1134" w:type="pct"/>
            <w:vAlign w:val="center"/>
          </w:tcPr>
          <w:p w14:paraId="01E3083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t>
            </w:r>
          </w:p>
        </w:tc>
        <w:tc>
          <w:tcPr>
            <w:tcW w:w="772" w:type="pct"/>
            <w:vAlign w:val="center"/>
          </w:tcPr>
          <w:p w14:paraId="7DBE146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5.1507</w:t>
            </w:r>
          </w:p>
        </w:tc>
        <w:tc>
          <w:tcPr>
            <w:tcW w:w="772" w:type="pct"/>
            <w:vAlign w:val="center"/>
          </w:tcPr>
          <w:p w14:paraId="0021434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3.4620</w:t>
            </w:r>
          </w:p>
        </w:tc>
        <w:tc>
          <w:tcPr>
            <w:tcW w:w="935" w:type="pct"/>
            <w:vAlign w:val="center"/>
          </w:tcPr>
          <w:p w14:paraId="171FE56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0.5543%</w:t>
            </w:r>
          </w:p>
        </w:tc>
        <w:tc>
          <w:tcPr>
            <w:tcW w:w="772" w:type="pct"/>
            <w:vAlign w:val="center"/>
          </w:tcPr>
          <w:p w14:paraId="3DAF45C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0.9572</w:t>
            </w:r>
          </w:p>
        </w:tc>
      </w:tr>
      <w:tr w14:paraId="267863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vAlign w:val="center"/>
          </w:tcPr>
          <w:p w14:paraId="20A7840F">
            <w:pPr>
              <w:adjustRightInd w:val="0"/>
              <w:snapToGrid w:val="0"/>
              <w:jc w:val="center"/>
              <w:rPr>
                <w:rFonts w:ascii="Calibri" w:hAnsi="Calibri"/>
                <w:color w:val="auto"/>
                <w:sz w:val="18"/>
                <w:szCs w:val="18"/>
                <w:highlight w:val="none"/>
              </w:rPr>
            </w:pPr>
          </w:p>
        </w:tc>
        <w:tc>
          <w:tcPr>
            <w:tcW w:w="1134" w:type="pct"/>
            <w:vAlign w:val="center"/>
          </w:tcPr>
          <w:p w14:paraId="5581E49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t>
            </w:r>
          </w:p>
        </w:tc>
        <w:tc>
          <w:tcPr>
            <w:tcW w:w="772" w:type="pct"/>
            <w:vAlign w:val="center"/>
          </w:tcPr>
          <w:p w14:paraId="732BC7C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5.7316</w:t>
            </w:r>
          </w:p>
        </w:tc>
        <w:tc>
          <w:tcPr>
            <w:tcW w:w="772" w:type="pct"/>
            <w:vAlign w:val="center"/>
          </w:tcPr>
          <w:p w14:paraId="719C035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4.2174</w:t>
            </w:r>
          </w:p>
        </w:tc>
        <w:tc>
          <w:tcPr>
            <w:tcW w:w="935" w:type="pct"/>
            <w:vAlign w:val="center"/>
          </w:tcPr>
          <w:p w14:paraId="0939301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0.6719%</w:t>
            </w:r>
          </w:p>
        </w:tc>
        <w:tc>
          <w:tcPr>
            <w:tcW w:w="772" w:type="pct"/>
            <w:vAlign w:val="center"/>
          </w:tcPr>
          <w:p w14:paraId="71F6DC9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0.9470</w:t>
            </w:r>
          </w:p>
        </w:tc>
      </w:tr>
      <w:tr w14:paraId="6492479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6" w:type="pct"/>
            <w:vMerge w:val="continue"/>
            <w:vAlign w:val="center"/>
          </w:tcPr>
          <w:p w14:paraId="739FEB0C">
            <w:pPr>
              <w:adjustRightInd w:val="0"/>
              <w:snapToGrid w:val="0"/>
              <w:jc w:val="center"/>
              <w:rPr>
                <w:rFonts w:ascii="Calibri" w:hAnsi="Calibri"/>
                <w:color w:val="auto"/>
                <w:sz w:val="18"/>
                <w:szCs w:val="18"/>
                <w:highlight w:val="none"/>
              </w:rPr>
            </w:pPr>
          </w:p>
        </w:tc>
        <w:tc>
          <w:tcPr>
            <w:tcW w:w="1134" w:type="pct"/>
            <w:vAlign w:val="center"/>
          </w:tcPr>
          <w:p w14:paraId="59090FE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772" w:type="pct"/>
            <w:vAlign w:val="center"/>
          </w:tcPr>
          <w:p w14:paraId="4BB454D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6.5447</w:t>
            </w:r>
          </w:p>
        </w:tc>
        <w:tc>
          <w:tcPr>
            <w:tcW w:w="772" w:type="pct"/>
            <w:vAlign w:val="center"/>
          </w:tcPr>
          <w:p w14:paraId="60282F0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4.6619</w:t>
            </w:r>
          </w:p>
        </w:tc>
        <w:tc>
          <w:tcPr>
            <w:tcW w:w="935" w:type="pct"/>
            <w:vAlign w:val="center"/>
          </w:tcPr>
          <w:p w14:paraId="00A0CE6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0.7448%</w:t>
            </w:r>
          </w:p>
        </w:tc>
        <w:tc>
          <w:tcPr>
            <w:tcW w:w="772" w:type="pct"/>
            <w:vAlign w:val="center"/>
          </w:tcPr>
          <w:p w14:paraId="341A008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0.9309</w:t>
            </w:r>
          </w:p>
        </w:tc>
      </w:tr>
    </w:tbl>
    <w:p w14:paraId="5AD0E1A0">
      <w:pPr>
        <w:adjustRightInd w:val="0"/>
        <w:snapToGrid w:val="0"/>
        <w:ind w:firstLine="420" w:firstLineChars="200"/>
        <w:rPr>
          <w:color w:val="auto"/>
          <w:szCs w:val="21"/>
          <w:highlight w:val="none"/>
        </w:rPr>
      </w:pPr>
      <w:r>
        <w:rPr>
          <w:color w:val="auto"/>
          <w:szCs w:val="21"/>
          <w:highlight w:val="none"/>
        </w:rPr>
        <w:t>表4展示了L1和L2电池的</w:t>
      </w:r>
      <w:r>
        <w:rPr>
          <w:i/>
          <w:iCs/>
          <w:color w:val="auto"/>
          <w:szCs w:val="21"/>
          <w:highlight w:val="none"/>
        </w:rPr>
        <w:t>HI</w:t>
      </w:r>
      <w:r>
        <w:rPr>
          <w:color w:val="auto"/>
          <w:szCs w:val="21"/>
          <w:highlight w:val="none"/>
        </w:rPr>
        <w:t>预测性能指标。在本研究测试条件下，COA-BP模型在多数评价指标上取得了较优结果，其预测准确性相较于对比模型有所提高。</w:t>
      </w:r>
    </w:p>
    <w:p w14:paraId="1A6CAC04">
      <w:pPr>
        <w:adjustRightInd w:val="0"/>
        <w:snapToGrid w:val="0"/>
        <w:ind w:firstLine="420" w:firstLineChars="200"/>
        <w:rPr>
          <w:color w:val="auto"/>
          <w:szCs w:val="21"/>
          <w:highlight w:val="none"/>
        </w:rPr>
      </w:pPr>
      <w:r>
        <w:rPr>
          <w:color w:val="auto"/>
          <w:szCs w:val="21"/>
          <w:highlight w:val="none"/>
        </w:rPr>
        <w:t>在绝对误差指标上，COA-BP模型的</w:t>
      </w:r>
      <w:r>
        <w:rPr>
          <w:i/>
          <w:iCs/>
          <w:color w:val="auto"/>
          <w:szCs w:val="21"/>
          <w:highlight w:val="none"/>
        </w:rPr>
        <w:t>RMSE</w:t>
      </w:r>
      <w:r>
        <w:rPr>
          <w:color w:val="auto"/>
          <w:szCs w:val="21"/>
          <w:highlight w:val="none"/>
        </w:rPr>
        <w:t>和</w:t>
      </w:r>
      <w:r>
        <w:rPr>
          <w:i/>
          <w:iCs/>
          <w:color w:val="auto"/>
          <w:szCs w:val="21"/>
          <w:highlight w:val="none"/>
        </w:rPr>
        <w:t>MAE</w:t>
      </w:r>
      <w:r>
        <w:rPr>
          <w:color w:val="auto"/>
          <w:szCs w:val="21"/>
          <w:highlight w:val="none"/>
        </w:rPr>
        <w:t>相对较低，优于BP神经网络。同为优化算法的DBO-BP模型精度次之，而LSTM模型虽优于传统BP网络，但整体仍低于COA-BP模型。在</w:t>
      </w:r>
      <w:r>
        <w:rPr>
          <w:i/>
          <w:iCs/>
          <w:color w:val="auto"/>
          <w:szCs w:val="21"/>
          <w:highlight w:val="none"/>
        </w:rPr>
        <w:t>MAPE</w:t>
      </w:r>
      <w:r>
        <w:rPr>
          <w:color w:val="auto"/>
          <w:szCs w:val="21"/>
          <w:highlight w:val="none"/>
        </w:rPr>
        <w:t>指标上，COA-BP模型同样表现较好，体现出较好的预测稳定性。此外，其决定系数</w:t>
      </w:r>
      <w:r>
        <w:rPr>
          <w:i/>
          <w:iCs/>
          <w:color w:val="auto"/>
          <w:szCs w:val="21"/>
          <w:highlight w:val="none"/>
        </w:rPr>
        <w:t>R</w:t>
      </w:r>
      <w:r>
        <w:rPr>
          <w:color w:val="auto"/>
          <w:szCs w:val="21"/>
          <w:highlight w:val="none"/>
        </w:rPr>
        <w:t>²相对较高，表明模型对电池老化变异性具有较强解释能力。</w:t>
      </w:r>
    </w:p>
    <w:p w14:paraId="560FD6B7">
      <w:pPr>
        <w:adjustRightInd w:val="0"/>
        <w:snapToGrid w:val="0"/>
        <w:ind w:firstLine="420" w:firstLineChars="200"/>
        <w:rPr>
          <w:color w:val="auto"/>
          <w:szCs w:val="21"/>
          <w:highlight w:val="none"/>
        </w:rPr>
      </w:pPr>
      <w:r>
        <w:rPr>
          <w:color w:val="auto"/>
          <w:szCs w:val="21"/>
          <w:highlight w:val="none"/>
        </w:rPr>
        <w:t>具体而言，在L1电池上，COA-BP模型相较于对比方法的</w:t>
      </w:r>
      <w:r>
        <w:rPr>
          <w:i/>
          <w:iCs/>
          <w:color w:val="auto"/>
          <w:szCs w:val="21"/>
          <w:highlight w:val="none"/>
        </w:rPr>
        <w:t>RMSE</w:t>
      </w:r>
      <w:r>
        <w:rPr>
          <w:color w:val="auto"/>
          <w:szCs w:val="21"/>
          <w:highlight w:val="none"/>
        </w:rPr>
        <w:t>、</w:t>
      </w:r>
      <w:r>
        <w:rPr>
          <w:i/>
          <w:iCs/>
          <w:color w:val="auto"/>
          <w:szCs w:val="21"/>
          <w:highlight w:val="none"/>
        </w:rPr>
        <w:t>MAE</w:t>
      </w:r>
      <w:r>
        <w:rPr>
          <w:color w:val="auto"/>
          <w:szCs w:val="21"/>
          <w:highlight w:val="none"/>
        </w:rPr>
        <w:t>和</w:t>
      </w:r>
      <w:r>
        <w:rPr>
          <w:i/>
          <w:iCs/>
          <w:color w:val="auto"/>
          <w:szCs w:val="21"/>
          <w:highlight w:val="none"/>
        </w:rPr>
        <w:t>MAPE</w:t>
      </w:r>
      <w:r>
        <w:rPr>
          <w:color w:val="auto"/>
          <w:szCs w:val="21"/>
          <w:highlight w:val="none"/>
        </w:rPr>
        <w:t>分别最高下降25.15%、25.51%和25.46%，</w:t>
      </w:r>
      <w:r>
        <w:rPr>
          <w:i/>
          <w:iCs/>
          <w:color w:val="auto"/>
          <w:szCs w:val="21"/>
          <w:highlight w:val="none"/>
        </w:rPr>
        <w:t>R</w:t>
      </w:r>
      <w:r>
        <w:rPr>
          <w:color w:val="auto"/>
          <w:szCs w:val="21"/>
          <w:highlight w:val="none"/>
        </w:rPr>
        <w:t>²最高提升2.93%。L2电池的结果呈现一致趋势，各项指标亦实现显著下降（如</w:t>
      </w:r>
      <w:r>
        <w:rPr>
          <w:i/>
          <w:iCs/>
          <w:color w:val="auto"/>
          <w:szCs w:val="21"/>
          <w:highlight w:val="none"/>
        </w:rPr>
        <w:t>RMSE</w:t>
      </w:r>
      <w:r>
        <w:rPr>
          <w:color w:val="auto"/>
          <w:szCs w:val="21"/>
          <w:highlight w:val="none"/>
        </w:rPr>
        <w:t>精度最高下降28.20%），进一步说明模型在本研究的数据集上具有较高的预测精度。</w:t>
      </w:r>
    </w:p>
    <w:p w14:paraId="38AD0C56">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 xml:space="preserve">3.3 </w:t>
      </w:r>
      <w:r>
        <w:rPr>
          <w:rFonts w:ascii="黑体" w:hAnsi="黑体" w:eastAsia="黑体"/>
          <w:bCs/>
          <w:i/>
          <w:iCs/>
          <w:color w:val="auto"/>
          <w:szCs w:val="21"/>
          <w:highlight w:val="none"/>
        </w:rPr>
        <w:t>RUL</w:t>
      </w:r>
      <w:r>
        <w:rPr>
          <w:rFonts w:ascii="黑体" w:hAnsi="黑体" w:eastAsia="黑体"/>
          <w:bCs/>
          <w:color w:val="auto"/>
          <w:szCs w:val="21"/>
          <w:highlight w:val="none"/>
        </w:rPr>
        <w:t>预测的验证与分析</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75"/>
        <w:gridCol w:w="4875"/>
      </w:tblGrid>
      <w:tr w14:paraId="6569E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814" w:type="dxa"/>
          </w:tcPr>
          <w:p w14:paraId="61BF219F">
            <w:pPr>
              <w:adjustRightInd w:val="0"/>
              <w:snapToGrid w:val="0"/>
              <w:jc w:val="center"/>
              <w:rPr>
                <w:rFonts w:ascii="Calibri" w:hAnsi="Calibri"/>
                <w:color w:val="auto"/>
                <w:highlight w:val="none"/>
              </w:rPr>
            </w:pPr>
            <w:r>
              <w:rPr>
                <w:rFonts w:ascii="Times New Roman" w:hAnsi="Times New Roman"/>
                <w:color w:val="auto"/>
                <w:highlight w:val="none"/>
              </w:rPr>
              <w:object>
                <v:shape id="_x0000_i1174" o:spt="75" type="#_x0000_t75" style="height:171.7pt;width:232.95pt;" o:ole="t" filled="f" o:preferrelative="t" stroked="f" coordsize="21600,21600">
                  <v:path/>
                  <v:fill on="f" focussize="0,0"/>
                  <v:stroke on="f" joinstyle="miter"/>
                  <v:imagedata r:id="rId313" cropleft="712f" croptop="1133f" cropright="855f" cropbottom="1889f" o:title=""/>
                  <o:lock v:ext="edit" aspectratio="t"/>
                  <w10:wrap type="none"/>
                  <w10:anchorlock/>
                </v:shape>
                <o:OLEObject Type="Embed" ProgID="Visio.Drawing.15" ShapeID="_x0000_i1174" DrawAspect="Content" ObjectID="_1468075874" r:id="rId312">
                  <o:LockedField>false</o:LockedField>
                </o:OLEObject>
              </w:object>
            </w:r>
          </w:p>
        </w:tc>
        <w:tc>
          <w:tcPr>
            <w:tcW w:w="4814" w:type="dxa"/>
          </w:tcPr>
          <w:p w14:paraId="7C79BD8E">
            <w:pPr>
              <w:adjustRightInd w:val="0"/>
              <w:snapToGrid w:val="0"/>
              <w:jc w:val="center"/>
              <w:rPr>
                <w:rFonts w:ascii="Calibri" w:hAnsi="Calibri"/>
                <w:color w:val="auto"/>
                <w:highlight w:val="none"/>
              </w:rPr>
            </w:pPr>
            <w:r>
              <w:rPr>
                <w:rFonts w:ascii="Times New Roman" w:hAnsi="Times New Roman"/>
                <w:color w:val="auto"/>
                <w:highlight w:val="none"/>
              </w:rPr>
              <w:object>
                <v:shape id="_x0000_i1175" o:spt="75" type="#_x0000_t75" style="height:171.7pt;width:232.95pt;" o:ole="t" filled="f" o:preferrelative="t" stroked="f" coordsize="21600,21600">
                  <v:path/>
                  <v:fill on="f" focussize="0,0"/>
                  <v:stroke on="f" joinstyle="miter"/>
                  <v:imagedata r:id="rId315" cropleft="712f" croptop="1133f" cropright="1140f" cropbottom="1889f" o:title=""/>
                  <o:lock v:ext="edit" aspectratio="t"/>
                  <w10:wrap type="none"/>
                  <w10:anchorlock/>
                </v:shape>
                <o:OLEObject Type="Embed" ProgID="Visio.Drawing.15" ShapeID="_x0000_i1175" DrawAspect="Content" ObjectID="_1468075875" r:id="rId314">
                  <o:LockedField>false</o:LockedField>
                </o:OLEObject>
              </w:object>
            </w:r>
          </w:p>
        </w:tc>
      </w:tr>
      <w:tr w14:paraId="3EC7C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2ACBD834">
            <w:pPr>
              <w:adjustRightInd w:val="0"/>
              <w:snapToGrid w:val="0"/>
              <w:jc w:val="center"/>
              <w:rPr>
                <w:rFonts w:ascii="Calibri" w:hAnsi="Calibri"/>
                <w:color w:val="auto"/>
                <w:highlight w:val="none"/>
              </w:rPr>
            </w:pPr>
            <w:r>
              <w:rPr>
                <w:rFonts w:ascii="Calibri" w:hAnsi="Calibri"/>
                <w:color w:val="auto"/>
                <w:sz w:val="15"/>
                <w:szCs w:val="15"/>
                <w:highlight w:val="none"/>
              </w:rPr>
              <w:t>(a) L1电池</w:t>
            </w:r>
          </w:p>
        </w:tc>
        <w:tc>
          <w:tcPr>
            <w:tcW w:w="4814" w:type="dxa"/>
          </w:tcPr>
          <w:p w14:paraId="693203C7">
            <w:pPr>
              <w:adjustRightInd w:val="0"/>
              <w:snapToGrid w:val="0"/>
              <w:jc w:val="center"/>
              <w:rPr>
                <w:rFonts w:ascii="Calibri" w:hAnsi="Calibri"/>
                <w:color w:val="auto"/>
                <w:highlight w:val="none"/>
              </w:rPr>
            </w:pPr>
            <w:r>
              <w:rPr>
                <w:rFonts w:ascii="Calibri" w:hAnsi="Calibri"/>
                <w:color w:val="auto"/>
                <w:sz w:val="15"/>
                <w:szCs w:val="15"/>
                <w:highlight w:val="none"/>
              </w:rPr>
              <w:t>(b) L2电池</w:t>
            </w:r>
          </w:p>
        </w:tc>
      </w:tr>
    </w:tbl>
    <w:p w14:paraId="12506D1C">
      <w:pPr>
        <w:adjustRightInd w:val="0"/>
        <w:snapToGrid w:val="0"/>
        <w:jc w:val="center"/>
        <w:rPr>
          <w:color w:val="auto"/>
          <w:sz w:val="18"/>
          <w:szCs w:val="18"/>
          <w:highlight w:val="none"/>
        </w:rPr>
      </w:pPr>
      <w:r>
        <w:rPr>
          <w:color w:val="auto"/>
          <w:sz w:val="18"/>
          <w:szCs w:val="18"/>
          <w:highlight w:val="none"/>
        </w:rPr>
        <w:t>图7  L1和L2电池</w:t>
      </w:r>
      <w:r>
        <w:rPr>
          <w:i/>
          <w:iCs/>
          <w:color w:val="auto"/>
          <w:sz w:val="18"/>
          <w:szCs w:val="18"/>
          <w:highlight w:val="none"/>
        </w:rPr>
        <w:t>RUL</w:t>
      </w:r>
      <w:r>
        <w:rPr>
          <w:color w:val="auto"/>
          <w:sz w:val="18"/>
          <w:szCs w:val="18"/>
          <w:highlight w:val="none"/>
        </w:rPr>
        <w:t>预测结果和概率密度分布</w:t>
      </w:r>
    </w:p>
    <w:p w14:paraId="32768FBB">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7  </w:t>
      </w:r>
      <w:r>
        <w:rPr>
          <w:i/>
          <w:iCs/>
          <w:color w:val="auto"/>
          <w:sz w:val="18"/>
          <w:szCs w:val="18"/>
          <w:highlight w:val="none"/>
        </w:rPr>
        <w:t>RUL</w:t>
      </w:r>
      <w:r>
        <w:rPr>
          <w:color w:val="auto"/>
          <w:sz w:val="18"/>
          <w:szCs w:val="18"/>
          <w:highlight w:val="none"/>
        </w:rPr>
        <w:t xml:space="preserve"> prediction results and probability density distributions of batteries L1 and L2</w:t>
      </w:r>
    </w:p>
    <w:p w14:paraId="0974DA7E">
      <w:pPr>
        <w:adjustRightInd w:val="0"/>
        <w:snapToGrid w:val="0"/>
        <w:ind w:firstLine="420" w:firstLineChars="200"/>
        <w:rPr>
          <w:color w:val="auto"/>
          <w:szCs w:val="21"/>
          <w:highlight w:val="none"/>
        </w:rPr>
      </w:pPr>
      <w:r>
        <w:rPr>
          <w:color w:val="auto"/>
          <w:szCs w:val="21"/>
          <w:highlight w:val="none"/>
        </w:rPr>
        <w:t>图7为L1与L2电池的</w:t>
      </w:r>
      <w:r>
        <w:rPr>
          <w:i/>
          <w:iCs/>
          <w:color w:val="auto"/>
          <w:szCs w:val="21"/>
          <w:highlight w:val="none"/>
        </w:rPr>
        <w:t>RUL</w:t>
      </w:r>
      <w:r>
        <w:rPr>
          <w:color w:val="auto"/>
          <w:szCs w:val="21"/>
          <w:highlight w:val="none"/>
        </w:rPr>
        <w:t>预测结果以及相应的PDF变化情况。红色曲线为实际</w:t>
      </w:r>
      <w:r>
        <w:rPr>
          <w:i/>
          <w:iCs/>
          <w:color w:val="auto"/>
          <w:szCs w:val="21"/>
          <w:highlight w:val="none"/>
        </w:rPr>
        <w:t>RUL</w:t>
      </w:r>
      <w:r>
        <w:rPr>
          <w:color w:val="auto"/>
          <w:szCs w:val="21"/>
          <w:highlight w:val="none"/>
        </w:rPr>
        <w:t>随循环次数的老化轨迹，蓝色星号标注为预测</w:t>
      </w:r>
      <w:r>
        <w:rPr>
          <w:i/>
          <w:iCs/>
          <w:color w:val="auto"/>
          <w:szCs w:val="21"/>
          <w:highlight w:val="none"/>
        </w:rPr>
        <w:t>RUL</w:t>
      </w:r>
      <w:r>
        <w:rPr>
          <w:color w:val="auto"/>
          <w:szCs w:val="21"/>
          <w:highlight w:val="none"/>
        </w:rPr>
        <w:t>结果，彩色曲线则对应不同监测点的</w:t>
      </w:r>
      <w:r>
        <w:rPr>
          <w:i/>
          <w:iCs/>
          <w:color w:val="auto"/>
          <w:szCs w:val="21"/>
          <w:highlight w:val="none"/>
        </w:rPr>
        <w:t>RUL</w:t>
      </w:r>
      <w:r>
        <w:rPr>
          <w:color w:val="auto"/>
          <w:szCs w:val="21"/>
          <w:highlight w:val="none"/>
        </w:rPr>
        <w:t>概率分布，每隔100个循环进行一次监测。</w:t>
      </w:r>
    </w:p>
    <w:p w14:paraId="62EEDA47">
      <w:pPr>
        <w:adjustRightInd w:val="0"/>
        <w:snapToGrid w:val="0"/>
        <w:ind w:firstLine="420" w:firstLineChars="200"/>
        <w:rPr>
          <w:color w:val="auto"/>
          <w:szCs w:val="21"/>
          <w:highlight w:val="none"/>
        </w:rPr>
      </w:pPr>
      <w:r>
        <w:rPr>
          <w:color w:val="auto"/>
          <w:szCs w:val="21"/>
          <w:highlight w:val="none"/>
        </w:rPr>
        <w:t>由图7可以看出，随着循环数的增加，实际</w:t>
      </w:r>
      <w:r>
        <w:rPr>
          <w:i/>
          <w:iCs/>
          <w:color w:val="auto"/>
          <w:szCs w:val="21"/>
          <w:highlight w:val="none"/>
        </w:rPr>
        <w:t>RUL</w:t>
      </w:r>
      <w:r>
        <w:rPr>
          <w:color w:val="auto"/>
          <w:szCs w:val="21"/>
          <w:highlight w:val="none"/>
        </w:rPr>
        <w:t>呈单调下降趋势。预测的</w:t>
      </w:r>
      <w:r>
        <w:rPr>
          <w:i/>
          <w:iCs/>
          <w:color w:val="auto"/>
          <w:szCs w:val="21"/>
          <w:highlight w:val="none"/>
        </w:rPr>
        <w:t>RUL</w:t>
      </w:r>
      <w:r>
        <w:rPr>
          <w:color w:val="auto"/>
          <w:szCs w:val="21"/>
          <w:highlight w:val="none"/>
        </w:rPr>
        <w:t>与实际曲线整体保持良好一致性，能较好捕捉</w:t>
      </w:r>
      <w:r>
        <w:rPr>
          <w:i/>
          <w:iCs/>
          <w:color w:val="auto"/>
          <w:szCs w:val="21"/>
          <w:highlight w:val="none"/>
        </w:rPr>
        <w:t>RUL</w:t>
      </w:r>
      <w:r>
        <w:rPr>
          <w:color w:val="auto"/>
          <w:szCs w:val="21"/>
          <w:highlight w:val="none"/>
        </w:rPr>
        <w:t>的变化趋势，表明模型具备较好的预测能力。在预测初期，预测均值位于较宽的置信区间内，体现了基于Wiener模型的FHT在早期阶段不确定性较大的统计特征；随着当前老化状态逐渐逼近失效阈值，漂移系数</w:t>
      </w:r>
      <w:r>
        <w:rPr>
          <w:color w:val="auto"/>
          <w:position w:val="-6"/>
          <w:highlight w:val="none"/>
        </w:rPr>
        <w:object>
          <v:shape id="_x0000_i1176" o:spt="75" type="#_x0000_t75" style="height:13.85pt;width:11.15pt;" o:ole="t" filled="f" o:preferrelative="t" stroked="f" coordsize="21600,21600">
            <v:path/>
            <v:fill on="f" focussize="0,0"/>
            <v:stroke on="f" joinstyle="miter"/>
            <v:imagedata r:id="rId317" o:title=""/>
            <o:lock v:ext="edit" aspectratio="t"/>
            <w10:wrap type="none"/>
            <w10:anchorlock/>
          </v:shape>
          <o:OLEObject Type="Embed" ProgID="Equation.DSMT4" ShapeID="_x0000_i1176" DrawAspect="Content" ObjectID="_1468075876" r:id="rId316">
            <o:LockedField>false</o:LockedField>
          </o:OLEObject>
        </w:object>
      </w:r>
      <w:r>
        <w:rPr>
          <w:color w:val="auto"/>
          <w:szCs w:val="21"/>
          <w:highlight w:val="none"/>
        </w:rPr>
        <w:t>对路径的约束作用增强，扩散系数</w:t>
      </w:r>
      <w:r>
        <w:rPr>
          <w:color w:val="auto"/>
          <w:position w:val="-6"/>
          <w:highlight w:val="none"/>
        </w:rPr>
        <w:object>
          <v:shape id="_x0000_i1177" o:spt="75" type="#_x0000_t75" style="height:16.95pt;width:16.95pt;" o:ole="t" filled="f" o:preferrelative="t" stroked="f" coordsize="21600,21600">
            <v:path/>
            <v:fill on="f" focussize="0,0"/>
            <v:stroke on="f" joinstyle="miter"/>
            <v:imagedata r:id="rId319" o:title=""/>
            <o:lock v:ext="edit" aspectratio="t"/>
            <w10:wrap type="none"/>
            <w10:anchorlock/>
          </v:shape>
          <o:OLEObject Type="Embed" ProgID="Equation.DSMT4" ShapeID="_x0000_i1177" DrawAspect="Content" ObjectID="_1468075877" r:id="rId318">
            <o:LockedField>false</o:LockedField>
          </o:OLEObject>
        </w:object>
      </w:r>
      <w:r>
        <w:rPr>
          <w:color w:val="auto"/>
          <w:szCs w:val="21"/>
          <w:highlight w:val="none"/>
        </w:rPr>
        <w:t>受限，导致分布逐渐趋于对称并呈尖峰形态，此时预测均值逐渐收敛于概率密度峰值区域。这一现象不仅量化了早期预测的不确定性，而且验证了所建模型在寿命末端阶段的终点锁定能力，即能够在失效前给出具有较高置信度的</w:t>
      </w:r>
      <w:r>
        <w:rPr>
          <w:i/>
          <w:iCs/>
          <w:color w:val="auto"/>
          <w:szCs w:val="21"/>
          <w:highlight w:val="none"/>
        </w:rPr>
        <w:t>RUL</w:t>
      </w:r>
      <w:r>
        <w:rPr>
          <w:color w:val="auto"/>
          <w:szCs w:val="21"/>
          <w:highlight w:val="none"/>
        </w:rPr>
        <w:t>预测结果。</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4"/>
        <w:gridCol w:w="4814"/>
      </w:tblGrid>
      <w:tr w14:paraId="4FF8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0038D314">
            <w:pPr>
              <w:adjustRightInd w:val="0"/>
              <w:snapToGrid w:val="0"/>
              <w:jc w:val="center"/>
              <w:rPr>
                <w:rFonts w:ascii="Calibri" w:hAnsi="Calibri"/>
                <w:color w:val="auto"/>
                <w:highlight w:val="none"/>
              </w:rPr>
            </w:pPr>
            <w:r>
              <w:rPr>
                <w:rFonts w:ascii="Times New Roman" w:hAnsi="Times New Roman"/>
                <w:color w:val="auto"/>
                <w:highlight w:val="none"/>
              </w:rPr>
              <w:object>
                <v:shape id="_x0000_i1178" o:spt="75" type="#_x0000_t75" style="height:180.6pt;width:226pt;" o:ole="t" filled="f" o:preferrelative="t" stroked="f" coordsize="21600,21600">
                  <v:path/>
                  <v:fill on="f" focussize="0,0"/>
                  <v:stroke on="f" joinstyle="miter"/>
                  <v:imagedata r:id="rId321" cropleft="712f" croptop="1700f" cropright="4417f" o:title=""/>
                  <o:lock v:ext="edit" aspectratio="t"/>
                  <w10:wrap type="none"/>
                  <w10:anchorlock/>
                </v:shape>
                <o:OLEObject Type="Embed" ProgID="Visio.Drawing.15" ShapeID="_x0000_i1178" DrawAspect="Content" ObjectID="_1468075878" r:id="rId320">
                  <o:LockedField>false</o:LockedField>
                </o:OLEObject>
              </w:object>
            </w:r>
          </w:p>
        </w:tc>
        <w:tc>
          <w:tcPr>
            <w:tcW w:w="4814" w:type="dxa"/>
          </w:tcPr>
          <w:p w14:paraId="1F064E5B">
            <w:pPr>
              <w:adjustRightInd w:val="0"/>
              <w:snapToGrid w:val="0"/>
              <w:jc w:val="center"/>
              <w:rPr>
                <w:rFonts w:ascii="Calibri" w:hAnsi="Calibri"/>
                <w:color w:val="auto"/>
                <w:highlight w:val="none"/>
              </w:rPr>
            </w:pPr>
            <w:r>
              <w:rPr>
                <w:rFonts w:ascii="Times New Roman" w:hAnsi="Times New Roman"/>
                <w:color w:val="auto"/>
                <w:highlight w:val="none"/>
              </w:rPr>
              <w:object>
                <v:shape id="_x0000_i1179" o:spt="75" type="#_x0000_t75" style="height:180.6pt;width:228.7pt;" o:ole="t" filled="f" o:preferrelative="t" stroked="f" coordsize="21600,21600">
                  <v:path/>
                  <v:fill on="f" focussize="0,0"/>
                  <v:stroke on="f" joinstyle="miter"/>
                  <v:imagedata r:id="rId323" cropleft="712f" croptop="1511f" cropright="3989f" o:title=""/>
                  <o:lock v:ext="edit" aspectratio="t"/>
                  <w10:wrap type="none"/>
                  <w10:anchorlock/>
                </v:shape>
                <o:OLEObject Type="Embed" ProgID="Visio.Drawing.15" ShapeID="_x0000_i1179" DrawAspect="Content" ObjectID="_1468075879" r:id="rId322">
                  <o:LockedField>false</o:LockedField>
                </o:OLEObject>
              </w:object>
            </w:r>
          </w:p>
        </w:tc>
      </w:tr>
      <w:tr w14:paraId="2EAE8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13057810">
            <w:pPr>
              <w:adjustRightInd w:val="0"/>
              <w:snapToGrid w:val="0"/>
              <w:jc w:val="center"/>
              <w:rPr>
                <w:rFonts w:ascii="Calibri" w:hAnsi="Calibri"/>
                <w:color w:val="auto"/>
                <w:highlight w:val="none"/>
              </w:rPr>
            </w:pPr>
            <w:r>
              <w:rPr>
                <w:rFonts w:ascii="Calibri" w:hAnsi="Calibri"/>
                <w:color w:val="auto"/>
                <w:sz w:val="15"/>
                <w:szCs w:val="15"/>
                <w:highlight w:val="none"/>
              </w:rPr>
              <w:t>(a) L1电池</w:t>
            </w:r>
          </w:p>
        </w:tc>
        <w:tc>
          <w:tcPr>
            <w:tcW w:w="4814" w:type="dxa"/>
          </w:tcPr>
          <w:p w14:paraId="53DBB4A9">
            <w:pPr>
              <w:adjustRightInd w:val="0"/>
              <w:snapToGrid w:val="0"/>
              <w:jc w:val="center"/>
              <w:rPr>
                <w:rFonts w:ascii="Calibri" w:hAnsi="Calibri"/>
                <w:color w:val="auto"/>
                <w:highlight w:val="none"/>
              </w:rPr>
            </w:pPr>
            <w:r>
              <w:rPr>
                <w:rFonts w:ascii="Calibri" w:hAnsi="Calibri"/>
                <w:color w:val="auto"/>
                <w:sz w:val="15"/>
                <w:szCs w:val="15"/>
                <w:highlight w:val="none"/>
              </w:rPr>
              <w:t>(b) L2电池</w:t>
            </w:r>
          </w:p>
        </w:tc>
      </w:tr>
    </w:tbl>
    <w:p w14:paraId="79CCFF0D">
      <w:pPr>
        <w:adjustRightInd w:val="0"/>
        <w:snapToGrid w:val="0"/>
        <w:jc w:val="center"/>
        <w:rPr>
          <w:color w:val="auto"/>
          <w:sz w:val="18"/>
          <w:szCs w:val="18"/>
          <w:highlight w:val="none"/>
        </w:rPr>
      </w:pPr>
      <w:r>
        <w:rPr>
          <w:color w:val="auto"/>
          <w:sz w:val="18"/>
          <w:szCs w:val="18"/>
          <w:highlight w:val="none"/>
        </w:rPr>
        <w:t>图8  不同算法在L1和L2电池上的</w:t>
      </w:r>
      <w:r>
        <w:rPr>
          <w:i/>
          <w:iCs/>
          <w:color w:val="auto"/>
          <w:sz w:val="18"/>
          <w:szCs w:val="18"/>
          <w:highlight w:val="none"/>
        </w:rPr>
        <w:t>RUL</w:t>
      </w:r>
      <w:r>
        <w:rPr>
          <w:color w:val="auto"/>
          <w:sz w:val="18"/>
          <w:szCs w:val="18"/>
          <w:highlight w:val="none"/>
        </w:rPr>
        <w:t>预测结果对比</w:t>
      </w:r>
    </w:p>
    <w:p w14:paraId="48619B2B">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8  Comparison of </w:t>
      </w:r>
      <w:r>
        <w:rPr>
          <w:i/>
          <w:iCs/>
          <w:color w:val="auto"/>
          <w:sz w:val="18"/>
          <w:szCs w:val="18"/>
          <w:highlight w:val="none"/>
        </w:rPr>
        <w:t>RUL</w:t>
      </w:r>
      <w:r>
        <w:rPr>
          <w:color w:val="auto"/>
          <w:sz w:val="18"/>
          <w:szCs w:val="18"/>
          <w:highlight w:val="none"/>
        </w:rPr>
        <w:t xml:space="preserve"> prediction results for batteries L1 and L2 using different algorithms</w:t>
      </w:r>
    </w:p>
    <w:p w14:paraId="638AADCA">
      <w:pPr>
        <w:adjustRightInd w:val="0"/>
        <w:snapToGrid w:val="0"/>
        <w:ind w:firstLine="420" w:firstLineChars="200"/>
        <w:rPr>
          <w:color w:val="auto"/>
          <w:szCs w:val="21"/>
          <w:highlight w:val="none"/>
        </w:rPr>
      </w:pPr>
      <w:r>
        <w:rPr>
          <w:color w:val="auto"/>
          <w:szCs w:val="21"/>
          <w:highlight w:val="none"/>
        </w:rPr>
        <w:t>图8展示了L1和L2电池使用不同算法的</w:t>
      </w:r>
      <w:r>
        <w:rPr>
          <w:i/>
          <w:iCs/>
          <w:color w:val="auto"/>
          <w:szCs w:val="21"/>
          <w:highlight w:val="none"/>
        </w:rPr>
        <w:t>RUL</w:t>
      </w:r>
      <w:r>
        <w:rPr>
          <w:color w:val="auto"/>
          <w:szCs w:val="21"/>
          <w:highlight w:val="none"/>
        </w:rPr>
        <w:t>预测结果。从图中可以看出，单一的BP神经网络模型无法有效跟踪电池后期的加速老化趋势，这主要归因于纯数据驱动模型缺乏足够的外推能力。相比之下，融合了Wiener过程的混合模型在一定程度上修正了这一预测偏差。由于Wiener过程建模了老化路径中的随机漂移及扩散特性，该模型不仅改善了短期跟踪性能，还能够在预测后期保持统计意义上的合理收敛，从而提升了剩余寿命预测的可靠性与物理一致性。进一步观察图8可知，在本研究实验条件下，COA-BP-Wiener模型相较于对比算法表现较优，能够紧密贴合真实的</w:t>
      </w:r>
      <w:r>
        <w:rPr>
          <w:i/>
          <w:iCs/>
          <w:color w:val="auto"/>
          <w:szCs w:val="21"/>
          <w:highlight w:val="none"/>
        </w:rPr>
        <w:t>RUL</w:t>
      </w:r>
      <w:r>
        <w:rPr>
          <w:color w:val="auto"/>
          <w:szCs w:val="21"/>
          <w:highlight w:val="none"/>
        </w:rPr>
        <w:t>曲线，在一定程度上提升了模型在全寿命周期内的预测精度和鲁棒性。</w:t>
      </w:r>
    </w:p>
    <w:p w14:paraId="5A3A112C">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5</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 xml:space="preserve"> 不同算法对L</w:t>
      </w:r>
      <w:r>
        <w:rPr>
          <w:rFonts w:eastAsia="黑体"/>
          <w:color w:val="auto"/>
          <w:sz w:val="18"/>
          <w:szCs w:val="18"/>
          <w:highlight w:val="none"/>
        </w:rPr>
        <w:t>1</w:t>
      </w:r>
      <w:r>
        <w:rPr>
          <w:rFonts w:ascii="黑体" w:hAnsi="黑体" w:eastAsia="黑体"/>
          <w:color w:val="auto"/>
          <w:sz w:val="18"/>
          <w:szCs w:val="18"/>
          <w:highlight w:val="none"/>
        </w:rPr>
        <w:t>和L</w:t>
      </w:r>
      <w:r>
        <w:rPr>
          <w:rFonts w:eastAsia="黑体"/>
          <w:color w:val="auto"/>
          <w:sz w:val="18"/>
          <w:szCs w:val="18"/>
          <w:highlight w:val="none"/>
        </w:rPr>
        <w:t>2</w:t>
      </w:r>
      <w:r>
        <w:rPr>
          <w:rFonts w:ascii="黑体" w:hAnsi="黑体" w:eastAsia="黑体"/>
          <w:color w:val="auto"/>
          <w:sz w:val="18"/>
          <w:szCs w:val="18"/>
          <w:highlight w:val="none"/>
        </w:rPr>
        <w:t>电池</w:t>
      </w:r>
      <w:r>
        <w:rPr>
          <w:rFonts w:ascii="黑体" w:hAnsi="黑体" w:eastAsia="黑体"/>
          <w:i/>
          <w:iCs/>
          <w:color w:val="auto"/>
          <w:sz w:val="18"/>
          <w:szCs w:val="18"/>
          <w:highlight w:val="none"/>
        </w:rPr>
        <w:t>RUL</w:t>
      </w:r>
      <w:r>
        <w:rPr>
          <w:rFonts w:ascii="黑体" w:hAnsi="黑体" w:eastAsia="黑体"/>
          <w:color w:val="auto"/>
          <w:sz w:val="18"/>
          <w:szCs w:val="18"/>
          <w:highlight w:val="none"/>
        </w:rPr>
        <w:t>预测性能的对比</w:t>
      </w:r>
    </w:p>
    <w:p w14:paraId="00B1A951">
      <w:pPr>
        <w:adjustRightInd w:val="0"/>
        <w:snapToGrid w:val="0"/>
        <w:jc w:val="center"/>
        <w:rPr>
          <w:color w:val="auto"/>
          <w:sz w:val="18"/>
          <w:szCs w:val="18"/>
          <w:highlight w:val="none"/>
        </w:rPr>
      </w:pPr>
      <w:r>
        <w:rPr>
          <w:color w:val="auto"/>
          <w:sz w:val="18"/>
          <w:szCs w:val="18"/>
          <w:highlight w:val="none"/>
        </w:rPr>
        <w:t xml:space="preserve">Table 5 </w:t>
      </w:r>
      <w:r>
        <w:rPr>
          <w:rFonts w:hint="eastAsia"/>
          <w:color w:val="auto"/>
          <w:sz w:val="18"/>
          <w:szCs w:val="18"/>
          <w:highlight w:val="none"/>
        </w:rPr>
        <w:t xml:space="preserve"> Comparison</w:t>
      </w:r>
      <w:r>
        <w:rPr>
          <w:color w:val="auto"/>
          <w:sz w:val="18"/>
          <w:szCs w:val="18"/>
          <w:highlight w:val="none"/>
        </w:rPr>
        <w:t xml:space="preserve"> of</w:t>
      </w:r>
      <w:r>
        <w:rPr>
          <w:i/>
          <w:iCs/>
          <w:color w:val="auto"/>
          <w:sz w:val="18"/>
          <w:szCs w:val="18"/>
          <w:highlight w:val="none"/>
        </w:rPr>
        <w:t xml:space="preserve"> RUL</w:t>
      </w:r>
      <w:r>
        <w:rPr>
          <w:color w:val="auto"/>
          <w:sz w:val="18"/>
          <w:szCs w:val="18"/>
          <w:highlight w:val="none"/>
        </w:rPr>
        <w:t xml:space="preserve"> prediction </w:t>
      </w:r>
      <w:r>
        <w:rPr>
          <w:rFonts w:hint="eastAsia"/>
          <w:color w:val="auto"/>
          <w:sz w:val="18"/>
          <w:szCs w:val="18"/>
          <w:highlight w:val="none"/>
        </w:rPr>
        <w:t>p</w:t>
      </w:r>
      <w:r>
        <w:rPr>
          <w:color w:val="auto"/>
          <w:sz w:val="18"/>
          <w:szCs w:val="18"/>
          <w:highlight w:val="none"/>
        </w:rPr>
        <w:t>erformance for batteries L1 and L2 using different algorithms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260"/>
        <w:gridCol w:w="1715"/>
        <w:gridCol w:w="1983"/>
        <w:gridCol w:w="1985"/>
      </w:tblGrid>
      <w:tr w14:paraId="6C1169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tcBorders>
              <w:top w:val="single" w:color="auto" w:sz="12" w:space="0"/>
              <w:bottom w:val="single" w:color="auto" w:sz="4" w:space="0"/>
            </w:tcBorders>
            <w:vAlign w:val="center"/>
          </w:tcPr>
          <w:p w14:paraId="3AB9443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1654" w:type="pct"/>
            <w:tcBorders>
              <w:top w:val="single" w:color="auto" w:sz="12" w:space="0"/>
              <w:bottom w:val="single" w:color="auto" w:sz="4" w:space="0"/>
            </w:tcBorders>
            <w:vAlign w:val="center"/>
          </w:tcPr>
          <w:p w14:paraId="707AF03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算法</w:t>
            </w:r>
          </w:p>
        </w:tc>
        <w:tc>
          <w:tcPr>
            <w:tcW w:w="870" w:type="pct"/>
            <w:tcBorders>
              <w:top w:val="single" w:color="auto" w:sz="12" w:space="0"/>
              <w:bottom w:val="single" w:color="auto" w:sz="4" w:space="0"/>
            </w:tcBorders>
            <w:vAlign w:val="center"/>
          </w:tcPr>
          <w:p w14:paraId="375F1593">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1006" w:type="pct"/>
            <w:tcBorders>
              <w:top w:val="single" w:color="auto" w:sz="12" w:space="0"/>
              <w:bottom w:val="single" w:color="auto" w:sz="4" w:space="0"/>
            </w:tcBorders>
            <w:vAlign w:val="center"/>
          </w:tcPr>
          <w:p w14:paraId="55CB71E8">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1007" w:type="pct"/>
            <w:tcBorders>
              <w:top w:val="single" w:color="auto" w:sz="12" w:space="0"/>
              <w:bottom w:val="single" w:color="auto" w:sz="4" w:space="0"/>
            </w:tcBorders>
            <w:vAlign w:val="center"/>
          </w:tcPr>
          <w:p w14:paraId="78DDB263">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75B1B7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restart"/>
            <w:tcBorders>
              <w:top w:val="single" w:color="auto" w:sz="4" w:space="0"/>
              <w:bottom w:val="nil"/>
            </w:tcBorders>
            <w:vAlign w:val="center"/>
          </w:tcPr>
          <w:p w14:paraId="7304EAA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1654" w:type="pct"/>
            <w:tcBorders>
              <w:top w:val="single" w:color="auto" w:sz="4" w:space="0"/>
              <w:bottom w:val="nil"/>
            </w:tcBorders>
          </w:tcPr>
          <w:p w14:paraId="1EAC0ED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COA-BP-Wiener</w:t>
            </w:r>
          </w:p>
        </w:tc>
        <w:tc>
          <w:tcPr>
            <w:tcW w:w="870" w:type="pct"/>
            <w:tcBorders>
              <w:top w:val="single" w:color="auto" w:sz="4" w:space="0"/>
              <w:bottom w:val="nil"/>
            </w:tcBorders>
            <w:vAlign w:val="center"/>
          </w:tcPr>
          <w:p w14:paraId="49C160A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13.9975</w:t>
            </w:r>
          </w:p>
        </w:tc>
        <w:tc>
          <w:tcPr>
            <w:tcW w:w="1006" w:type="pct"/>
            <w:tcBorders>
              <w:top w:val="single" w:color="auto" w:sz="4" w:space="0"/>
              <w:bottom w:val="nil"/>
            </w:tcBorders>
            <w:vAlign w:val="center"/>
          </w:tcPr>
          <w:p w14:paraId="1AA5189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11.7289</w:t>
            </w:r>
          </w:p>
        </w:tc>
        <w:tc>
          <w:tcPr>
            <w:tcW w:w="1007" w:type="pct"/>
            <w:tcBorders>
              <w:top w:val="single" w:color="auto" w:sz="4" w:space="0"/>
              <w:bottom w:val="nil"/>
            </w:tcBorders>
            <w:vAlign w:val="center"/>
          </w:tcPr>
          <w:p w14:paraId="4AAD4EB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0.9948</w:t>
            </w:r>
          </w:p>
        </w:tc>
      </w:tr>
      <w:tr w14:paraId="7751BC9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tcBorders>
              <w:top w:val="nil"/>
              <w:bottom w:val="nil"/>
            </w:tcBorders>
            <w:vAlign w:val="center"/>
          </w:tcPr>
          <w:p w14:paraId="3DEB77BD">
            <w:pPr>
              <w:adjustRightInd w:val="0"/>
              <w:snapToGrid w:val="0"/>
              <w:jc w:val="center"/>
              <w:rPr>
                <w:rFonts w:ascii="Calibri" w:hAnsi="Calibri"/>
                <w:color w:val="auto"/>
                <w:sz w:val="18"/>
                <w:szCs w:val="18"/>
                <w:highlight w:val="none"/>
              </w:rPr>
            </w:pPr>
          </w:p>
        </w:tc>
        <w:tc>
          <w:tcPr>
            <w:tcW w:w="1654" w:type="pct"/>
            <w:tcBorders>
              <w:top w:val="nil"/>
              <w:bottom w:val="nil"/>
            </w:tcBorders>
          </w:tcPr>
          <w:p w14:paraId="0D5D74F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DBO-BP-Wiener</w:t>
            </w:r>
          </w:p>
        </w:tc>
        <w:tc>
          <w:tcPr>
            <w:tcW w:w="870" w:type="pct"/>
            <w:tcBorders>
              <w:top w:val="nil"/>
              <w:bottom w:val="nil"/>
            </w:tcBorders>
            <w:vAlign w:val="center"/>
          </w:tcPr>
          <w:p w14:paraId="555DD3E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15.0665</w:t>
            </w:r>
          </w:p>
        </w:tc>
        <w:tc>
          <w:tcPr>
            <w:tcW w:w="1006" w:type="pct"/>
            <w:tcBorders>
              <w:top w:val="nil"/>
              <w:bottom w:val="nil"/>
            </w:tcBorders>
            <w:vAlign w:val="center"/>
          </w:tcPr>
          <w:p w14:paraId="0B96C4B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12.6871</w:t>
            </w:r>
          </w:p>
        </w:tc>
        <w:tc>
          <w:tcPr>
            <w:tcW w:w="1007" w:type="pct"/>
            <w:tcBorders>
              <w:top w:val="nil"/>
              <w:bottom w:val="nil"/>
            </w:tcBorders>
            <w:vAlign w:val="center"/>
          </w:tcPr>
          <w:p w14:paraId="3204A59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0.9940</w:t>
            </w:r>
          </w:p>
        </w:tc>
      </w:tr>
      <w:tr w14:paraId="128D82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tcBorders>
              <w:top w:val="nil"/>
              <w:bottom w:val="nil"/>
            </w:tcBorders>
            <w:vAlign w:val="center"/>
          </w:tcPr>
          <w:p w14:paraId="15BDD1AB">
            <w:pPr>
              <w:adjustRightInd w:val="0"/>
              <w:snapToGrid w:val="0"/>
              <w:jc w:val="center"/>
              <w:rPr>
                <w:rFonts w:ascii="Calibri" w:hAnsi="Calibri"/>
                <w:color w:val="auto"/>
                <w:sz w:val="18"/>
                <w:szCs w:val="18"/>
                <w:highlight w:val="none"/>
              </w:rPr>
            </w:pPr>
          </w:p>
        </w:tc>
        <w:tc>
          <w:tcPr>
            <w:tcW w:w="1654" w:type="pct"/>
            <w:tcBorders>
              <w:top w:val="nil"/>
              <w:bottom w:val="nil"/>
            </w:tcBorders>
          </w:tcPr>
          <w:p w14:paraId="2E213FB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LSTM-Wiener</w:t>
            </w:r>
          </w:p>
        </w:tc>
        <w:tc>
          <w:tcPr>
            <w:tcW w:w="870" w:type="pct"/>
            <w:tcBorders>
              <w:top w:val="nil"/>
              <w:bottom w:val="nil"/>
            </w:tcBorders>
            <w:vAlign w:val="center"/>
          </w:tcPr>
          <w:p w14:paraId="4C9580C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20.3858</w:t>
            </w:r>
          </w:p>
        </w:tc>
        <w:tc>
          <w:tcPr>
            <w:tcW w:w="1006" w:type="pct"/>
            <w:tcBorders>
              <w:top w:val="nil"/>
              <w:bottom w:val="nil"/>
            </w:tcBorders>
            <w:vAlign w:val="center"/>
          </w:tcPr>
          <w:p w14:paraId="1E7B435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20.3858</w:t>
            </w:r>
          </w:p>
        </w:tc>
        <w:tc>
          <w:tcPr>
            <w:tcW w:w="1007" w:type="pct"/>
            <w:tcBorders>
              <w:top w:val="nil"/>
              <w:bottom w:val="nil"/>
            </w:tcBorders>
            <w:vAlign w:val="center"/>
          </w:tcPr>
          <w:p w14:paraId="79D2442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0.9890</w:t>
            </w:r>
          </w:p>
        </w:tc>
      </w:tr>
      <w:tr w14:paraId="046E1B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tcBorders>
              <w:top w:val="nil"/>
              <w:bottom w:val="nil"/>
            </w:tcBorders>
            <w:vAlign w:val="center"/>
          </w:tcPr>
          <w:p w14:paraId="59C7FBD8">
            <w:pPr>
              <w:adjustRightInd w:val="0"/>
              <w:snapToGrid w:val="0"/>
              <w:jc w:val="center"/>
              <w:rPr>
                <w:rFonts w:ascii="Calibri" w:hAnsi="Calibri"/>
                <w:color w:val="auto"/>
                <w:sz w:val="18"/>
                <w:szCs w:val="18"/>
                <w:highlight w:val="none"/>
              </w:rPr>
            </w:pPr>
          </w:p>
        </w:tc>
        <w:tc>
          <w:tcPr>
            <w:tcW w:w="1654" w:type="pct"/>
            <w:tcBorders>
              <w:top w:val="nil"/>
              <w:bottom w:val="nil"/>
            </w:tcBorders>
          </w:tcPr>
          <w:p w14:paraId="6815853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BP-Wiener</w:t>
            </w:r>
          </w:p>
        </w:tc>
        <w:tc>
          <w:tcPr>
            <w:tcW w:w="870" w:type="pct"/>
            <w:tcBorders>
              <w:top w:val="nil"/>
              <w:bottom w:val="nil"/>
            </w:tcBorders>
            <w:vAlign w:val="center"/>
          </w:tcPr>
          <w:p w14:paraId="1CA3FFC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26.8120</w:t>
            </w:r>
          </w:p>
        </w:tc>
        <w:tc>
          <w:tcPr>
            <w:tcW w:w="1006" w:type="pct"/>
            <w:tcBorders>
              <w:top w:val="nil"/>
              <w:bottom w:val="nil"/>
            </w:tcBorders>
            <w:vAlign w:val="center"/>
          </w:tcPr>
          <w:p w14:paraId="5A98074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24.5384</w:t>
            </w:r>
          </w:p>
        </w:tc>
        <w:tc>
          <w:tcPr>
            <w:tcW w:w="1007" w:type="pct"/>
            <w:tcBorders>
              <w:top w:val="nil"/>
              <w:bottom w:val="nil"/>
            </w:tcBorders>
            <w:vAlign w:val="center"/>
          </w:tcPr>
          <w:p w14:paraId="155BF90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0.9809</w:t>
            </w:r>
          </w:p>
        </w:tc>
      </w:tr>
      <w:tr w14:paraId="476A60B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tcBorders>
              <w:top w:val="nil"/>
              <w:bottom w:val="single" w:color="auto" w:sz="4" w:space="0"/>
            </w:tcBorders>
            <w:vAlign w:val="center"/>
          </w:tcPr>
          <w:p w14:paraId="0F1EE4D1">
            <w:pPr>
              <w:adjustRightInd w:val="0"/>
              <w:snapToGrid w:val="0"/>
              <w:jc w:val="center"/>
              <w:rPr>
                <w:rFonts w:ascii="Calibri" w:hAnsi="Calibri"/>
                <w:color w:val="auto"/>
                <w:sz w:val="18"/>
                <w:szCs w:val="18"/>
                <w:highlight w:val="none"/>
              </w:rPr>
            </w:pPr>
          </w:p>
        </w:tc>
        <w:tc>
          <w:tcPr>
            <w:tcW w:w="1654" w:type="pct"/>
            <w:tcBorders>
              <w:top w:val="nil"/>
              <w:bottom w:val="single" w:color="auto" w:sz="4" w:space="0"/>
            </w:tcBorders>
          </w:tcPr>
          <w:p w14:paraId="2F3CCC9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70" w:type="pct"/>
            <w:tcBorders>
              <w:top w:val="nil"/>
              <w:bottom w:val="single" w:color="auto" w:sz="4" w:space="0"/>
            </w:tcBorders>
            <w:vAlign w:val="center"/>
          </w:tcPr>
          <w:p w14:paraId="4A818C3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38.4513</w:t>
            </w:r>
          </w:p>
        </w:tc>
        <w:tc>
          <w:tcPr>
            <w:tcW w:w="1006" w:type="pct"/>
            <w:tcBorders>
              <w:top w:val="nil"/>
              <w:bottom w:val="single" w:color="auto" w:sz="4" w:space="0"/>
            </w:tcBorders>
            <w:vAlign w:val="center"/>
          </w:tcPr>
          <w:p w14:paraId="66EC8E7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36.1059</w:t>
            </w:r>
          </w:p>
        </w:tc>
        <w:tc>
          <w:tcPr>
            <w:tcW w:w="1007" w:type="pct"/>
            <w:tcBorders>
              <w:top w:val="nil"/>
              <w:bottom w:val="single" w:color="auto" w:sz="4" w:space="0"/>
            </w:tcBorders>
            <w:vAlign w:val="center"/>
          </w:tcPr>
          <w:p w14:paraId="1C215FF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0.9607</w:t>
            </w:r>
          </w:p>
        </w:tc>
      </w:tr>
      <w:tr w14:paraId="05D0C7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restart"/>
            <w:tcBorders>
              <w:top w:val="single" w:color="auto" w:sz="4" w:space="0"/>
            </w:tcBorders>
            <w:vAlign w:val="center"/>
          </w:tcPr>
          <w:p w14:paraId="570C2C5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w:t>
            </w:r>
          </w:p>
        </w:tc>
        <w:tc>
          <w:tcPr>
            <w:tcW w:w="1654" w:type="pct"/>
            <w:tcBorders>
              <w:top w:val="single" w:color="auto" w:sz="4" w:space="0"/>
            </w:tcBorders>
          </w:tcPr>
          <w:p w14:paraId="090E98E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COA-BP-Wiener</w:t>
            </w:r>
          </w:p>
        </w:tc>
        <w:tc>
          <w:tcPr>
            <w:tcW w:w="870" w:type="pct"/>
            <w:tcBorders>
              <w:top w:val="single" w:color="auto" w:sz="4" w:space="0"/>
            </w:tcBorders>
            <w:vAlign w:val="center"/>
          </w:tcPr>
          <w:p w14:paraId="100C4A0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18.6855</w:t>
            </w:r>
          </w:p>
        </w:tc>
        <w:tc>
          <w:tcPr>
            <w:tcW w:w="1006" w:type="pct"/>
            <w:tcBorders>
              <w:top w:val="single" w:color="auto" w:sz="4" w:space="0"/>
            </w:tcBorders>
            <w:vAlign w:val="center"/>
          </w:tcPr>
          <w:p w14:paraId="427FE6C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15.3992</w:t>
            </w:r>
          </w:p>
        </w:tc>
        <w:tc>
          <w:tcPr>
            <w:tcW w:w="1007" w:type="pct"/>
            <w:tcBorders>
              <w:top w:val="single" w:color="auto" w:sz="4" w:space="0"/>
            </w:tcBorders>
            <w:vAlign w:val="center"/>
          </w:tcPr>
          <w:p w14:paraId="3FC50EA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0.9910</w:t>
            </w:r>
          </w:p>
        </w:tc>
      </w:tr>
      <w:tr w14:paraId="658AA8C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vAlign w:val="center"/>
          </w:tcPr>
          <w:p w14:paraId="357062FC">
            <w:pPr>
              <w:adjustRightInd w:val="0"/>
              <w:snapToGrid w:val="0"/>
              <w:jc w:val="center"/>
              <w:rPr>
                <w:rFonts w:ascii="Calibri" w:hAnsi="Calibri"/>
                <w:color w:val="auto"/>
                <w:sz w:val="18"/>
                <w:szCs w:val="18"/>
                <w:highlight w:val="none"/>
              </w:rPr>
            </w:pPr>
          </w:p>
        </w:tc>
        <w:tc>
          <w:tcPr>
            <w:tcW w:w="1654" w:type="pct"/>
          </w:tcPr>
          <w:p w14:paraId="339238A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DBO-BP-Wiener</w:t>
            </w:r>
          </w:p>
        </w:tc>
        <w:tc>
          <w:tcPr>
            <w:tcW w:w="870" w:type="pct"/>
            <w:vAlign w:val="center"/>
          </w:tcPr>
          <w:p w14:paraId="0B94807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21.3754</w:t>
            </w:r>
          </w:p>
        </w:tc>
        <w:tc>
          <w:tcPr>
            <w:tcW w:w="1006" w:type="pct"/>
            <w:vAlign w:val="center"/>
          </w:tcPr>
          <w:p w14:paraId="5B1028B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17.4898</w:t>
            </w:r>
          </w:p>
        </w:tc>
        <w:tc>
          <w:tcPr>
            <w:tcW w:w="1007" w:type="pct"/>
            <w:vAlign w:val="center"/>
          </w:tcPr>
          <w:p w14:paraId="15F7FBF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0.9882</w:t>
            </w:r>
          </w:p>
        </w:tc>
      </w:tr>
      <w:tr w14:paraId="105FE4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vAlign w:val="center"/>
          </w:tcPr>
          <w:p w14:paraId="137A6112">
            <w:pPr>
              <w:adjustRightInd w:val="0"/>
              <w:snapToGrid w:val="0"/>
              <w:jc w:val="center"/>
              <w:rPr>
                <w:rFonts w:ascii="Calibri" w:hAnsi="Calibri"/>
                <w:color w:val="auto"/>
                <w:sz w:val="18"/>
                <w:szCs w:val="18"/>
                <w:highlight w:val="none"/>
              </w:rPr>
            </w:pPr>
          </w:p>
        </w:tc>
        <w:tc>
          <w:tcPr>
            <w:tcW w:w="1654" w:type="pct"/>
          </w:tcPr>
          <w:p w14:paraId="58EAA38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LSTM-Wiener</w:t>
            </w:r>
          </w:p>
        </w:tc>
        <w:tc>
          <w:tcPr>
            <w:tcW w:w="870" w:type="pct"/>
            <w:vAlign w:val="center"/>
          </w:tcPr>
          <w:p w14:paraId="3C90C13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21.0345</w:t>
            </w:r>
          </w:p>
        </w:tc>
        <w:tc>
          <w:tcPr>
            <w:tcW w:w="1006" w:type="pct"/>
            <w:vAlign w:val="center"/>
          </w:tcPr>
          <w:p w14:paraId="1851644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17.5981</w:t>
            </w:r>
          </w:p>
        </w:tc>
        <w:tc>
          <w:tcPr>
            <w:tcW w:w="1007" w:type="pct"/>
            <w:vAlign w:val="center"/>
          </w:tcPr>
          <w:p w14:paraId="057FBC1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0.9886</w:t>
            </w:r>
          </w:p>
        </w:tc>
      </w:tr>
      <w:tr w14:paraId="466462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vAlign w:val="center"/>
          </w:tcPr>
          <w:p w14:paraId="49CFA40D">
            <w:pPr>
              <w:adjustRightInd w:val="0"/>
              <w:snapToGrid w:val="0"/>
              <w:jc w:val="center"/>
              <w:rPr>
                <w:rFonts w:ascii="Calibri" w:hAnsi="Calibri"/>
                <w:color w:val="auto"/>
                <w:sz w:val="18"/>
                <w:szCs w:val="18"/>
                <w:highlight w:val="none"/>
              </w:rPr>
            </w:pPr>
          </w:p>
        </w:tc>
        <w:tc>
          <w:tcPr>
            <w:tcW w:w="1654" w:type="pct"/>
          </w:tcPr>
          <w:p w14:paraId="3DD574B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BP-Wiener</w:t>
            </w:r>
          </w:p>
        </w:tc>
        <w:tc>
          <w:tcPr>
            <w:tcW w:w="870" w:type="pct"/>
            <w:vAlign w:val="center"/>
          </w:tcPr>
          <w:p w14:paraId="40EB833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25.9474</w:t>
            </w:r>
          </w:p>
        </w:tc>
        <w:tc>
          <w:tcPr>
            <w:tcW w:w="1006" w:type="pct"/>
            <w:vAlign w:val="center"/>
          </w:tcPr>
          <w:p w14:paraId="2614F28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21.0947</w:t>
            </w:r>
          </w:p>
        </w:tc>
        <w:tc>
          <w:tcPr>
            <w:tcW w:w="1007" w:type="pct"/>
            <w:vAlign w:val="center"/>
          </w:tcPr>
          <w:p w14:paraId="0CA8E4F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0.9826</w:t>
            </w:r>
          </w:p>
        </w:tc>
      </w:tr>
      <w:tr w14:paraId="3A451CA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 w:type="pct"/>
            <w:vMerge w:val="continue"/>
            <w:vAlign w:val="center"/>
          </w:tcPr>
          <w:p w14:paraId="14246827">
            <w:pPr>
              <w:adjustRightInd w:val="0"/>
              <w:snapToGrid w:val="0"/>
              <w:jc w:val="center"/>
              <w:rPr>
                <w:rFonts w:ascii="Calibri" w:hAnsi="Calibri"/>
                <w:color w:val="auto"/>
                <w:sz w:val="18"/>
                <w:szCs w:val="18"/>
                <w:highlight w:val="none"/>
              </w:rPr>
            </w:pPr>
          </w:p>
        </w:tc>
        <w:tc>
          <w:tcPr>
            <w:tcW w:w="1654" w:type="pct"/>
          </w:tcPr>
          <w:p w14:paraId="53BC5FD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70" w:type="pct"/>
            <w:vAlign w:val="center"/>
          </w:tcPr>
          <w:p w14:paraId="7CB63D8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48.6986</w:t>
            </w:r>
          </w:p>
        </w:tc>
        <w:tc>
          <w:tcPr>
            <w:tcW w:w="1006" w:type="pct"/>
            <w:vAlign w:val="center"/>
          </w:tcPr>
          <w:p w14:paraId="7663769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41.4410</w:t>
            </w:r>
          </w:p>
        </w:tc>
        <w:tc>
          <w:tcPr>
            <w:tcW w:w="1007" w:type="pct"/>
            <w:vAlign w:val="center"/>
          </w:tcPr>
          <w:p w14:paraId="60C9D6D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0.9386</w:t>
            </w:r>
          </w:p>
        </w:tc>
      </w:tr>
    </w:tbl>
    <w:p w14:paraId="08680A62">
      <w:pPr>
        <w:adjustRightInd w:val="0"/>
        <w:snapToGrid w:val="0"/>
        <w:ind w:firstLine="420" w:firstLineChars="200"/>
        <w:rPr>
          <w:color w:val="auto"/>
          <w:szCs w:val="21"/>
          <w:highlight w:val="none"/>
        </w:rPr>
      </w:pPr>
      <w:r>
        <w:rPr>
          <w:color w:val="auto"/>
          <w:szCs w:val="21"/>
          <w:highlight w:val="none"/>
        </w:rPr>
        <w:t>表5所示的L1、L2电池</w:t>
      </w:r>
      <w:r>
        <w:rPr>
          <w:i/>
          <w:iCs/>
          <w:color w:val="auto"/>
          <w:szCs w:val="21"/>
          <w:highlight w:val="none"/>
        </w:rPr>
        <w:t>RUL</w:t>
      </w:r>
      <w:r>
        <w:rPr>
          <w:color w:val="auto"/>
          <w:szCs w:val="21"/>
          <w:highlight w:val="none"/>
        </w:rPr>
        <w:t>预测性能指标进一步验证了本研究方法的优越性。COA-BP-Wiener模型在两项实验中各项指标整体表现较优，预测误差低于其他对比模型。</w:t>
      </w:r>
    </w:p>
    <w:p w14:paraId="1A63066E">
      <w:pPr>
        <w:adjustRightInd w:val="0"/>
        <w:snapToGrid w:val="0"/>
        <w:ind w:firstLine="420" w:firstLineChars="200"/>
        <w:rPr>
          <w:color w:val="auto"/>
          <w:szCs w:val="21"/>
          <w:highlight w:val="none"/>
        </w:rPr>
      </w:pPr>
      <w:r>
        <w:rPr>
          <w:color w:val="auto"/>
          <w:szCs w:val="21"/>
          <w:highlight w:val="none"/>
        </w:rPr>
        <w:t>以L1电池为例，本模型在</w:t>
      </w:r>
      <w:r>
        <w:rPr>
          <w:i/>
          <w:iCs/>
          <w:color w:val="auto"/>
          <w:sz w:val="20"/>
          <w:szCs w:val="20"/>
          <w:highlight w:val="none"/>
        </w:rPr>
        <w:t>RMSE、MAE</w:t>
      </w:r>
      <w:r>
        <w:rPr>
          <w:color w:val="auto"/>
          <w:szCs w:val="21"/>
          <w:highlight w:val="none"/>
        </w:rPr>
        <w:t>及</w:t>
      </w:r>
      <w:r>
        <w:rPr>
          <w:i/>
          <w:iCs/>
          <w:color w:val="auto"/>
          <w:szCs w:val="21"/>
          <w:highlight w:val="none"/>
        </w:rPr>
        <w:t>R</w:t>
      </w:r>
      <w:r>
        <w:rPr>
          <w:color w:val="auto"/>
          <w:szCs w:val="21"/>
          <w:highlight w:val="none"/>
        </w:rPr>
        <w:t>²（达0.9948）上均取得较优结果，表明其对电池全寿命周期老化趋势的变异性具有较强解释力。相较之下，同为混合优化算法的DBO-BP-Wiener模型精度次之，而LSTM-Wiener模型虽优于单一BP神经网络，但整体表现仍不及COA优化框架。</w:t>
      </w:r>
    </w:p>
    <w:p w14:paraId="63FA5F9C">
      <w:pPr>
        <w:adjustRightInd w:val="0"/>
        <w:snapToGrid w:val="0"/>
        <w:ind w:firstLine="420" w:firstLineChars="200"/>
        <w:rPr>
          <w:color w:val="auto"/>
          <w:szCs w:val="21"/>
          <w:highlight w:val="none"/>
        </w:rPr>
      </w:pPr>
      <w:r>
        <w:rPr>
          <w:color w:val="auto"/>
          <w:szCs w:val="21"/>
          <w:highlight w:val="none"/>
        </w:rPr>
        <w:t>具体而言，在L1数据集上，本模型较其他对比方法的</w:t>
      </w:r>
      <w:r>
        <w:rPr>
          <w:i/>
          <w:iCs/>
          <w:color w:val="auto"/>
          <w:szCs w:val="21"/>
          <w:highlight w:val="none"/>
        </w:rPr>
        <w:t>RUL</w:t>
      </w:r>
      <w:r>
        <w:rPr>
          <w:color w:val="auto"/>
          <w:szCs w:val="21"/>
          <w:highlight w:val="none"/>
        </w:rPr>
        <w:t>预测</w:t>
      </w:r>
      <w:r>
        <w:rPr>
          <w:i/>
          <w:iCs/>
          <w:color w:val="auto"/>
          <w:szCs w:val="21"/>
          <w:highlight w:val="none"/>
        </w:rPr>
        <w:t>RMSE</w:t>
      </w:r>
      <w:r>
        <w:rPr>
          <w:color w:val="auto"/>
          <w:szCs w:val="21"/>
          <w:highlight w:val="none"/>
        </w:rPr>
        <w:t>下降了7.10%、31.34%、47.79%和63.60%，</w:t>
      </w:r>
      <w:r>
        <w:rPr>
          <w:i/>
          <w:iCs/>
          <w:color w:val="auto"/>
          <w:szCs w:val="21"/>
          <w:highlight w:val="none"/>
        </w:rPr>
        <w:t>MAE</w:t>
      </w:r>
      <w:r>
        <w:rPr>
          <w:color w:val="auto"/>
          <w:szCs w:val="21"/>
          <w:highlight w:val="none"/>
        </w:rPr>
        <w:t>分别下降了7.55%、42.47%、52.20%和67.52%，</w:t>
      </w:r>
      <w:r>
        <w:rPr>
          <w:i/>
          <w:iCs/>
          <w:color w:val="auto"/>
          <w:szCs w:val="21"/>
          <w:highlight w:val="none"/>
        </w:rPr>
        <w:t>R</w:t>
      </w:r>
      <w:r>
        <w:rPr>
          <w:color w:val="auto"/>
          <w:szCs w:val="21"/>
          <w:highlight w:val="none"/>
        </w:rPr>
        <w:t>²拟合优度分别提升了0.08%、0.59%、1.42%和3.55%。L2电池的测试结果也呈现出高度一致的精度提升趋势，</w:t>
      </w:r>
      <w:r>
        <w:rPr>
          <w:i/>
          <w:iCs/>
          <w:color w:val="auto"/>
          <w:szCs w:val="21"/>
          <w:highlight w:val="none"/>
        </w:rPr>
        <w:t>RMSE</w:t>
      </w:r>
      <w:r>
        <w:rPr>
          <w:color w:val="auto"/>
          <w:szCs w:val="21"/>
          <w:highlight w:val="none"/>
        </w:rPr>
        <w:t>分别下降了12.59%、11.17%、27.99%和61.63%，</w:t>
      </w:r>
      <w:r>
        <w:rPr>
          <w:i/>
          <w:iCs/>
          <w:color w:val="auto"/>
          <w:szCs w:val="21"/>
          <w:highlight w:val="none"/>
        </w:rPr>
        <w:t>MAE</w:t>
      </w:r>
      <w:r>
        <w:rPr>
          <w:color w:val="auto"/>
          <w:szCs w:val="21"/>
          <w:highlight w:val="none"/>
        </w:rPr>
        <w:t>分别下降了11.95%、12.50%、27.00%和62.84%，</w:t>
      </w:r>
      <w:r>
        <w:rPr>
          <w:i/>
          <w:iCs/>
          <w:color w:val="auto"/>
          <w:szCs w:val="21"/>
          <w:highlight w:val="none"/>
        </w:rPr>
        <w:t>R</w:t>
      </w:r>
      <w:r>
        <w:rPr>
          <w:color w:val="auto"/>
          <w:szCs w:val="21"/>
          <w:highlight w:val="none"/>
        </w:rPr>
        <w:t>²分别提升了0.28%、0.24%、0.85%和5.58%。</w:t>
      </w:r>
    </w:p>
    <w:p w14:paraId="1732BF9D">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3.4 不同健康因子对模型预测性能的影响分析</w:t>
      </w:r>
    </w:p>
    <w:p w14:paraId="10ED98A5">
      <w:pPr>
        <w:adjustRightInd w:val="0"/>
        <w:snapToGrid w:val="0"/>
        <w:ind w:firstLine="420" w:firstLineChars="200"/>
        <w:rPr>
          <w:color w:val="auto"/>
          <w:szCs w:val="21"/>
          <w:highlight w:val="none"/>
        </w:rPr>
      </w:pPr>
      <w:r>
        <w:rPr>
          <w:color w:val="auto"/>
          <w:szCs w:val="21"/>
          <w:highlight w:val="none"/>
        </w:rPr>
        <w:t>为全面评估不同特征对电池老化的</w:t>
      </w:r>
      <w:r>
        <w:rPr>
          <w:rFonts w:hint="eastAsia"/>
          <w:color w:val="auto"/>
          <w:szCs w:val="21"/>
          <w:highlight w:val="none"/>
        </w:rPr>
        <w:t>表征</w:t>
      </w:r>
      <w:r>
        <w:rPr>
          <w:color w:val="auto"/>
          <w:szCs w:val="21"/>
          <w:highlight w:val="none"/>
        </w:rPr>
        <w:t>能力，除本研究提出的CCCT（记作</w:t>
      </w:r>
      <w:r>
        <w:rPr>
          <w:i/>
          <w:iCs/>
          <w:color w:val="auto"/>
          <w:szCs w:val="21"/>
          <w:highlight w:val="none"/>
        </w:rPr>
        <w:t>HI</w:t>
      </w:r>
      <w:r>
        <w:rPr>
          <w:color w:val="auto"/>
          <w:szCs w:val="21"/>
          <w:highlight w:val="none"/>
        </w:rPr>
        <w:t>1）外，本研究进一步提取了四种易于在线获取的候选</w:t>
      </w:r>
      <w:r>
        <w:rPr>
          <w:i/>
          <w:iCs/>
          <w:color w:val="auto"/>
          <w:szCs w:val="21"/>
          <w:highlight w:val="none"/>
        </w:rPr>
        <w:t>HI</w:t>
      </w:r>
      <w:r>
        <w:rPr>
          <w:color w:val="auto"/>
          <w:szCs w:val="21"/>
          <w:highlight w:val="none"/>
        </w:rPr>
        <w:t>：恒压充电时间（</w:t>
      </w:r>
      <w:r>
        <w:rPr>
          <w:i/>
          <w:iCs/>
          <w:color w:val="auto"/>
          <w:szCs w:val="21"/>
          <w:highlight w:val="none"/>
        </w:rPr>
        <w:t>HI</w:t>
      </w:r>
      <w:r>
        <w:rPr>
          <w:color w:val="auto"/>
          <w:szCs w:val="21"/>
          <w:highlight w:val="none"/>
        </w:rPr>
        <w:t>2）、充电电压变化率（</w:t>
      </w:r>
      <w:r>
        <w:rPr>
          <w:i/>
          <w:iCs/>
          <w:color w:val="auto"/>
          <w:szCs w:val="21"/>
          <w:highlight w:val="none"/>
        </w:rPr>
        <w:t>HI</w:t>
      </w:r>
      <w:r>
        <w:rPr>
          <w:color w:val="auto"/>
          <w:szCs w:val="21"/>
          <w:highlight w:val="none"/>
        </w:rPr>
        <w:t>3）、放电电压平台（</w:t>
      </w:r>
      <w:r>
        <w:rPr>
          <w:i/>
          <w:iCs/>
          <w:color w:val="auto"/>
          <w:szCs w:val="21"/>
          <w:highlight w:val="none"/>
        </w:rPr>
        <w:t>HI</w:t>
      </w:r>
      <w:r>
        <w:rPr>
          <w:color w:val="auto"/>
          <w:szCs w:val="21"/>
          <w:highlight w:val="none"/>
        </w:rPr>
        <w:t>4）以及增量容量曲线峰值（</w:t>
      </w:r>
      <w:r>
        <w:rPr>
          <w:i/>
          <w:iCs/>
          <w:color w:val="auto"/>
          <w:szCs w:val="21"/>
          <w:highlight w:val="none"/>
        </w:rPr>
        <w:t>HI</w:t>
      </w:r>
      <w:r>
        <w:rPr>
          <w:color w:val="auto"/>
          <w:szCs w:val="21"/>
          <w:highlight w:val="none"/>
        </w:rPr>
        <w:t>5）。表6展示了各</w:t>
      </w:r>
      <w:r>
        <w:rPr>
          <w:i/>
          <w:iCs/>
          <w:color w:val="auto"/>
          <w:szCs w:val="21"/>
          <w:highlight w:val="none"/>
        </w:rPr>
        <w:t>HI</w:t>
      </w:r>
      <w:r>
        <w:rPr>
          <w:color w:val="auto"/>
          <w:szCs w:val="21"/>
          <w:highlight w:val="none"/>
        </w:rPr>
        <w:t>与电池实际容量之间的皮尔逊相关系数。</w:t>
      </w:r>
    </w:p>
    <w:p w14:paraId="0605A4AC">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6</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w:t>
      </w:r>
      <w:r>
        <w:rPr>
          <w:rFonts w:ascii="黑体" w:hAnsi="黑体" w:eastAsia="黑体"/>
          <w:i/>
          <w:iCs/>
          <w:color w:val="auto"/>
          <w:sz w:val="18"/>
          <w:szCs w:val="18"/>
          <w:highlight w:val="none"/>
        </w:rPr>
        <w:t>HI</w:t>
      </w:r>
      <w:r>
        <w:rPr>
          <w:rFonts w:ascii="黑体" w:hAnsi="黑体" w:eastAsia="黑体"/>
          <w:color w:val="auto"/>
          <w:sz w:val="18"/>
          <w:szCs w:val="18"/>
          <w:highlight w:val="none"/>
        </w:rPr>
        <w:t>与容量之间的皮尔逊相关系数</w:t>
      </w:r>
    </w:p>
    <w:p w14:paraId="218B0CD7">
      <w:pPr>
        <w:adjustRightInd w:val="0"/>
        <w:snapToGrid w:val="0"/>
        <w:jc w:val="center"/>
        <w:rPr>
          <w:color w:val="auto"/>
          <w:sz w:val="18"/>
          <w:szCs w:val="18"/>
          <w:highlight w:val="none"/>
        </w:rPr>
      </w:pPr>
      <w:r>
        <w:rPr>
          <w:color w:val="auto"/>
          <w:sz w:val="18"/>
          <w:szCs w:val="18"/>
          <w:highlight w:val="none"/>
        </w:rPr>
        <w:t xml:space="preserve">Table 6 </w:t>
      </w:r>
      <w:r>
        <w:rPr>
          <w:rFonts w:hint="eastAsia"/>
          <w:color w:val="auto"/>
          <w:sz w:val="18"/>
          <w:szCs w:val="18"/>
          <w:highlight w:val="none"/>
        </w:rPr>
        <w:t xml:space="preserve"> </w:t>
      </w:r>
      <w:r>
        <w:rPr>
          <w:color w:val="auto"/>
          <w:sz w:val="18"/>
          <w:szCs w:val="18"/>
          <w:highlight w:val="none"/>
        </w:rPr>
        <w:t xml:space="preserve">Pearson correlation coefficients between different </w:t>
      </w:r>
      <w:r>
        <w:rPr>
          <w:i/>
          <w:iCs/>
          <w:color w:val="auto"/>
          <w:sz w:val="18"/>
          <w:szCs w:val="18"/>
          <w:highlight w:val="none"/>
        </w:rPr>
        <w:t>HI</w:t>
      </w:r>
      <w:r>
        <w:rPr>
          <w:color w:val="auto"/>
          <w:sz w:val="18"/>
          <w:szCs w:val="18"/>
          <w:highlight w:val="none"/>
        </w:rPr>
        <w:t>s and capacit</w:t>
      </w:r>
      <w:r>
        <w:rPr>
          <w:rFonts w:hint="eastAsia"/>
          <w:color w:val="auto"/>
          <w:sz w:val="18"/>
          <w:szCs w:val="18"/>
          <w:highlight w:val="none"/>
        </w:rPr>
        <w:t>ies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08"/>
        <w:gridCol w:w="3323"/>
        <w:gridCol w:w="3323"/>
      </w:tblGrid>
      <w:tr w14:paraId="5BD1CF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tcBorders>
              <w:top w:val="single" w:color="auto" w:sz="12" w:space="0"/>
              <w:bottom w:val="single" w:color="auto" w:sz="4" w:space="0"/>
            </w:tcBorders>
            <w:vAlign w:val="center"/>
          </w:tcPr>
          <w:p w14:paraId="6E7849F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健康因子</w:t>
            </w:r>
          </w:p>
        </w:tc>
        <w:tc>
          <w:tcPr>
            <w:tcW w:w="1686" w:type="pct"/>
            <w:tcBorders>
              <w:top w:val="single" w:color="auto" w:sz="12" w:space="0"/>
              <w:bottom w:val="single" w:color="auto" w:sz="4" w:space="0"/>
            </w:tcBorders>
            <w:vAlign w:val="center"/>
          </w:tcPr>
          <w:p w14:paraId="17BAECA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L1相关性</w:t>
            </w:r>
          </w:p>
        </w:tc>
        <w:tc>
          <w:tcPr>
            <w:tcW w:w="1686" w:type="pct"/>
            <w:tcBorders>
              <w:top w:val="single" w:color="auto" w:sz="12" w:space="0"/>
              <w:bottom w:val="single" w:color="auto" w:sz="4" w:space="0"/>
            </w:tcBorders>
            <w:vAlign w:val="center"/>
          </w:tcPr>
          <w:p w14:paraId="7915FE8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L2相关性</w:t>
            </w:r>
          </w:p>
        </w:tc>
      </w:tr>
      <w:tr w14:paraId="28BFCB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tcBorders>
              <w:top w:val="single" w:color="auto" w:sz="4" w:space="0"/>
            </w:tcBorders>
            <w:vAlign w:val="center"/>
          </w:tcPr>
          <w:p w14:paraId="1B1B7215">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1</w:t>
            </w:r>
          </w:p>
        </w:tc>
        <w:tc>
          <w:tcPr>
            <w:tcW w:w="1686" w:type="pct"/>
            <w:tcBorders>
              <w:top w:val="single" w:color="auto" w:sz="4" w:space="0"/>
            </w:tcBorders>
            <w:vAlign w:val="center"/>
          </w:tcPr>
          <w:p w14:paraId="06F4631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0.9989</w:t>
            </w:r>
          </w:p>
        </w:tc>
        <w:tc>
          <w:tcPr>
            <w:tcW w:w="1686" w:type="pct"/>
            <w:tcBorders>
              <w:top w:val="single" w:color="auto" w:sz="4" w:space="0"/>
            </w:tcBorders>
            <w:vAlign w:val="center"/>
          </w:tcPr>
          <w:p w14:paraId="688A9D4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0.9994</w:t>
            </w:r>
          </w:p>
        </w:tc>
      </w:tr>
      <w:tr w14:paraId="7CD707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vAlign w:val="center"/>
          </w:tcPr>
          <w:p w14:paraId="60EA69B5">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2</w:t>
            </w:r>
          </w:p>
        </w:tc>
        <w:tc>
          <w:tcPr>
            <w:tcW w:w="1686" w:type="pct"/>
            <w:vAlign w:val="center"/>
          </w:tcPr>
          <w:p w14:paraId="1BE62F4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0.1831</w:t>
            </w:r>
          </w:p>
        </w:tc>
        <w:tc>
          <w:tcPr>
            <w:tcW w:w="1686" w:type="pct"/>
            <w:vAlign w:val="center"/>
          </w:tcPr>
          <w:p w14:paraId="68B1820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0.0965</w:t>
            </w:r>
          </w:p>
        </w:tc>
      </w:tr>
      <w:tr w14:paraId="087951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vAlign w:val="center"/>
          </w:tcPr>
          <w:p w14:paraId="605471C9">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3</w:t>
            </w:r>
          </w:p>
        </w:tc>
        <w:tc>
          <w:tcPr>
            <w:tcW w:w="1686" w:type="pct"/>
            <w:vAlign w:val="center"/>
          </w:tcPr>
          <w:p w14:paraId="229E0C2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-0.9795</w:t>
            </w:r>
          </w:p>
        </w:tc>
        <w:tc>
          <w:tcPr>
            <w:tcW w:w="1686" w:type="pct"/>
            <w:vAlign w:val="center"/>
          </w:tcPr>
          <w:p w14:paraId="24450FB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-0.9871</w:t>
            </w:r>
          </w:p>
        </w:tc>
      </w:tr>
      <w:tr w14:paraId="301F67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vAlign w:val="center"/>
          </w:tcPr>
          <w:p w14:paraId="313589EE">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4</w:t>
            </w:r>
          </w:p>
        </w:tc>
        <w:tc>
          <w:tcPr>
            <w:tcW w:w="1686" w:type="pct"/>
            <w:vAlign w:val="center"/>
          </w:tcPr>
          <w:p w14:paraId="6DF9464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0.9363</w:t>
            </w:r>
          </w:p>
        </w:tc>
        <w:tc>
          <w:tcPr>
            <w:tcW w:w="1686" w:type="pct"/>
            <w:vAlign w:val="center"/>
          </w:tcPr>
          <w:p w14:paraId="0F0AE5D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0.9265</w:t>
            </w:r>
          </w:p>
        </w:tc>
      </w:tr>
      <w:tr w14:paraId="37BE69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vAlign w:val="center"/>
          </w:tcPr>
          <w:p w14:paraId="3FE009BC">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5</w:t>
            </w:r>
          </w:p>
        </w:tc>
        <w:tc>
          <w:tcPr>
            <w:tcW w:w="1686" w:type="pct"/>
            <w:vAlign w:val="center"/>
          </w:tcPr>
          <w:p w14:paraId="10E24E9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0.9976</w:t>
            </w:r>
          </w:p>
        </w:tc>
        <w:tc>
          <w:tcPr>
            <w:tcW w:w="1686" w:type="pct"/>
            <w:vAlign w:val="center"/>
          </w:tcPr>
          <w:p w14:paraId="54ED897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0.9967</w:t>
            </w:r>
          </w:p>
        </w:tc>
      </w:tr>
    </w:tbl>
    <w:p w14:paraId="1EDB749D">
      <w:pPr>
        <w:adjustRightInd w:val="0"/>
        <w:snapToGrid w:val="0"/>
        <w:ind w:firstLine="420" w:firstLineChars="200"/>
        <w:rPr>
          <w:color w:val="auto"/>
          <w:szCs w:val="21"/>
          <w:highlight w:val="none"/>
        </w:rPr>
      </w:pPr>
      <w:r>
        <w:rPr>
          <w:color w:val="auto"/>
          <w:szCs w:val="21"/>
          <w:highlight w:val="none"/>
        </w:rPr>
        <w:t>由表6可知，除</w:t>
      </w:r>
      <w:r>
        <w:rPr>
          <w:i/>
          <w:iCs/>
          <w:color w:val="auto"/>
          <w:szCs w:val="21"/>
          <w:highlight w:val="none"/>
        </w:rPr>
        <w:t>HI</w:t>
      </w:r>
      <w:r>
        <w:rPr>
          <w:color w:val="auto"/>
          <w:szCs w:val="21"/>
          <w:highlight w:val="none"/>
        </w:rPr>
        <w:t>2外，其他候选</w:t>
      </w:r>
      <w:r>
        <w:rPr>
          <w:i/>
          <w:iCs/>
          <w:color w:val="auto"/>
          <w:szCs w:val="21"/>
          <w:highlight w:val="none"/>
        </w:rPr>
        <w:t>HI</w:t>
      </w:r>
      <w:r>
        <w:rPr>
          <w:color w:val="auto"/>
          <w:szCs w:val="21"/>
          <w:highlight w:val="none"/>
        </w:rPr>
        <w:t>与容量的相关系数绝对值均在0.92以上，展现出了较强的相关性。但是</w:t>
      </w:r>
      <w:r>
        <w:rPr>
          <w:i/>
          <w:iCs/>
          <w:color w:val="auto"/>
          <w:szCs w:val="21"/>
          <w:highlight w:val="none"/>
        </w:rPr>
        <w:t>HI</w:t>
      </w:r>
      <w:r>
        <w:rPr>
          <w:color w:val="auto"/>
          <w:szCs w:val="21"/>
          <w:highlight w:val="none"/>
        </w:rPr>
        <w:t>2的相关性偏低，在L2电池中仅为0.0965。</w:t>
      </w:r>
      <w:r>
        <w:rPr>
          <w:rFonts w:hint="eastAsia"/>
          <w:color w:val="auto"/>
          <w:szCs w:val="21"/>
          <w:highlight w:val="none"/>
        </w:rPr>
        <w:t>这主要是由于磷酸铁锂电池在恒压充电阶段时间很短且电流衰减极快，使得该指标无法稳定反映电池的老化状态。</w:t>
      </w:r>
    </w:p>
    <w:p w14:paraId="64156E3E">
      <w:pPr>
        <w:adjustRightInd w:val="0"/>
        <w:snapToGrid w:val="0"/>
        <w:ind w:firstLine="420" w:firstLineChars="200"/>
        <w:rPr>
          <w:color w:val="auto"/>
          <w:szCs w:val="21"/>
          <w:highlight w:val="none"/>
        </w:rPr>
      </w:pPr>
      <w:r>
        <w:rPr>
          <w:color w:val="auto"/>
          <w:szCs w:val="21"/>
          <w:highlight w:val="none"/>
        </w:rPr>
        <w:t>为量化</w:t>
      </w:r>
      <w:r>
        <w:rPr>
          <w:i/>
          <w:iCs/>
          <w:color w:val="auto"/>
          <w:szCs w:val="21"/>
          <w:highlight w:val="none"/>
        </w:rPr>
        <w:t>HI</w:t>
      </w:r>
      <w:r>
        <w:rPr>
          <w:color w:val="auto"/>
          <w:szCs w:val="21"/>
          <w:highlight w:val="none"/>
        </w:rPr>
        <w:t>的抗干扰性能，本研究使用了鲁棒性评价指标</w:t>
      </w:r>
      <w:r>
        <w:rPr>
          <w:color w:val="auto"/>
          <w:position w:val="-6"/>
          <w:highlight w:val="none"/>
        </w:rPr>
        <w:object>
          <v:shape id="_x0000_i1180" o:spt="75" type="#_x0000_t75" style="height:13.85pt;width:23.85pt;" o:ole="t" filled="f" o:preferrelative="t" stroked="f" coordsize="21600,21600">
            <v:path/>
            <v:fill on="f" focussize="0,0"/>
            <v:stroke on="f" joinstyle="miter"/>
            <v:imagedata r:id="rId325" o:title=""/>
            <o:lock v:ext="edit" aspectratio="t"/>
            <w10:wrap type="none"/>
            <w10:anchorlock/>
          </v:shape>
          <o:OLEObject Type="Embed" ProgID="Equation.DSMT4" ShapeID="_x0000_i1180" DrawAspect="Content" ObjectID="_1468075880" r:id="rId324">
            <o:LockedField>false</o:LockedField>
          </o:OLEObject>
        </w:object>
      </w:r>
      <w:r>
        <w:rPr>
          <w:color w:val="auto"/>
          <w:szCs w:val="21"/>
          <w:highlight w:val="none"/>
        </w:rPr>
        <w:t>。该指标计算</w:t>
      </w:r>
      <w:r>
        <w:rPr>
          <w:i/>
          <w:iCs/>
          <w:color w:val="auto"/>
          <w:szCs w:val="21"/>
          <w:highlight w:val="none"/>
        </w:rPr>
        <w:t>HI</w:t>
      </w:r>
      <w:r>
        <w:rPr>
          <w:color w:val="auto"/>
          <w:szCs w:val="21"/>
          <w:highlight w:val="none"/>
        </w:rPr>
        <w:t>序列噪声残差的标准差与原始序列总标准差的比值。其值越小，表明</w:t>
      </w:r>
      <w:r>
        <w:rPr>
          <w:i/>
          <w:iCs/>
          <w:color w:val="auto"/>
          <w:szCs w:val="21"/>
          <w:highlight w:val="none"/>
        </w:rPr>
        <w:t>HI</w:t>
      </w:r>
      <w:r>
        <w:rPr>
          <w:color w:val="auto"/>
          <w:szCs w:val="21"/>
          <w:highlight w:val="none"/>
        </w:rPr>
        <w:t>的信噪比越高，受传感器误差和环境噪声的影响越小，其抗干扰能力越强。具体计算公式</w:t>
      </w:r>
      <w:r>
        <w:rPr>
          <w:rFonts w:hint="eastAsia"/>
          <w:color w:val="auto"/>
          <w:szCs w:val="21"/>
          <w:highlight w:val="none"/>
        </w:rPr>
        <w:t>为</w:t>
      </w:r>
    </w:p>
    <w:p w14:paraId="25333E1B">
      <w:pPr>
        <w:pStyle w:val="36"/>
        <w:tabs>
          <w:tab w:val="center" w:pos="3969"/>
          <w:tab w:val="right" w:pos="7938"/>
          <w:tab w:val="clear" w:pos="2300"/>
          <w:tab w:val="clear" w:pos="4600"/>
        </w:tabs>
        <w:snapToGrid w:val="0"/>
        <w:ind w:right="0" w:rightChars="0" w:firstLine="0"/>
        <w:textAlignment w:val="center"/>
        <w:rPr>
          <w:color w:val="auto"/>
          <w:highlight w:val="none"/>
        </w:rPr>
      </w:pPr>
      <w:r>
        <w:rPr>
          <w:color w:val="auto"/>
          <w:highlight w:val="none"/>
        </w:rPr>
        <w:tab/>
      </w:r>
      <w:r>
        <w:rPr>
          <w:color w:val="auto"/>
          <w:highlight w:val="none"/>
        </w:rPr>
        <w:object>
          <v:shape id="_x0000_i1181" o:spt="75" type="#_x0000_t75" style="height:33.5pt;width:126.3pt;" o:ole="t" filled="f" o:preferrelative="t" stroked="f" coordsize="21600,21600">
            <v:path/>
            <v:fill on="f" focussize="0,0"/>
            <v:stroke on="f" joinstyle="miter"/>
            <v:imagedata r:id="rId327" o:title=""/>
            <o:lock v:ext="edit" aspectratio="t"/>
            <w10:wrap type="none"/>
            <w10:anchorlock/>
          </v:shape>
          <o:OLEObject Type="Embed" ProgID="Equation.DSMT4" ShapeID="_x0000_i1181" DrawAspect="Content" ObjectID="_1468075881" r:id="rId326">
            <o:LockedField>false</o:LockedField>
          </o:OLEObject>
        </w:object>
      </w:r>
      <w:r>
        <w:rPr>
          <w:color w:val="auto"/>
          <w:highlight w:val="none"/>
        </w:rPr>
        <w:tab/>
      </w:r>
      <w:r>
        <w:rPr>
          <w:color w:val="auto"/>
          <w:highlight w:val="none"/>
        </w:rPr>
        <w:fldChar w:fldCharType="begin"/>
      </w:r>
      <w:r>
        <w:rPr>
          <w:color w:val="auto"/>
          <w:highlight w:val="none"/>
        </w:rPr>
        <w:instrText xml:space="preserve"> MACROBUTTON MTPlaceRef \* MERGEFORMAT </w:instrText>
      </w:r>
      <w:r>
        <w:rPr>
          <w:color w:val="auto"/>
          <w:highlight w:val="none"/>
        </w:rPr>
        <w:fldChar w:fldCharType="begin"/>
      </w:r>
      <w:r>
        <w:rPr>
          <w:color w:val="auto"/>
          <w:highlight w:val="none"/>
        </w:rPr>
        <w:instrText xml:space="preserve"> SEQ MTEqn \h \* MERGEFORMAT </w:instrText>
      </w:r>
      <w:r>
        <w:rPr>
          <w:color w:val="auto"/>
          <w:highlight w:val="none"/>
        </w:rPr>
        <w:fldChar w:fldCharType="end"/>
      </w:r>
      <w:r>
        <w:rPr>
          <w:color w:val="auto"/>
          <w:highlight w:val="none"/>
        </w:rPr>
        <w:instrText xml:space="preserve">(34)</w:instrText>
      </w:r>
      <w:r>
        <w:rPr>
          <w:color w:val="auto"/>
          <w:highlight w:val="none"/>
        </w:rPr>
        <w:fldChar w:fldCharType="end"/>
      </w:r>
    </w:p>
    <w:p w14:paraId="39E255C5">
      <w:pPr>
        <w:adjustRightInd w:val="0"/>
        <w:snapToGrid w:val="0"/>
        <w:rPr>
          <w:color w:val="auto"/>
          <w:szCs w:val="21"/>
          <w:highlight w:val="none"/>
        </w:rPr>
      </w:pPr>
      <w:r>
        <w:rPr>
          <w:color w:val="auto"/>
          <w:szCs w:val="21"/>
          <w:highlight w:val="none"/>
        </w:rPr>
        <w:t>式中，</w:t>
      </w:r>
      <w:r>
        <w:rPr>
          <w:color w:val="auto"/>
          <w:position w:val="-4"/>
          <w:highlight w:val="none"/>
        </w:rPr>
        <w:object>
          <v:shape id="_x0000_i1182" o:spt="75" type="#_x0000_t75" style="height:12.7pt;width:18.5pt;" o:ole="t" filled="f" o:preferrelative="t" stroked="f" coordsize="21600,21600">
            <v:path/>
            <v:fill on="f" focussize="0,0"/>
            <v:stroke on="f" joinstyle="miter"/>
            <v:imagedata r:id="rId329" o:title=""/>
            <o:lock v:ext="edit" aspectratio="t"/>
            <w10:wrap type="none"/>
            <w10:anchorlock/>
          </v:shape>
          <o:OLEObject Type="Embed" ProgID="Equation.DSMT4" ShapeID="_x0000_i1182" DrawAspect="Content" ObjectID="_1468075882" r:id="rId328">
            <o:LockedField>false</o:LockedField>
          </o:OLEObject>
        </w:object>
      </w:r>
      <w:r>
        <w:rPr>
          <w:color w:val="auto"/>
          <w:szCs w:val="21"/>
          <w:highlight w:val="none"/>
        </w:rPr>
        <w:t>表示</w:t>
      </w:r>
      <w:r>
        <w:rPr>
          <w:i/>
          <w:iCs/>
          <w:color w:val="auto"/>
          <w:szCs w:val="21"/>
          <w:highlight w:val="none"/>
        </w:rPr>
        <w:t>HI</w:t>
      </w:r>
      <w:r>
        <w:rPr>
          <w:color w:val="auto"/>
          <w:szCs w:val="21"/>
          <w:highlight w:val="none"/>
        </w:rPr>
        <w:t>的序列</w:t>
      </w:r>
      <w:r>
        <w:rPr>
          <w:rFonts w:hint="eastAsia"/>
          <w:color w:val="auto"/>
          <w:szCs w:val="21"/>
          <w:highlight w:val="none"/>
        </w:rPr>
        <w:t>；</w:t>
      </w:r>
      <w:r>
        <w:rPr>
          <w:color w:val="auto"/>
          <w:position w:val="-12"/>
          <w:highlight w:val="none"/>
        </w:rPr>
        <w:object>
          <v:shape id="_x0000_i1183" o:spt="75" type="#_x0000_t75" style="height:18.5pt;width:42.35pt;" o:ole="t" filled="f" o:preferrelative="t" stroked="f" coordsize="21600,21600">
            <v:path/>
            <v:fill on="f" focussize="0,0"/>
            <v:stroke on="f" joinstyle="miter"/>
            <v:imagedata r:id="rId331" o:title=""/>
            <o:lock v:ext="edit" aspectratio="t"/>
            <w10:wrap type="none"/>
            <w10:anchorlock/>
          </v:shape>
          <o:OLEObject Type="Embed" ProgID="Equation.DSMT4" ShapeID="_x0000_i1183" DrawAspect="Content" ObjectID="_1468075883" r:id="rId330">
            <o:LockedField>false</o:LockedField>
          </o:OLEObject>
        </w:object>
      </w:r>
      <w:r>
        <w:rPr>
          <w:color w:val="auto"/>
          <w:szCs w:val="21"/>
          <w:highlight w:val="none"/>
        </w:rPr>
        <w:t>表示低通滤波后的</w:t>
      </w:r>
      <w:r>
        <w:rPr>
          <w:i/>
          <w:iCs/>
          <w:color w:val="auto"/>
          <w:szCs w:val="21"/>
          <w:highlight w:val="none"/>
        </w:rPr>
        <w:t>HI</w:t>
      </w:r>
      <w:r>
        <w:rPr>
          <w:color w:val="auto"/>
          <w:szCs w:val="21"/>
          <w:highlight w:val="none"/>
        </w:rPr>
        <w:t>序列。</w:t>
      </w:r>
    </w:p>
    <w:p w14:paraId="3B0136BE">
      <w:pPr>
        <w:adjustRightInd w:val="0"/>
        <w:snapToGrid w:val="0"/>
        <w:ind w:firstLine="420" w:firstLineChars="200"/>
        <w:rPr>
          <w:color w:val="auto"/>
          <w:szCs w:val="21"/>
          <w:highlight w:val="none"/>
        </w:rPr>
      </w:pPr>
      <w:r>
        <w:rPr>
          <w:color w:val="auto"/>
          <w:szCs w:val="21"/>
          <w:highlight w:val="none"/>
        </w:rPr>
        <w:t>表7所示为不同</w:t>
      </w:r>
      <w:r>
        <w:rPr>
          <w:i/>
          <w:iCs/>
          <w:color w:val="auto"/>
          <w:szCs w:val="21"/>
          <w:highlight w:val="none"/>
        </w:rPr>
        <w:t>HI</w:t>
      </w:r>
      <w:r>
        <w:rPr>
          <w:color w:val="auto"/>
          <w:szCs w:val="21"/>
          <w:highlight w:val="none"/>
        </w:rPr>
        <w:t>的</w:t>
      </w:r>
      <w:r>
        <w:rPr>
          <w:color w:val="auto"/>
          <w:position w:val="-6"/>
          <w:highlight w:val="none"/>
        </w:rPr>
        <w:object>
          <v:shape id="_x0000_i1184" o:spt="75" type="#_x0000_t75" style="height:13.85pt;width:23.85pt;" o:ole="t" filled="f" o:preferrelative="t" stroked="f" coordsize="21600,21600">
            <v:path/>
            <v:fill on="f" focussize="0,0"/>
            <v:stroke on="f" joinstyle="miter"/>
            <v:imagedata r:id="rId333" o:title=""/>
            <o:lock v:ext="edit" aspectratio="t"/>
            <w10:wrap type="none"/>
            <w10:anchorlock/>
          </v:shape>
          <o:OLEObject Type="Embed" ProgID="Equation.DSMT4" ShapeID="_x0000_i1184" DrawAspect="Content" ObjectID="_1468075884" r:id="rId332">
            <o:LockedField>false</o:LockedField>
          </o:OLEObject>
        </w:object>
      </w:r>
      <w:r>
        <w:rPr>
          <w:color w:val="auto"/>
          <w:szCs w:val="21"/>
          <w:highlight w:val="none"/>
        </w:rPr>
        <w:t>计算结果。</w:t>
      </w:r>
    </w:p>
    <w:p w14:paraId="389DD823">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7</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w:t>
      </w:r>
      <w:r>
        <w:rPr>
          <w:rFonts w:ascii="黑体" w:hAnsi="黑体" w:eastAsia="黑体"/>
          <w:i/>
          <w:iCs/>
          <w:color w:val="auto"/>
          <w:sz w:val="18"/>
          <w:szCs w:val="18"/>
          <w:highlight w:val="none"/>
        </w:rPr>
        <w:t>HI</w:t>
      </w:r>
      <w:r>
        <w:rPr>
          <w:rFonts w:ascii="黑体" w:hAnsi="黑体" w:eastAsia="黑体"/>
          <w:color w:val="auto"/>
          <w:sz w:val="18"/>
          <w:szCs w:val="18"/>
          <w:highlight w:val="none"/>
        </w:rPr>
        <w:t>的鲁棒性计算结果</w:t>
      </w:r>
    </w:p>
    <w:p w14:paraId="1A798AA3">
      <w:pPr>
        <w:adjustRightInd w:val="0"/>
        <w:snapToGrid w:val="0"/>
        <w:jc w:val="center"/>
        <w:rPr>
          <w:color w:val="auto"/>
          <w:sz w:val="18"/>
          <w:szCs w:val="18"/>
          <w:highlight w:val="none"/>
        </w:rPr>
      </w:pPr>
      <w:r>
        <w:rPr>
          <w:color w:val="auto"/>
          <w:sz w:val="18"/>
          <w:szCs w:val="18"/>
          <w:highlight w:val="none"/>
        </w:rPr>
        <w:t xml:space="preserve">Table 7 </w:t>
      </w:r>
      <w:r>
        <w:rPr>
          <w:rFonts w:hint="eastAsia"/>
          <w:color w:val="auto"/>
          <w:sz w:val="18"/>
          <w:szCs w:val="18"/>
          <w:highlight w:val="none"/>
        </w:rPr>
        <w:t xml:space="preserve"> </w:t>
      </w:r>
      <w:r>
        <w:rPr>
          <w:color w:val="auto"/>
          <w:sz w:val="18"/>
          <w:szCs w:val="18"/>
          <w:highlight w:val="none"/>
        </w:rPr>
        <w:t xml:space="preserve">Robustness calculation results of different </w:t>
      </w:r>
      <w:r>
        <w:rPr>
          <w:i/>
          <w:iCs/>
          <w:color w:val="auto"/>
          <w:sz w:val="18"/>
          <w:szCs w:val="18"/>
          <w:highlight w:val="none"/>
        </w:rPr>
        <w:t>HI</w:t>
      </w:r>
      <w:r>
        <w:rPr>
          <w:color w:val="auto"/>
          <w:sz w:val="18"/>
          <w:szCs w:val="18"/>
          <w:highlight w:val="none"/>
        </w:rPr>
        <w:t>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08"/>
        <w:gridCol w:w="3323"/>
        <w:gridCol w:w="3323"/>
      </w:tblGrid>
      <w:tr w14:paraId="43D9FE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28" w:type="pct"/>
            <w:tcBorders>
              <w:top w:val="single" w:color="auto" w:sz="12" w:space="0"/>
              <w:bottom w:val="single" w:color="auto" w:sz="4" w:space="0"/>
            </w:tcBorders>
            <w:vAlign w:val="center"/>
          </w:tcPr>
          <w:p w14:paraId="43C8537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健康因子</w:t>
            </w:r>
          </w:p>
        </w:tc>
        <w:tc>
          <w:tcPr>
            <w:tcW w:w="1686" w:type="pct"/>
            <w:tcBorders>
              <w:top w:val="single" w:color="auto" w:sz="12" w:space="0"/>
              <w:bottom w:val="single" w:color="auto" w:sz="4" w:space="0"/>
            </w:tcBorders>
            <w:vAlign w:val="center"/>
          </w:tcPr>
          <w:p w14:paraId="7737350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L1鲁棒性</w:t>
            </w:r>
          </w:p>
        </w:tc>
        <w:tc>
          <w:tcPr>
            <w:tcW w:w="1686" w:type="pct"/>
            <w:tcBorders>
              <w:top w:val="single" w:color="auto" w:sz="12" w:space="0"/>
              <w:bottom w:val="single" w:color="auto" w:sz="4" w:space="0"/>
            </w:tcBorders>
            <w:vAlign w:val="center"/>
          </w:tcPr>
          <w:p w14:paraId="1BF93E5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L2鲁棒性</w:t>
            </w:r>
          </w:p>
        </w:tc>
      </w:tr>
      <w:tr w14:paraId="1BCA6B1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8" w:type="dxa"/>
            <w:tcBorders>
              <w:top w:val="single" w:color="auto" w:sz="4" w:space="0"/>
            </w:tcBorders>
            <w:vAlign w:val="center"/>
          </w:tcPr>
          <w:p w14:paraId="1D074ABB">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1</w:t>
            </w:r>
          </w:p>
        </w:tc>
        <w:tc>
          <w:tcPr>
            <w:tcW w:w="1686" w:type="pct"/>
            <w:tcBorders>
              <w:top w:val="single" w:color="auto" w:sz="4" w:space="0"/>
            </w:tcBorders>
            <w:vAlign w:val="center"/>
          </w:tcPr>
          <w:p w14:paraId="3BCAA3C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0.0347</w:t>
            </w:r>
          </w:p>
        </w:tc>
        <w:tc>
          <w:tcPr>
            <w:tcW w:w="1686" w:type="pct"/>
            <w:tcBorders>
              <w:top w:val="single" w:color="auto" w:sz="4" w:space="0"/>
            </w:tcBorders>
            <w:vAlign w:val="center"/>
          </w:tcPr>
          <w:p w14:paraId="67FACE5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0.0304</w:t>
            </w:r>
          </w:p>
        </w:tc>
      </w:tr>
      <w:tr w14:paraId="638296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8" w:type="dxa"/>
            <w:vAlign w:val="center"/>
          </w:tcPr>
          <w:p w14:paraId="3F7A635C">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2</w:t>
            </w:r>
          </w:p>
        </w:tc>
        <w:tc>
          <w:tcPr>
            <w:tcW w:w="1686" w:type="pct"/>
            <w:vAlign w:val="center"/>
          </w:tcPr>
          <w:p w14:paraId="5542A7B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0.8599</w:t>
            </w:r>
          </w:p>
        </w:tc>
        <w:tc>
          <w:tcPr>
            <w:tcW w:w="1686" w:type="pct"/>
            <w:vAlign w:val="center"/>
          </w:tcPr>
          <w:p w14:paraId="792A36B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0.8169</w:t>
            </w:r>
          </w:p>
        </w:tc>
      </w:tr>
      <w:tr w14:paraId="335CF4C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8" w:type="dxa"/>
            <w:vAlign w:val="center"/>
          </w:tcPr>
          <w:p w14:paraId="23DFFB7C">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3</w:t>
            </w:r>
          </w:p>
        </w:tc>
        <w:tc>
          <w:tcPr>
            <w:tcW w:w="1686" w:type="pct"/>
            <w:vAlign w:val="center"/>
          </w:tcPr>
          <w:p w14:paraId="62BF82A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0.0803</w:t>
            </w:r>
          </w:p>
        </w:tc>
        <w:tc>
          <w:tcPr>
            <w:tcW w:w="1686" w:type="pct"/>
            <w:vAlign w:val="center"/>
          </w:tcPr>
          <w:p w14:paraId="68056E1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0.0830</w:t>
            </w:r>
          </w:p>
        </w:tc>
      </w:tr>
      <w:tr w14:paraId="65546B5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8" w:type="dxa"/>
            <w:vAlign w:val="center"/>
          </w:tcPr>
          <w:p w14:paraId="1027EF6F">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4</w:t>
            </w:r>
          </w:p>
        </w:tc>
        <w:tc>
          <w:tcPr>
            <w:tcW w:w="1686" w:type="pct"/>
            <w:vAlign w:val="center"/>
          </w:tcPr>
          <w:p w14:paraId="6719271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0.0766</w:t>
            </w:r>
          </w:p>
        </w:tc>
        <w:tc>
          <w:tcPr>
            <w:tcW w:w="1686" w:type="pct"/>
            <w:vAlign w:val="center"/>
          </w:tcPr>
          <w:p w14:paraId="4AFCF51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0.0818</w:t>
            </w:r>
          </w:p>
        </w:tc>
      </w:tr>
      <w:tr w14:paraId="2E1250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8" w:type="dxa"/>
            <w:vAlign w:val="center"/>
          </w:tcPr>
          <w:p w14:paraId="72A6FAF0">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5</w:t>
            </w:r>
          </w:p>
        </w:tc>
        <w:tc>
          <w:tcPr>
            <w:tcW w:w="1686" w:type="pct"/>
            <w:vAlign w:val="center"/>
          </w:tcPr>
          <w:p w14:paraId="0AF5BF9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0.0480</w:t>
            </w:r>
          </w:p>
        </w:tc>
        <w:tc>
          <w:tcPr>
            <w:tcW w:w="1686" w:type="pct"/>
            <w:vAlign w:val="center"/>
          </w:tcPr>
          <w:p w14:paraId="10C343F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0.0457</w:t>
            </w:r>
          </w:p>
        </w:tc>
      </w:tr>
    </w:tbl>
    <w:p w14:paraId="0FAF3FFE">
      <w:pPr>
        <w:adjustRightInd w:val="0"/>
        <w:snapToGrid w:val="0"/>
        <w:ind w:firstLine="420" w:firstLineChars="200"/>
        <w:rPr>
          <w:color w:val="auto"/>
          <w:szCs w:val="21"/>
          <w:highlight w:val="none"/>
        </w:rPr>
      </w:pPr>
      <w:r>
        <w:rPr>
          <w:color w:val="auto"/>
          <w:szCs w:val="21"/>
          <w:highlight w:val="none"/>
        </w:rPr>
        <w:t>表7结果表明，本研究所选取的</w:t>
      </w:r>
      <w:r>
        <w:rPr>
          <w:i/>
          <w:iCs/>
          <w:color w:val="auto"/>
          <w:szCs w:val="21"/>
          <w:highlight w:val="none"/>
        </w:rPr>
        <w:t>HI</w:t>
      </w:r>
      <w:r>
        <w:rPr>
          <w:color w:val="auto"/>
          <w:szCs w:val="21"/>
          <w:highlight w:val="none"/>
        </w:rPr>
        <w:t>1（CCCT）展现出较为明显的优势，在L1和L2电池下的</w:t>
      </w:r>
      <w:r>
        <w:rPr>
          <w:color w:val="auto"/>
          <w:position w:val="-6"/>
          <w:highlight w:val="none"/>
        </w:rPr>
        <w:object>
          <v:shape id="_x0000_i1185" o:spt="75" type="#_x0000_t75" style="height:13.85pt;width:23.85pt;" o:ole="t" filled="f" o:preferrelative="t" stroked="f" coordsize="21600,21600">
            <v:path/>
            <v:fill on="f" focussize="0,0"/>
            <v:stroke on="f" joinstyle="miter"/>
            <v:imagedata r:id="rId335" o:title=""/>
            <o:lock v:ext="edit" aspectratio="t"/>
            <w10:wrap type="none"/>
            <w10:anchorlock/>
          </v:shape>
          <o:OLEObject Type="Embed" ProgID="Equation.DSMT4" ShapeID="_x0000_i1185" DrawAspect="Content" ObjectID="_1468075885" r:id="rId334">
            <o:LockedField>false</o:LockedField>
          </o:OLEObject>
        </w:object>
      </w:r>
      <w:r>
        <w:rPr>
          <w:color w:val="auto"/>
          <w:szCs w:val="21"/>
          <w:highlight w:val="none"/>
        </w:rPr>
        <w:t>仅为0.0347和0.0304，低于其他候选</w:t>
      </w:r>
      <w:r>
        <w:rPr>
          <w:i/>
          <w:iCs/>
          <w:color w:val="auto"/>
          <w:szCs w:val="21"/>
          <w:highlight w:val="none"/>
        </w:rPr>
        <w:t>HI</w:t>
      </w:r>
      <w:r>
        <w:rPr>
          <w:color w:val="auto"/>
          <w:szCs w:val="21"/>
          <w:highlight w:val="none"/>
        </w:rPr>
        <w:t>。相比之下，</w:t>
      </w:r>
      <w:r>
        <w:rPr>
          <w:i/>
          <w:iCs/>
          <w:color w:val="auto"/>
          <w:szCs w:val="21"/>
          <w:highlight w:val="none"/>
        </w:rPr>
        <w:t>HI</w:t>
      </w:r>
      <w:r>
        <w:rPr>
          <w:color w:val="auto"/>
          <w:szCs w:val="21"/>
          <w:highlight w:val="none"/>
        </w:rPr>
        <w:t>2在L1电池下的</w:t>
      </w:r>
      <w:r>
        <w:rPr>
          <w:color w:val="auto"/>
          <w:position w:val="-6"/>
          <w:highlight w:val="none"/>
        </w:rPr>
        <w:object>
          <v:shape id="_x0000_i1186" o:spt="75" type="#_x0000_t75" style="height:13.85pt;width:23.85pt;" o:ole="t" filled="f" o:preferrelative="t" stroked="f" coordsize="21600,21600">
            <v:path/>
            <v:fill on="f" focussize="0,0"/>
            <v:stroke on="f" joinstyle="miter"/>
            <v:imagedata r:id="rId337" o:title=""/>
            <o:lock v:ext="edit" aspectratio="t"/>
            <w10:wrap type="none"/>
            <w10:anchorlock/>
          </v:shape>
          <o:OLEObject Type="Embed" ProgID="Equation.DSMT4" ShapeID="_x0000_i1186" DrawAspect="Content" ObjectID="_1468075886" r:id="rId336">
            <o:LockedField>false</o:LockedField>
          </o:OLEObject>
        </w:object>
      </w:r>
      <w:r>
        <w:rPr>
          <w:color w:val="auto"/>
          <w:szCs w:val="21"/>
          <w:highlight w:val="none"/>
        </w:rPr>
        <w:t>得分高达0.8599，反映出严重的噪声干扰。综合以上两点原因，本研究剔除</w:t>
      </w:r>
      <w:r>
        <w:rPr>
          <w:i/>
          <w:iCs/>
          <w:color w:val="auto"/>
          <w:szCs w:val="21"/>
          <w:highlight w:val="none"/>
        </w:rPr>
        <w:t>HI</w:t>
      </w:r>
      <w:r>
        <w:rPr>
          <w:color w:val="auto"/>
          <w:szCs w:val="21"/>
          <w:highlight w:val="none"/>
        </w:rPr>
        <w:t>2，选取表现较优的</w:t>
      </w:r>
      <w:r>
        <w:rPr>
          <w:i/>
          <w:iCs/>
          <w:color w:val="auto"/>
          <w:szCs w:val="21"/>
          <w:highlight w:val="none"/>
        </w:rPr>
        <w:t>HI</w:t>
      </w:r>
      <w:r>
        <w:rPr>
          <w:color w:val="auto"/>
          <w:szCs w:val="21"/>
          <w:highlight w:val="none"/>
        </w:rPr>
        <w:t>3、</w:t>
      </w:r>
      <w:r>
        <w:rPr>
          <w:i/>
          <w:iCs/>
          <w:color w:val="auto"/>
          <w:szCs w:val="21"/>
          <w:highlight w:val="none"/>
        </w:rPr>
        <w:t>HI</w:t>
      </w:r>
      <w:r>
        <w:rPr>
          <w:color w:val="auto"/>
          <w:szCs w:val="21"/>
          <w:highlight w:val="none"/>
        </w:rPr>
        <w:t>4和</w:t>
      </w:r>
      <w:r>
        <w:rPr>
          <w:i/>
          <w:iCs/>
          <w:color w:val="auto"/>
          <w:szCs w:val="21"/>
          <w:highlight w:val="none"/>
        </w:rPr>
        <w:t>HI</w:t>
      </w:r>
      <w:r>
        <w:rPr>
          <w:color w:val="auto"/>
          <w:szCs w:val="21"/>
          <w:highlight w:val="none"/>
        </w:rPr>
        <w:t>5进一步开展RUL预测对比实验。</w:t>
      </w:r>
    </w:p>
    <w:p w14:paraId="5136C000">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8</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w:t>
      </w:r>
      <w:r>
        <w:rPr>
          <w:rFonts w:ascii="黑体" w:hAnsi="黑体" w:eastAsia="黑体"/>
          <w:i/>
          <w:color w:val="auto"/>
          <w:sz w:val="18"/>
          <w:szCs w:val="18"/>
          <w:highlight w:val="none"/>
        </w:rPr>
        <w:t>HI</w:t>
      </w:r>
      <w:r>
        <w:rPr>
          <w:rFonts w:ascii="黑体" w:hAnsi="黑体" w:eastAsia="黑体"/>
          <w:color w:val="auto"/>
          <w:sz w:val="18"/>
          <w:szCs w:val="18"/>
          <w:highlight w:val="none"/>
        </w:rPr>
        <w:t>的</w:t>
      </w:r>
      <w:r>
        <w:rPr>
          <w:rFonts w:ascii="黑体" w:hAnsi="黑体" w:eastAsia="黑体"/>
          <w:i/>
          <w:iCs/>
          <w:color w:val="auto"/>
          <w:sz w:val="18"/>
          <w:szCs w:val="18"/>
          <w:highlight w:val="none"/>
        </w:rPr>
        <w:t>RUL</w:t>
      </w:r>
      <w:r>
        <w:rPr>
          <w:rFonts w:ascii="黑体" w:hAnsi="黑体" w:eastAsia="黑体"/>
          <w:color w:val="auto"/>
          <w:sz w:val="18"/>
          <w:szCs w:val="18"/>
          <w:highlight w:val="none"/>
        </w:rPr>
        <w:t>预测结果</w:t>
      </w:r>
    </w:p>
    <w:p w14:paraId="3C7099D7">
      <w:pPr>
        <w:adjustRightInd w:val="0"/>
        <w:snapToGrid w:val="0"/>
        <w:jc w:val="center"/>
        <w:rPr>
          <w:color w:val="auto"/>
          <w:sz w:val="18"/>
          <w:szCs w:val="18"/>
          <w:highlight w:val="none"/>
        </w:rPr>
      </w:pPr>
      <w:r>
        <w:rPr>
          <w:color w:val="auto"/>
          <w:sz w:val="18"/>
          <w:szCs w:val="18"/>
          <w:highlight w:val="none"/>
        </w:rPr>
        <w:t>Table 8</w:t>
      </w:r>
      <w:r>
        <w:rPr>
          <w:rFonts w:hint="eastAsia"/>
          <w:color w:val="auto"/>
          <w:sz w:val="18"/>
          <w:szCs w:val="18"/>
          <w:highlight w:val="none"/>
        </w:rPr>
        <w:t xml:space="preserve"> </w:t>
      </w:r>
      <w:r>
        <w:rPr>
          <w:color w:val="auto"/>
          <w:sz w:val="18"/>
          <w:szCs w:val="18"/>
          <w:highlight w:val="none"/>
        </w:rPr>
        <w:t xml:space="preserve"> </w:t>
      </w:r>
      <w:r>
        <w:rPr>
          <w:i/>
          <w:iCs/>
          <w:color w:val="auto"/>
          <w:sz w:val="18"/>
          <w:szCs w:val="18"/>
          <w:highlight w:val="none"/>
        </w:rPr>
        <w:t>RUL</w:t>
      </w:r>
      <w:r>
        <w:rPr>
          <w:color w:val="auto"/>
          <w:sz w:val="18"/>
          <w:szCs w:val="18"/>
          <w:highlight w:val="none"/>
        </w:rPr>
        <w:t xml:space="preserve"> prediction results for different </w:t>
      </w:r>
      <w:r>
        <w:rPr>
          <w:i/>
          <w:color w:val="auto"/>
          <w:sz w:val="18"/>
          <w:szCs w:val="18"/>
          <w:highlight w:val="none"/>
        </w:rPr>
        <w:t>HI</w:t>
      </w:r>
      <w:r>
        <w:rPr>
          <w:color w:val="auto"/>
          <w:sz w:val="18"/>
          <w:szCs w:val="18"/>
          <w:highlight w:val="none"/>
        </w:rPr>
        <w:t>s</w:t>
      </w:r>
    </w:p>
    <w:tbl>
      <w:tblPr>
        <w:tblStyle w:val="10"/>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316"/>
        <w:gridCol w:w="2363"/>
        <w:gridCol w:w="2363"/>
        <w:gridCol w:w="2285"/>
      </w:tblGrid>
      <w:tr w14:paraId="5083BE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tcBorders>
              <w:top w:val="single" w:color="auto" w:sz="12" w:space="0"/>
              <w:bottom w:val="single" w:color="auto" w:sz="4" w:space="0"/>
            </w:tcBorders>
            <w:vAlign w:val="center"/>
          </w:tcPr>
          <w:p w14:paraId="46CA9EC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668" w:type="pct"/>
            <w:tcBorders>
              <w:top w:val="single" w:color="auto" w:sz="12" w:space="0"/>
              <w:bottom w:val="single" w:color="auto" w:sz="4" w:space="0"/>
            </w:tcBorders>
            <w:vAlign w:val="center"/>
          </w:tcPr>
          <w:p w14:paraId="663A11AE">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HI</w:t>
            </w:r>
          </w:p>
        </w:tc>
        <w:tc>
          <w:tcPr>
            <w:tcW w:w="1199" w:type="pct"/>
            <w:tcBorders>
              <w:top w:val="single" w:color="auto" w:sz="12" w:space="0"/>
              <w:bottom w:val="single" w:color="auto" w:sz="4" w:space="0"/>
            </w:tcBorders>
            <w:vAlign w:val="center"/>
          </w:tcPr>
          <w:p w14:paraId="5CC534CC">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1199" w:type="pct"/>
            <w:tcBorders>
              <w:top w:val="single" w:color="auto" w:sz="12" w:space="0"/>
              <w:bottom w:val="single" w:color="auto" w:sz="4" w:space="0"/>
            </w:tcBorders>
            <w:vAlign w:val="center"/>
          </w:tcPr>
          <w:p w14:paraId="1487683A">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1159" w:type="pct"/>
            <w:tcBorders>
              <w:top w:val="single" w:color="auto" w:sz="12" w:space="0"/>
              <w:bottom w:val="single" w:color="auto" w:sz="4" w:space="0"/>
            </w:tcBorders>
            <w:vAlign w:val="center"/>
          </w:tcPr>
          <w:p w14:paraId="29B6450D">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6D33BE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restart"/>
            <w:tcBorders>
              <w:top w:val="single" w:color="auto" w:sz="4" w:space="0"/>
              <w:bottom w:val="nil"/>
            </w:tcBorders>
            <w:vAlign w:val="center"/>
          </w:tcPr>
          <w:p w14:paraId="6926250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668" w:type="pct"/>
            <w:tcBorders>
              <w:top w:val="single" w:color="auto" w:sz="4" w:space="0"/>
              <w:bottom w:val="nil"/>
            </w:tcBorders>
          </w:tcPr>
          <w:p w14:paraId="7767ECA3">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1</w:t>
            </w:r>
          </w:p>
        </w:tc>
        <w:tc>
          <w:tcPr>
            <w:tcW w:w="1199" w:type="pct"/>
            <w:tcBorders>
              <w:top w:val="single" w:color="auto" w:sz="4" w:space="0"/>
              <w:bottom w:val="nil"/>
            </w:tcBorders>
            <w:vAlign w:val="center"/>
          </w:tcPr>
          <w:p w14:paraId="68EE1AA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13.9975</w:t>
            </w:r>
          </w:p>
        </w:tc>
        <w:tc>
          <w:tcPr>
            <w:tcW w:w="1199" w:type="pct"/>
            <w:tcBorders>
              <w:top w:val="single" w:color="auto" w:sz="4" w:space="0"/>
              <w:bottom w:val="nil"/>
            </w:tcBorders>
            <w:vAlign w:val="center"/>
          </w:tcPr>
          <w:p w14:paraId="1181792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11.7289</w:t>
            </w:r>
          </w:p>
        </w:tc>
        <w:tc>
          <w:tcPr>
            <w:tcW w:w="1159" w:type="pct"/>
            <w:tcBorders>
              <w:top w:val="single" w:color="auto" w:sz="4" w:space="0"/>
              <w:bottom w:val="nil"/>
            </w:tcBorders>
            <w:vAlign w:val="center"/>
          </w:tcPr>
          <w:p w14:paraId="2F12542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0.9948</w:t>
            </w:r>
          </w:p>
        </w:tc>
      </w:tr>
      <w:tr w14:paraId="19BAD8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tcBorders>
              <w:top w:val="nil"/>
              <w:bottom w:val="nil"/>
            </w:tcBorders>
            <w:vAlign w:val="center"/>
          </w:tcPr>
          <w:p w14:paraId="752110C4">
            <w:pPr>
              <w:adjustRightInd w:val="0"/>
              <w:snapToGrid w:val="0"/>
              <w:jc w:val="center"/>
              <w:rPr>
                <w:rFonts w:ascii="Calibri" w:hAnsi="Calibri"/>
                <w:color w:val="auto"/>
                <w:sz w:val="18"/>
                <w:szCs w:val="18"/>
                <w:highlight w:val="none"/>
              </w:rPr>
            </w:pPr>
          </w:p>
        </w:tc>
        <w:tc>
          <w:tcPr>
            <w:tcW w:w="668" w:type="pct"/>
            <w:tcBorders>
              <w:top w:val="nil"/>
              <w:bottom w:val="nil"/>
            </w:tcBorders>
          </w:tcPr>
          <w:p w14:paraId="108D133C">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3</w:t>
            </w:r>
          </w:p>
        </w:tc>
        <w:tc>
          <w:tcPr>
            <w:tcW w:w="1199" w:type="pct"/>
            <w:tcBorders>
              <w:top w:val="nil"/>
              <w:bottom w:val="nil"/>
            </w:tcBorders>
            <w:vAlign w:val="center"/>
          </w:tcPr>
          <w:p w14:paraId="0F27AB2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332.9341</w:t>
            </w:r>
          </w:p>
        </w:tc>
        <w:tc>
          <w:tcPr>
            <w:tcW w:w="1199" w:type="pct"/>
            <w:tcBorders>
              <w:top w:val="nil"/>
              <w:bottom w:val="nil"/>
            </w:tcBorders>
            <w:vAlign w:val="center"/>
          </w:tcPr>
          <w:p w14:paraId="7FDDE68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300.9341</w:t>
            </w:r>
          </w:p>
        </w:tc>
        <w:tc>
          <w:tcPr>
            <w:tcW w:w="1159" w:type="pct"/>
            <w:tcBorders>
              <w:top w:val="nil"/>
              <w:bottom w:val="nil"/>
            </w:tcBorders>
            <w:vAlign w:val="center"/>
          </w:tcPr>
          <w:p w14:paraId="7EE1064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-1.9179</w:t>
            </w:r>
          </w:p>
        </w:tc>
      </w:tr>
      <w:tr w14:paraId="6A7DF3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tcBorders>
              <w:top w:val="nil"/>
              <w:bottom w:val="nil"/>
            </w:tcBorders>
            <w:vAlign w:val="center"/>
          </w:tcPr>
          <w:p w14:paraId="3002AAC8">
            <w:pPr>
              <w:adjustRightInd w:val="0"/>
              <w:snapToGrid w:val="0"/>
              <w:jc w:val="center"/>
              <w:rPr>
                <w:rFonts w:ascii="Calibri" w:hAnsi="Calibri"/>
                <w:color w:val="auto"/>
                <w:sz w:val="18"/>
                <w:szCs w:val="18"/>
                <w:highlight w:val="none"/>
              </w:rPr>
            </w:pPr>
          </w:p>
        </w:tc>
        <w:tc>
          <w:tcPr>
            <w:tcW w:w="668" w:type="pct"/>
            <w:tcBorders>
              <w:top w:val="nil"/>
              <w:bottom w:val="nil"/>
            </w:tcBorders>
          </w:tcPr>
          <w:p w14:paraId="715E7BFE">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4</w:t>
            </w:r>
          </w:p>
        </w:tc>
        <w:tc>
          <w:tcPr>
            <w:tcW w:w="1199" w:type="pct"/>
            <w:tcBorders>
              <w:top w:val="nil"/>
              <w:bottom w:val="nil"/>
            </w:tcBorders>
            <w:vAlign w:val="center"/>
          </w:tcPr>
          <w:p w14:paraId="50C7A81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942.5317</w:t>
            </w:r>
          </w:p>
        </w:tc>
        <w:tc>
          <w:tcPr>
            <w:tcW w:w="1199" w:type="pct"/>
            <w:tcBorders>
              <w:top w:val="nil"/>
              <w:bottom w:val="nil"/>
            </w:tcBorders>
            <w:vAlign w:val="center"/>
          </w:tcPr>
          <w:p w14:paraId="1688A56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873.6878</w:t>
            </w:r>
          </w:p>
        </w:tc>
        <w:tc>
          <w:tcPr>
            <w:tcW w:w="1159" w:type="pct"/>
            <w:tcBorders>
              <w:top w:val="nil"/>
              <w:bottom w:val="nil"/>
            </w:tcBorders>
            <w:vAlign w:val="center"/>
          </w:tcPr>
          <w:p w14:paraId="133EC7A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-22.3973</w:t>
            </w:r>
          </w:p>
        </w:tc>
      </w:tr>
      <w:tr w14:paraId="20DD44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tcBorders>
              <w:top w:val="nil"/>
              <w:bottom w:val="single" w:color="auto" w:sz="4" w:space="0"/>
            </w:tcBorders>
            <w:vAlign w:val="center"/>
          </w:tcPr>
          <w:p w14:paraId="7CF78C5F">
            <w:pPr>
              <w:adjustRightInd w:val="0"/>
              <w:snapToGrid w:val="0"/>
              <w:jc w:val="center"/>
              <w:rPr>
                <w:rFonts w:ascii="Calibri" w:hAnsi="Calibri"/>
                <w:color w:val="auto"/>
                <w:sz w:val="18"/>
                <w:szCs w:val="18"/>
                <w:highlight w:val="none"/>
              </w:rPr>
            </w:pPr>
          </w:p>
        </w:tc>
        <w:tc>
          <w:tcPr>
            <w:tcW w:w="668" w:type="pct"/>
            <w:tcBorders>
              <w:top w:val="nil"/>
              <w:bottom w:val="single" w:color="auto" w:sz="4" w:space="0"/>
            </w:tcBorders>
          </w:tcPr>
          <w:p w14:paraId="3FD11D83">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5</w:t>
            </w:r>
          </w:p>
        </w:tc>
        <w:tc>
          <w:tcPr>
            <w:tcW w:w="1199" w:type="pct"/>
            <w:tcBorders>
              <w:top w:val="nil"/>
              <w:bottom w:val="single" w:color="auto" w:sz="4" w:space="0"/>
            </w:tcBorders>
            <w:vAlign w:val="center"/>
          </w:tcPr>
          <w:p w14:paraId="5465EDF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73.6540</w:t>
            </w:r>
          </w:p>
        </w:tc>
        <w:tc>
          <w:tcPr>
            <w:tcW w:w="1199" w:type="pct"/>
            <w:tcBorders>
              <w:top w:val="nil"/>
              <w:bottom w:val="single" w:color="auto" w:sz="4" w:space="0"/>
            </w:tcBorders>
            <w:vAlign w:val="center"/>
          </w:tcPr>
          <w:p w14:paraId="6566686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64.9476</w:t>
            </w:r>
          </w:p>
        </w:tc>
        <w:tc>
          <w:tcPr>
            <w:tcW w:w="1159" w:type="pct"/>
            <w:tcBorders>
              <w:top w:val="nil"/>
              <w:bottom w:val="single" w:color="auto" w:sz="4" w:space="0"/>
            </w:tcBorders>
            <w:vAlign w:val="center"/>
          </w:tcPr>
          <w:p w14:paraId="24C1260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0.8571</w:t>
            </w:r>
          </w:p>
        </w:tc>
      </w:tr>
      <w:tr w14:paraId="72362F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restart"/>
            <w:tcBorders>
              <w:top w:val="single" w:color="auto" w:sz="4" w:space="0"/>
            </w:tcBorders>
            <w:vAlign w:val="center"/>
          </w:tcPr>
          <w:p w14:paraId="63A9CBC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w:t>
            </w:r>
          </w:p>
        </w:tc>
        <w:tc>
          <w:tcPr>
            <w:tcW w:w="668" w:type="pct"/>
            <w:tcBorders>
              <w:top w:val="single" w:color="auto" w:sz="4" w:space="0"/>
            </w:tcBorders>
          </w:tcPr>
          <w:p w14:paraId="03FC6EEA">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1</w:t>
            </w:r>
          </w:p>
        </w:tc>
        <w:tc>
          <w:tcPr>
            <w:tcW w:w="1199" w:type="pct"/>
            <w:tcBorders>
              <w:top w:val="single" w:color="auto" w:sz="4" w:space="0"/>
            </w:tcBorders>
            <w:vAlign w:val="center"/>
          </w:tcPr>
          <w:p w14:paraId="0637A8A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18.6855</w:t>
            </w:r>
          </w:p>
        </w:tc>
        <w:tc>
          <w:tcPr>
            <w:tcW w:w="1199" w:type="pct"/>
            <w:tcBorders>
              <w:top w:val="single" w:color="auto" w:sz="4" w:space="0"/>
            </w:tcBorders>
            <w:vAlign w:val="center"/>
          </w:tcPr>
          <w:p w14:paraId="204DD78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15.3992</w:t>
            </w:r>
          </w:p>
        </w:tc>
        <w:tc>
          <w:tcPr>
            <w:tcW w:w="1159" w:type="pct"/>
            <w:tcBorders>
              <w:top w:val="single" w:color="auto" w:sz="4" w:space="0"/>
            </w:tcBorders>
            <w:vAlign w:val="center"/>
          </w:tcPr>
          <w:p w14:paraId="6551124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0.9910</w:t>
            </w:r>
          </w:p>
        </w:tc>
      </w:tr>
      <w:tr w14:paraId="7AAAC17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vAlign w:val="center"/>
          </w:tcPr>
          <w:p w14:paraId="23D3381D">
            <w:pPr>
              <w:adjustRightInd w:val="0"/>
              <w:snapToGrid w:val="0"/>
              <w:jc w:val="center"/>
              <w:rPr>
                <w:rFonts w:ascii="Calibri" w:hAnsi="Calibri"/>
                <w:color w:val="auto"/>
                <w:sz w:val="18"/>
                <w:szCs w:val="18"/>
                <w:highlight w:val="none"/>
              </w:rPr>
            </w:pPr>
          </w:p>
        </w:tc>
        <w:tc>
          <w:tcPr>
            <w:tcW w:w="668" w:type="pct"/>
          </w:tcPr>
          <w:p w14:paraId="791C7624">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3</w:t>
            </w:r>
          </w:p>
        </w:tc>
        <w:tc>
          <w:tcPr>
            <w:tcW w:w="1199" w:type="pct"/>
            <w:vAlign w:val="center"/>
          </w:tcPr>
          <w:p w14:paraId="53ED397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255.3387</w:t>
            </w:r>
          </w:p>
        </w:tc>
        <w:tc>
          <w:tcPr>
            <w:tcW w:w="1199" w:type="pct"/>
            <w:vAlign w:val="center"/>
          </w:tcPr>
          <w:p w14:paraId="4EC263C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223.9496</w:t>
            </w:r>
          </w:p>
        </w:tc>
        <w:tc>
          <w:tcPr>
            <w:tcW w:w="1159" w:type="pct"/>
            <w:vAlign w:val="center"/>
          </w:tcPr>
          <w:p w14:paraId="127A58B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-0.6723</w:t>
            </w:r>
          </w:p>
        </w:tc>
      </w:tr>
      <w:tr w14:paraId="118C2C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vAlign w:val="center"/>
          </w:tcPr>
          <w:p w14:paraId="03CBFF25">
            <w:pPr>
              <w:adjustRightInd w:val="0"/>
              <w:snapToGrid w:val="0"/>
              <w:jc w:val="center"/>
              <w:rPr>
                <w:rFonts w:ascii="Calibri" w:hAnsi="Calibri"/>
                <w:color w:val="auto"/>
                <w:sz w:val="18"/>
                <w:szCs w:val="18"/>
                <w:highlight w:val="none"/>
              </w:rPr>
            </w:pPr>
          </w:p>
        </w:tc>
        <w:tc>
          <w:tcPr>
            <w:tcW w:w="668" w:type="pct"/>
          </w:tcPr>
          <w:p w14:paraId="4407E1EB">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4</w:t>
            </w:r>
          </w:p>
        </w:tc>
        <w:tc>
          <w:tcPr>
            <w:tcW w:w="1199" w:type="pct"/>
            <w:vAlign w:val="center"/>
          </w:tcPr>
          <w:p w14:paraId="7D72C60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962.1191</w:t>
            </w:r>
          </w:p>
        </w:tc>
        <w:tc>
          <w:tcPr>
            <w:tcW w:w="1199" w:type="pct"/>
            <w:vAlign w:val="center"/>
          </w:tcPr>
          <w:p w14:paraId="37246D6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883.4136</w:t>
            </w:r>
          </w:p>
        </w:tc>
        <w:tc>
          <w:tcPr>
            <w:tcW w:w="1159" w:type="pct"/>
            <w:vAlign w:val="center"/>
          </w:tcPr>
          <w:p w14:paraId="0B853D4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-22.7426</w:t>
            </w:r>
          </w:p>
        </w:tc>
      </w:tr>
      <w:tr w14:paraId="2AE8B2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 w:type="pct"/>
            <w:vMerge w:val="continue"/>
            <w:vAlign w:val="center"/>
          </w:tcPr>
          <w:p w14:paraId="49911974">
            <w:pPr>
              <w:adjustRightInd w:val="0"/>
              <w:snapToGrid w:val="0"/>
              <w:jc w:val="center"/>
              <w:rPr>
                <w:rFonts w:ascii="Calibri" w:hAnsi="Calibri"/>
                <w:color w:val="auto"/>
                <w:sz w:val="18"/>
                <w:szCs w:val="18"/>
                <w:highlight w:val="none"/>
              </w:rPr>
            </w:pPr>
          </w:p>
        </w:tc>
        <w:tc>
          <w:tcPr>
            <w:tcW w:w="668" w:type="pct"/>
          </w:tcPr>
          <w:p w14:paraId="5E8A5865">
            <w:pPr>
              <w:adjustRightInd w:val="0"/>
              <w:snapToGrid w:val="0"/>
              <w:jc w:val="center"/>
              <w:rPr>
                <w:rFonts w:ascii="Calibri" w:hAnsi="Calibri"/>
                <w:color w:val="auto"/>
                <w:sz w:val="18"/>
                <w:szCs w:val="18"/>
                <w:highlight w:val="none"/>
              </w:rPr>
            </w:pPr>
            <w:r>
              <w:rPr>
                <w:rFonts w:ascii="Calibri" w:hAnsi="Calibri"/>
                <w:i/>
                <w:color w:val="auto"/>
                <w:sz w:val="18"/>
                <w:szCs w:val="18"/>
                <w:highlight w:val="none"/>
              </w:rPr>
              <w:t>HI</w:t>
            </w:r>
            <w:r>
              <w:rPr>
                <w:rFonts w:ascii="Calibri" w:hAnsi="Calibri"/>
                <w:color w:val="auto"/>
                <w:sz w:val="18"/>
                <w:szCs w:val="18"/>
                <w:highlight w:val="none"/>
              </w:rPr>
              <w:t>5</w:t>
            </w:r>
          </w:p>
        </w:tc>
        <w:tc>
          <w:tcPr>
            <w:tcW w:w="1199" w:type="pct"/>
            <w:vAlign w:val="center"/>
          </w:tcPr>
          <w:p w14:paraId="7C6E120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36.1063</w:t>
            </w:r>
          </w:p>
        </w:tc>
        <w:tc>
          <w:tcPr>
            <w:tcW w:w="1199" w:type="pct"/>
            <w:vAlign w:val="center"/>
          </w:tcPr>
          <w:p w14:paraId="25B7642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29.8761</w:t>
            </w:r>
          </w:p>
        </w:tc>
        <w:tc>
          <w:tcPr>
            <w:tcW w:w="1159" w:type="pct"/>
            <w:vAlign w:val="center"/>
          </w:tcPr>
          <w:p w14:paraId="0788EC9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0.9666</w:t>
            </w:r>
          </w:p>
        </w:tc>
      </w:tr>
    </w:tbl>
    <w:p w14:paraId="3C07211D">
      <w:pPr>
        <w:adjustRightInd w:val="0"/>
        <w:snapToGrid w:val="0"/>
        <w:ind w:firstLine="420" w:firstLineChars="200"/>
        <w:rPr>
          <w:color w:val="auto"/>
          <w:szCs w:val="21"/>
          <w:highlight w:val="none"/>
        </w:rPr>
      </w:pPr>
      <w:r>
        <w:rPr>
          <w:color w:val="auto"/>
          <w:szCs w:val="21"/>
          <w:highlight w:val="none"/>
        </w:rPr>
        <w:t>表8所示为不同</w:t>
      </w:r>
      <w:r>
        <w:rPr>
          <w:i/>
          <w:color w:val="auto"/>
          <w:szCs w:val="21"/>
          <w:highlight w:val="none"/>
        </w:rPr>
        <w:t>HI</w:t>
      </w:r>
      <w:r>
        <w:rPr>
          <w:color w:val="auto"/>
          <w:szCs w:val="21"/>
          <w:highlight w:val="none"/>
        </w:rPr>
        <w:t>的</w:t>
      </w:r>
      <w:r>
        <w:rPr>
          <w:i/>
          <w:iCs/>
          <w:color w:val="auto"/>
          <w:szCs w:val="21"/>
          <w:highlight w:val="none"/>
        </w:rPr>
        <w:t>RUL</w:t>
      </w:r>
      <w:r>
        <w:rPr>
          <w:color w:val="auto"/>
          <w:szCs w:val="21"/>
          <w:highlight w:val="none"/>
        </w:rPr>
        <w:t>预测结果。由表8可知，尽管</w:t>
      </w:r>
      <w:r>
        <w:rPr>
          <w:i/>
          <w:iCs/>
          <w:color w:val="auto"/>
          <w:szCs w:val="21"/>
          <w:highlight w:val="none"/>
        </w:rPr>
        <w:t>HI</w:t>
      </w:r>
      <w:r>
        <w:rPr>
          <w:color w:val="auto"/>
          <w:szCs w:val="21"/>
          <w:highlight w:val="none"/>
        </w:rPr>
        <w:t>3、</w:t>
      </w:r>
      <w:r>
        <w:rPr>
          <w:i/>
          <w:iCs/>
          <w:color w:val="auto"/>
          <w:szCs w:val="21"/>
          <w:highlight w:val="none"/>
        </w:rPr>
        <w:t>HI</w:t>
      </w:r>
      <w:r>
        <w:rPr>
          <w:color w:val="auto"/>
          <w:szCs w:val="21"/>
          <w:highlight w:val="none"/>
        </w:rPr>
        <w:t>4和</w:t>
      </w:r>
      <w:r>
        <w:rPr>
          <w:i/>
          <w:iCs/>
          <w:color w:val="auto"/>
          <w:szCs w:val="21"/>
          <w:highlight w:val="none"/>
        </w:rPr>
        <w:t>HI</w:t>
      </w:r>
      <w:r>
        <w:rPr>
          <w:color w:val="auto"/>
          <w:szCs w:val="21"/>
          <w:highlight w:val="none"/>
        </w:rPr>
        <w:t>5与电池容量的相关系数均达到了0.91以上，表现出较强的退化同步性，但其</w:t>
      </w:r>
      <w:r>
        <w:rPr>
          <w:i/>
          <w:iCs/>
          <w:color w:val="auto"/>
          <w:szCs w:val="21"/>
          <w:highlight w:val="none"/>
        </w:rPr>
        <w:t>RUL</w:t>
      </w:r>
      <w:r>
        <w:rPr>
          <w:color w:val="auto"/>
          <w:szCs w:val="21"/>
          <w:highlight w:val="none"/>
        </w:rPr>
        <w:t>预测结果却呈现出巨大的偏差。尤其是</w:t>
      </w:r>
      <w:r>
        <w:rPr>
          <w:rFonts w:hint="eastAsia"/>
          <w:color w:val="auto"/>
          <w:szCs w:val="21"/>
          <w:highlight w:val="none"/>
        </w:rPr>
        <w:t>放电电压平台</w:t>
      </w:r>
      <w:r>
        <w:rPr>
          <w:color w:val="auto"/>
          <w:szCs w:val="21"/>
          <w:highlight w:val="none"/>
        </w:rPr>
        <w:t>指标，在L1电池上尽管其相关系数高达0.9</w:t>
      </w:r>
      <w:r>
        <w:rPr>
          <w:rFonts w:hint="eastAsia"/>
          <w:color w:val="auto"/>
          <w:szCs w:val="21"/>
          <w:highlight w:val="none"/>
        </w:rPr>
        <w:t>363</w:t>
      </w:r>
      <w:r>
        <w:rPr>
          <w:color w:val="auto"/>
          <w:szCs w:val="21"/>
          <w:highlight w:val="none"/>
        </w:rPr>
        <w:t>，</w:t>
      </w:r>
      <w:r>
        <w:rPr>
          <w:color w:val="auto"/>
          <w:position w:val="-6"/>
          <w:highlight w:val="none"/>
        </w:rPr>
        <w:object>
          <v:shape id="_x0000_i1187" o:spt="75" type="#_x0000_t75" style="height:13.85pt;width:23.85pt;" o:ole="t" filled="f" o:preferrelative="t" stroked="f" coordsize="21600,21600">
            <v:path/>
            <v:fill on="f" focussize="0,0"/>
            <v:stroke on="f" joinstyle="miter"/>
            <v:imagedata r:id="rId339" o:title=""/>
            <o:lock v:ext="edit" aspectratio="t"/>
            <w10:wrap type="none"/>
            <w10:anchorlock/>
          </v:shape>
          <o:OLEObject Type="Embed" ProgID="Equation.DSMT4" ShapeID="_x0000_i1187" DrawAspect="Content" ObjectID="_1468075887" r:id="rId338">
            <o:LockedField>false</o:LockedField>
          </o:OLEObject>
        </w:object>
      </w:r>
      <w:r>
        <w:rPr>
          <w:color w:val="auto"/>
          <w:szCs w:val="21"/>
          <w:highlight w:val="none"/>
        </w:rPr>
        <w:t>指数低至0.0766，但预测结果的</w:t>
      </w:r>
      <w:r>
        <w:rPr>
          <w:i/>
          <w:iCs/>
          <w:color w:val="auto"/>
          <w:szCs w:val="21"/>
          <w:highlight w:val="none"/>
        </w:rPr>
        <w:t>RMSE</w:t>
      </w:r>
      <w:r>
        <w:rPr>
          <w:color w:val="auto"/>
          <w:szCs w:val="21"/>
          <w:highlight w:val="none"/>
        </w:rPr>
        <w:t>高达942.5317。这说明相关系数仅能反映指标与容量在趋势上的线性一致性，而无法衡量其与特定预测算法的数学适配度。</w:t>
      </w:r>
    </w:p>
    <w:p w14:paraId="788E300C">
      <w:pPr>
        <w:adjustRightInd w:val="0"/>
        <w:snapToGrid w:val="0"/>
        <w:ind w:firstLine="420" w:firstLineChars="200"/>
        <w:rPr>
          <w:color w:val="auto"/>
          <w:szCs w:val="21"/>
          <w:highlight w:val="none"/>
        </w:rPr>
      </w:pPr>
      <w:r>
        <w:rPr>
          <w:i/>
          <w:iCs/>
          <w:color w:val="auto"/>
          <w:szCs w:val="21"/>
          <w:highlight w:val="none"/>
        </w:rPr>
        <w:t>HI</w:t>
      </w:r>
      <w:r>
        <w:rPr>
          <w:color w:val="auto"/>
          <w:szCs w:val="21"/>
          <w:highlight w:val="none"/>
        </w:rPr>
        <w:t>3和</w:t>
      </w:r>
      <w:r>
        <w:rPr>
          <w:i/>
          <w:iCs/>
          <w:color w:val="auto"/>
          <w:szCs w:val="21"/>
          <w:highlight w:val="none"/>
        </w:rPr>
        <w:t>HI</w:t>
      </w:r>
      <w:r>
        <w:rPr>
          <w:color w:val="auto"/>
          <w:szCs w:val="21"/>
          <w:highlight w:val="none"/>
        </w:rPr>
        <w:t>4预测失效的根源在于其老化轨迹具有显著的非线性特征。此类指标在老化前期变化极小，后期变化极大，违背了Wiener过程的线性漂移假设，导致模型在预测初期因漂移系数估计值过小而产生严重的寿命过估计。相比之下，本研究选取的CCCT指标在所测试数据集上表现较优。实验结果表明，CCCT的老化变化特征与Wiener随机过程建模假设具有较好的适配性，因此在本研究实验条件下能够取得较好的</w:t>
      </w:r>
      <w:r>
        <w:rPr>
          <w:i/>
          <w:iCs/>
          <w:color w:val="auto"/>
          <w:szCs w:val="21"/>
          <w:highlight w:val="none"/>
        </w:rPr>
        <w:t>RUL</w:t>
      </w:r>
      <w:r>
        <w:rPr>
          <w:color w:val="auto"/>
          <w:szCs w:val="21"/>
          <w:highlight w:val="none"/>
        </w:rPr>
        <w:t>预测效果。</w:t>
      </w:r>
    </w:p>
    <w:p w14:paraId="01D62663">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3.5 不同训练数据比例对模型预测性能的影响分析</w:t>
      </w:r>
    </w:p>
    <w:p w14:paraId="0F8B5858">
      <w:pPr>
        <w:adjustRightInd w:val="0"/>
        <w:snapToGrid w:val="0"/>
        <w:ind w:firstLine="420" w:firstLineChars="200"/>
        <w:rPr>
          <w:color w:val="auto"/>
          <w:szCs w:val="21"/>
          <w:highlight w:val="none"/>
        </w:rPr>
      </w:pPr>
      <w:r>
        <w:rPr>
          <w:color w:val="auto"/>
          <w:szCs w:val="21"/>
          <w:highlight w:val="none"/>
        </w:rPr>
        <w:t>为了验证模型在不同老化阶段下的鲁棒性与泛化性，本研究在基准50%划分的基础上，增加了用60%和70%数据作为训练集，剩下数据作为测试集的对比实验。L1和L2电池在不同训练比例下的预测结果如表9所示。</w:t>
      </w:r>
    </w:p>
    <w:p w14:paraId="6FC8DA2C">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9</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不同训练比例下L</w:t>
      </w:r>
      <w:r>
        <w:rPr>
          <w:rFonts w:eastAsia="黑体"/>
          <w:color w:val="auto"/>
          <w:sz w:val="18"/>
          <w:szCs w:val="18"/>
          <w:highlight w:val="none"/>
        </w:rPr>
        <w:t>1</w:t>
      </w:r>
      <w:r>
        <w:rPr>
          <w:rFonts w:ascii="黑体" w:hAnsi="黑体" w:eastAsia="黑体"/>
          <w:color w:val="auto"/>
          <w:sz w:val="18"/>
          <w:szCs w:val="18"/>
          <w:highlight w:val="none"/>
        </w:rPr>
        <w:t>与L</w:t>
      </w:r>
      <w:r>
        <w:rPr>
          <w:rFonts w:eastAsia="黑体"/>
          <w:color w:val="auto"/>
          <w:sz w:val="18"/>
          <w:szCs w:val="18"/>
          <w:highlight w:val="none"/>
        </w:rPr>
        <w:t>2</w:t>
      </w:r>
      <w:r>
        <w:rPr>
          <w:rFonts w:ascii="黑体" w:hAnsi="黑体" w:eastAsia="黑体"/>
          <w:color w:val="auto"/>
          <w:sz w:val="18"/>
          <w:szCs w:val="18"/>
          <w:highlight w:val="none"/>
        </w:rPr>
        <w:t>电池的预测性能对比</w:t>
      </w:r>
    </w:p>
    <w:p w14:paraId="0766AF4B">
      <w:pPr>
        <w:adjustRightInd w:val="0"/>
        <w:snapToGrid w:val="0"/>
        <w:jc w:val="center"/>
        <w:rPr>
          <w:color w:val="auto"/>
          <w:sz w:val="18"/>
          <w:szCs w:val="18"/>
          <w:highlight w:val="none"/>
        </w:rPr>
      </w:pPr>
      <w:r>
        <w:rPr>
          <w:color w:val="auto"/>
          <w:sz w:val="18"/>
          <w:szCs w:val="18"/>
          <w:highlight w:val="none"/>
        </w:rPr>
        <w:t xml:space="preserve">Table 9 </w:t>
      </w:r>
      <w:r>
        <w:rPr>
          <w:rFonts w:hint="eastAsia"/>
          <w:color w:val="auto"/>
          <w:sz w:val="18"/>
          <w:szCs w:val="18"/>
          <w:highlight w:val="none"/>
        </w:rPr>
        <w:t xml:space="preserve"> </w:t>
      </w:r>
      <w:r>
        <w:rPr>
          <w:color w:val="auto"/>
          <w:sz w:val="18"/>
          <w:szCs w:val="18"/>
          <w:highlight w:val="none"/>
        </w:rPr>
        <w:t>Comparison of prediction performance</w:t>
      </w:r>
      <w:r>
        <w:rPr>
          <w:rFonts w:hint="eastAsia"/>
          <w:color w:val="auto"/>
          <w:sz w:val="18"/>
          <w:szCs w:val="18"/>
          <w:highlight w:val="none"/>
        </w:rPr>
        <w:t xml:space="preserve"> </w:t>
      </w:r>
      <w:r>
        <w:rPr>
          <w:color w:val="auto"/>
          <w:sz w:val="18"/>
          <w:szCs w:val="18"/>
          <w:highlight w:val="none"/>
        </w:rPr>
        <w:t>for batteries L1 and L2 under different training ratios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869"/>
        <w:gridCol w:w="1117"/>
        <w:gridCol w:w="1117"/>
        <w:gridCol w:w="1117"/>
        <w:gridCol w:w="1285"/>
        <w:gridCol w:w="1236"/>
        <w:gridCol w:w="1236"/>
        <w:gridCol w:w="1181"/>
      </w:tblGrid>
      <w:tr w14:paraId="493890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restart"/>
            <w:tcBorders>
              <w:top w:val="single" w:color="auto" w:sz="12" w:space="0"/>
            </w:tcBorders>
            <w:vAlign w:val="center"/>
          </w:tcPr>
          <w:p w14:paraId="095F738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441" w:type="pct"/>
            <w:vMerge w:val="restart"/>
            <w:tcBorders>
              <w:top w:val="single" w:color="auto" w:sz="12" w:space="0"/>
            </w:tcBorders>
            <w:vAlign w:val="center"/>
          </w:tcPr>
          <w:p w14:paraId="2DE03DD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训练集比例</w:t>
            </w:r>
          </w:p>
        </w:tc>
        <w:tc>
          <w:tcPr>
            <w:tcW w:w="2353" w:type="pct"/>
            <w:gridSpan w:val="4"/>
            <w:tcBorders>
              <w:top w:val="single" w:color="auto" w:sz="12" w:space="0"/>
              <w:bottom w:val="single" w:color="auto" w:sz="4" w:space="0"/>
            </w:tcBorders>
            <w:vAlign w:val="center"/>
          </w:tcPr>
          <w:p w14:paraId="0EB035BF">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HI</w:t>
            </w:r>
            <w:r>
              <w:rPr>
                <w:rFonts w:ascii="Calibri" w:hAnsi="Calibri"/>
                <w:color w:val="auto"/>
                <w:sz w:val="18"/>
                <w:szCs w:val="18"/>
                <w:highlight w:val="none"/>
              </w:rPr>
              <w:t>预测误差</w:t>
            </w:r>
          </w:p>
        </w:tc>
        <w:tc>
          <w:tcPr>
            <w:tcW w:w="1853" w:type="pct"/>
            <w:gridSpan w:val="3"/>
            <w:tcBorders>
              <w:top w:val="single" w:color="auto" w:sz="12" w:space="0"/>
              <w:bottom w:val="single" w:color="auto" w:sz="4" w:space="0"/>
            </w:tcBorders>
            <w:vAlign w:val="center"/>
          </w:tcPr>
          <w:p w14:paraId="190AAA6B">
            <w:pPr>
              <w:adjustRightInd w:val="0"/>
              <w:snapToGrid w:val="0"/>
              <w:jc w:val="center"/>
              <w:rPr>
                <w:rFonts w:ascii="Calibri" w:hAnsi="Calibri"/>
                <w:color w:val="auto"/>
                <w:sz w:val="18"/>
                <w:szCs w:val="18"/>
                <w:highlight w:val="none"/>
              </w:rPr>
            </w:pPr>
            <w:r>
              <w:rPr>
                <w:rFonts w:ascii="Calibri" w:hAnsi="Calibri"/>
                <w:i/>
                <w:iCs/>
                <w:color w:val="auto"/>
                <w:sz w:val="18"/>
                <w:szCs w:val="18"/>
                <w:highlight w:val="none"/>
              </w:rPr>
              <w:t>RUL</w:t>
            </w:r>
            <w:r>
              <w:rPr>
                <w:rFonts w:ascii="Calibri" w:hAnsi="Calibri"/>
                <w:color w:val="auto"/>
                <w:sz w:val="18"/>
                <w:szCs w:val="18"/>
                <w:highlight w:val="none"/>
              </w:rPr>
              <w:t>预测误差</w:t>
            </w:r>
          </w:p>
        </w:tc>
      </w:tr>
      <w:tr w14:paraId="4BEBA5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continue"/>
            <w:tcBorders>
              <w:bottom w:val="single" w:color="auto" w:sz="4" w:space="0"/>
            </w:tcBorders>
            <w:vAlign w:val="center"/>
          </w:tcPr>
          <w:p w14:paraId="19FA4F7C">
            <w:pPr>
              <w:adjustRightInd w:val="0"/>
              <w:snapToGrid w:val="0"/>
              <w:jc w:val="center"/>
              <w:rPr>
                <w:rFonts w:ascii="Calibri" w:hAnsi="Calibri"/>
                <w:color w:val="auto"/>
                <w:sz w:val="18"/>
                <w:szCs w:val="18"/>
                <w:highlight w:val="none"/>
              </w:rPr>
            </w:pPr>
          </w:p>
        </w:tc>
        <w:tc>
          <w:tcPr>
            <w:tcW w:w="441" w:type="pct"/>
            <w:vMerge w:val="continue"/>
            <w:tcBorders>
              <w:bottom w:val="single" w:color="auto" w:sz="4" w:space="0"/>
            </w:tcBorders>
            <w:vAlign w:val="center"/>
          </w:tcPr>
          <w:p w14:paraId="32C813F3">
            <w:pPr>
              <w:adjustRightInd w:val="0"/>
              <w:snapToGrid w:val="0"/>
              <w:jc w:val="center"/>
              <w:rPr>
                <w:rFonts w:ascii="Calibri" w:hAnsi="Calibri"/>
                <w:color w:val="auto"/>
                <w:sz w:val="18"/>
                <w:szCs w:val="18"/>
                <w:highlight w:val="none"/>
              </w:rPr>
            </w:pPr>
          </w:p>
        </w:tc>
        <w:tc>
          <w:tcPr>
            <w:tcW w:w="567" w:type="pct"/>
            <w:tcBorders>
              <w:top w:val="single" w:color="auto" w:sz="4" w:space="0"/>
              <w:bottom w:val="single" w:color="auto" w:sz="4" w:space="0"/>
            </w:tcBorders>
            <w:vAlign w:val="center"/>
          </w:tcPr>
          <w:p w14:paraId="40B22B31">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567" w:type="pct"/>
            <w:tcBorders>
              <w:top w:val="single" w:color="auto" w:sz="4" w:space="0"/>
              <w:bottom w:val="single" w:color="auto" w:sz="4" w:space="0"/>
            </w:tcBorders>
            <w:vAlign w:val="center"/>
          </w:tcPr>
          <w:p w14:paraId="0E2FCF72">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567" w:type="pct"/>
            <w:tcBorders>
              <w:top w:val="single" w:color="auto" w:sz="4" w:space="0"/>
              <w:bottom w:val="single" w:color="auto" w:sz="4" w:space="0"/>
            </w:tcBorders>
            <w:vAlign w:val="center"/>
          </w:tcPr>
          <w:p w14:paraId="5B35F751">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c>
          <w:tcPr>
            <w:tcW w:w="652" w:type="pct"/>
            <w:tcBorders>
              <w:top w:val="single" w:color="auto" w:sz="4" w:space="0"/>
              <w:bottom w:val="single" w:color="auto" w:sz="4" w:space="0"/>
            </w:tcBorders>
            <w:vAlign w:val="center"/>
          </w:tcPr>
          <w:p w14:paraId="405DD364">
            <w:pPr>
              <w:adjustRightInd w:val="0"/>
              <w:snapToGrid w:val="0"/>
              <w:jc w:val="center"/>
              <w:rPr>
                <w:rFonts w:hint="default" w:ascii="Calibri" w:hAnsi="Calibri" w:eastAsia="宋体"/>
                <w:i/>
                <w:iCs/>
                <w:color w:val="auto"/>
                <w:sz w:val="18"/>
                <w:szCs w:val="18"/>
                <w:highlight w:val="none"/>
                <w:lang w:val="en-US" w:eastAsia="zh-CN"/>
              </w:rPr>
            </w:pPr>
            <w:r>
              <w:rPr>
                <w:rFonts w:ascii="Calibri" w:hAnsi="Calibri"/>
                <w:i/>
                <w:iCs/>
                <w:color w:val="auto"/>
                <w:sz w:val="18"/>
                <w:szCs w:val="18"/>
                <w:highlight w:val="none"/>
              </w:rPr>
              <w:t>MAPE</w:t>
            </w:r>
            <w:r>
              <w:rPr>
                <w:rFonts w:hint="eastAsia" w:ascii="Calibri" w:hAnsi="Calibri"/>
                <w:i w:val="0"/>
                <w:iCs w:val="0"/>
                <w:color w:val="auto"/>
                <w:sz w:val="18"/>
                <w:szCs w:val="18"/>
                <w:highlight w:val="none"/>
                <w:lang w:val="en-US" w:eastAsia="zh-CN"/>
              </w:rPr>
              <w:t>/%</w:t>
            </w:r>
          </w:p>
        </w:tc>
        <w:tc>
          <w:tcPr>
            <w:tcW w:w="627" w:type="pct"/>
            <w:tcBorders>
              <w:top w:val="single" w:color="auto" w:sz="4" w:space="0"/>
              <w:bottom w:val="single" w:color="auto" w:sz="4" w:space="0"/>
            </w:tcBorders>
            <w:vAlign w:val="center"/>
          </w:tcPr>
          <w:p w14:paraId="6A836B8F">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627" w:type="pct"/>
            <w:tcBorders>
              <w:top w:val="single" w:color="auto" w:sz="4" w:space="0"/>
              <w:bottom w:val="single" w:color="auto" w:sz="4" w:space="0"/>
            </w:tcBorders>
            <w:vAlign w:val="center"/>
          </w:tcPr>
          <w:p w14:paraId="4EC22AAF">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598" w:type="pct"/>
            <w:tcBorders>
              <w:top w:val="single" w:color="auto" w:sz="4" w:space="0"/>
              <w:bottom w:val="single" w:color="auto" w:sz="4" w:space="0"/>
            </w:tcBorders>
            <w:vAlign w:val="center"/>
          </w:tcPr>
          <w:p w14:paraId="09EC5E55">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7E58D6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restart"/>
            <w:tcBorders>
              <w:top w:val="single" w:color="auto" w:sz="4" w:space="0"/>
            </w:tcBorders>
            <w:vAlign w:val="center"/>
          </w:tcPr>
          <w:p w14:paraId="2A44181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L1</w:t>
            </w:r>
          </w:p>
        </w:tc>
        <w:tc>
          <w:tcPr>
            <w:tcW w:w="441" w:type="pct"/>
            <w:tcBorders>
              <w:top w:val="single" w:color="auto" w:sz="4" w:space="0"/>
            </w:tcBorders>
            <w:vAlign w:val="center"/>
          </w:tcPr>
          <w:p w14:paraId="115CFEC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60%</w:t>
            </w:r>
          </w:p>
        </w:tc>
        <w:tc>
          <w:tcPr>
            <w:tcW w:w="567" w:type="pct"/>
            <w:tcBorders>
              <w:top w:val="single" w:color="auto" w:sz="4" w:space="0"/>
            </w:tcBorders>
            <w:vAlign w:val="center"/>
          </w:tcPr>
          <w:p w14:paraId="37A7CD2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3.1468</w:t>
            </w:r>
          </w:p>
        </w:tc>
        <w:tc>
          <w:tcPr>
            <w:tcW w:w="567" w:type="pct"/>
            <w:tcBorders>
              <w:top w:val="single" w:color="auto" w:sz="4" w:space="0"/>
            </w:tcBorders>
            <w:vAlign w:val="center"/>
          </w:tcPr>
          <w:p w14:paraId="3B75FA0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2.2882</w:t>
            </w:r>
          </w:p>
        </w:tc>
        <w:tc>
          <w:tcPr>
            <w:tcW w:w="567" w:type="pct"/>
            <w:tcBorders>
              <w:top w:val="single" w:color="auto" w:sz="4" w:space="0"/>
            </w:tcBorders>
            <w:vAlign w:val="center"/>
          </w:tcPr>
          <w:p w14:paraId="3804D1F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0.9772</w:t>
            </w:r>
          </w:p>
        </w:tc>
        <w:tc>
          <w:tcPr>
            <w:tcW w:w="652" w:type="pct"/>
            <w:tcBorders>
              <w:top w:val="single" w:color="auto" w:sz="4" w:space="0"/>
            </w:tcBorders>
            <w:vAlign w:val="center"/>
          </w:tcPr>
          <w:p w14:paraId="2BF846F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0.3625</w:t>
            </w:r>
          </w:p>
        </w:tc>
        <w:tc>
          <w:tcPr>
            <w:tcW w:w="627" w:type="pct"/>
            <w:tcBorders>
              <w:top w:val="single" w:color="auto" w:sz="4" w:space="0"/>
            </w:tcBorders>
            <w:vAlign w:val="center"/>
          </w:tcPr>
          <w:p w14:paraId="6EC6BE0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15.1152</w:t>
            </w:r>
          </w:p>
        </w:tc>
        <w:tc>
          <w:tcPr>
            <w:tcW w:w="627" w:type="pct"/>
            <w:tcBorders>
              <w:top w:val="single" w:color="auto" w:sz="4" w:space="0"/>
            </w:tcBorders>
            <w:vAlign w:val="center"/>
          </w:tcPr>
          <w:p w14:paraId="5975060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12.5075</w:t>
            </w:r>
          </w:p>
        </w:tc>
        <w:tc>
          <w:tcPr>
            <w:tcW w:w="598" w:type="pct"/>
            <w:tcBorders>
              <w:top w:val="single" w:color="auto" w:sz="4" w:space="0"/>
            </w:tcBorders>
            <w:vAlign w:val="center"/>
          </w:tcPr>
          <w:p w14:paraId="7974511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0.9904</w:t>
            </w:r>
          </w:p>
        </w:tc>
      </w:tr>
      <w:tr w14:paraId="6C5F07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continue"/>
            <w:vAlign w:val="center"/>
          </w:tcPr>
          <w:p w14:paraId="3121F8C1">
            <w:pPr>
              <w:adjustRightInd w:val="0"/>
              <w:snapToGrid w:val="0"/>
              <w:jc w:val="center"/>
              <w:rPr>
                <w:rFonts w:ascii="Calibri" w:hAnsi="Calibri"/>
                <w:color w:val="auto"/>
                <w:sz w:val="18"/>
                <w:szCs w:val="18"/>
                <w:highlight w:val="none"/>
              </w:rPr>
            </w:pPr>
          </w:p>
        </w:tc>
        <w:tc>
          <w:tcPr>
            <w:tcW w:w="441" w:type="pct"/>
            <w:vAlign w:val="center"/>
          </w:tcPr>
          <w:p w14:paraId="7F50C12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70%</w:t>
            </w:r>
          </w:p>
        </w:tc>
        <w:tc>
          <w:tcPr>
            <w:tcW w:w="567" w:type="pct"/>
            <w:vAlign w:val="center"/>
          </w:tcPr>
          <w:p w14:paraId="580FDCF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2.5901</w:t>
            </w:r>
          </w:p>
        </w:tc>
        <w:tc>
          <w:tcPr>
            <w:tcW w:w="567" w:type="pct"/>
            <w:vAlign w:val="center"/>
          </w:tcPr>
          <w:p w14:paraId="739D1F9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2.2237</w:t>
            </w:r>
          </w:p>
        </w:tc>
        <w:tc>
          <w:tcPr>
            <w:tcW w:w="567" w:type="pct"/>
            <w:vAlign w:val="center"/>
          </w:tcPr>
          <w:p w14:paraId="6DD1A33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0.9749</w:t>
            </w:r>
          </w:p>
        </w:tc>
        <w:tc>
          <w:tcPr>
            <w:tcW w:w="652" w:type="pct"/>
            <w:vAlign w:val="center"/>
          </w:tcPr>
          <w:p w14:paraId="1E70752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0.3494</w:t>
            </w:r>
          </w:p>
        </w:tc>
        <w:tc>
          <w:tcPr>
            <w:tcW w:w="627" w:type="pct"/>
            <w:vAlign w:val="center"/>
          </w:tcPr>
          <w:p w14:paraId="5B4AA40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9.7700</w:t>
            </w:r>
          </w:p>
        </w:tc>
        <w:tc>
          <w:tcPr>
            <w:tcW w:w="627" w:type="pct"/>
            <w:vAlign w:val="center"/>
          </w:tcPr>
          <w:p w14:paraId="59841C2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7.5342</w:t>
            </w:r>
          </w:p>
        </w:tc>
        <w:tc>
          <w:tcPr>
            <w:tcW w:w="598" w:type="pct"/>
            <w:vAlign w:val="center"/>
          </w:tcPr>
          <w:p w14:paraId="3C38DC0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0..9929</w:t>
            </w:r>
          </w:p>
        </w:tc>
      </w:tr>
      <w:tr w14:paraId="79F915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restart"/>
            <w:vAlign w:val="center"/>
          </w:tcPr>
          <w:p w14:paraId="14B9954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L2</w:t>
            </w:r>
          </w:p>
        </w:tc>
        <w:tc>
          <w:tcPr>
            <w:tcW w:w="441" w:type="pct"/>
            <w:vAlign w:val="center"/>
          </w:tcPr>
          <w:p w14:paraId="2EA0FC7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60%</w:t>
            </w:r>
          </w:p>
        </w:tc>
        <w:tc>
          <w:tcPr>
            <w:tcW w:w="567" w:type="pct"/>
            <w:vAlign w:val="center"/>
          </w:tcPr>
          <w:p w14:paraId="71015C9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2.6418</w:t>
            </w:r>
          </w:p>
        </w:tc>
        <w:tc>
          <w:tcPr>
            <w:tcW w:w="567" w:type="pct"/>
            <w:vAlign w:val="center"/>
          </w:tcPr>
          <w:p w14:paraId="5C4A932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1.9916</w:t>
            </w:r>
          </w:p>
        </w:tc>
        <w:tc>
          <w:tcPr>
            <w:tcW w:w="567" w:type="pct"/>
            <w:vAlign w:val="center"/>
          </w:tcPr>
          <w:p w14:paraId="33FD22B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0.9849</w:t>
            </w:r>
          </w:p>
        </w:tc>
        <w:tc>
          <w:tcPr>
            <w:tcW w:w="652" w:type="pct"/>
            <w:vAlign w:val="center"/>
          </w:tcPr>
          <w:p w14:paraId="112928D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0.3618</w:t>
            </w:r>
          </w:p>
        </w:tc>
        <w:tc>
          <w:tcPr>
            <w:tcW w:w="627" w:type="pct"/>
            <w:vAlign w:val="center"/>
          </w:tcPr>
          <w:p w14:paraId="730F69B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16.8579</w:t>
            </w:r>
          </w:p>
        </w:tc>
        <w:tc>
          <w:tcPr>
            <w:tcW w:w="627" w:type="pct"/>
            <w:vAlign w:val="center"/>
          </w:tcPr>
          <w:p w14:paraId="315837A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13.0676</w:t>
            </w:r>
          </w:p>
        </w:tc>
        <w:tc>
          <w:tcPr>
            <w:tcW w:w="598" w:type="pct"/>
            <w:vAlign w:val="center"/>
          </w:tcPr>
          <w:p w14:paraId="205BB9F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0.9884</w:t>
            </w:r>
          </w:p>
        </w:tc>
      </w:tr>
      <w:tr w14:paraId="41598A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3" w:type="pct"/>
            <w:vMerge w:val="continue"/>
            <w:vAlign w:val="center"/>
          </w:tcPr>
          <w:p w14:paraId="63C790ED">
            <w:pPr>
              <w:adjustRightInd w:val="0"/>
              <w:snapToGrid w:val="0"/>
              <w:jc w:val="center"/>
              <w:rPr>
                <w:rFonts w:ascii="Calibri" w:hAnsi="Calibri"/>
                <w:color w:val="auto"/>
                <w:sz w:val="18"/>
                <w:szCs w:val="18"/>
                <w:highlight w:val="none"/>
              </w:rPr>
            </w:pPr>
          </w:p>
        </w:tc>
        <w:tc>
          <w:tcPr>
            <w:tcW w:w="441" w:type="pct"/>
            <w:vAlign w:val="center"/>
          </w:tcPr>
          <w:p w14:paraId="7A0FBA5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70%</w:t>
            </w:r>
          </w:p>
        </w:tc>
        <w:tc>
          <w:tcPr>
            <w:tcW w:w="567" w:type="pct"/>
            <w:vAlign w:val="center"/>
          </w:tcPr>
          <w:p w14:paraId="486DCC6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4.8739</w:t>
            </w:r>
          </w:p>
        </w:tc>
        <w:tc>
          <w:tcPr>
            <w:tcW w:w="567" w:type="pct"/>
            <w:vAlign w:val="center"/>
          </w:tcPr>
          <w:p w14:paraId="3746F82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4.2037</w:t>
            </w:r>
          </w:p>
        </w:tc>
        <w:tc>
          <w:tcPr>
            <w:tcW w:w="567" w:type="pct"/>
            <w:vAlign w:val="center"/>
          </w:tcPr>
          <w:p w14:paraId="38AB22F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0.9123</w:t>
            </w:r>
          </w:p>
        </w:tc>
        <w:tc>
          <w:tcPr>
            <w:tcW w:w="652" w:type="pct"/>
            <w:vAlign w:val="center"/>
          </w:tcPr>
          <w:p w14:paraId="186886E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0.6717</w:t>
            </w:r>
          </w:p>
        </w:tc>
        <w:tc>
          <w:tcPr>
            <w:tcW w:w="627" w:type="pct"/>
            <w:vAlign w:val="center"/>
          </w:tcPr>
          <w:p w14:paraId="7D0B9EA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16.2729</w:t>
            </w:r>
          </w:p>
        </w:tc>
        <w:tc>
          <w:tcPr>
            <w:tcW w:w="627" w:type="pct"/>
            <w:vAlign w:val="center"/>
          </w:tcPr>
          <w:p w14:paraId="41D29E5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12.2559</w:t>
            </w:r>
          </w:p>
        </w:tc>
        <w:tc>
          <w:tcPr>
            <w:tcW w:w="598" w:type="pct"/>
            <w:vAlign w:val="center"/>
          </w:tcPr>
          <w:p w14:paraId="4810A36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0.9808</w:t>
            </w:r>
          </w:p>
        </w:tc>
      </w:tr>
    </w:tbl>
    <w:p w14:paraId="2329C3AD">
      <w:pPr>
        <w:adjustRightInd w:val="0"/>
        <w:snapToGrid w:val="0"/>
        <w:ind w:firstLine="420" w:firstLineChars="200"/>
        <w:rPr>
          <w:color w:val="auto"/>
          <w:szCs w:val="21"/>
          <w:highlight w:val="none"/>
        </w:rPr>
      </w:pPr>
      <w:r>
        <w:rPr>
          <w:color w:val="auto"/>
          <w:szCs w:val="21"/>
          <w:highlight w:val="none"/>
        </w:rPr>
        <w:t>从表9可以看出，在不同训练集比例条件下，L1和L2电池在</w:t>
      </w:r>
      <w:r>
        <w:rPr>
          <w:i/>
          <w:color w:val="auto"/>
          <w:szCs w:val="21"/>
          <w:highlight w:val="none"/>
        </w:rPr>
        <w:t>HI</w:t>
      </w:r>
      <w:r>
        <w:rPr>
          <w:color w:val="auto"/>
          <w:szCs w:val="21"/>
          <w:highlight w:val="none"/>
        </w:rPr>
        <w:t>与</w:t>
      </w:r>
      <w:r>
        <w:rPr>
          <w:i/>
          <w:iCs/>
          <w:color w:val="auto"/>
          <w:szCs w:val="21"/>
          <w:highlight w:val="none"/>
        </w:rPr>
        <w:t>RUL</w:t>
      </w:r>
      <w:r>
        <w:rPr>
          <w:color w:val="auto"/>
          <w:szCs w:val="21"/>
          <w:highlight w:val="none"/>
        </w:rPr>
        <w:t>预测中的误差水平均保持较低且稳定的水平，并且随训练数据的增加，误差呈现进一步减小的趋势。这表明所构建模型能够在不同老化阶段有效挖掘</w:t>
      </w:r>
      <w:r>
        <w:rPr>
          <w:i/>
          <w:color w:val="auto"/>
          <w:szCs w:val="21"/>
          <w:highlight w:val="none"/>
        </w:rPr>
        <w:t>HI</w:t>
      </w:r>
      <w:r>
        <w:rPr>
          <w:color w:val="auto"/>
          <w:szCs w:val="21"/>
          <w:highlight w:val="none"/>
        </w:rPr>
        <w:t>的老化信息，实现较高精度的预测。并且得益于COA-BP-Wiener所构成的双阶段预测框架，模型在面对复杂退化过程和局部噪声干扰时，能够通过Wiener过程引入的随机漂移与随机扩散约束，从而使最终</w:t>
      </w:r>
      <w:r>
        <w:rPr>
          <w:i/>
          <w:iCs/>
          <w:color w:val="auto"/>
          <w:szCs w:val="21"/>
          <w:highlight w:val="none"/>
        </w:rPr>
        <w:t>RUL</w:t>
      </w:r>
      <w:r>
        <w:rPr>
          <w:color w:val="auto"/>
          <w:szCs w:val="21"/>
          <w:highlight w:val="none"/>
        </w:rPr>
        <w:t>预测结果在不同老化程度与数据划分策略下保持较好的稳定性与一致性。</w:t>
      </w:r>
    </w:p>
    <w:p w14:paraId="14447980">
      <w:pPr>
        <w:adjustRightInd w:val="0"/>
        <w:snapToGrid w:val="0"/>
        <w:rPr>
          <w:rFonts w:hint="eastAsia" w:ascii="黑体" w:hAnsi="黑体" w:eastAsia="黑体"/>
          <w:bCs/>
          <w:color w:val="auto"/>
          <w:szCs w:val="21"/>
          <w:highlight w:val="none"/>
        </w:rPr>
      </w:pPr>
      <w:r>
        <w:rPr>
          <w:rFonts w:ascii="黑体" w:hAnsi="黑体" w:eastAsia="黑体"/>
          <w:bCs/>
          <w:color w:val="auto"/>
          <w:szCs w:val="21"/>
          <w:highlight w:val="none"/>
        </w:rPr>
        <w:t>3.6 跨电池体系的泛化性验证</w:t>
      </w:r>
    </w:p>
    <w:p w14:paraId="21F5D913">
      <w:pPr>
        <w:adjustRightInd w:val="0"/>
        <w:snapToGrid w:val="0"/>
        <w:ind w:firstLine="420" w:firstLineChars="200"/>
        <w:rPr>
          <w:color w:val="auto"/>
          <w:szCs w:val="21"/>
          <w:highlight w:val="none"/>
        </w:rPr>
      </w:pPr>
      <w:r>
        <w:rPr>
          <w:color w:val="auto"/>
          <w:szCs w:val="21"/>
          <w:highlight w:val="none"/>
        </w:rPr>
        <w:t>为了进一步验证本研究提出的方法在不同电池体系、不同温度及不同充放电倍率下的泛化性能与鲁棒性，本研究引入了同济大学的锂离子电池老化数据集进行补充验证。该数据集选用了三元锂离子电池作为实验对象，在45°C的恒温环境下进行循环实验。值得注意的是，与前文L1、L2电池采用的5C高倍率充电工况相比，该数据集采用了0.5C的低倍率充电和1C的低倍率放电。这种倍率差异可为评估所选</w:t>
      </w:r>
      <w:r>
        <w:rPr>
          <w:i/>
          <w:color w:val="auto"/>
          <w:szCs w:val="21"/>
          <w:highlight w:val="none"/>
        </w:rPr>
        <w:t>HI</w:t>
      </w:r>
      <w:r>
        <w:rPr>
          <w:color w:val="auto"/>
          <w:szCs w:val="21"/>
          <w:highlight w:val="none"/>
        </w:rPr>
        <w:t>及预测模型在不同充放电条件下的适用性提供一定参考。本研究选取了编号为CY45-05_1-#1（简称NCA1）和CY45-05_1-#2（简称NCA2）的两块电池作为实验对象，用于评估模型在不同场景下的预测表现。同样选取前50%的数据作为训练集，后50%的数据作为测试集。</w:t>
      </w:r>
    </w:p>
    <w:p w14:paraId="6F9582DE">
      <w:pPr>
        <w:adjustRightInd w:val="0"/>
        <w:snapToGrid w:val="0"/>
        <w:ind w:firstLine="420" w:firstLineChars="200"/>
        <w:rPr>
          <w:color w:val="auto"/>
          <w:szCs w:val="21"/>
          <w:highlight w:val="none"/>
        </w:rPr>
      </w:pPr>
      <w:r>
        <w:rPr>
          <w:color w:val="auto"/>
          <w:szCs w:val="21"/>
          <w:highlight w:val="none"/>
        </w:rPr>
        <w:t>图9所示为NCA1和NCA2电池使用不同算法的</w:t>
      </w:r>
      <w:r>
        <w:rPr>
          <w:i/>
          <w:color w:val="auto"/>
          <w:szCs w:val="21"/>
          <w:highlight w:val="none"/>
        </w:rPr>
        <w:t>HI</w:t>
      </w:r>
      <w:r>
        <w:rPr>
          <w:color w:val="auto"/>
          <w:szCs w:val="21"/>
          <w:highlight w:val="none"/>
        </w:rPr>
        <w:t>预测结果。从整体趋势来看，单一的BP神经网络和LSTM模型在测试阶段均表现出不同程度地偏离真实值，其曲线较为平滑，在局部波动处的跟踪精度不足。相比之下，引入优化算法的混合模型表现更佳。DBO-BP模型虽然纠正了大部分偏差，但在精度上仍落后于本研究所提出的方法。</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4"/>
        <w:gridCol w:w="4814"/>
      </w:tblGrid>
      <w:tr w14:paraId="4961D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55CA7E1A">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88" o:spt="75" type="#_x0000_t75" style="height:181.35pt;width:222.95pt;" o:ole="t" filled="f" o:preferrelative="t" stroked="f" coordsize="21600,21600">
                  <v:path/>
                  <v:fill on="f" focussize="0,0"/>
                  <v:stroke on="f" joinstyle="miter"/>
                  <v:imagedata r:id="rId341" cropleft="427f" croptop="1700f" cropright="5984f" o:title=""/>
                  <o:lock v:ext="edit" aspectratio="t"/>
                  <w10:wrap type="none"/>
                  <w10:anchorlock/>
                </v:shape>
                <o:OLEObject Type="Embed" ProgID="Visio.Drawing.15" ShapeID="_x0000_i1188" DrawAspect="Content" ObjectID="_1468075888" r:id="rId340">
                  <o:LockedField>false</o:LockedField>
                </o:OLEObject>
              </w:object>
            </w:r>
          </w:p>
        </w:tc>
        <w:tc>
          <w:tcPr>
            <w:tcW w:w="4814" w:type="dxa"/>
          </w:tcPr>
          <w:p w14:paraId="5454843C">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89" o:spt="75" type="#_x0000_t75" style="height:181.35pt;width:222.95pt;" o:ole="t" filled="f" o:preferrelative="t" stroked="f" coordsize="21600,21600">
                  <v:path/>
                  <v:fill on="f" focussize="0,0"/>
                  <v:stroke on="f" joinstyle="miter"/>
                  <v:imagedata r:id="rId343" cropleft="427f" croptop="1322f" cropright="5556f" o:title=""/>
                  <o:lock v:ext="edit" aspectratio="t"/>
                  <w10:wrap type="none"/>
                  <w10:anchorlock/>
                </v:shape>
                <o:OLEObject Type="Embed" ProgID="Visio.Drawing.15" ShapeID="_x0000_i1189" DrawAspect="Content" ObjectID="_1468075889" r:id="rId342">
                  <o:LockedField>false</o:LockedField>
                </o:OLEObject>
              </w:object>
            </w:r>
          </w:p>
        </w:tc>
      </w:tr>
      <w:tr w14:paraId="43C9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49354DB9">
            <w:pPr>
              <w:adjustRightInd w:val="0"/>
              <w:snapToGrid w:val="0"/>
              <w:jc w:val="center"/>
              <w:rPr>
                <w:rFonts w:ascii="Calibri" w:hAnsi="Calibri"/>
                <w:color w:val="auto"/>
                <w:sz w:val="15"/>
                <w:szCs w:val="15"/>
                <w:highlight w:val="none"/>
              </w:rPr>
            </w:pPr>
            <w:r>
              <w:rPr>
                <w:rFonts w:ascii="Calibri" w:hAnsi="Calibri"/>
                <w:color w:val="auto"/>
                <w:sz w:val="15"/>
                <w:szCs w:val="15"/>
                <w:highlight w:val="none"/>
              </w:rPr>
              <w:t>(a) NCA1电池</w:t>
            </w:r>
          </w:p>
        </w:tc>
        <w:tc>
          <w:tcPr>
            <w:tcW w:w="4814" w:type="dxa"/>
          </w:tcPr>
          <w:p w14:paraId="1CF37B31">
            <w:pPr>
              <w:adjustRightInd w:val="0"/>
              <w:snapToGrid w:val="0"/>
              <w:jc w:val="center"/>
              <w:rPr>
                <w:rFonts w:ascii="Calibri" w:hAnsi="Calibri"/>
                <w:color w:val="auto"/>
                <w:szCs w:val="21"/>
                <w:highlight w:val="none"/>
              </w:rPr>
            </w:pPr>
            <w:r>
              <w:rPr>
                <w:rFonts w:ascii="Calibri" w:hAnsi="Calibri"/>
                <w:color w:val="auto"/>
                <w:sz w:val="15"/>
                <w:szCs w:val="18"/>
                <w:highlight w:val="none"/>
              </w:rPr>
              <w:t>(b) NCA2电池</w:t>
            </w:r>
          </w:p>
        </w:tc>
      </w:tr>
    </w:tbl>
    <w:p w14:paraId="2C834CE6">
      <w:pPr>
        <w:adjustRightInd w:val="0"/>
        <w:snapToGrid w:val="0"/>
        <w:jc w:val="center"/>
        <w:rPr>
          <w:color w:val="auto"/>
          <w:sz w:val="18"/>
          <w:szCs w:val="18"/>
          <w:highlight w:val="none"/>
        </w:rPr>
      </w:pPr>
      <w:r>
        <w:rPr>
          <w:color w:val="auto"/>
          <w:sz w:val="18"/>
          <w:szCs w:val="18"/>
          <w:highlight w:val="none"/>
        </w:rPr>
        <w:t>图9  不同算法在电池NCA1和NCA2上的</w:t>
      </w:r>
      <w:r>
        <w:rPr>
          <w:i/>
          <w:color w:val="auto"/>
          <w:sz w:val="18"/>
          <w:szCs w:val="18"/>
          <w:highlight w:val="none"/>
        </w:rPr>
        <w:t>HI</w:t>
      </w:r>
      <w:r>
        <w:rPr>
          <w:color w:val="auto"/>
          <w:sz w:val="18"/>
          <w:szCs w:val="18"/>
          <w:highlight w:val="none"/>
        </w:rPr>
        <w:t>预测结果对比</w:t>
      </w:r>
    </w:p>
    <w:p w14:paraId="4429DA36">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9  Comparison of </w:t>
      </w:r>
      <w:r>
        <w:rPr>
          <w:i/>
          <w:color w:val="auto"/>
          <w:sz w:val="18"/>
          <w:szCs w:val="18"/>
          <w:highlight w:val="none"/>
        </w:rPr>
        <w:t>HI</w:t>
      </w:r>
      <w:r>
        <w:rPr>
          <w:color w:val="auto"/>
          <w:sz w:val="18"/>
          <w:szCs w:val="18"/>
          <w:highlight w:val="none"/>
        </w:rPr>
        <w:t xml:space="preserve"> prediction results for batteries NCA1 and NCA2 using different algorithms</w:t>
      </w:r>
    </w:p>
    <w:p w14:paraId="14A52E79">
      <w:pPr>
        <w:adjustRightInd w:val="0"/>
        <w:snapToGrid w:val="0"/>
        <w:ind w:firstLine="420" w:firstLineChars="200"/>
        <w:rPr>
          <w:color w:val="auto"/>
          <w:szCs w:val="21"/>
          <w:highlight w:val="none"/>
        </w:rPr>
      </w:pPr>
      <w:r>
        <w:rPr>
          <w:color w:val="auto"/>
          <w:szCs w:val="21"/>
          <w:highlight w:val="none"/>
        </w:rPr>
        <w:t>表10给出了不同算法对NCA1和NCA2电池</w:t>
      </w:r>
      <w:r>
        <w:rPr>
          <w:i/>
          <w:color w:val="auto"/>
          <w:szCs w:val="21"/>
          <w:highlight w:val="none"/>
        </w:rPr>
        <w:t>HI</w:t>
      </w:r>
      <w:r>
        <w:rPr>
          <w:color w:val="auto"/>
          <w:szCs w:val="21"/>
          <w:highlight w:val="none"/>
        </w:rPr>
        <w:t>预测的定量的性能对比。</w:t>
      </w:r>
    </w:p>
    <w:p w14:paraId="1FF49E2B">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bookmarkStart w:id="7" w:name="OLE_LINK17"/>
      <w:r>
        <w:rPr>
          <w:rFonts w:eastAsia="黑体"/>
          <w:color w:val="auto"/>
          <w:sz w:val="18"/>
          <w:szCs w:val="18"/>
          <w:highlight w:val="none"/>
        </w:rPr>
        <w:t>10</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不同算法对NCA</w:t>
      </w:r>
      <w:r>
        <w:rPr>
          <w:rFonts w:eastAsia="黑体"/>
          <w:color w:val="auto"/>
          <w:sz w:val="18"/>
          <w:szCs w:val="18"/>
          <w:highlight w:val="none"/>
        </w:rPr>
        <w:t>1</w:t>
      </w:r>
      <w:r>
        <w:rPr>
          <w:rFonts w:ascii="黑体" w:hAnsi="黑体" w:eastAsia="黑体"/>
          <w:color w:val="auto"/>
          <w:sz w:val="18"/>
          <w:szCs w:val="18"/>
          <w:highlight w:val="none"/>
        </w:rPr>
        <w:t>和NCA</w:t>
      </w:r>
      <w:r>
        <w:rPr>
          <w:rFonts w:eastAsia="黑体"/>
          <w:color w:val="auto"/>
          <w:sz w:val="18"/>
          <w:szCs w:val="18"/>
          <w:highlight w:val="none"/>
        </w:rPr>
        <w:t>2</w:t>
      </w:r>
      <w:r>
        <w:rPr>
          <w:rFonts w:ascii="黑体" w:hAnsi="黑体" w:eastAsia="黑体"/>
          <w:color w:val="auto"/>
          <w:sz w:val="18"/>
          <w:szCs w:val="18"/>
          <w:highlight w:val="none"/>
        </w:rPr>
        <w:t>电池</w:t>
      </w:r>
      <w:r>
        <w:rPr>
          <w:rFonts w:ascii="黑体" w:hAnsi="黑体" w:eastAsia="黑体"/>
          <w:i/>
          <w:iCs/>
          <w:color w:val="auto"/>
          <w:sz w:val="18"/>
          <w:szCs w:val="18"/>
          <w:highlight w:val="none"/>
        </w:rPr>
        <w:t>HI</w:t>
      </w:r>
      <w:r>
        <w:rPr>
          <w:rFonts w:ascii="黑体" w:hAnsi="黑体" w:eastAsia="黑体"/>
          <w:color w:val="auto"/>
          <w:sz w:val="18"/>
          <w:szCs w:val="18"/>
          <w:highlight w:val="none"/>
        </w:rPr>
        <w:t>预测性能的对比</w:t>
      </w:r>
      <w:bookmarkEnd w:id="7"/>
    </w:p>
    <w:p w14:paraId="066492AB">
      <w:pPr>
        <w:adjustRightInd w:val="0"/>
        <w:snapToGrid w:val="0"/>
        <w:jc w:val="center"/>
        <w:rPr>
          <w:color w:val="auto"/>
          <w:sz w:val="18"/>
          <w:szCs w:val="18"/>
          <w:highlight w:val="none"/>
        </w:rPr>
      </w:pPr>
      <w:r>
        <w:rPr>
          <w:color w:val="auto"/>
          <w:sz w:val="18"/>
          <w:szCs w:val="18"/>
          <w:highlight w:val="none"/>
        </w:rPr>
        <w:t>Table 10</w:t>
      </w: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Comparison</w:t>
      </w:r>
      <w:r>
        <w:rPr>
          <w:color w:val="auto"/>
          <w:sz w:val="18"/>
          <w:szCs w:val="18"/>
          <w:highlight w:val="none"/>
        </w:rPr>
        <w:t xml:space="preserve"> of </w:t>
      </w:r>
      <w:r>
        <w:rPr>
          <w:i/>
          <w:iCs/>
          <w:color w:val="auto"/>
          <w:sz w:val="18"/>
          <w:szCs w:val="18"/>
          <w:highlight w:val="none"/>
        </w:rPr>
        <w:t>HI</w:t>
      </w:r>
      <w:r>
        <w:rPr>
          <w:color w:val="auto"/>
          <w:sz w:val="18"/>
          <w:szCs w:val="18"/>
          <w:highlight w:val="none"/>
        </w:rPr>
        <w:t xml:space="preserve"> prediction </w:t>
      </w:r>
      <w:r>
        <w:rPr>
          <w:rFonts w:hint="eastAsia"/>
          <w:color w:val="auto"/>
          <w:sz w:val="18"/>
          <w:szCs w:val="18"/>
          <w:highlight w:val="none"/>
        </w:rPr>
        <w:t xml:space="preserve">performance </w:t>
      </w:r>
      <w:r>
        <w:rPr>
          <w:color w:val="auto"/>
          <w:sz w:val="18"/>
          <w:szCs w:val="18"/>
          <w:highlight w:val="none"/>
        </w:rPr>
        <w:t>for batteries NCA1 and NCA2 using different algorithms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9"/>
        <w:gridCol w:w="1823"/>
        <w:gridCol w:w="1666"/>
        <w:gridCol w:w="1666"/>
        <w:gridCol w:w="1792"/>
        <w:gridCol w:w="1478"/>
      </w:tblGrid>
      <w:tr w14:paraId="11CB86B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tcBorders>
              <w:top w:val="single" w:color="auto" w:sz="12" w:space="0"/>
              <w:bottom w:val="single" w:color="auto" w:sz="4" w:space="0"/>
            </w:tcBorders>
            <w:vAlign w:val="center"/>
          </w:tcPr>
          <w:p w14:paraId="5B5B62B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925" w:type="pct"/>
            <w:tcBorders>
              <w:top w:val="single" w:color="auto" w:sz="12" w:space="0"/>
              <w:bottom w:val="single" w:color="auto" w:sz="4" w:space="0"/>
            </w:tcBorders>
            <w:vAlign w:val="center"/>
          </w:tcPr>
          <w:p w14:paraId="5BE5FF7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算法</w:t>
            </w:r>
          </w:p>
        </w:tc>
        <w:tc>
          <w:tcPr>
            <w:tcW w:w="845" w:type="pct"/>
            <w:tcBorders>
              <w:top w:val="single" w:color="auto" w:sz="12" w:space="0"/>
              <w:bottom w:val="single" w:color="auto" w:sz="4" w:space="0"/>
            </w:tcBorders>
            <w:vAlign w:val="center"/>
          </w:tcPr>
          <w:p w14:paraId="21861F92">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845" w:type="pct"/>
            <w:tcBorders>
              <w:top w:val="single" w:color="auto" w:sz="12" w:space="0"/>
              <w:bottom w:val="single" w:color="auto" w:sz="4" w:space="0"/>
            </w:tcBorders>
            <w:vAlign w:val="center"/>
          </w:tcPr>
          <w:p w14:paraId="3175E561">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909" w:type="pct"/>
            <w:tcBorders>
              <w:top w:val="single" w:color="auto" w:sz="12" w:space="0"/>
              <w:bottom w:val="single" w:color="auto" w:sz="4" w:space="0"/>
            </w:tcBorders>
            <w:vAlign w:val="center"/>
          </w:tcPr>
          <w:p w14:paraId="12ED7CB4">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MAPE</w:t>
            </w:r>
          </w:p>
        </w:tc>
        <w:tc>
          <w:tcPr>
            <w:tcW w:w="750" w:type="pct"/>
            <w:tcBorders>
              <w:top w:val="single" w:color="auto" w:sz="12" w:space="0"/>
              <w:bottom w:val="single" w:color="auto" w:sz="4" w:space="0"/>
            </w:tcBorders>
            <w:vAlign w:val="center"/>
          </w:tcPr>
          <w:p w14:paraId="3BD5BD4A">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28064E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restart"/>
            <w:tcBorders>
              <w:top w:val="single" w:color="auto" w:sz="4" w:space="0"/>
              <w:bottom w:val="nil"/>
            </w:tcBorders>
            <w:vAlign w:val="center"/>
          </w:tcPr>
          <w:p w14:paraId="47FB00B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NCA1</w:t>
            </w:r>
          </w:p>
        </w:tc>
        <w:tc>
          <w:tcPr>
            <w:tcW w:w="925" w:type="pct"/>
            <w:tcBorders>
              <w:top w:val="single" w:color="auto" w:sz="4" w:space="0"/>
              <w:bottom w:val="nil"/>
            </w:tcBorders>
            <w:vAlign w:val="center"/>
          </w:tcPr>
          <w:p w14:paraId="0357C3E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t>
            </w:r>
          </w:p>
        </w:tc>
        <w:tc>
          <w:tcPr>
            <w:tcW w:w="845" w:type="pct"/>
            <w:tcBorders>
              <w:top w:val="single" w:color="auto" w:sz="4" w:space="0"/>
              <w:bottom w:val="nil"/>
            </w:tcBorders>
            <w:vAlign w:val="center"/>
          </w:tcPr>
          <w:p w14:paraId="590330B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34.2797</w:t>
            </w:r>
          </w:p>
        </w:tc>
        <w:tc>
          <w:tcPr>
            <w:tcW w:w="845" w:type="pct"/>
            <w:tcBorders>
              <w:top w:val="single" w:color="auto" w:sz="4" w:space="0"/>
              <w:bottom w:val="nil"/>
            </w:tcBorders>
            <w:vAlign w:val="center"/>
          </w:tcPr>
          <w:p w14:paraId="6A708E0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29.3941</w:t>
            </w:r>
          </w:p>
        </w:tc>
        <w:tc>
          <w:tcPr>
            <w:tcW w:w="909" w:type="pct"/>
            <w:tcBorders>
              <w:top w:val="single" w:color="auto" w:sz="4" w:space="0"/>
              <w:bottom w:val="nil"/>
            </w:tcBorders>
            <w:vAlign w:val="center"/>
          </w:tcPr>
          <w:p w14:paraId="7B04BF0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0.6569%</w:t>
            </w:r>
          </w:p>
        </w:tc>
        <w:tc>
          <w:tcPr>
            <w:tcW w:w="750" w:type="pct"/>
            <w:tcBorders>
              <w:top w:val="single" w:color="auto" w:sz="4" w:space="0"/>
              <w:bottom w:val="nil"/>
            </w:tcBorders>
            <w:vAlign w:val="center"/>
          </w:tcPr>
          <w:p w14:paraId="0021B41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0.9843</w:t>
            </w:r>
          </w:p>
        </w:tc>
      </w:tr>
      <w:tr w14:paraId="1676B6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nil"/>
            </w:tcBorders>
            <w:vAlign w:val="center"/>
          </w:tcPr>
          <w:p w14:paraId="14F26900">
            <w:pPr>
              <w:adjustRightInd w:val="0"/>
              <w:snapToGrid w:val="0"/>
              <w:jc w:val="center"/>
              <w:rPr>
                <w:rFonts w:ascii="Calibri" w:hAnsi="Calibri"/>
                <w:color w:val="auto"/>
                <w:sz w:val="18"/>
                <w:szCs w:val="18"/>
                <w:highlight w:val="none"/>
              </w:rPr>
            </w:pPr>
          </w:p>
        </w:tc>
        <w:tc>
          <w:tcPr>
            <w:tcW w:w="925" w:type="pct"/>
            <w:tcBorders>
              <w:top w:val="nil"/>
              <w:bottom w:val="nil"/>
            </w:tcBorders>
            <w:vAlign w:val="center"/>
          </w:tcPr>
          <w:p w14:paraId="32B2D38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t>
            </w:r>
          </w:p>
        </w:tc>
        <w:tc>
          <w:tcPr>
            <w:tcW w:w="845" w:type="pct"/>
            <w:tcBorders>
              <w:top w:val="nil"/>
              <w:bottom w:val="nil"/>
            </w:tcBorders>
            <w:vAlign w:val="center"/>
          </w:tcPr>
          <w:p w14:paraId="1169DA8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38.0578</w:t>
            </w:r>
          </w:p>
        </w:tc>
        <w:tc>
          <w:tcPr>
            <w:tcW w:w="845" w:type="pct"/>
            <w:tcBorders>
              <w:top w:val="nil"/>
              <w:bottom w:val="nil"/>
            </w:tcBorders>
            <w:vAlign w:val="center"/>
          </w:tcPr>
          <w:p w14:paraId="24F149E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31.9043</w:t>
            </w:r>
          </w:p>
        </w:tc>
        <w:tc>
          <w:tcPr>
            <w:tcW w:w="909" w:type="pct"/>
            <w:tcBorders>
              <w:top w:val="nil"/>
              <w:bottom w:val="nil"/>
            </w:tcBorders>
            <w:vAlign w:val="center"/>
          </w:tcPr>
          <w:p w14:paraId="57AC189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0.7114%</w:t>
            </w:r>
          </w:p>
        </w:tc>
        <w:tc>
          <w:tcPr>
            <w:tcW w:w="750" w:type="pct"/>
            <w:tcBorders>
              <w:top w:val="nil"/>
              <w:bottom w:val="nil"/>
            </w:tcBorders>
            <w:vAlign w:val="center"/>
          </w:tcPr>
          <w:p w14:paraId="003899F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0.9806</w:t>
            </w:r>
          </w:p>
        </w:tc>
      </w:tr>
      <w:tr w14:paraId="789F08D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nil"/>
            </w:tcBorders>
            <w:vAlign w:val="center"/>
          </w:tcPr>
          <w:p w14:paraId="6335C1F7">
            <w:pPr>
              <w:adjustRightInd w:val="0"/>
              <w:snapToGrid w:val="0"/>
              <w:jc w:val="center"/>
              <w:rPr>
                <w:rFonts w:ascii="Calibri" w:hAnsi="Calibri"/>
                <w:color w:val="auto"/>
                <w:sz w:val="18"/>
                <w:szCs w:val="18"/>
                <w:highlight w:val="none"/>
              </w:rPr>
            </w:pPr>
          </w:p>
        </w:tc>
        <w:tc>
          <w:tcPr>
            <w:tcW w:w="925" w:type="pct"/>
            <w:tcBorders>
              <w:top w:val="nil"/>
              <w:bottom w:val="nil"/>
            </w:tcBorders>
            <w:vAlign w:val="center"/>
          </w:tcPr>
          <w:p w14:paraId="205F0ED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t>
            </w:r>
          </w:p>
        </w:tc>
        <w:tc>
          <w:tcPr>
            <w:tcW w:w="845" w:type="pct"/>
            <w:tcBorders>
              <w:top w:val="nil"/>
              <w:bottom w:val="nil"/>
            </w:tcBorders>
            <w:vAlign w:val="center"/>
          </w:tcPr>
          <w:p w14:paraId="79C9C9B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51.2116</w:t>
            </w:r>
          </w:p>
        </w:tc>
        <w:tc>
          <w:tcPr>
            <w:tcW w:w="845" w:type="pct"/>
            <w:tcBorders>
              <w:top w:val="nil"/>
              <w:bottom w:val="nil"/>
            </w:tcBorders>
            <w:vAlign w:val="center"/>
          </w:tcPr>
          <w:p w14:paraId="4D4C495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35.4139</w:t>
            </w:r>
          </w:p>
        </w:tc>
        <w:tc>
          <w:tcPr>
            <w:tcW w:w="909" w:type="pct"/>
            <w:tcBorders>
              <w:top w:val="nil"/>
              <w:bottom w:val="nil"/>
            </w:tcBorders>
            <w:vAlign w:val="center"/>
          </w:tcPr>
          <w:p w14:paraId="02A79DE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0.8408%</w:t>
            </w:r>
          </w:p>
        </w:tc>
        <w:tc>
          <w:tcPr>
            <w:tcW w:w="750" w:type="pct"/>
            <w:tcBorders>
              <w:top w:val="nil"/>
              <w:bottom w:val="nil"/>
            </w:tcBorders>
            <w:vAlign w:val="center"/>
          </w:tcPr>
          <w:p w14:paraId="736158F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0.9649</w:t>
            </w:r>
          </w:p>
        </w:tc>
      </w:tr>
      <w:tr w14:paraId="5E0A7A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single" w:color="auto" w:sz="4" w:space="0"/>
            </w:tcBorders>
            <w:vAlign w:val="center"/>
          </w:tcPr>
          <w:p w14:paraId="08225242">
            <w:pPr>
              <w:adjustRightInd w:val="0"/>
              <w:snapToGrid w:val="0"/>
              <w:jc w:val="center"/>
              <w:rPr>
                <w:rFonts w:ascii="Calibri" w:hAnsi="Calibri"/>
                <w:color w:val="auto"/>
                <w:sz w:val="18"/>
                <w:szCs w:val="18"/>
                <w:highlight w:val="none"/>
              </w:rPr>
            </w:pPr>
          </w:p>
        </w:tc>
        <w:tc>
          <w:tcPr>
            <w:tcW w:w="925" w:type="pct"/>
            <w:tcBorders>
              <w:top w:val="nil"/>
              <w:bottom w:val="single" w:color="auto" w:sz="4" w:space="0"/>
            </w:tcBorders>
            <w:vAlign w:val="center"/>
          </w:tcPr>
          <w:p w14:paraId="27BA6C1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45" w:type="pct"/>
            <w:tcBorders>
              <w:top w:val="nil"/>
              <w:bottom w:val="single" w:color="auto" w:sz="4" w:space="0"/>
            </w:tcBorders>
            <w:vAlign w:val="center"/>
          </w:tcPr>
          <w:p w14:paraId="35D19E7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65.6015</w:t>
            </w:r>
          </w:p>
        </w:tc>
        <w:tc>
          <w:tcPr>
            <w:tcW w:w="845" w:type="pct"/>
            <w:tcBorders>
              <w:top w:val="nil"/>
              <w:bottom w:val="single" w:color="auto" w:sz="4" w:space="0"/>
            </w:tcBorders>
            <w:vAlign w:val="center"/>
          </w:tcPr>
          <w:p w14:paraId="45B8716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60.4728</w:t>
            </w:r>
          </w:p>
        </w:tc>
        <w:tc>
          <w:tcPr>
            <w:tcW w:w="909" w:type="pct"/>
            <w:tcBorders>
              <w:top w:val="nil"/>
              <w:bottom w:val="single" w:color="auto" w:sz="4" w:space="0"/>
            </w:tcBorders>
            <w:vAlign w:val="center"/>
          </w:tcPr>
          <w:p w14:paraId="4FE43FA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1.3842%</w:t>
            </w:r>
          </w:p>
        </w:tc>
        <w:tc>
          <w:tcPr>
            <w:tcW w:w="750" w:type="pct"/>
            <w:tcBorders>
              <w:top w:val="nil"/>
              <w:bottom w:val="single" w:color="auto" w:sz="4" w:space="0"/>
            </w:tcBorders>
            <w:vAlign w:val="center"/>
          </w:tcPr>
          <w:p w14:paraId="026B00C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0.9424</w:t>
            </w:r>
          </w:p>
        </w:tc>
      </w:tr>
      <w:tr w14:paraId="69D5ABD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restart"/>
            <w:tcBorders>
              <w:top w:val="single" w:color="auto" w:sz="4" w:space="0"/>
              <w:bottom w:val="nil"/>
            </w:tcBorders>
            <w:vAlign w:val="center"/>
          </w:tcPr>
          <w:p w14:paraId="52FB628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NCA2</w:t>
            </w:r>
          </w:p>
        </w:tc>
        <w:tc>
          <w:tcPr>
            <w:tcW w:w="925" w:type="pct"/>
            <w:tcBorders>
              <w:top w:val="single" w:color="auto" w:sz="4" w:space="0"/>
              <w:bottom w:val="nil"/>
            </w:tcBorders>
            <w:vAlign w:val="center"/>
          </w:tcPr>
          <w:p w14:paraId="10FEFA0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t>
            </w:r>
          </w:p>
        </w:tc>
        <w:tc>
          <w:tcPr>
            <w:tcW w:w="845" w:type="pct"/>
            <w:tcBorders>
              <w:top w:val="single" w:color="auto" w:sz="4" w:space="0"/>
              <w:bottom w:val="nil"/>
            </w:tcBorders>
            <w:vAlign w:val="center"/>
          </w:tcPr>
          <w:p w14:paraId="20C9DDF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31.0661</w:t>
            </w:r>
          </w:p>
        </w:tc>
        <w:tc>
          <w:tcPr>
            <w:tcW w:w="845" w:type="pct"/>
            <w:tcBorders>
              <w:top w:val="single" w:color="auto" w:sz="4" w:space="0"/>
              <w:bottom w:val="nil"/>
            </w:tcBorders>
            <w:vAlign w:val="center"/>
          </w:tcPr>
          <w:p w14:paraId="7B55324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24.5858</w:t>
            </w:r>
          </w:p>
        </w:tc>
        <w:tc>
          <w:tcPr>
            <w:tcW w:w="909" w:type="pct"/>
            <w:tcBorders>
              <w:top w:val="single" w:color="auto" w:sz="4" w:space="0"/>
              <w:bottom w:val="nil"/>
            </w:tcBorders>
            <w:vAlign w:val="center"/>
          </w:tcPr>
          <w:p w14:paraId="0E75EC8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0.5602%</w:t>
            </w:r>
          </w:p>
        </w:tc>
        <w:tc>
          <w:tcPr>
            <w:tcW w:w="750" w:type="pct"/>
            <w:tcBorders>
              <w:top w:val="single" w:color="auto" w:sz="4" w:space="0"/>
              <w:bottom w:val="nil"/>
            </w:tcBorders>
            <w:vAlign w:val="center"/>
          </w:tcPr>
          <w:p w14:paraId="5D00269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0.9837</w:t>
            </w:r>
          </w:p>
        </w:tc>
      </w:tr>
      <w:tr w14:paraId="06F60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nil"/>
            </w:tcBorders>
            <w:vAlign w:val="center"/>
          </w:tcPr>
          <w:p w14:paraId="452D9B3D">
            <w:pPr>
              <w:adjustRightInd w:val="0"/>
              <w:snapToGrid w:val="0"/>
              <w:jc w:val="center"/>
              <w:rPr>
                <w:rFonts w:ascii="Calibri" w:hAnsi="Calibri"/>
                <w:color w:val="auto"/>
                <w:sz w:val="18"/>
                <w:szCs w:val="18"/>
                <w:highlight w:val="none"/>
              </w:rPr>
            </w:pPr>
          </w:p>
        </w:tc>
        <w:tc>
          <w:tcPr>
            <w:tcW w:w="925" w:type="pct"/>
            <w:tcBorders>
              <w:top w:val="nil"/>
              <w:bottom w:val="nil"/>
            </w:tcBorders>
            <w:vAlign w:val="center"/>
          </w:tcPr>
          <w:p w14:paraId="01A947F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t>
            </w:r>
          </w:p>
        </w:tc>
        <w:tc>
          <w:tcPr>
            <w:tcW w:w="845" w:type="pct"/>
            <w:tcBorders>
              <w:top w:val="nil"/>
              <w:bottom w:val="nil"/>
            </w:tcBorders>
            <w:vAlign w:val="center"/>
          </w:tcPr>
          <w:p w14:paraId="563B335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34.9112</w:t>
            </w:r>
          </w:p>
        </w:tc>
        <w:tc>
          <w:tcPr>
            <w:tcW w:w="845" w:type="pct"/>
            <w:tcBorders>
              <w:top w:val="nil"/>
              <w:bottom w:val="nil"/>
            </w:tcBorders>
            <w:vAlign w:val="center"/>
          </w:tcPr>
          <w:p w14:paraId="382D4B3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24.9721</w:t>
            </w:r>
          </w:p>
        </w:tc>
        <w:tc>
          <w:tcPr>
            <w:tcW w:w="909" w:type="pct"/>
            <w:tcBorders>
              <w:top w:val="nil"/>
              <w:bottom w:val="nil"/>
            </w:tcBorders>
            <w:vAlign w:val="center"/>
          </w:tcPr>
          <w:p w14:paraId="3CAACA7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0.5779%</w:t>
            </w:r>
          </w:p>
        </w:tc>
        <w:tc>
          <w:tcPr>
            <w:tcW w:w="750" w:type="pct"/>
            <w:tcBorders>
              <w:top w:val="nil"/>
              <w:bottom w:val="nil"/>
            </w:tcBorders>
            <w:vAlign w:val="center"/>
          </w:tcPr>
          <w:p w14:paraId="7F269A2F">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0.9794</w:t>
            </w:r>
          </w:p>
        </w:tc>
      </w:tr>
      <w:tr w14:paraId="48B762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nil"/>
            </w:tcBorders>
            <w:vAlign w:val="center"/>
          </w:tcPr>
          <w:p w14:paraId="271931EC">
            <w:pPr>
              <w:adjustRightInd w:val="0"/>
              <w:snapToGrid w:val="0"/>
              <w:jc w:val="center"/>
              <w:rPr>
                <w:rFonts w:ascii="Calibri" w:hAnsi="Calibri"/>
                <w:color w:val="auto"/>
                <w:sz w:val="18"/>
                <w:szCs w:val="18"/>
                <w:highlight w:val="none"/>
              </w:rPr>
            </w:pPr>
          </w:p>
        </w:tc>
        <w:tc>
          <w:tcPr>
            <w:tcW w:w="925" w:type="pct"/>
            <w:tcBorders>
              <w:top w:val="nil"/>
              <w:bottom w:val="nil"/>
            </w:tcBorders>
            <w:vAlign w:val="center"/>
          </w:tcPr>
          <w:p w14:paraId="0C9CF40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t>
            </w:r>
          </w:p>
        </w:tc>
        <w:tc>
          <w:tcPr>
            <w:tcW w:w="845" w:type="pct"/>
            <w:tcBorders>
              <w:top w:val="nil"/>
              <w:bottom w:val="nil"/>
            </w:tcBorders>
            <w:vAlign w:val="center"/>
          </w:tcPr>
          <w:p w14:paraId="7C4A09A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36.4136</w:t>
            </w:r>
          </w:p>
        </w:tc>
        <w:tc>
          <w:tcPr>
            <w:tcW w:w="845" w:type="pct"/>
            <w:tcBorders>
              <w:top w:val="nil"/>
              <w:bottom w:val="nil"/>
            </w:tcBorders>
            <w:vAlign w:val="center"/>
          </w:tcPr>
          <w:p w14:paraId="3F61417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26.9873</w:t>
            </w:r>
          </w:p>
        </w:tc>
        <w:tc>
          <w:tcPr>
            <w:tcW w:w="909" w:type="pct"/>
            <w:tcBorders>
              <w:top w:val="nil"/>
              <w:bottom w:val="nil"/>
            </w:tcBorders>
            <w:vAlign w:val="center"/>
          </w:tcPr>
          <w:p w14:paraId="1118EDA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0.6278%</w:t>
            </w:r>
          </w:p>
        </w:tc>
        <w:tc>
          <w:tcPr>
            <w:tcW w:w="750" w:type="pct"/>
            <w:tcBorders>
              <w:top w:val="nil"/>
              <w:bottom w:val="nil"/>
            </w:tcBorders>
            <w:vAlign w:val="center"/>
          </w:tcPr>
          <w:p w14:paraId="0462432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0.9776</w:t>
            </w:r>
          </w:p>
        </w:tc>
      </w:tr>
      <w:tr w14:paraId="6316C2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5" w:type="pct"/>
            <w:vMerge w:val="continue"/>
            <w:tcBorders>
              <w:top w:val="nil"/>
              <w:bottom w:val="single" w:color="auto" w:sz="12" w:space="0"/>
            </w:tcBorders>
            <w:vAlign w:val="center"/>
          </w:tcPr>
          <w:p w14:paraId="3E550877">
            <w:pPr>
              <w:adjustRightInd w:val="0"/>
              <w:snapToGrid w:val="0"/>
              <w:jc w:val="center"/>
              <w:rPr>
                <w:rFonts w:ascii="Calibri" w:hAnsi="Calibri"/>
                <w:color w:val="auto"/>
                <w:sz w:val="18"/>
                <w:szCs w:val="18"/>
                <w:highlight w:val="none"/>
              </w:rPr>
            </w:pPr>
          </w:p>
        </w:tc>
        <w:tc>
          <w:tcPr>
            <w:tcW w:w="925" w:type="pct"/>
            <w:tcBorders>
              <w:top w:val="nil"/>
              <w:bottom w:val="single" w:color="auto" w:sz="12" w:space="0"/>
            </w:tcBorders>
            <w:vAlign w:val="center"/>
          </w:tcPr>
          <w:p w14:paraId="5F32A27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45" w:type="pct"/>
            <w:tcBorders>
              <w:top w:val="nil"/>
              <w:bottom w:val="single" w:color="auto" w:sz="12" w:space="0"/>
            </w:tcBorders>
            <w:vAlign w:val="center"/>
          </w:tcPr>
          <w:p w14:paraId="348F4B8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46.7847</w:t>
            </w:r>
          </w:p>
        </w:tc>
        <w:tc>
          <w:tcPr>
            <w:tcW w:w="845" w:type="pct"/>
            <w:tcBorders>
              <w:top w:val="nil"/>
              <w:bottom w:val="single" w:color="auto" w:sz="12" w:space="0"/>
            </w:tcBorders>
            <w:vAlign w:val="center"/>
          </w:tcPr>
          <w:p w14:paraId="7852536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34.3623</w:t>
            </w:r>
          </w:p>
        </w:tc>
        <w:tc>
          <w:tcPr>
            <w:tcW w:w="909" w:type="pct"/>
            <w:tcBorders>
              <w:top w:val="nil"/>
              <w:bottom w:val="single" w:color="auto" w:sz="12" w:space="0"/>
            </w:tcBorders>
            <w:vAlign w:val="center"/>
          </w:tcPr>
          <w:p w14:paraId="0955DDC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0.8049%</w:t>
            </w:r>
          </w:p>
        </w:tc>
        <w:tc>
          <w:tcPr>
            <w:tcW w:w="750" w:type="pct"/>
            <w:tcBorders>
              <w:top w:val="nil"/>
              <w:bottom w:val="single" w:color="auto" w:sz="12" w:space="0"/>
            </w:tcBorders>
            <w:vAlign w:val="center"/>
          </w:tcPr>
          <w:p w14:paraId="3E29C27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0.9630</w:t>
            </w:r>
          </w:p>
        </w:tc>
      </w:tr>
    </w:tbl>
    <w:p w14:paraId="7B2E807A">
      <w:pPr>
        <w:adjustRightInd w:val="0"/>
        <w:snapToGrid w:val="0"/>
        <w:ind w:firstLine="420" w:firstLineChars="200"/>
        <w:rPr>
          <w:color w:val="auto"/>
          <w:szCs w:val="21"/>
          <w:highlight w:val="none"/>
        </w:rPr>
      </w:pPr>
      <w:bookmarkStart w:id="8" w:name="OLE_LINK14"/>
      <w:r>
        <w:rPr>
          <w:color w:val="auto"/>
          <w:szCs w:val="21"/>
          <w:highlight w:val="none"/>
        </w:rPr>
        <w:t>表10的结果进一步说明，COA-BP模型在NCA1和NCA2电池数据上取得了较好的</w:t>
      </w:r>
      <w:r>
        <w:rPr>
          <w:i/>
          <w:iCs/>
          <w:color w:val="auto"/>
          <w:szCs w:val="21"/>
          <w:highlight w:val="none"/>
        </w:rPr>
        <w:t>HI</w:t>
      </w:r>
      <w:r>
        <w:rPr>
          <w:color w:val="auto"/>
          <w:szCs w:val="21"/>
          <w:highlight w:val="none"/>
        </w:rPr>
        <w:t>预测效果，其预测误差低于对比模型。</w:t>
      </w:r>
    </w:p>
    <w:p w14:paraId="4203CC32">
      <w:pPr>
        <w:adjustRightInd w:val="0"/>
        <w:snapToGrid w:val="0"/>
        <w:ind w:firstLine="420" w:firstLineChars="200"/>
        <w:rPr>
          <w:color w:val="auto"/>
          <w:szCs w:val="21"/>
          <w:highlight w:val="none"/>
        </w:rPr>
      </w:pPr>
      <w:r>
        <w:rPr>
          <w:color w:val="auto"/>
          <w:szCs w:val="21"/>
          <w:highlight w:val="none"/>
        </w:rPr>
        <w:t>以NCA1电池为例，COA-BP模型取得了相对较优的</w:t>
      </w:r>
      <w:r>
        <w:rPr>
          <w:i/>
          <w:iCs/>
          <w:color w:val="auto"/>
          <w:szCs w:val="21"/>
          <w:highlight w:val="none"/>
        </w:rPr>
        <w:t>RMSE</w:t>
      </w:r>
      <w:r>
        <w:rPr>
          <w:color w:val="auto"/>
          <w:szCs w:val="21"/>
          <w:highlight w:val="none"/>
        </w:rPr>
        <w:t>、</w:t>
      </w:r>
      <w:r>
        <w:rPr>
          <w:i/>
          <w:iCs/>
          <w:color w:val="auto"/>
          <w:szCs w:val="21"/>
          <w:highlight w:val="none"/>
        </w:rPr>
        <w:t>MAE</w:t>
      </w:r>
      <w:r>
        <w:rPr>
          <w:color w:val="auto"/>
          <w:szCs w:val="21"/>
          <w:highlight w:val="none"/>
        </w:rPr>
        <w:t>、</w:t>
      </w:r>
      <w:r>
        <w:rPr>
          <w:i/>
          <w:iCs/>
          <w:color w:val="auto"/>
          <w:szCs w:val="21"/>
          <w:highlight w:val="none"/>
        </w:rPr>
        <w:t>MAPE</w:t>
      </w:r>
      <w:r>
        <w:rPr>
          <w:color w:val="auto"/>
          <w:szCs w:val="21"/>
          <w:highlight w:val="none"/>
        </w:rPr>
        <w:t>及</w:t>
      </w:r>
      <w:r>
        <w:rPr>
          <w:i/>
          <w:iCs/>
          <w:color w:val="auto"/>
          <w:szCs w:val="21"/>
          <w:highlight w:val="none"/>
        </w:rPr>
        <w:t>R</w:t>
      </w:r>
      <w:r>
        <w:rPr>
          <w:color w:val="auto"/>
          <w:szCs w:val="21"/>
          <w:highlight w:val="none"/>
        </w:rPr>
        <w:t>²指标。</w:t>
      </w:r>
      <w:bookmarkStart w:id="9" w:name="OLE_LINK15"/>
      <w:r>
        <w:rPr>
          <w:color w:val="auto"/>
          <w:szCs w:val="21"/>
          <w:highlight w:val="none"/>
        </w:rPr>
        <w:t>相较于其他算法，</w:t>
      </w:r>
      <w:bookmarkEnd w:id="9"/>
      <w:r>
        <w:rPr>
          <w:color w:val="auto"/>
          <w:szCs w:val="21"/>
          <w:highlight w:val="none"/>
        </w:rPr>
        <w:t>其</w:t>
      </w:r>
      <w:r>
        <w:rPr>
          <w:i/>
          <w:iCs/>
          <w:color w:val="auto"/>
          <w:szCs w:val="21"/>
          <w:highlight w:val="none"/>
        </w:rPr>
        <w:t>RMSE</w:t>
      </w:r>
      <w:r>
        <w:rPr>
          <w:color w:val="auto"/>
          <w:szCs w:val="21"/>
          <w:highlight w:val="none"/>
        </w:rPr>
        <w:t>分别下降了9.93%、33.06%和47.75%，</w:t>
      </w:r>
      <w:r>
        <w:rPr>
          <w:i/>
          <w:iCs/>
          <w:color w:val="auto"/>
          <w:szCs w:val="21"/>
          <w:highlight w:val="none"/>
        </w:rPr>
        <w:t>MAE</w:t>
      </w:r>
      <w:r>
        <w:rPr>
          <w:color w:val="auto"/>
          <w:szCs w:val="21"/>
          <w:highlight w:val="none"/>
        </w:rPr>
        <w:t>分别下降了7.87%、17.00%和51.39%，</w:t>
      </w:r>
      <w:r>
        <w:rPr>
          <w:i/>
          <w:iCs/>
          <w:color w:val="auto"/>
          <w:szCs w:val="21"/>
          <w:highlight w:val="none"/>
        </w:rPr>
        <w:t>MAPE</w:t>
      </w:r>
      <w:r>
        <w:rPr>
          <w:color w:val="auto"/>
          <w:szCs w:val="21"/>
          <w:highlight w:val="none"/>
        </w:rPr>
        <w:t>分别下降了7.66%、21.87%和52.54%，</w:t>
      </w:r>
      <w:r>
        <w:rPr>
          <w:i/>
          <w:iCs/>
          <w:color w:val="auto"/>
          <w:szCs w:val="21"/>
          <w:highlight w:val="none"/>
        </w:rPr>
        <w:t>R</w:t>
      </w:r>
      <w:r>
        <w:rPr>
          <w:color w:val="auto"/>
          <w:szCs w:val="21"/>
          <w:highlight w:val="none"/>
        </w:rPr>
        <w:t>²拟合优度分别提升了0.38%、2.01%和4.45%。</w:t>
      </w:r>
    </w:p>
    <w:p w14:paraId="26BD6804">
      <w:pPr>
        <w:adjustRightInd w:val="0"/>
        <w:snapToGrid w:val="0"/>
        <w:ind w:firstLine="420" w:firstLineChars="200"/>
        <w:rPr>
          <w:color w:val="auto"/>
          <w:szCs w:val="21"/>
          <w:highlight w:val="none"/>
        </w:rPr>
      </w:pPr>
      <w:r>
        <w:rPr>
          <w:color w:val="auto"/>
          <w:szCs w:val="21"/>
          <w:highlight w:val="none"/>
        </w:rPr>
        <w:t>在NCA2电池上，模型同样展现出稳定的性能优势：相较于其他算法，</w:t>
      </w:r>
      <w:r>
        <w:rPr>
          <w:i/>
          <w:iCs/>
          <w:color w:val="auto"/>
          <w:szCs w:val="21"/>
          <w:highlight w:val="none"/>
        </w:rPr>
        <w:t>RMSE</w:t>
      </w:r>
      <w:r>
        <w:rPr>
          <w:color w:val="auto"/>
          <w:szCs w:val="21"/>
          <w:highlight w:val="none"/>
        </w:rPr>
        <w:t>分别下降了11.01%、14.68%和33.60%，</w:t>
      </w:r>
      <w:r>
        <w:rPr>
          <w:i/>
          <w:iCs/>
          <w:color w:val="auto"/>
          <w:szCs w:val="21"/>
          <w:highlight w:val="none"/>
        </w:rPr>
        <w:t>MAE</w:t>
      </w:r>
      <w:r>
        <w:rPr>
          <w:color w:val="auto"/>
          <w:szCs w:val="21"/>
          <w:highlight w:val="none"/>
        </w:rPr>
        <w:t>分别下降了1.60%、8.90%和28.45%，</w:t>
      </w:r>
      <w:r>
        <w:rPr>
          <w:i/>
          <w:iCs/>
          <w:color w:val="auto"/>
          <w:szCs w:val="21"/>
          <w:highlight w:val="none"/>
        </w:rPr>
        <w:t>MAPE</w:t>
      </w:r>
      <w:r>
        <w:rPr>
          <w:color w:val="auto"/>
          <w:szCs w:val="21"/>
          <w:highlight w:val="none"/>
        </w:rPr>
        <w:t>分别下降了3.06%、10.77%和30.40%，</w:t>
      </w:r>
      <w:r>
        <w:rPr>
          <w:i/>
          <w:iCs/>
          <w:color w:val="auto"/>
          <w:szCs w:val="21"/>
          <w:highlight w:val="none"/>
        </w:rPr>
        <w:t>R</w:t>
      </w:r>
      <w:r>
        <w:rPr>
          <w:color w:val="auto"/>
          <w:szCs w:val="21"/>
          <w:highlight w:val="none"/>
        </w:rPr>
        <w:t>²分别提升了0.44%、0.62%和2.15%。实验结果一致表明，COA-BP模型在所使用的NCA电池数据上表现出较好的预测精度和一定的适用性。</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06"/>
        <w:gridCol w:w="4829"/>
      </w:tblGrid>
      <w:tr w14:paraId="33A22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4B4C30BA">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90" o:spt="75" type="#_x0000_t75" style="height:171.7pt;width:234.5pt;" o:ole="t" filled="f" o:preferrelative="t" stroked="f" coordsize="21600,21600">
                  <v:path/>
                  <v:fill on="f" focussize="0,0"/>
                  <v:stroke on="f" joinstyle="miter"/>
                  <v:imagedata r:id="rId345" croptop="1322f" cropright="1425f" cropbottom="1889f" o:title=""/>
                  <o:lock v:ext="edit" aspectratio="t"/>
                  <w10:wrap type="none"/>
                  <w10:anchorlock/>
                </v:shape>
                <o:OLEObject Type="Embed" ProgID="Visio.Drawing.15" ShapeID="_x0000_i1190" DrawAspect="Content" ObjectID="_1468075890" r:id="rId344">
                  <o:LockedField>false</o:LockedField>
                </o:OLEObject>
              </w:object>
            </w:r>
          </w:p>
        </w:tc>
        <w:tc>
          <w:tcPr>
            <w:tcW w:w="4814" w:type="dxa"/>
          </w:tcPr>
          <w:p w14:paraId="44F63027">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91" o:spt="75" type="#_x0000_t75" style="height:171.7pt;width:230.65pt;" o:ole="t" filled="f" o:preferrelative="t" stroked="f" coordsize="21600,21600">
                  <v:path/>
                  <v:fill on="f" focussize="0,0"/>
                  <v:stroke on="f" joinstyle="miter"/>
                  <v:imagedata r:id="rId347" cropleft="342f" croptop="1133f" cropright="2137f" cropbottom="1700f" o:title=""/>
                  <o:lock v:ext="edit" aspectratio="t"/>
                  <w10:wrap type="none"/>
                  <w10:anchorlock/>
                </v:shape>
                <o:OLEObject Type="Embed" ProgID="Visio.Drawing.15" ShapeID="_x0000_i1191" DrawAspect="Content" ObjectID="_1468075891" r:id="rId346">
                  <o:LockedField>false</o:LockedField>
                </o:OLEObject>
              </w:object>
            </w:r>
          </w:p>
        </w:tc>
      </w:tr>
      <w:tr w14:paraId="06211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6EC5CF79">
            <w:pPr>
              <w:adjustRightInd w:val="0"/>
              <w:snapToGrid w:val="0"/>
              <w:jc w:val="center"/>
              <w:rPr>
                <w:rFonts w:ascii="Calibri" w:hAnsi="Calibri"/>
                <w:color w:val="auto"/>
                <w:szCs w:val="21"/>
                <w:highlight w:val="none"/>
              </w:rPr>
            </w:pPr>
            <w:r>
              <w:rPr>
                <w:rFonts w:ascii="Calibri" w:hAnsi="Calibri"/>
                <w:color w:val="auto"/>
                <w:sz w:val="15"/>
                <w:szCs w:val="15"/>
                <w:highlight w:val="none"/>
              </w:rPr>
              <w:t>(a) NCA1电池</w:t>
            </w:r>
          </w:p>
        </w:tc>
        <w:tc>
          <w:tcPr>
            <w:tcW w:w="4814" w:type="dxa"/>
          </w:tcPr>
          <w:p w14:paraId="35B544E7">
            <w:pPr>
              <w:adjustRightInd w:val="0"/>
              <w:snapToGrid w:val="0"/>
              <w:jc w:val="center"/>
              <w:rPr>
                <w:rFonts w:ascii="Calibri" w:hAnsi="Calibri"/>
                <w:color w:val="auto"/>
                <w:szCs w:val="21"/>
                <w:highlight w:val="none"/>
              </w:rPr>
            </w:pPr>
            <w:r>
              <w:rPr>
                <w:rFonts w:ascii="Calibri" w:hAnsi="Calibri"/>
                <w:color w:val="auto"/>
                <w:sz w:val="15"/>
                <w:szCs w:val="15"/>
                <w:highlight w:val="none"/>
              </w:rPr>
              <w:t>(b) NCA2电池</w:t>
            </w:r>
          </w:p>
        </w:tc>
      </w:tr>
      <w:bookmarkEnd w:id="8"/>
    </w:tbl>
    <w:p w14:paraId="3E00AC88">
      <w:pPr>
        <w:adjustRightInd w:val="0"/>
        <w:snapToGrid w:val="0"/>
        <w:jc w:val="center"/>
        <w:rPr>
          <w:color w:val="auto"/>
          <w:sz w:val="18"/>
          <w:szCs w:val="18"/>
          <w:highlight w:val="none"/>
        </w:rPr>
      </w:pPr>
      <w:r>
        <w:rPr>
          <w:color w:val="auto"/>
          <w:sz w:val="18"/>
          <w:szCs w:val="18"/>
          <w:highlight w:val="none"/>
        </w:rPr>
        <w:t>图10  NCA1和NCA2电池</w:t>
      </w:r>
      <w:r>
        <w:rPr>
          <w:i/>
          <w:iCs/>
          <w:color w:val="auto"/>
          <w:sz w:val="18"/>
          <w:szCs w:val="18"/>
          <w:highlight w:val="none"/>
        </w:rPr>
        <w:t>RUL</w:t>
      </w:r>
      <w:r>
        <w:rPr>
          <w:color w:val="auto"/>
          <w:sz w:val="18"/>
          <w:szCs w:val="18"/>
          <w:highlight w:val="none"/>
        </w:rPr>
        <w:t>预测结果和概率密度分布</w:t>
      </w:r>
    </w:p>
    <w:p w14:paraId="3AE7C52F">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10  </w:t>
      </w:r>
      <w:r>
        <w:rPr>
          <w:i/>
          <w:iCs/>
          <w:color w:val="auto"/>
          <w:sz w:val="18"/>
          <w:szCs w:val="18"/>
          <w:highlight w:val="none"/>
        </w:rPr>
        <w:t>RUL</w:t>
      </w:r>
      <w:r>
        <w:rPr>
          <w:color w:val="auto"/>
          <w:sz w:val="18"/>
          <w:szCs w:val="18"/>
          <w:highlight w:val="none"/>
        </w:rPr>
        <w:t xml:space="preserve"> prediction results and probability density distributions of batteries NCA1 and NCA2</w:t>
      </w:r>
    </w:p>
    <w:p w14:paraId="68846580">
      <w:pPr>
        <w:adjustRightInd w:val="0"/>
        <w:snapToGrid w:val="0"/>
        <w:ind w:firstLine="420" w:firstLineChars="200"/>
        <w:rPr>
          <w:color w:val="auto"/>
          <w:szCs w:val="21"/>
          <w:highlight w:val="none"/>
        </w:rPr>
      </w:pPr>
      <w:r>
        <w:rPr>
          <w:color w:val="auto"/>
          <w:szCs w:val="21"/>
          <w:highlight w:val="none"/>
        </w:rPr>
        <w:t>图10展示了NCA1和NCA2电池的</w:t>
      </w:r>
      <w:r>
        <w:rPr>
          <w:i/>
          <w:iCs/>
          <w:color w:val="auto"/>
          <w:szCs w:val="21"/>
          <w:highlight w:val="none"/>
        </w:rPr>
        <w:t>RUL</w:t>
      </w:r>
      <w:r>
        <w:rPr>
          <w:color w:val="auto"/>
          <w:szCs w:val="21"/>
          <w:highlight w:val="none"/>
        </w:rPr>
        <w:t>预测结果及概率密度分布。可以看出，其PDF变化规律与前文L1和L2电池保持高度一致。尽管NCA电池具有不同的正极材料和不同的循环工况，COA-BP-Wiener模型仍能较好跟踪真实</w:t>
      </w:r>
      <w:r>
        <w:rPr>
          <w:i/>
          <w:iCs/>
          <w:color w:val="auto"/>
          <w:szCs w:val="21"/>
          <w:highlight w:val="none"/>
        </w:rPr>
        <w:t>RUL</w:t>
      </w:r>
      <w:r>
        <w:rPr>
          <w:color w:val="auto"/>
          <w:szCs w:val="21"/>
          <w:highlight w:val="none"/>
        </w:rPr>
        <w:t>变化趋势，且PDF曲线随循环次数增加呈现出较明显的收窄趋势。这一结果再次印证了Wiener过程在处理不同电池体系时的有效性，说明本研究所提出的方法在所测试场景中具有一定的适用性和较好的稳定性。</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4"/>
        <w:gridCol w:w="4814"/>
      </w:tblGrid>
      <w:tr w14:paraId="3277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3A36E001">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92" o:spt="75" type="#_x0000_t75" style="height:184.8pt;width:227.95pt;" o:ole="t" filled="f" o:preferrelative="t" stroked="f" coordsize="21600,21600">
                  <v:path/>
                  <v:fill on="f" focussize="0,0"/>
                  <v:stroke on="f" joinstyle="miter"/>
                  <v:imagedata r:id="rId349" cropleft="712f" croptop="1322f" cropright="5556f" o:title=""/>
                  <o:lock v:ext="edit" aspectratio="t"/>
                  <w10:wrap type="none"/>
                  <w10:anchorlock/>
                </v:shape>
                <o:OLEObject Type="Embed" ProgID="Visio.Drawing.15" ShapeID="_x0000_i1192" DrawAspect="Content" ObjectID="_1468075892" r:id="rId348">
                  <o:LockedField>false</o:LockedField>
                </o:OLEObject>
              </w:object>
            </w:r>
          </w:p>
        </w:tc>
        <w:tc>
          <w:tcPr>
            <w:tcW w:w="4814" w:type="dxa"/>
          </w:tcPr>
          <w:p w14:paraId="663C4D8B">
            <w:pPr>
              <w:adjustRightInd w:val="0"/>
              <w:snapToGrid w:val="0"/>
              <w:jc w:val="center"/>
              <w:rPr>
                <w:rFonts w:ascii="Calibri" w:hAnsi="Calibri"/>
                <w:color w:val="auto"/>
                <w:szCs w:val="21"/>
                <w:highlight w:val="none"/>
              </w:rPr>
            </w:pPr>
            <w:r>
              <w:rPr>
                <w:rFonts w:ascii="Times New Roman" w:hAnsi="Times New Roman"/>
                <w:color w:val="auto"/>
                <w:highlight w:val="none"/>
              </w:rPr>
              <w:object>
                <v:shape id="_x0000_i1193" o:spt="75" type="#_x0000_t75" style="height:181.35pt;width:220.25pt;" o:ole="t" filled="f" o:preferrelative="t" stroked="f" coordsize="21600,21600">
                  <v:path/>
                  <v:fill on="f" focussize="0,0"/>
                  <v:stroke on="f" joinstyle="miter"/>
                  <v:imagedata r:id="rId351" cropleft="570f" croptop="944f" cropright="5841f" o:title=""/>
                  <o:lock v:ext="edit" aspectratio="t"/>
                  <w10:wrap type="none"/>
                  <w10:anchorlock/>
                </v:shape>
                <o:OLEObject Type="Embed" ProgID="Visio.Drawing.15" ShapeID="_x0000_i1193" DrawAspect="Content" ObjectID="_1468075893" r:id="rId350">
                  <o:LockedField>false</o:LockedField>
                </o:OLEObject>
              </w:object>
            </w:r>
          </w:p>
        </w:tc>
      </w:tr>
      <w:tr w14:paraId="70624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36917AED">
            <w:pPr>
              <w:adjustRightInd w:val="0"/>
              <w:snapToGrid w:val="0"/>
              <w:jc w:val="center"/>
              <w:rPr>
                <w:rFonts w:ascii="Calibri" w:hAnsi="Calibri"/>
                <w:color w:val="auto"/>
                <w:szCs w:val="21"/>
                <w:highlight w:val="none"/>
              </w:rPr>
            </w:pPr>
            <w:r>
              <w:rPr>
                <w:rFonts w:ascii="Calibri" w:hAnsi="Calibri"/>
                <w:color w:val="auto"/>
                <w:sz w:val="15"/>
                <w:szCs w:val="15"/>
                <w:highlight w:val="none"/>
              </w:rPr>
              <w:t>(a) NCA1电池</w:t>
            </w:r>
          </w:p>
        </w:tc>
        <w:tc>
          <w:tcPr>
            <w:tcW w:w="4814" w:type="dxa"/>
          </w:tcPr>
          <w:p w14:paraId="0625BA21">
            <w:pPr>
              <w:adjustRightInd w:val="0"/>
              <w:snapToGrid w:val="0"/>
              <w:jc w:val="center"/>
              <w:rPr>
                <w:rFonts w:ascii="Calibri" w:hAnsi="Calibri"/>
                <w:color w:val="auto"/>
                <w:szCs w:val="21"/>
                <w:highlight w:val="none"/>
              </w:rPr>
            </w:pPr>
            <w:r>
              <w:rPr>
                <w:rFonts w:ascii="Calibri" w:hAnsi="Calibri"/>
                <w:color w:val="auto"/>
                <w:sz w:val="15"/>
                <w:szCs w:val="15"/>
                <w:highlight w:val="none"/>
              </w:rPr>
              <w:t>(b) NCA2电池</w:t>
            </w:r>
          </w:p>
        </w:tc>
      </w:tr>
    </w:tbl>
    <w:p w14:paraId="05C82172">
      <w:pPr>
        <w:adjustRightInd w:val="0"/>
        <w:snapToGrid w:val="0"/>
        <w:jc w:val="center"/>
        <w:rPr>
          <w:color w:val="auto"/>
          <w:sz w:val="18"/>
          <w:szCs w:val="18"/>
          <w:highlight w:val="none"/>
        </w:rPr>
      </w:pPr>
      <w:r>
        <w:rPr>
          <w:color w:val="auto"/>
          <w:sz w:val="18"/>
          <w:szCs w:val="18"/>
          <w:highlight w:val="none"/>
        </w:rPr>
        <w:t>图11  不同算法在NCA1和NCA2电池上的</w:t>
      </w:r>
      <w:r>
        <w:rPr>
          <w:i/>
          <w:iCs/>
          <w:color w:val="auto"/>
          <w:sz w:val="18"/>
          <w:szCs w:val="18"/>
          <w:highlight w:val="none"/>
        </w:rPr>
        <w:t>RUL</w:t>
      </w:r>
      <w:r>
        <w:rPr>
          <w:color w:val="auto"/>
          <w:sz w:val="18"/>
          <w:szCs w:val="18"/>
          <w:highlight w:val="none"/>
        </w:rPr>
        <w:t>预测结果对比</w:t>
      </w:r>
    </w:p>
    <w:p w14:paraId="69B7C6F0">
      <w:pPr>
        <w:adjustRightInd w:val="0"/>
        <w:snapToGrid w:val="0"/>
        <w:jc w:val="center"/>
        <w:rPr>
          <w:color w:val="auto"/>
          <w:sz w:val="18"/>
          <w:szCs w:val="18"/>
          <w:highlight w:val="none"/>
        </w:rPr>
      </w:pPr>
      <w:r>
        <w:rPr>
          <w:color w:val="auto"/>
          <w:sz w:val="18"/>
          <w:szCs w:val="18"/>
          <w:highlight w:val="none"/>
        </w:rPr>
        <w:t>Fig</w:t>
      </w:r>
      <w:r>
        <w:rPr>
          <w:rFonts w:hint="eastAsia"/>
          <w:color w:val="auto"/>
          <w:sz w:val="18"/>
          <w:szCs w:val="18"/>
          <w:highlight w:val="none"/>
        </w:rPr>
        <w:t>.</w:t>
      </w:r>
      <w:r>
        <w:rPr>
          <w:color w:val="auto"/>
          <w:sz w:val="18"/>
          <w:szCs w:val="18"/>
          <w:highlight w:val="none"/>
        </w:rPr>
        <w:t xml:space="preserve"> 11  Comparison of </w:t>
      </w:r>
      <w:r>
        <w:rPr>
          <w:i/>
          <w:iCs/>
          <w:color w:val="auto"/>
          <w:sz w:val="18"/>
          <w:szCs w:val="18"/>
          <w:highlight w:val="none"/>
        </w:rPr>
        <w:t>RUL</w:t>
      </w:r>
      <w:r>
        <w:rPr>
          <w:color w:val="auto"/>
          <w:sz w:val="18"/>
          <w:szCs w:val="18"/>
          <w:highlight w:val="none"/>
        </w:rPr>
        <w:t xml:space="preserve"> prediction results for batteries NCA1 and NCA2 using different algorithms</w:t>
      </w:r>
    </w:p>
    <w:p w14:paraId="4A57CBB0">
      <w:pPr>
        <w:adjustRightInd w:val="0"/>
        <w:snapToGrid w:val="0"/>
        <w:ind w:firstLine="420" w:firstLineChars="200"/>
        <w:rPr>
          <w:color w:val="auto"/>
          <w:szCs w:val="21"/>
          <w:highlight w:val="none"/>
        </w:rPr>
      </w:pPr>
      <w:r>
        <w:rPr>
          <w:color w:val="auto"/>
          <w:szCs w:val="21"/>
          <w:highlight w:val="none"/>
        </w:rPr>
        <w:t>图11展示了不同算法对NCA1和NCA2电池的</w:t>
      </w:r>
      <w:r>
        <w:rPr>
          <w:i/>
          <w:iCs/>
          <w:color w:val="auto"/>
          <w:szCs w:val="21"/>
          <w:highlight w:val="none"/>
        </w:rPr>
        <w:t>RUL</w:t>
      </w:r>
      <w:r>
        <w:rPr>
          <w:color w:val="auto"/>
          <w:szCs w:val="21"/>
          <w:highlight w:val="none"/>
        </w:rPr>
        <w:t>预测结果。相比其他模型，单一的BP神经网络模型在寿命末期预测偏差显著。DBO-BP-Wiener和LSTM-Wiener等混合模型虽改善了整体趋势，但在预测初期仍存在较大误差。</w:t>
      </w:r>
    </w:p>
    <w:p w14:paraId="252E0B5C">
      <w:pPr>
        <w:adjustRightInd w:val="0"/>
        <w:snapToGrid w:val="0"/>
        <w:ind w:firstLine="420" w:firstLineChars="200"/>
        <w:rPr>
          <w:color w:val="auto"/>
          <w:szCs w:val="21"/>
          <w:highlight w:val="none"/>
        </w:rPr>
      </w:pPr>
      <w:r>
        <w:rPr>
          <w:color w:val="auto"/>
          <w:szCs w:val="21"/>
          <w:highlight w:val="none"/>
        </w:rPr>
        <w:t>相比之下，COA-BP-Wiener模型的预测曲线与真实</w:t>
      </w:r>
      <w:r>
        <w:rPr>
          <w:i/>
          <w:iCs/>
          <w:color w:val="auto"/>
          <w:szCs w:val="21"/>
          <w:highlight w:val="none"/>
        </w:rPr>
        <w:t>RUL</w:t>
      </w:r>
      <w:r>
        <w:rPr>
          <w:color w:val="auto"/>
          <w:szCs w:val="21"/>
          <w:highlight w:val="none"/>
        </w:rPr>
        <w:t>整体吻合较好，尤其在预测初、后期均未出现明显偏差。这表明该方法能有效捕捉电池老化全过程的动态特征，在使用的测试数据集上表现出较好的预测稳定性和一定的泛化能力。</w:t>
      </w:r>
    </w:p>
    <w:p w14:paraId="72769BE4">
      <w:pPr>
        <w:adjustRightInd w:val="0"/>
        <w:snapToGrid w:val="0"/>
        <w:jc w:val="center"/>
        <w:rPr>
          <w:rFonts w:hint="eastAsia" w:ascii="黑体" w:hAnsi="黑体" w:eastAsia="黑体"/>
          <w:color w:val="auto"/>
          <w:sz w:val="18"/>
          <w:szCs w:val="18"/>
          <w:highlight w:val="none"/>
        </w:rPr>
      </w:pPr>
      <w:r>
        <w:rPr>
          <w:rFonts w:ascii="黑体" w:hAnsi="黑体" w:eastAsia="黑体"/>
          <w:color w:val="auto"/>
          <w:sz w:val="18"/>
          <w:szCs w:val="18"/>
          <w:highlight w:val="none"/>
        </w:rPr>
        <w:t>表</w:t>
      </w:r>
      <w:r>
        <w:rPr>
          <w:rFonts w:eastAsia="黑体"/>
          <w:color w:val="auto"/>
          <w:sz w:val="18"/>
          <w:szCs w:val="18"/>
          <w:highlight w:val="none"/>
        </w:rPr>
        <w:t>11</w:t>
      </w:r>
      <w:r>
        <w:rPr>
          <w:rFonts w:ascii="黑体" w:hAnsi="黑体" w:eastAsia="黑体"/>
          <w:color w:val="auto"/>
          <w:sz w:val="18"/>
          <w:szCs w:val="18"/>
          <w:highlight w:val="none"/>
        </w:rPr>
        <w:t xml:space="preserve"> </w:t>
      </w:r>
      <w:r>
        <w:rPr>
          <w:rFonts w:hint="eastAsia" w:ascii="黑体" w:hAnsi="黑体" w:eastAsia="黑体"/>
          <w:color w:val="auto"/>
          <w:sz w:val="18"/>
          <w:szCs w:val="18"/>
          <w:highlight w:val="none"/>
        </w:rPr>
        <w:t xml:space="preserve"> </w:t>
      </w:r>
      <w:r>
        <w:rPr>
          <w:rFonts w:ascii="黑体" w:hAnsi="黑体" w:eastAsia="黑体"/>
          <w:color w:val="auto"/>
          <w:sz w:val="18"/>
          <w:szCs w:val="18"/>
          <w:highlight w:val="none"/>
        </w:rPr>
        <w:t>不同算法对NCA</w:t>
      </w:r>
      <w:r>
        <w:rPr>
          <w:rFonts w:eastAsia="黑体"/>
          <w:color w:val="auto"/>
          <w:sz w:val="18"/>
          <w:szCs w:val="18"/>
          <w:highlight w:val="none"/>
        </w:rPr>
        <w:t>1</w:t>
      </w:r>
      <w:r>
        <w:rPr>
          <w:rFonts w:ascii="黑体" w:hAnsi="黑体" w:eastAsia="黑体"/>
          <w:color w:val="auto"/>
          <w:sz w:val="18"/>
          <w:szCs w:val="18"/>
          <w:highlight w:val="none"/>
        </w:rPr>
        <w:t>和NCA</w:t>
      </w:r>
      <w:r>
        <w:rPr>
          <w:rFonts w:eastAsia="黑体"/>
          <w:color w:val="auto"/>
          <w:sz w:val="18"/>
          <w:szCs w:val="18"/>
          <w:highlight w:val="none"/>
        </w:rPr>
        <w:t>2</w:t>
      </w:r>
      <w:r>
        <w:rPr>
          <w:rFonts w:ascii="黑体" w:hAnsi="黑体" w:eastAsia="黑体"/>
          <w:color w:val="auto"/>
          <w:sz w:val="18"/>
          <w:szCs w:val="18"/>
          <w:highlight w:val="none"/>
        </w:rPr>
        <w:t>电池</w:t>
      </w:r>
      <w:r>
        <w:rPr>
          <w:rFonts w:ascii="黑体" w:hAnsi="黑体" w:eastAsia="黑体"/>
          <w:i/>
          <w:iCs/>
          <w:color w:val="auto"/>
          <w:sz w:val="18"/>
          <w:szCs w:val="18"/>
          <w:highlight w:val="none"/>
        </w:rPr>
        <w:t>RUL</w:t>
      </w:r>
      <w:r>
        <w:rPr>
          <w:rFonts w:ascii="黑体" w:hAnsi="黑体" w:eastAsia="黑体"/>
          <w:color w:val="auto"/>
          <w:sz w:val="18"/>
          <w:szCs w:val="18"/>
          <w:highlight w:val="none"/>
        </w:rPr>
        <w:t>预测性能对比</w:t>
      </w:r>
    </w:p>
    <w:p w14:paraId="4B476101">
      <w:pPr>
        <w:adjustRightInd w:val="0"/>
        <w:snapToGrid w:val="0"/>
        <w:jc w:val="center"/>
        <w:rPr>
          <w:color w:val="auto"/>
          <w:sz w:val="18"/>
          <w:szCs w:val="18"/>
          <w:highlight w:val="none"/>
        </w:rPr>
      </w:pPr>
      <w:r>
        <w:rPr>
          <w:color w:val="auto"/>
          <w:sz w:val="18"/>
          <w:szCs w:val="18"/>
          <w:highlight w:val="none"/>
        </w:rPr>
        <w:t>Table 11</w:t>
      </w: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Comparison</w:t>
      </w:r>
      <w:r>
        <w:rPr>
          <w:color w:val="auto"/>
          <w:sz w:val="18"/>
          <w:szCs w:val="18"/>
          <w:highlight w:val="none"/>
        </w:rPr>
        <w:t xml:space="preserve"> of </w:t>
      </w:r>
      <w:r>
        <w:rPr>
          <w:i/>
          <w:iCs/>
          <w:color w:val="auto"/>
          <w:sz w:val="18"/>
          <w:szCs w:val="18"/>
          <w:highlight w:val="none"/>
        </w:rPr>
        <w:t>RUL</w:t>
      </w:r>
      <w:r>
        <w:rPr>
          <w:color w:val="auto"/>
          <w:sz w:val="18"/>
          <w:szCs w:val="18"/>
          <w:highlight w:val="none"/>
        </w:rPr>
        <w:t xml:space="preserve"> prediction </w:t>
      </w:r>
      <w:r>
        <w:rPr>
          <w:rFonts w:hint="eastAsia"/>
          <w:color w:val="auto"/>
          <w:sz w:val="18"/>
          <w:szCs w:val="18"/>
          <w:highlight w:val="none"/>
        </w:rPr>
        <w:t xml:space="preserve">performance </w:t>
      </w:r>
      <w:r>
        <w:rPr>
          <w:color w:val="auto"/>
          <w:sz w:val="18"/>
          <w:szCs w:val="18"/>
          <w:highlight w:val="none"/>
        </w:rPr>
        <w:t>for batteries NCA1 and NCA2 using different algorithms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7"/>
        <w:gridCol w:w="2654"/>
        <w:gridCol w:w="1715"/>
        <w:gridCol w:w="1983"/>
        <w:gridCol w:w="1985"/>
      </w:tblGrid>
      <w:tr w14:paraId="127002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tcBorders>
              <w:top w:val="single" w:color="auto" w:sz="12" w:space="0"/>
              <w:bottom w:val="single" w:color="auto" w:sz="4" w:space="0"/>
            </w:tcBorders>
            <w:vAlign w:val="center"/>
          </w:tcPr>
          <w:p w14:paraId="0C6141D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电池</w:t>
            </w:r>
          </w:p>
        </w:tc>
        <w:tc>
          <w:tcPr>
            <w:tcW w:w="1347" w:type="pct"/>
            <w:tcBorders>
              <w:top w:val="single" w:color="auto" w:sz="12" w:space="0"/>
              <w:bottom w:val="single" w:color="auto" w:sz="4" w:space="0"/>
            </w:tcBorders>
            <w:vAlign w:val="center"/>
          </w:tcPr>
          <w:p w14:paraId="0A27FD8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算法</w:t>
            </w:r>
          </w:p>
        </w:tc>
        <w:tc>
          <w:tcPr>
            <w:tcW w:w="870" w:type="pct"/>
            <w:tcBorders>
              <w:top w:val="single" w:color="auto" w:sz="12" w:space="0"/>
              <w:bottom w:val="single" w:color="auto" w:sz="4" w:space="0"/>
            </w:tcBorders>
            <w:vAlign w:val="center"/>
          </w:tcPr>
          <w:p w14:paraId="3B36A3EC">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RMSE</w:t>
            </w:r>
          </w:p>
        </w:tc>
        <w:tc>
          <w:tcPr>
            <w:tcW w:w="1006" w:type="pct"/>
            <w:tcBorders>
              <w:top w:val="single" w:color="auto" w:sz="12" w:space="0"/>
              <w:bottom w:val="single" w:color="auto" w:sz="4" w:space="0"/>
            </w:tcBorders>
            <w:vAlign w:val="center"/>
          </w:tcPr>
          <w:p w14:paraId="3A3B7A30">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MAE</w:t>
            </w:r>
          </w:p>
        </w:tc>
        <w:tc>
          <w:tcPr>
            <w:tcW w:w="1007" w:type="pct"/>
            <w:tcBorders>
              <w:top w:val="single" w:color="auto" w:sz="12" w:space="0"/>
              <w:bottom w:val="single" w:color="auto" w:sz="4" w:space="0"/>
            </w:tcBorders>
            <w:vAlign w:val="center"/>
          </w:tcPr>
          <w:p w14:paraId="16CB5B08">
            <w:pPr>
              <w:adjustRightInd w:val="0"/>
              <w:snapToGrid w:val="0"/>
              <w:jc w:val="center"/>
              <w:rPr>
                <w:rFonts w:ascii="Calibri" w:hAnsi="Calibri"/>
                <w:i/>
                <w:iCs/>
                <w:color w:val="auto"/>
                <w:sz w:val="18"/>
                <w:szCs w:val="18"/>
                <w:highlight w:val="none"/>
              </w:rPr>
            </w:pPr>
            <w:r>
              <w:rPr>
                <w:rFonts w:ascii="Calibri" w:hAnsi="Calibri"/>
                <w:i/>
                <w:iCs/>
                <w:color w:val="auto"/>
                <w:sz w:val="18"/>
                <w:szCs w:val="18"/>
                <w:highlight w:val="none"/>
              </w:rPr>
              <w:t>R</w:t>
            </w:r>
            <w:r>
              <w:rPr>
                <w:rFonts w:ascii="Calibri" w:hAnsi="Calibri"/>
                <w:color w:val="auto"/>
                <w:sz w:val="18"/>
                <w:szCs w:val="18"/>
                <w:highlight w:val="none"/>
                <w:vertAlign w:val="superscript"/>
              </w:rPr>
              <w:t>2</w:t>
            </w:r>
          </w:p>
        </w:tc>
      </w:tr>
      <w:tr w14:paraId="25F083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restart"/>
            <w:tcBorders>
              <w:top w:val="single" w:color="auto" w:sz="4" w:space="0"/>
              <w:bottom w:val="nil"/>
            </w:tcBorders>
            <w:vAlign w:val="center"/>
          </w:tcPr>
          <w:p w14:paraId="6E16CBE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NCA1</w:t>
            </w:r>
          </w:p>
        </w:tc>
        <w:tc>
          <w:tcPr>
            <w:tcW w:w="1347" w:type="pct"/>
            <w:tcBorders>
              <w:top w:val="single" w:color="auto" w:sz="4" w:space="0"/>
              <w:bottom w:val="nil"/>
            </w:tcBorders>
            <w:vAlign w:val="center"/>
          </w:tcPr>
          <w:p w14:paraId="7B991FE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COA-BP-Wiener</w:t>
            </w:r>
          </w:p>
        </w:tc>
        <w:tc>
          <w:tcPr>
            <w:tcW w:w="870" w:type="pct"/>
            <w:tcBorders>
              <w:top w:val="single" w:color="auto" w:sz="4" w:space="0"/>
              <w:bottom w:val="nil"/>
            </w:tcBorders>
            <w:vAlign w:val="center"/>
          </w:tcPr>
          <w:p w14:paraId="3C69C9B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7.2345</w:t>
            </w:r>
          </w:p>
        </w:tc>
        <w:tc>
          <w:tcPr>
            <w:tcW w:w="1006" w:type="pct"/>
            <w:tcBorders>
              <w:top w:val="single" w:color="auto" w:sz="4" w:space="0"/>
              <w:bottom w:val="nil"/>
            </w:tcBorders>
            <w:vAlign w:val="center"/>
          </w:tcPr>
          <w:p w14:paraId="416D5C5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5.6781</w:t>
            </w:r>
          </w:p>
        </w:tc>
        <w:tc>
          <w:tcPr>
            <w:tcW w:w="1007" w:type="pct"/>
            <w:tcBorders>
              <w:top w:val="single" w:color="auto" w:sz="4" w:space="0"/>
              <w:bottom w:val="nil"/>
            </w:tcBorders>
            <w:vAlign w:val="center"/>
          </w:tcPr>
          <w:p w14:paraId="1B7D033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0.9949</w:t>
            </w:r>
          </w:p>
        </w:tc>
      </w:tr>
      <w:tr w14:paraId="5A8C5A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tcBorders>
              <w:top w:val="nil"/>
              <w:bottom w:val="nil"/>
            </w:tcBorders>
            <w:vAlign w:val="center"/>
          </w:tcPr>
          <w:p w14:paraId="16FE6716">
            <w:pPr>
              <w:adjustRightInd w:val="0"/>
              <w:snapToGrid w:val="0"/>
              <w:jc w:val="center"/>
              <w:rPr>
                <w:rFonts w:ascii="Calibri" w:hAnsi="Calibri"/>
                <w:color w:val="auto"/>
                <w:sz w:val="18"/>
                <w:szCs w:val="18"/>
                <w:highlight w:val="none"/>
              </w:rPr>
            </w:pPr>
          </w:p>
        </w:tc>
        <w:tc>
          <w:tcPr>
            <w:tcW w:w="1347" w:type="pct"/>
            <w:tcBorders>
              <w:top w:val="nil"/>
              <w:bottom w:val="nil"/>
            </w:tcBorders>
            <w:vAlign w:val="center"/>
          </w:tcPr>
          <w:p w14:paraId="38C56F4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DBO-BP-Wiener</w:t>
            </w:r>
          </w:p>
        </w:tc>
        <w:tc>
          <w:tcPr>
            <w:tcW w:w="870" w:type="pct"/>
            <w:tcBorders>
              <w:top w:val="nil"/>
              <w:bottom w:val="nil"/>
            </w:tcBorders>
            <w:vAlign w:val="center"/>
          </w:tcPr>
          <w:p w14:paraId="094A46FE">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9.9686</w:t>
            </w:r>
          </w:p>
        </w:tc>
        <w:tc>
          <w:tcPr>
            <w:tcW w:w="1006" w:type="pct"/>
            <w:tcBorders>
              <w:top w:val="nil"/>
              <w:bottom w:val="nil"/>
            </w:tcBorders>
            <w:vAlign w:val="center"/>
          </w:tcPr>
          <w:p w14:paraId="0192361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8.5018</w:t>
            </w:r>
          </w:p>
        </w:tc>
        <w:tc>
          <w:tcPr>
            <w:tcW w:w="1007" w:type="pct"/>
            <w:tcBorders>
              <w:top w:val="nil"/>
              <w:bottom w:val="nil"/>
            </w:tcBorders>
            <w:vAlign w:val="center"/>
          </w:tcPr>
          <w:p w14:paraId="61321CE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0.9904</w:t>
            </w:r>
          </w:p>
        </w:tc>
      </w:tr>
      <w:tr w14:paraId="1AE01B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tcBorders>
              <w:top w:val="nil"/>
              <w:bottom w:val="nil"/>
            </w:tcBorders>
            <w:vAlign w:val="center"/>
          </w:tcPr>
          <w:p w14:paraId="55706B93">
            <w:pPr>
              <w:adjustRightInd w:val="0"/>
              <w:snapToGrid w:val="0"/>
              <w:jc w:val="center"/>
              <w:rPr>
                <w:rFonts w:ascii="Calibri" w:hAnsi="Calibri"/>
                <w:color w:val="auto"/>
                <w:sz w:val="18"/>
                <w:szCs w:val="18"/>
                <w:highlight w:val="none"/>
              </w:rPr>
            </w:pPr>
          </w:p>
        </w:tc>
        <w:tc>
          <w:tcPr>
            <w:tcW w:w="1347" w:type="pct"/>
            <w:tcBorders>
              <w:top w:val="nil"/>
              <w:bottom w:val="nil"/>
            </w:tcBorders>
            <w:vAlign w:val="center"/>
          </w:tcPr>
          <w:p w14:paraId="54DBC41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LSTM-Wiener</w:t>
            </w:r>
          </w:p>
        </w:tc>
        <w:tc>
          <w:tcPr>
            <w:tcW w:w="870" w:type="pct"/>
            <w:tcBorders>
              <w:top w:val="nil"/>
              <w:bottom w:val="nil"/>
            </w:tcBorders>
            <w:vAlign w:val="center"/>
          </w:tcPr>
          <w:p w14:paraId="0DFD759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12.9856</w:t>
            </w:r>
          </w:p>
        </w:tc>
        <w:tc>
          <w:tcPr>
            <w:tcW w:w="1006" w:type="pct"/>
            <w:tcBorders>
              <w:top w:val="nil"/>
              <w:bottom w:val="nil"/>
            </w:tcBorders>
            <w:vAlign w:val="center"/>
          </w:tcPr>
          <w:p w14:paraId="4F955BF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9.7371</w:t>
            </w:r>
          </w:p>
        </w:tc>
        <w:tc>
          <w:tcPr>
            <w:tcW w:w="1007" w:type="pct"/>
            <w:tcBorders>
              <w:top w:val="nil"/>
              <w:bottom w:val="nil"/>
            </w:tcBorders>
            <w:vAlign w:val="center"/>
          </w:tcPr>
          <w:p w14:paraId="2FF6672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0.9837</w:t>
            </w:r>
          </w:p>
        </w:tc>
      </w:tr>
      <w:tr w14:paraId="084AB9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tcBorders>
              <w:top w:val="nil"/>
              <w:bottom w:val="nil"/>
            </w:tcBorders>
            <w:vAlign w:val="center"/>
          </w:tcPr>
          <w:p w14:paraId="227DCAA2">
            <w:pPr>
              <w:adjustRightInd w:val="0"/>
              <w:snapToGrid w:val="0"/>
              <w:jc w:val="center"/>
              <w:rPr>
                <w:rFonts w:ascii="Calibri" w:hAnsi="Calibri"/>
                <w:color w:val="auto"/>
                <w:sz w:val="18"/>
                <w:szCs w:val="18"/>
                <w:highlight w:val="none"/>
              </w:rPr>
            </w:pPr>
          </w:p>
        </w:tc>
        <w:tc>
          <w:tcPr>
            <w:tcW w:w="1347" w:type="pct"/>
            <w:tcBorders>
              <w:top w:val="nil"/>
              <w:bottom w:val="nil"/>
            </w:tcBorders>
            <w:vAlign w:val="center"/>
          </w:tcPr>
          <w:p w14:paraId="4ED3762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BP-Wiener</w:t>
            </w:r>
          </w:p>
        </w:tc>
        <w:tc>
          <w:tcPr>
            <w:tcW w:w="870" w:type="pct"/>
            <w:tcBorders>
              <w:top w:val="nil"/>
              <w:bottom w:val="nil"/>
            </w:tcBorders>
            <w:vAlign w:val="center"/>
          </w:tcPr>
          <w:p w14:paraId="2169879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14.2500</w:t>
            </w:r>
          </w:p>
        </w:tc>
        <w:tc>
          <w:tcPr>
            <w:tcW w:w="1006" w:type="pct"/>
            <w:tcBorders>
              <w:top w:val="nil"/>
              <w:bottom w:val="nil"/>
            </w:tcBorders>
            <w:vAlign w:val="center"/>
          </w:tcPr>
          <w:p w14:paraId="6882C31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12.7085</w:t>
            </w:r>
          </w:p>
        </w:tc>
        <w:tc>
          <w:tcPr>
            <w:tcW w:w="1007" w:type="pct"/>
            <w:tcBorders>
              <w:top w:val="nil"/>
              <w:bottom w:val="nil"/>
            </w:tcBorders>
            <w:vAlign w:val="center"/>
          </w:tcPr>
          <w:p w14:paraId="7B83BF3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0.9803</w:t>
            </w:r>
          </w:p>
        </w:tc>
      </w:tr>
      <w:tr w14:paraId="040AD8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tcBorders>
              <w:top w:val="nil"/>
              <w:bottom w:val="single" w:color="auto" w:sz="4" w:space="0"/>
            </w:tcBorders>
            <w:vAlign w:val="center"/>
          </w:tcPr>
          <w:p w14:paraId="35BE497E">
            <w:pPr>
              <w:adjustRightInd w:val="0"/>
              <w:snapToGrid w:val="0"/>
              <w:jc w:val="center"/>
              <w:rPr>
                <w:rFonts w:ascii="Calibri" w:hAnsi="Calibri"/>
                <w:color w:val="auto"/>
                <w:sz w:val="18"/>
                <w:szCs w:val="18"/>
                <w:highlight w:val="none"/>
              </w:rPr>
            </w:pPr>
          </w:p>
        </w:tc>
        <w:tc>
          <w:tcPr>
            <w:tcW w:w="1347" w:type="pct"/>
            <w:tcBorders>
              <w:top w:val="nil"/>
              <w:bottom w:val="single" w:color="auto" w:sz="4" w:space="0"/>
            </w:tcBorders>
            <w:vAlign w:val="center"/>
          </w:tcPr>
          <w:p w14:paraId="601641B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70" w:type="pct"/>
            <w:tcBorders>
              <w:top w:val="nil"/>
              <w:bottom w:val="single" w:color="auto" w:sz="4" w:space="0"/>
            </w:tcBorders>
            <w:vAlign w:val="center"/>
          </w:tcPr>
          <w:p w14:paraId="50E4B6C4">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31.4948</w:t>
            </w:r>
          </w:p>
        </w:tc>
        <w:tc>
          <w:tcPr>
            <w:tcW w:w="1006" w:type="pct"/>
            <w:tcBorders>
              <w:top w:val="nil"/>
              <w:bottom w:val="single" w:color="auto" w:sz="4" w:space="0"/>
            </w:tcBorders>
            <w:vAlign w:val="center"/>
          </w:tcPr>
          <w:p w14:paraId="7144658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21.6244</w:t>
            </w:r>
          </w:p>
        </w:tc>
        <w:tc>
          <w:tcPr>
            <w:tcW w:w="1007" w:type="pct"/>
            <w:tcBorders>
              <w:top w:val="nil"/>
              <w:bottom w:val="single" w:color="auto" w:sz="4" w:space="0"/>
            </w:tcBorders>
            <w:vAlign w:val="center"/>
          </w:tcPr>
          <w:p w14:paraId="67F6D9B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0.9039</w:t>
            </w:r>
          </w:p>
        </w:tc>
      </w:tr>
      <w:tr w14:paraId="446AA9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restart"/>
            <w:tcBorders>
              <w:top w:val="single" w:color="auto" w:sz="4" w:space="0"/>
            </w:tcBorders>
            <w:vAlign w:val="center"/>
          </w:tcPr>
          <w:p w14:paraId="2F1FDDD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NCA2</w:t>
            </w:r>
          </w:p>
        </w:tc>
        <w:tc>
          <w:tcPr>
            <w:tcW w:w="1347" w:type="pct"/>
            <w:tcBorders>
              <w:top w:val="single" w:color="auto" w:sz="4" w:space="0"/>
            </w:tcBorders>
            <w:vAlign w:val="center"/>
          </w:tcPr>
          <w:p w14:paraId="748D93C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COA-BP-Wiener</w:t>
            </w:r>
          </w:p>
        </w:tc>
        <w:tc>
          <w:tcPr>
            <w:tcW w:w="870" w:type="pct"/>
            <w:tcBorders>
              <w:top w:val="single" w:color="auto" w:sz="4" w:space="0"/>
            </w:tcBorders>
            <w:vAlign w:val="center"/>
          </w:tcPr>
          <w:p w14:paraId="766B5F5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11.3137</w:t>
            </w:r>
          </w:p>
        </w:tc>
        <w:tc>
          <w:tcPr>
            <w:tcW w:w="1006" w:type="pct"/>
            <w:tcBorders>
              <w:top w:val="single" w:color="auto" w:sz="4" w:space="0"/>
            </w:tcBorders>
            <w:vAlign w:val="center"/>
          </w:tcPr>
          <w:p w14:paraId="10352D8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8.2746</w:t>
            </w:r>
          </w:p>
        </w:tc>
        <w:tc>
          <w:tcPr>
            <w:tcW w:w="1007" w:type="pct"/>
            <w:tcBorders>
              <w:top w:val="single" w:color="auto" w:sz="4" w:space="0"/>
            </w:tcBorders>
            <w:vAlign w:val="center"/>
          </w:tcPr>
          <w:p w14:paraId="631F5772">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0.9872</w:t>
            </w:r>
          </w:p>
        </w:tc>
      </w:tr>
      <w:tr w14:paraId="10F7D8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vAlign w:val="center"/>
          </w:tcPr>
          <w:p w14:paraId="4AEF9B9D">
            <w:pPr>
              <w:adjustRightInd w:val="0"/>
              <w:snapToGrid w:val="0"/>
              <w:jc w:val="center"/>
              <w:rPr>
                <w:rFonts w:ascii="Calibri" w:hAnsi="Calibri"/>
                <w:color w:val="auto"/>
                <w:sz w:val="18"/>
                <w:szCs w:val="18"/>
                <w:highlight w:val="none"/>
              </w:rPr>
            </w:pPr>
          </w:p>
        </w:tc>
        <w:tc>
          <w:tcPr>
            <w:tcW w:w="1347" w:type="pct"/>
            <w:vAlign w:val="center"/>
          </w:tcPr>
          <w:p w14:paraId="6531BF88">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DBO-BP-Wiener</w:t>
            </w:r>
          </w:p>
        </w:tc>
        <w:tc>
          <w:tcPr>
            <w:tcW w:w="870" w:type="pct"/>
            <w:vAlign w:val="center"/>
          </w:tcPr>
          <w:p w14:paraId="408DBB05">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35.0278</w:t>
            </w:r>
          </w:p>
        </w:tc>
        <w:tc>
          <w:tcPr>
            <w:tcW w:w="1006" w:type="pct"/>
            <w:vAlign w:val="center"/>
          </w:tcPr>
          <w:p w14:paraId="184C76E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31.4250</w:t>
            </w:r>
          </w:p>
        </w:tc>
        <w:tc>
          <w:tcPr>
            <w:tcW w:w="1007" w:type="pct"/>
            <w:vAlign w:val="center"/>
          </w:tcPr>
          <w:p w14:paraId="487A255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0.8777</w:t>
            </w:r>
          </w:p>
        </w:tc>
      </w:tr>
      <w:tr w14:paraId="15E1B7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vAlign w:val="center"/>
          </w:tcPr>
          <w:p w14:paraId="0F40E6D4">
            <w:pPr>
              <w:adjustRightInd w:val="0"/>
              <w:snapToGrid w:val="0"/>
              <w:jc w:val="center"/>
              <w:rPr>
                <w:rFonts w:ascii="Calibri" w:hAnsi="Calibri"/>
                <w:color w:val="auto"/>
                <w:sz w:val="18"/>
                <w:szCs w:val="18"/>
                <w:highlight w:val="none"/>
              </w:rPr>
            </w:pPr>
          </w:p>
        </w:tc>
        <w:tc>
          <w:tcPr>
            <w:tcW w:w="1347" w:type="pct"/>
            <w:vAlign w:val="center"/>
          </w:tcPr>
          <w:p w14:paraId="47E41567">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LSTM-Wiener</w:t>
            </w:r>
          </w:p>
        </w:tc>
        <w:tc>
          <w:tcPr>
            <w:tcW w:w="870" w:type="pct"/>
            <w:vAlign w:val="center"/>
          </w:tcPr>
          <w:p w14:paraId="1415E7B6">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31.8762</w:t>
            </w:r>
          </w:p>
        </w:tc>
        <w:tc>
          <w:tcPr>
            <w:tcW w:w="1006" w:type="pct"/>
            <w:vAlign w:val="center"/>
          </w:tcPr>
          <w:p w14:paraId="2766FC0C">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27.4215</w:t>
            </w:r>
          </w:p>
        </w:tc>
        <w:tc>
          <w:tcPr>
            <w:tcW w:w="1007" w:type="pct"/>
            <w:vAlign w:val="center"/>
          </w:tcPr>
          <w:p w14:paraId="34E0246A">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0.8987</w:t>
            </w:r>
          </w:p>
        </w:tc>
      </w:tr>
      <w:tr w14:paraId="1F5428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vAlign w:val="center"/>
          </w:tcPr>
          <w:p w14:paraId="0F5C820A">
            <w:pPr>
              <w:adjustRightInd w:val="0"/>
              <w:snapToGrid w:val="0"/>
              <w:jc w:val="center"/>
              <w:rPr>
                <w:rFonts w:ascii="Calibri" w:hAnsi="Calibri"/>
                <w:color w:val="auto"/>
                <w:sz w:val="18"/>
                <w:szCs w:val="18"/>
                <w:highlight w:val="none"/>
              </w:rPr>
            </w:pPr>
          </w:p>
        </w:tc>
        <w:tc>
          <w:tcPr>
            <w:tcW w:w="1347" w:type="pct"/>
            <w:vAlign w:val="center"/>
          </w:tcPr>
          <w:p w14:paraId="6AF56949">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BP-Wiener</w:t>
            </w:r>
          </w:p>
        </w:tc>
        <w:tc>
          <w:tcPr>
            <w:tcW w:w="870" w:type="pct"/>
            <w:vAlign w:val="center"/>
          </w:tcPr>
          <w:p w14:paraId="63D5037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37.4992</w:t>
            </w:r>
          </w:p>
        </w:tc>
        <w:tc>
          <w:tcPr>
            <w:tcW w:w="1006" w:type="pct"/>
            <w:vAlign w:val="center"/>
          </w:tcPr>
          <w:p w14:paraId="7DF1CB81">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33.2770</w:t>
            </w:r>
          </w:p>
        </w:tc>
        <w:tc>
          <w:tcPr>
            <w:tcW w:w="1007" w:type="pct"/>
            <w:vAlign w:val="center"/>
          </w:tcPr>
          <w:p w14:paraId="401922AD">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0.8599</w:t>
            </w:r>
          </w:p>
        </w:tc>
      </w:tr>
      <w:tr w14:paraId="41169A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0" w:type="pct"/>
            <w:vMerge w:val="continue"/>
            <w:vAlign w:val="center"/>
          </w:tcPr>
          <w:p w14:paraId="7AAD43A4">
            <w:pPr>
              <w:adjustRightInd w:val="0"/>
              <w:snapToGrid w:val="0"/>
              <w:jc w:val="center"/>
              <w:rPr>
                <w:rFonts w:ascii="Calibri" w:hAnsi="Calibri"/>
                <w:color w:val="auto"/>
                <w:sz w:val="18"/>
                <w:szCs w:val="18"/>
                <w:highlight w:val="none"/>
              </w:rPr>
            </w:pPr>
          </w:p>
        </w:tc>
        <w:tc>
          <w:tcPr>
            <w:tcW w:w="1347" w:type="pct"/>
            <w:vAlign w:val="center"/>
          </w:tcPr>
          <w:p w14:paraId="6408D340">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BP</w:t>
            </w:r>
          </w:p>
        </w:tc>
        <w:tc>
          <w:tcPr>
            <w:tcW w:w="870" w:type="pct"/>
            <w:vAlign w:val="center"/>
          </w:tcPr>
          <w:p w14:paraId="419D3503">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42.1410</w:t>
            </w:r>
          </w:p>
        </w:tc>
        <w:tc>
          <w:tcPr>
            <w:tcW w:w="1006" w:type="pct"/>
            <w:vAlign w:val="center"/>
          </w:tcPr>
          <w:p w14:paraId="47078A1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29.7028</w:t>
            </w:r>
          </w:p>
        </w:tc>
        <w:tc>
          <w:tcPr>
            <w:tcW w:w="1007" w:type="pct"/>
            <w:vAlign w:val="center"/>
          </w:tcPr>
          <w:p w14:paraId="074A1BBB">
            <w:pPr>
              <w:adjustRightInd w:val="0"/>
              <w:snapToGrid w:val="0"/>
              <w:jc w:val="center"/>
              <w:rPr>
                <w:rFonts w:ascii="Calibri" w:hAnsi="Calibri"/>
                <w:color w:val="auto"/>
                <w:sz w:val="18"/>
                <w:szCs w:val="18"/>
                <w:highlight w:val="none"/>
              </w:rPr>
            </w:pPr>
            <w:r>
              <w:rPr>
                <w:rFonts w:ascii="Calibri" w:hAnsi="Calibri"/>
                <w:color w:val="auto"/>
                <w:sz w:val="18"/>
                <w:szCs w:val="18"/>
                <w:highlight w:val="none"/>
              </w:rPr>
              <w:t>0.8230</w:t>
            </w:r>
          </w:p>
        </w:tc>
      </w:tr>
    </w:tbl>
    <w:p w14:paraId="1B2AF6E9">
      <w:pPr>
        <w:adjustRightInd w:val="0"/>
        <w:snapToGrid w:val="0"/>
        <w:ind w:firstLine="420" w:firstLineChars="200"/>
        <w:rPr>
          <w:color w:val="auto"/>
          <w:szCs w:val="21"/>
          <w:highlight w:val="none"/>
        </w:rPr>
      </w:pPr>
      <w:r>
        <w:rPr>
          <w:color w:val="auto"/>
          <w:szCs w:val="21"/>
          <w:highlight w:val="none"/>
        </w:rPr>
        <w:t>表11展示了NCA1与NCA2电池的</w:t>
      </w:r>
      <w:r>
        <w:rPr>
          <w:i/>
          <w:iCs/>
          <w:color w:val="auto"/>
          <w:szCs w:val="21"/>
          <w:highlight w:val="none"/>
        </w:rPr>
        <w:t>RUL</w:t>
      </w:r>
      <w:r>
        <w:rPr>
          <w:color w:val="auto"/>
          <w:szCs w:val="21"/>
          <w:highlight w:val="none"/>
        </w:rPr>
        <w:t>预测性能指标。COA-BP-Wiener模型在两项实验中各项指标整体表现较优，预测误差低于其他对比算法。</w:t>
      </w:r>
    </w:p>
    <w:p w14:paraId="5A4F082F">
      <w:pPr>
        <w:adjustRightInd w:val="0"/>
        <w:snapToGrid w:val="0"/>
        <w:ind w:firstLine="420" w:firstLineChars="200"/>
        <w:rPr>
          <w:color w:val="auto"/>
          <w:highlight w:val="none"/>
        </w:rPr>
      </w:pPr>
      <w:r>
        <w:rPr>
          <w:color w:val="auto"/>
          <w:highlight w:val="none"/>
        </w:rPr>
        <w:t>以NCA1电池为例，该模型在</w:t>
      </w:r>
      <w:r>
        <w:rPr>
          <w:i/>
          <w:iCs/>
          <w:color w:val="auto"/>
          <w:highlight w:val="none"/>
        </w:rPr>
        <w:t>RMSE、MAE</w:t>
      </w:r>
      <w:r>
        <w:rPr>
          <w:color w:val="auto"/>
          <w:highlight w:val="none"/>
        </w:rPr>
        <w:t>和</w:t>
      </w:r>
      <w:r>
        <w:rPr>
          <w:i/>
          <w:iCs/>
          <w:color w:val="auto"/>
          <w:highlight w:val="none"/>
        </w:rPr>
        <w:t>R</w:t>
      </w:r>
      <w:r>
        <w:rPr>
          <w:color w:val="auto"/>
          <w:highlight w:val="none"/>
        </w:rPr>
        <w:t>²上均取得较优结果。相较于其他对比算法，其预测的</w:t>
      </w:r>
      <w:r>
        <w:rPr>
          <w:i/>
          <w:iCs/>
          <w:color w:val="auto"/>
          <w:highlight w:val="none"/>
        </w:rPr>
        <w:t>RMS</w:t>
      </w:r>
      <w:r>
        <w:rPr>
          <w:color w:val="auto"/>
          <w:highlight w:val="none"/>
        </w:rPr>
        <w:t>E降低幅度在27.43%~77.03%之间，</w:t>
      </w:r>
      <w:r>
        <w:rPr>
          <w:i/>
          <w:iCs/>
          <w:color w:val="auto"/>
          <w:highlight w:val="none"/>
        </w:rPr>
        <w:t>MAE</w:t>
      </w:r>
      <w:r>
        <w:rPr>
          <w:color w:val="auto"/>
          <w:highlight w:val="none"/>
        </w:rPr>
        <w:t>降低幅度在33.21%~73.74%之间，</w:t>
      </w:r>
      <w:r>
        <w:rPr>
          <w:i/>
          <w:iCs/>
          <w:color w:val="auto"/>
          <w:highlight w:val="none"/>
        </w:rPr>
        <w:t>R</w:t>
      </w:r>
      <w:r>
        <w:rPr>
          <w:color w:val="auto"/>
          <w:highlight w:val="none"/>
        </w:rPr>
        <w:t>²提升幅度在0.45%~10.07%之间。</w:t>
      </w:r>
    </w:p>
    <w:p w14:paraId="24F9CE1D">
      <w:pPr>
        <w:adjustRightInd w:val="0"/>
        <w:snapToGrid w:val="0"/>
        <w:ind w:firstLine="420" w:firstLineChars="200"/>
        <w:rPr>
          <w:color w:val="auto"/>
          <w:szCs w:val="21"/>
          <w:highlight w:val="none"/>
        </w:rPr>
      </w:pPr>
      <w:r>
        <w:rPr>
          <w:color w:val="auto"/>
          <w:highlight w:val="none"/>
        </w:rPr>
        <w:t>在NCA2电池上，模型同样展现出较高的性能优势：相较于其他对比算法，其</w:t>
      </w:r>
      <w:r>
        <w:rPr>
          <w:i/>
          <w:iCs/>
          <w:color w:val="auto"/>
          <w:highlight w:val="none"/>
        </w:rPr>
        <w:t>RMSE</w:t>
      </w:r>
      <w:r>
        <w:rPr>
          <w:color w:val="auto"/>
          <w:highlight w:val="none"/>
        </w:rPr>
        <w:t>降低幅度在67.70%~73.15%之间，</w:t>
      </w:r>
      <w:r>
        <w:rPr>
          <w:i/>
          <w:iCs/>
          <w:color w:val="auto"/>
          <w:highlight w:val="none"/>
        </w:rPr>
        <w:t>MAE</w:t>
      </w:r>
      <w:r>
        <w:rPr>
          <w:color w:val="auto"/>
          <w:highlight w:val="none"/>
        </w:rPr>
        <w:t>降低幅度在73.67%~75.13%之间，</w:t>
      </w:r>
      <w:r>
        <w:rPr>
          <w:i/>
          <w:iCs/>
          <w:color w:val="auto"/>
          <w:highlight w:val="none"/>
        </w:rPr>
        <w:t>R</w:t>
      </w:r>
      <w:r>
        <w:rPr>
          <w:color w:val="auto"/>
          <w:highlight w:val="none"/>
        </w:rPr>
        <w:t>²提升幅度在12.48%~19.95%之间。</w:t>
      </w:r>
    </w:p>
    <w:p w14:paraId="1E64FC9D">
      <w:pPr>
        <w:adjustRightInd w:val="0"/>
        <w:snapToGrid w:val="0"/>
        <w:ind w:firstLine="420" w:firstLineChars="200"/>
        <w:rPr>
          <w:color w:val="auto"/>
          <w:szCs w:val="21"/>
          <w:highlight w:val="none"/>
        </w:rPr>
      </w:pPr>
      <w:r>
        <w:rPr>
          <w:color w:val="auto"/>
          <w:szCs w:val="21"/>
          <w:highlight w:val="none"/>
        </w:rPr>
        <w:t>上述结果表明，COA-BP-Wiener模型在本研究所测试的不同电池类型、温度与倍率条件下表现出较好的预测性能和一定的适用性。</w:t>
      </w:r>
    </w:p>
    <w:p w14:paraId="233BD0DA">
      <w:pPr>
        <w:adjustRightInd w:val="0"/>
        <w:snapToGrid w:val="0"/>
        <w:rPr>
          <w:rFonts w:hint="eastAsia" w:ascii="宋体" w:hAnsi="宋体"/>
          <w:bCs/>
          <w:color w:val="auto"/>
          <w:sz w:val="28"/>
          <w:szCs w:val="28"/>
          <w:highlight w:val="none"/>
        </w:rPr>
      </w:pPr>
      <w:r>
        <w:rPr>
          <w:rFonts w:ascii="宋体" w:hAnsi="宋体"/>
          <w:bCs/>
          <w:color w:val="auto"/>
          <w:sz w:val="28"/>
          <w:szCs w:val="28"/>
          <w:highlight w:val="none"/>
        </w:rPr>
        <w:t>4 结论</w:t>
      </w:r>
    </w:p>
    <w:p w14:paraId="48C80F6A">
      <w:pPr>
        <w:adjustRightInd w:val="0"/>
        <w:snapToGrid w:val="0"/>
        <w:ind w:firstLine="420" w:firstLineChars="200"/>
        <w:rPr>
          <w:color w:val="auto"/>
          <w:szCs w:val="21"/>
          <w:highlight w:val="none"/>
        </w:rPr>
      </w:pPr>
      <w:r>
        <w:rPr>
          <w:color w:val="auto"/>
          <w:szCs w:val="21"/>
          <w:highlight w:val="none"/>
        </w:rPr>
        <w:t>针对锂离子电池</w:t>
      </w:r>
      <w:r>
        <w:rPr>
          <w:i/>
          <w:iCs/>
          <w:color w:val="auto"/>
          <w:szCs w:val="21"/>
          <w:highlight w:val="none"/>
        </w:rPr>
        <w:t>RUL</w:t>
      </w:r>
      <w:r>
        <w:rPr>
          <w:color w:val="auto"/>
          <w:szCs w:val="21"/>
          <w:highlight w:val="none"/>
        </w:rPr>
        <w:t>预测中存在的非线性强、随机性大及不确定性难以量化问题，本研究提出了一种融合COA-BP模型与Wiener过程的两阶段预测方法。首先，选取恒流充电时间作为健康因子，利用COA优化BP神经网络的初始权重与阈值，构建COA-BP模型，实现对电池老化轨迹的较好跟踪。随后，基于Wiener过程建立随机退化模型，利用预测得到的健康状态序列估计漂移系数与扩散系数，最终实现</w:t>
      </w:r>
      <w:r>
        <w:rPr>
          <w:i/>
          <w:iCs/>
          <w:color w:val="auto"/>
          <w:szCs w:val="21"/>
          <w:highlight w:val="none"/>
        </w:rPr>
        <w:t>RUL</w:t>
      </w:r>
      <w:r>
        <w:rPr>
          <w:color w:val="auto"/>
          <w:szCs w:val="21"/>
          <w:highlight w:val="none"/>
        </w:rPr>
        <w:t>的概率性预测。实验研究表明：</w:t>
      </w:r>
    </w:p>
    <w:p w14:paraId="3E0435A4">
      <w:pPr>
        <w:adjustRightInd w:val="0"/>
        <w:snapToGrid w:val="0"/>
        <w:ind w:firstLine="420" w:firstLineChars="200"/>
        <w:rPr>
          <w:color w:val="auto"/>
          <w:szCs w:val="21"/>
          <w:highlight w:val="none"/>
        </w:rPr>
      </w:pPr>
      <w:r>
        <w:rPr>
          <w:color w:val="auto"/>
          <w:szCs w:val="21"/>
          <w:highlight w:val="none"/>
        </w:rPr>
        <w:t>（1）在健康状态预测阶段，针对神经网络模型对初始权重敏感且易陷入局部最优的问题，本研究引入的COA算法展现了较好的全局寻优能力。实验表明，COA-BP模型能够有效捕捉电池老化过程中的非线性退化特征，提升了</w:t>
      </w:r>
      <w:r>
        <w:rPr>
          <w:i/>
          <w:iCs/>
          <w:color w:val="auto"/>
          <w:szCs w:val="21"/>
          <w:highlight w:val="none"/>
        </w:rPr>
        <w:t>HI</w:t>
      </w:r>
      <w:r>
        <w:rPr>
          <w:color w:val="auto"/>
          <w:szCs w:val="21"/>
          <w:highlight w:val="none"/>
        </w:rPr>
        <w:t>的预测精度。相比于传统神经网络模型，该方法在不同电池数据集上均实现了更低的误差，为后续的寿命预测提供了高质量的退化轨迹基准。</w:t>
      </w:r>
    </w:p>
    <w:p w14:paraId="428AB024">
      <w:pPr>
        <w:adjustRightInd w:val="0"/>
        <w:snapToGrid w:val="0"/>
        <w:ind w:firstLine="420" w:firstLineChars="200"/>
        <w:rPr>
          <w:color w:val="auto"/>
          <w:szCs w:val="21"/>
          <w:highlight w:val="none"/>
        </w:rPr>
      </w:pPr>
      <w:r>
        <w:rPr>
          <w:color w:val="auto"/>
          <w:szCs w:val="21"/>
          <w:highlight w:val="none"/>
        </w:rPr>
        <w:t>（2）在剩余寿命预测阶段，引入Wiener过程对电池退化中的随机性与不确定性进行刻画。基于前述</w:t>
      </w:r>
      <w:r>
        <w:rPr>
          <w:i/>
          <w:iCs/>
          <w:color w:val="auto"/>
          <w:szCs w:val="21"/>
          <w:highlight w:val="none"/>
        </w:rPr>
        <w:t>HI</w:t>
      </w:r>
      <w:r>
        <w:rPr>
          <w:color w:val="auto"/>
          <w:szCs w:val="21"/>
          <w:highlight w:val="none"/>
        </w:rPr>
        <w:t>预测结果，建立随机退化模型并实现</w:t>
      </w:r>
      <w:r>
        <w:rPr>
          <w:i/>
          <w:iCs/>
          <w:color w:val="auto"/>
          <w:szCs w:val="21"/>
          <w:highlight w:val="none"/>
        </w:rPr>
        <w:t>RUL</w:t>
      </w:r>
      <w:r>
        <w:rPr>
          <w:color w:val="auto"/>
          <w:szCs w:val="21"/>
          <w:highlight w:val="none"/>
        </w:rPr>
        <w:t>的预测。该方法在一定程度上改善了传统数据驱动模型在寿命后期外推能力不足的问题，使预测结果在接近失效阈值时表现出较好的收敛性与可靠性。</w:t>
      </w:r>
    </w:p>
    <w:p w14:paraId="5D942D91">
      <w:pPr>
        <w:adjustRightInd w:val="0"/>
        <w:snapToGrid w:val="0"/>
        <w:ind w:firstLine="420" w:firstLineChars="200"/>
        <w:rPr>
          <w:color w:val="auto"/>
          <w:szCs w:val="21"/>
          <w:highlight w:val="none"/>
        </w:rPr>
      </w:pPr>
      <w:r>
        <w:rPr>
          <w:color w:val="auto"/>
          <w:szCs w:val="21"/>
          <w:highlight w:val="none"/>
        </w:rPr>
        <w:t>综上所述，本研究构建的COA-BP-Wiener两阶段模型能够较为有效地刻画电池老化过程的非线性与随机性，在所测试电池数据上表现出较好的预测准确性与稳定性，可为锂离子电池剩余寿命概率预测提供参考。</w:t>
      </w:r>
    </w:p>
    <w:p w14:paraId="18A50160">
      <w:pPr>
        <w:pStyle w:val="7"/>
        <w:snapToGrid w:val="0"/>
        <w:spacing w:before="0" w:beforeAutospacing="0" w:after="0" w:afterAutospacing="0" w:line="276" w:lineRule="auto"/>
        <w:ind w:firstLine="420" w:firstLineChars="200"/>
        <w:jc w:val="both"/>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需要说明的是，本研究仍存在一定局限性。首先，实验主要基于有限数量的电池样本和特定实验条件开展，虽然进一步引入公开数据集对模型进行了验证，但模型在更多类型电池及更大规模样本上的适用性仍需进一步检验。其次，本研究实验条件相对稳定，尚未充分考虑不同环境温度、不同充放电倍率以及复杂实际运行工况对电池老化轨迹和</w:t>
      </w:r>
      <w:r>
        <w:rPr>
          <w:rFonts w:ascii="Times New Roman" w:hAnsi="Times New Roman" w:cs="Times New Roman"/>
          <w:i/>
          <w:iCs/>
          <w:color w:val="auto"/>
          <w:kern w:val="2"/>
          <w:sz w:val="21"/>
          <w:szCs w:val="21"/>
          <w:highlight w:val="none"/>
        </w:rPr>
        <w:t>RUL</w:t>
      </w:r>
      <w:r>
        <w:rPr>
          <w:rFonts w:ascii="Times New Roman" w:hAnsi="Times New Roman" w:cs="Times New Roman"/>
          <w:color w:val="auto"/>
          <w:kern w:val="2"/>
          <w:sz w:val="21"/>
          <w:szCs w:val="21"/>
          <w:highlight w:val="none"/>
        </w:rPr>
        <w:t>预测结果的影响。因此，后续研究将进一步扩展电池样本规模和工况范围，结合不同温度、不同倍率及实际运行场景下的老化数据，对模型的适用性进行更全面的验证。</w:t>
      </w:r>
    </w:p>
    <w:p w14:paraId="0D32705B">
      <w:pPr>
        <w:autoSpaceDE w:val="0"/>
        <w:autoSpaceDN w:val="0"/>
        <w:adjustRightInd w:val="0"/>
        <w:snapToGrid w:val="0"/>
        <w:ind w:hanging="271"/>
        <w:rPr>
          <w:rFonts w:eastAsia="黑体"/>
          <w:b/>
          <w:bCs/>
          <w:color w:val="auto"/>
          <w:szCs w:val="18"/>
          <w:highlight w:val="none"/>
        </w:rPr>
      </w:pPr>
    </w:p>
    <w:p w14:paraId="630D1A8A">
      <w:pPr>
        <w:autoSpaceDE w:val="0"/>
        <w:autoSpaceDN w:val="0"/>
        <w:adjustRightInd w:val="0"/>
        <w:snapToGrid w:val="0"/>
        <w:ind w:hanging="271"/>
        <w:rPr>
          <w:rFonts w:eastAsia="黑体"/>
          <w:b/>
          <w:bCs/>
          <w:color w:val="auto"/>
          <w:szCs w:val="18"/>
          <w:highlight w:val="none"/>
        </w:rPr>
      </w:pPr>
      <w:r>
        <w:rPr>
          <w:rFonts w:eastAsia="黑体"/>
          <w:b/>
          <w:bCs/>
          <w:color w:val="auto"/>
          <w:szCs w:val="18"/>
          <w:highlight w:val="none"/>
        </w:rPr>
        <w:t>参考文献</w:t>
      </w:r>
    </w:p>
    <w:p w14:paraId="08C004EA">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[1] 巫春玲, 吕晶晶, 相里康, 等. 基于变分模态分解和核极限学习机集成模型的电动汽车锂电池健康状态预测[J]. 电源学报, 2025, 23(</w:t>
      </w:r>
      <w:r>
        <w:rPr>
          <w:rFonts w:hint="eastAsia" w:ascii="Times New Roman" w:hAnsi="Times New Roman" w:eastAsia="宋体" w:cs="Times New Roman"/>
          <w:color w:val="auto"/>
          <w:sz w:val="16"/>
          <w:szCs w:val="16"/>
          <w:highlight w:val="none"/>
        </w:rPr>
        <w:t>6</w:t>
      </w:r>
      <w:r>
        <w:rPr>
          <w:rFonts w:hint="eastAsia" w:ascii="Times New Roman" w:hAnsi="Times New Roman" w:eastAsia="宋体" w:cs="Times New Roman"/>
          <w:color w:val="auto"/>
          <w:sz w:val="16"/>
          <w:szCs w:val="16"/>
          <w:highlight w:val="none"/>
        </w:rPr>
        <w:t>): 288-299.</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lang w:val="fr-FR"/>
        </w:rPr>
        <w:t xml:space="preserve">WU C L, LÜ J J, XIANGLI K, et al. </w:t>
      </w:r>
      <w:r>
        <w:rPr>
          <w:rFonts w:hint="eastAsia" w:ascii="Times New Roman" w:hAnsi="Times New Roman" w:eastAsia="宋体" w:cs="Times New Roman"/>
          <w:color w:val="auto"/>
          <w:sz w:val="16"/>
          <w:szCs w:val="16"/>
          <w:highlight w:val="none"/>
        </w:rPr>
        <w:t xml:space="preserve">SOH prediction of electric vehicle lithium battery based on integrated model of variation modal decomposition and kernel-based extreme learning machine[J]. Journal of Power Supply, 2025, 23(6): 288-299. </w:t>
      </w:r>
    </w:p>
    <w:p w14:paraId="4989443F">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 巫春玲, 王立顶, 卢勇, 等. 基于白鹭群优化高斯过程回归的锂电池SOH估计方法[J]. 储能科学与技术, 2025, 14(6): 2498-2511.</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WU C L, WANG L D, LU Y, et al. Lithium-ion batteries SOH estimation based on Gaussian processed regression optimized by egret swarm optimization[J]. Energy Storage Science and Technology, 2025, 14(6): 2498-2511. </w:t>
      </w:r>
    </w:p>
    <w:p w14:paraId="320C0A6A">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[3] 唐汉青, 王丽, 林名强, 等. 融合聚类与分类的退役锂离子电池快速分选[J]. 汽车工程, 2025, 47(6): 1048-1059.</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lang w:val="fr-FR"/>
        </w:rPr>
        <w:t xml:space="preserve">TANG H Q, WANG L, LIN M Q, et al. </w:t>
      </w:r>
      <w:r>
        <w:rPr>
          <w:rFonts w:hint="eastAsia" w:ascii="Times New Roman" w:hAnsi="Times New Roman" w:eastAsia="宋体" w:cs="Times New Roman"/>
          <w:color w:val="auto"/>
          <w:sz w:val="16"/>
          <w:szCs w:val="16"/>
          <w:highlight w:val="none"/>
        </w:rPr>
        <w:t xml:space="preserve">Rapid sorting of retired lithium-ion batteries by integrating clustering and classification[J]. Automotive Engineering, 2025, 47(6): 1048-1059. </w:t>
      </w:r>
    </w:p>
    <w:p w14:paraId="12F86312">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[4] 王乔, 李海英, 汪小琪, 等. 退役动力电池特性及分选方法研究[J]. 太阳能学报, 2025, 46(9): 273-283.</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WANG Q, LI H Y, WANG X Q, et al. Research on characteristics and sorting method of retired power batteries[J]. Acta Energiae Solaris Sinica, 2025, 46(9): 273-283. </w:t>
      </w:r>
    </w:p>
    <w:p w14:paraId="5DFD65DB">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[5] 巫春玲, 徐晨峰, 张湧, 等. 退役动力锂离子电池分选方法研究综述[J]. 电气工程学报, 2025, 20(2): 310-322.</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WU C L, XU C F, ZHANG Y, et al. Review of research methods on sorting of power lithium-ion retired batteries[J]. Journal of Electrical Engineering, 2025, 20(2): 310-322. </w:t>
      </w:r>
    </w:p>
    <w:p w14:paraId="5D3964DD">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[6] KONG J Z, LIU J, ZHU J Z, et al. Review on lithium-ion battery PHM from the perspective of key PHM steps[J]. Chinese Journal of Mechanical Engineering, 2024, 37: 71. </w:t>
      </w:r>
    </w:p>
    <w:p w14:paraId="7DDF581C">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[7] LV Y F, LUO W M, MO Y, et al. Investigation on the thermo-electric-electrochemical characteristics of retired LFP batteries for echelon applications[J]. RSC Advances, 2022, 12(22): 14127-14136. </w:t>
      </w:r>
    </w:p>
    <w:p w14:paraId="7C44249A">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[8] WANG J G, LI K R, ZHANG C, et al. Research on inconsistency evaluation of retired battery systems in real-world vehicles[J]. Batteries, 2024, 10(3): 82. </w:t>
      </w:r>
    </w:p>
    <w:p w14:paraId="5D3D20A7">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[9] WANG Y H, HUANG H H, WANG H X, et al. A fast estimation method for state-of-health of retired batteries based on health features[J]. Journal of Energy Storage, 2023, 72: 108677. </w:t>
      </w:r>
    </w:p>
    <w:p w14:paraId="0D1A987D">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lang w:val="fr-FR"/>
        </w:rPr>
        <w:t xml:space="preserve">[10] CHEN K, LUO Y, LONG Z, et al. </w:t>
      </w:r>
      <w:r>
        <w:rPr>
          <w:rFonts w:hint="eastAsia" w:ascii="Times New Roman" w:hAnsi="Times New Roman" w:eastAsia="宋体" w:cs="Times New Roman"/>
          <w:color w:val="auto"/>
          <w:sz w:val="16"/>
          <w:szCs w:val="16"/>
          <w:highlight w:val="none"/>
        </w:rPr>
        <w:t xml:space="preserve">Big data-driven prognostics and health management of lithium-ion batteries: A review[J]. Renewable and Sustainable Energy Reviews, 2025, 214: 115522. </w:t>
      </w:r>
    </w:p>
    <w:p w14:paraId="5058A383">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[11] KHALEG</w:t>
      </w:r>
      <w:r>
        <w:rPr>
          <w:rFonts w:hint="eastAsia" w:ascii="Times New Roman" w:hAnsi="Times New Roman" w:eastAsia="宋体" w:cs="Times New Roman"/>
          <w:i/>
          <w:color w:val="auto"/>
          <w:sz w:val="16"/>
          <w:szCs w:val="16"/>
          <w:highlight w:val="none"/>
        </w:rPr>
        <w:t>HI</w:t>
      </w:r>
      <w:r>
        <w:rPr>
          <w:rFonts w:hint="eastAsia" w:ascii="Times New Roman" w:hAnsi="Times New Roman" w:eastAsia="宋体" w:cs="Times New Roman"/>
          <w:color w:val="auto"/>
          <w:sz w:val="16"/>
          <w:szCs w:val="16"/>
          <w:highlight w:val="none"/>
        </w:rPr>
        <w:t xml:space="preserve"> S, HOSEN M S, KARIMI D, et al. Developing an online data-driven approach for prognostics and health management of lithium-ion batteries[J]. Applied Energy, 2022, 308: 118348. </w:t>
      </w:r>
    </w:p>
    <w:p w14:paraId="7385C9F4">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[12] WU C L, LIU B Y, MENG J H, et al. Game theory and kernel boost efficient clustering and echelon utilization for decommissioned Li-ion batteries of electric vehicles[J]. Journal of Power Sources, 2026, 671: 239587. </w:t>
      </w:r>
    </w:p>
    <w:p w14:paraId="6EA18F06">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[13] WU C L, XU C F, WANG L D, et al. Lithium-ion battery remaining useful life prediction based on data-driven and particle filter fusion model[J]. Green Energy and Intelligent Transportation, 2025, 4(5): 100267. </w:t>
      </w:r>
    </w:p>
    <w:p w14:paraId="46F8BCE9">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[14] 李炳金, 韩晓霞, 张文杰, 等. 锂离子电池剩余使用寿命预测方法综述[J]. 储能科学与技术, 2024, 13(4): 1266-1276.</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lang w:val="fr-FR"/>
        </w:rPr>
        <w:t xml:space="preserve">LI B J, HAN X X, ZHANG W J, et al. </w:t>
      </w:r>
      <w:r>
        <w:rPr>
          <w:rFonts w:hint="eastAsia" w:ascii="Times New Roman" w:hAnsi="Times New Roman" w:eastAsia="宋体" w:cs="Times New Roman"/>
          <w:color w:val="auto"/>
          <w:sz w:val="16"/>
          <w:szCs w:val="16"/>
          <w:highlight w:val="none"/>
        </w:rPr>
        <w:t xml:space="preserve">Review of the remaining useful life prediction methods for lithium-ion batteries[J]. Energy Storage Science and Technology, 2024, 13(4): 1266-1276. </w:t>
      </w:r>
    </w:p>
    <w:p w14:paraId="4F74077E">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[15] HASIB S A, ISLAM S, CHAKRABORTTY R K, et al. A comprehensive review of available battery datasets, RUL prediction approaches, and advanced battery management[J]. IEEE Access, 2021, 9: 86166-86193. </w:t>
      </w:r>
    </w:p>
    <w:p w14:paraId="3150463D">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[16] ROUTH B, GUHA A, MUKHOPADHYAY S, et al. Online co-estimation of the state-of-health, state-of-charge, and remaining-useful-life of lithium-ion batteries using a discrete capacity loss model[J]. IEEE Transactions on Transportation Electrification, 2025, 11(2): 6962-6975. </w:t>
      </w:r>
    </w:p>
    <w:p w14:paraId="6FA3675A">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[17] 陈景龙. 在轨卫星锂电池健康状态评估与寿命预测[D]. 哈尔滨: 哈尔滨工业大学, 2022.</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CHEN J L. State of health estimation and life prediction of lithium-ion batteries for satellite in orbit[D]. Harbin: Harbin Institute of Technology, 2022. </w:t>
      </w:r>
    </w:p>
    <w:p w14:paraId="6AC0D5B0">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[18] ZHANG Y X, FENG F, WANG S L, et al. Joint nonlinear-drift-driven wiener process-markov chain degradation switching model for adaptive online predicting lithium-ion battery remaining useful life[J]. Applied Energy, 2023, 341: 121043. </w:t>
      </w:r>
    </w:p>
    <w:p w14:paraId="02D2B3A8">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[19] LIN C P, LING M H, CABRERA J, et al. Prognostics for lithium-ion batteries using a two-phase gamma degradation process model[J]. Reliability Engineering &amp; System Safety, 2021, 214: 107797. </w:t>
      </w:r>
    </w:p>
    <w:p w14:paraId="6842EB07">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[20] LIU H, SONG W Q, ZIO E. Fractional Lévy stable motion with LRD for RUL and reliability analysis of li-ion battery[J]. ISA Transactions, 2022, 125: 360-370. </w:t>
      </w:r>
    </w:p>
    <w:p w14:paraId="6A3F51D2">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[21] XIA J Y, AHN H, WANG J M. Life-decomposition-based battery remaining useful life estimation: From a probabilistic view[J]. Applied Energy, 2026, 403: 127026. </w:t>
      </w:r>
    </w:p>
    <w:p w14:paraId="1A32D3D0">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[22] 卢世宇, 王海瑞, 朱贵富, 等. 基于频率通道注意力机制和MSCNet的锂电池剩余使用寿命预测[J]. 计算机科学, 2025, 52(S2): 582-589.</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LU S Y, WANG H R, ZHU G F, et al. Remaining useful life prediction of lithium-ion batteries based on frequency-channel attention mechanism and MSCNet[J]. Computer Science, 2025, 52(S2): 582-589. </w:t>
      </w:r>
    </w:p>
    <w:p w14:paraId="2AF482F8">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[23] 徐鹏, 冉文文, 黄媛, 等. 基于CEEMDAN和GA-BILSTM的锂离子电池剩余使用寿命预测[J]. 太阳能学报, 2025, 46(11): 35-43.</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XU P, RAN W W, HUANG Y, et al. Remaining useful life prediction of lithium-ion batteries based on CEEMDAN and GA-BILSTM[J]. Acta Energiae Solaris Sinica, 2025, 46(11): 35-43. </w:t>
      </w:r>
    </w:p>
    <w:p w14:paraId="0151249C">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[24] 侯小康, 袁裕鹏, 童亮. 基于改进相关向量机的锂电池剩余使用寿命预测[J]. 电源技术, 2024, 48(2): 289-298.</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HOU X K, YUAN Y P, TONG L. Remaining useful life prediction of Li-ion batteries based on improved relevance vector machine[J]. Chinese Journal of Power Sources, 2024, 48(2): 289-298. </w:t>
      </w:r>
    </w:p>
    <w:p w14:paraId="20F63736">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[25] XIA J Y, S</w:t>
      </w:r>
      <w:r>
        <w:rPr>
          <w:rFonts w:hint="eastAsia" w:ascii="Times New Roman" w:hAnsi="Times New Roman" w:eastAsia="宋体" w:cs="Times New Roman"/>
          <w:i/>
          <w:color w:val="auto"/>
          <w:sz w:val="16"/>
          <w:szCs w:val="16"/>
          <w:highlight w:val="none"/>
        </w:rPr>
        <w:t>HI</w:t>
      </w:r>
      <w:r>
        <w:rPr>
          <w:rFonts w:hint="eastAsia" w:ascii="Times New Roman" w:hAnsi="Times New Roman" w:eastAsia="宋体" w:cs="Times New Roman"/>
          <w:color w:val="auto"/>
          <w:sz w:val="16"/>
          <w:szCs w:val="16"/>
          <w:highlight w:val="none"/>
        </w:rPr>
        <w:t xml:space="preserve"> Q L, LI H M, et al. Historical data-independent remaining useful life prediction method based on dual-input deep learning neural network[J]. Journal of Energy Storage, 2023, 72: 108427. </w:t>
      </w:r>
    </w:p>
    <w:p w14:paraId="20B0D17C">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[26] 王志福, 杨忠义, 罗崴, 等. 基于数据驱动的锂离子动力电池剩余使用寿命预测方法综述[J]. 科学技术与工程, 2023, 23(15): 6279-6289.</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lang w:val="fr-FR"/>
        </w:rPr>
        <w:t xml:space="preserve">WANG Z F, YANG Z Y, LUO W, et al. </w:t>
      </w:r>
      <w:r>
        <w:rPr>
          <w:rFonts w:hint="eastAsia" w:ascii="Times New Roman" w:hAnsi="Times New Roman" w:eastAsia="宋体" w:cs="Times New Roman"/>
          <w:color w:val="auto"/>
          <w:sz w:val="16"/>
          <w:szCs w:val="16"/>
          <w:highlight w:val="none"/>
        </w:rPr>
        <w:t xml:space="preserve">Review of remaining useful life prediction for lithium-ion battery based on data-driven[J]. Science Technology and Engineering, 2023, 23(15): 6279-6289. </w:t>
      </w:r>
    </w:p>
    <w:p w14:paraId="3A61503C">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[27] 郝可青, 吕志刚, 邸若海, 等. 基于鲸鱼算法优化长短时记忆神经网络的锂电池剩余寿命预测[J]. 科学技术与工程, 2022, 22(29): 12900-12908.</w:t>
      </w:r>
      <w:r>
        <w:rPr>
          <w:rFonts w:hint="eastAsia" w:ascii="Times New Roman" w:hAnsi="Times New Roman" w:eastAsia="宋体" w:cs="Times New Roman"/>
          <w:color w:val="auto"/>
          <w:sz w:val="16"/>
          <w:szCs w:val="16"/>
          <w:highlight w:val="none"/>
        </w:rPr>
        <w:br w:type="textWrapping"/>
      </w:r>
      <w:r>
        <w:rPr>
          <w:rFonts w:hint="eastAsia" w:ascii="Times New Roman" w:hAnsi="Times New Roman" w:eastAsia="宋体" w:cs="Times New Roman"/>
          <w:color w:val="auto"/>
          <w:sz w:val="16"/>
          <w:szCs w:val="16"/>
          <w:highlight w:val="none"/>
        </w:rPr>
        <w:t xml:space="preserve">HAO K Q, LÜ Z G, DI R H, et al. Remaining useful life prediction of lithium battery based on long short-term memory optimized by whale optimization algorithm[J]. Science Technology and Engineering, 2022, 22(29): 12900-12908. </w:t>
      </w:r>
    </w:p>
    <w:p w14:paraId="424FE93F">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[28] QI Y, WANG J P, LU H M, et al. Remaining useful life prediction for lithium-ion battery based on hybrid machine learning with Wiener process[J]. Journal of Energy Storage, 2025, 136: 118415. </w:t>
      </w:r>
    </w:p>
    <w:p w14:paraId="3991C883">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[29] </w:t>
      </w:r>
      <w:r>
        <w:rPr>
          <w:rFonts w:ascii="Times New Roman" w:hAnsi="Times New Roman" w:eastAsia="宋体" w:cs="Times New Roman"/>
          <w:color w:val="auto"/>
          <w:sz w:val="16"/>
          <w:szCs w:val="16"/>
          <w:highlight w:val="none"/>
        </w:rPr>
        <w:t xml:space="preserve">ZHAO B, ZHANG W G, ZHANG Y R, et al. Lithium-ion battery remaining useful life prediction based on interpretable deep learning and network parameter optimization[J]. Applied Energy, 2025, 379: 124713. </w:t>
      </w:r>
    </w:p>
    <w:p w14:paraId="291D1771">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rPr>
        <w:t xml:space="preserve">[30] YOU K S, QIU G Q, GU Y K. Remaining useful life prediction of lithium-ion batteries using EM-PF-SSA-SVR with gamma stochastic process[J]. Measurement Science and Technology, 2024, 35(1): 015015. </w:t>
      </w:r>
    </w:p>
    <w:p w14:paraId="44889C53">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ascii="Times New Roman" w:hAnsi="Times New Roman" w:eastAsia="宋体" w:cs="Times New Roman"/>
          <w:color w:val="auto"/>
          <w:sz w:val="16"/>
          <w:szCs w:val="16"/>
          <w:highlight w:val="none"/>
        </w:rPr>
        <w:t>[31] ZHAO B, ZHANG W G, ZHANG Y R, et al. Research on the remaining useful life prediction method for lithium-ion batteries by fusion of feature engineering and deep learning[J]. Applied Energy, 2024, 358: 122325.</w:t>
      </w:r>
    </w:p>
    <w:p w14:paraId="5C190B16">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ascii="Times New Roman" w:hAnsi="Times New Roman" w:eastAsia="宋体" w:cs="Times New Roman"/>
          <w:color w:val="auto"/>
          <w:sz w:val="16"/>
          <w:szCs w:val="16"/>
          <w:highlight w:val="none"/>
        </w:rPr>
        <w:t>[3</w:t>
      </w:r>
      <w:r>
        <w:rPr>
          <w:rFonts w:hint="eastAsia" w:ascii="Times New Roman" w:hAnsi="Times New Roman" w:eastAsia="宋体" w:cs="Times New Roman"/>
          <w:color w:val="auto"/>
          <w:sz w:val="16"/>
          <w:szCs w:val="16"/>
          <w:highlight w:val="none"/>
        </w:rPr>
        <w:t>2</w:t>
      </w:r>
      <w:r>
        <w:rPr>
          <w:rFonts w:ascii="Times New Roman" w:hAnsi="Times New Roman" w:eastAsia="宋体" w:cs="Times New Roman"/>
          <w:color w:val="auto"/>
          <w:sz w:val="16"/>
          <w:szCs w:val="16"/>
          <w:highlight w:val="none"/>
        </w:rPr>
        <w:t xml:space="preserve">] YANG L, HE M J, REN Y T, et al. Physics-informed neural network for co-estimation of state of health, remaining useful life, and short-term degradation path in </w:t>
      </w:r>
      <w:r>
        <w:rPr>
          <w:rFonts w:hint="eastAsia" w:ascii="Times New Roman" w:hAnsi="Times New Roman" w:eastAsia="宋体" w:cs="Times New Roman"/>
          <w:color w:val="auto"/>
          <w:sz w:val="16"/>
          <w:szCs w:val="16"/>
          <w:highlight w:val="none"/>
        </w:rPr>
        <w:t>l</w:t>
      </w:r>
      <w:r>
        <w:rPr>
          <w:rFonts w:ascii="Times New Roman" w:hAnsi="Times New Roman" w:eastAsia="宋体" w:cs="Times New Roman"/>
          <w:color w:val="auto"/>
          <w:sz w:val="16"/>
          <w:szCs w:val="16"/>
          <w:highlight w:val="none"/>
        </w:rPr>
        <w:t>ithium-ion batteries[J]. Applied Energy, 2025, 398: 126427.</w:t>
      </w:r>
    </w:p>
    <w:p w14:paraId="0A64966F">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lang w:val="fr-FR"/>
        </w:rPr>
      </w:pPr>
      <w:r>
        <w:rPr>
          <w:rFonts w:ascii="Times New Roman" w:hAnsi="Times New Roman" w:eastAsia="宋体" w:cs="Times New Roman"/>
          <w:color w:val="auto"/>
          <w:sz w:val="16"/>
          <w:szCs w:val="16"/>
          <w:highlight w:val="none"/>
        </w:rPr>
        <w:t>[3</w:t>
      </w:r>
      <w:r>
        <w:rPr>
          <w:rFonts w:hint="eastAsia" w:ascii="Times New Roman" w:hAnsi="Times New Roman" w:eastAsia="宋体" w:cs="Times New Roman"/>
          <w:color w:val="auto"/>
          <w:sz w:val="16"/>
          <w:szCs w:val="16"/>
          <w:highlight w:val="none"/>
        </w:rPr>
        <w:t>3</w:t>
      </w:r>
      <w:r>
        <w:rPr>
          <w:rFonts w:ascii="Times New Roman" w:hAnsi="Times New Roman" w:eastAsia="宋体" w:cs="Times New Roman"/>
          <w:color w:val="auto"/>
          <w:sz w:val="16"/>
          <w:szCs w:val="16"/>
          <w:highlight w:val="none"/>
        </w:rPr>
        <w:t xml:space="preserve">] TANG Y M, ZHONG S F, WANG P, et al. Remaining useful life prediction of high-capacity lithium-ion batteries based on incremental capacity analysis and </w:t>
      </w:r>
      <w:r>
        <w:rPr>
          <w:rFonts w:hint="eastAsia" w:ascii="Times New Roman" w:hAnsi="Times New Roman" w:eastAsia="宋体" w:cs="Times New Roman"/>
          <w:color w:val="auto"/>
          <w:sz w:val="16"/>
          <w:szCs w:val="16"/>
          <w:highlight w:val="none"/>
        </w:rPr>
        <w:t>g</w:t>
      </w:r>
      <w:r>
        <w:rPr>
          <w:rFonts w:ascii="Times New Roman" w:hAnsi="Times New Roman" w:eastAsia="宋体" w:cs="Times New Roman"/>
          <w:color w:val="auto"/>
          <w:sz w:val="16"/>
          <w:szCs w:val="16"/>
          <w:highlight w:val="none"/>
        </w:rPr>
        <w:t xml:space="preserve">aussian kernel function optimization[J]. </w:t>
      </w:r>
      <w:r>
        <w:rPr>
          <w:rFonts w:ascii="Times New Roman" w:hAnsi="Times New Roman" w:eastAsia="宋体" w:cs="Times New Roman"/>
          <w:color w:val="auto"/>
          <w:sz w:val="16"/>
          <w:szCs w:val="16"/>
          <w:highlight w:val="none"/>
          <w:lang w:val="fr-FR"/>
        </w:rPr>
        <w:t>Scientific Reports, 2024, 14: 23524.</w:t>
      </w:r>
    </w:p>
    <w:p w14:paraId="07329930">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rPr>
      </w:pPr>
      <w:r>
        <w:rPr>
          <w:rFonts w:hint="eastAsia" w:ascii="Times New Roman" w:hAnsi="Times New Roman" w:eastAsia="宋体" w:cs="Times New Roman"/>
          <w:color w:val="auto"/>
          <w:sz w:val="16"/>
          <w:szCs w:val="16"/>
          <w:highlight w:val="none"/>
          <w:lang w:val="fr-FR"/>
        </w:rPr>
        <w:t xml:space="preserve">[34] </w:t>
      </w:r>
      <w:r>
        <w:rPr>
          <w:rFonts w:ascii="Times New Roman" w:hAnsi="Times New Roman" w:eastAsia="宋体" w:cs="Times New Roman"/>
          <w:color w:val="auto"/>
          <w:sz w:val="16"/>
          <w:szCs w:val="16"/>
          <w:highlight w:val="none"/>
          <w:lang w:val="fr-FR"/>
        </w:rPr>
        <w:t xml:space="preserve">LANUBILE A, BOSONI P, POZZATO G, et al. </w:t>
      </w:r>
      <w:r>
        <w:rPr>
          <w:rFonts w:ascii="Times New Roman" w:hAnsi="Times New Roman" w:eastAsia="宋体" w:cs="Times New Roman"/>
          <w:color w:val="auto"/>
          <w:sz w:val="16"/>
          <w:szCs w:val="16"/>
          <w:highlight w:val="none"/>
        </w:rPr>
        <w:t>Domain knowledge-guided machine learning framework for state of health estimation in lithium-ion batteries[J]. Communications Engineering, 2024, 3: 168.</w:t>
      </w:r>
    </w:p>
    <w:p w14:paraId="27E380CF">
      <w:pPr>
        <w:pStyle w:val="41"/>
        <w:adjustRightInd w:val="0"/>
        <w:snapToGrid w:val="0"/>
        <w:spacing w:after="0" w:line="240" w:lineRule="auto"/>
        <w:ind w:left="442" w:hanging="440"/>
        <w:contextualSpacing w:val="0"/>
        <w:jc w:val="both"/>
        <w:rPr>
          <w:rFonts w:ascii="Times New Roman" w:hAnsi="Times New Roman" w:eastAsia="宋体" w:cs="Times New Roman"/>
          <w:color w:val="auto"/>
          <w:sz w:val="16"/>
          <w:szCs w:val="16"/>
          <w:highlight w:val="none"/>
          <w:lang w:val="fr-FR"/>
        </w:rPr>
      </w:pPr>
      <w:r>
        <w:rPr>
          <w:rFonts w:ascii="Times New Roman" w:hAnsi="Times New Roman" w:eastAsia="宋体" w:cs="Times New Roman"/>
          <w:color w:val="auto"/>
          <w:sz w:val="16"/>
          <w:szCs w:val="16"/>
          <w:highlight w:val="none"/>
        </w:rPr>
        <w:t>[</w:t>
      </w:r>
      <w:r>
        <w:rPr>
          <w:rFonts w:hint="eastAsia" w:ascii="Times New Roman" w:hAnsi="Times New Roman" w:eastAsia="宋体" w:cs="Times New Roman"/>
          <w:color w:val="auto"/>
          <w:sz w:val="16"/>
          <w:szCs w:val="16"/>
          <w:highlight w:val="none"/>
        </w:rPr>
        <w:t>35</w:t>
      </w:r>
      <w:r>
        <w:rPr>
          <w:rFonts w:ascii="Times New Roman" w:hAnsi="Times New Roman" w:eastAsia="宋体" w:cs="Times New Roman"/>
          <w:color w:val="auto"/>
          <w:sz w:val="16"/>
          <w:szCs w:val="16"/>
          <w:highlight w:val="none"/>
        </w:rPr>
        <w:t xml:space="preserve">] LI L, SU K Z, TANG S J, et al. Remaining useful life prediction of lithium-ion batteries based on an implicit two-stage </w:t>
      </w:r>
      <w:r>
        <w:rPr>
          <w:rFonts w:hint="eastAsia" w:ascii="Times New Roman" w:hAnsi="Times New Roman" w:eastAsia="宋体" w:cs="Times New Roman"/>
          <w:color w:val="auto"/>
          <w:sz w:val="16"/>
          <w:szCs w:val="16"/>
          <w:highlight w:val="none"/>
        </w:rPr>
        <w:t>w</w:t>
      </w:r>
      <w:r>
        <w:rPr>
          <w:rFonts w:ascii="Times New Roman" w:hAnsi="Times New Roman" w:eastAsia="宋体" w:cs="Times New Roman"/>
          <w:color w:val="auto"/>
          <w:sz w:val="16"/>
          <w:szCs w:val="16"/>
          <w:highlight w:val="none"/>
        </w:rPr>
        <w:t xml:space="preserve">iener process[J]. </w:t>
      </w:r>
      <w:r>
        <w:rPr>
          <w:rFonts w:ascii="Times New Roman" w:hAnsi="Times New Roman" w:eastAsia="宋体" w:cs="Times New Roman"/>
          <w:color w:val="auto"/>
          <w:sz w:val="16"/>
          <w:szCs w:val="16"/>
          <w:highlight w:val="none"/>
          <w:lang w:val="fr-FR"/>
        </w:rPr>
        <w:t>Journal of Energy Storage, 2025, 133: 118041.</w:t>
      </w:r>
    </w:p>
    <w:p w14:paraId="6308A803">
      <w:pPr>
        <w:pStyle w:val="41"/>
        <w:adjustRightInd w:val="0"/>
        <w:snapToGrid w:val="0"/>
        <w:spacing w:after="0" w:line="240" w:lineRule="auto"/>
        <w:ind w:left="442" w:hanging="440"/>
        <w:contextualSpacing w:val="0"/>
        <w:jc w:val="both"/>
        <w:rPr>
          <w:rFonts w:hint="eastAsia" w:ascii="Times New Roman" w:hAnsi="Times New Roman" w:eastAsia="宋体" w:cs="Times New Roman"/>
          <w:color w:val="auto"/>
          <w:sz w:val="16"/>
          <w:szCs w:val="16"/>
          <w:highlight w:val="none"/>
          <w:lang w:val="fr-FR" w:eastAsia="zh-CN"/>
        </w:rPr>
      </w:pPr>
    </w:p>
    <w:sectPr>
      <w:type w:val="continuous"/>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dobeSongStd-Light">
    <w:altName w:val="方正姚体"/>
    <w:panose1 w:val="00000000000000000000"/>
    <w:charset w:val="86"/>
    <w:family w:val="auto"/>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1BD44">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A0A7E62">
      <w:pPr>
        <w:pStyle w:val="6"/>
      </w:pPr>
      <w:r>
        <w:rPr>
          <w:rStyle w:val="18"/>
        </w:rPr>
        <w:sym w:font="Symbol" w:char="F020"/>
      </w:r>
      <w:r>
        <w:rPr>
          <w:b/>
          <w:bCs/>
        </w:rPr>
        <w:t>收稿日期：2026-01-26；修回日期：2026-04-02；录用日期：2026-05-13；网络出版日期：</w:t>
      </w:r>
      <w:r>
        <w:t xml:space="preserve">  </w:t>
      </w:r>
    </w:p>
    <w:p w14:paraId="6F9F4732">
      <w:pPr>
        <w:pStyle w:val="6"/>
      </w:pPr>
      <w:r>
        <w:rPr>
          <w:rFonts w:hint="eastAsia"/>
          <w:b/>
          <w:bCs/>
        </w:rPr>
        <w:t>基金项目</w:t>
      </w:r>
      <w:r>
        <w:rPr>
          <w:rFonts w:hint="eastAsia"/>
        </w:rPr>
        <w:t xml:space="preserve"> </w:t>
      </w:r>
      <w:r>
        <w:t xml:space="preserve"> </w:t>
      </w:r>
      <w:r>
        <w:rPr>
          <w:rFonts w:hint="eastAsia"/>
        </w:rPr>
        <w:t>国家重点研发计划项目（2021YFB2601300）；云南省交通运输厅科技创新及示范项目(</w:t>
      </w:r>
      <w:r>
        <w:t>YNZC2024-G3-01753-YNZZ-0128</w:t>
      </w:r>
      <w:r>
        <w:rPr>
          <w:rFonts w:hint="eastAsia"/>
        </w:rPr>
        <w:t>)；云南省交通科学研究院有限公司科技创新项目（JKYZLX-2025-29）</w:t>
      </w:r>
    </w:p>
    <w:p w14:paraId="4C7B41F3">
      <w:pPr>
        <w:pStyle w:val="6"/>
      </w:pPr>
      <w:r>
        <w:rPr>
          <w:rFonts w:hint="eastAsia"/>
          <w:b/>
          <w:bCs/>
        </w:rPr>
        <w:t>作者简介</w:t>
      </w:r>
      <w:r>
        <w:rPr>
          <w:rFonts w:hint="eastAsia"/>
        </w:rPr>
        <w:t>：谭应锋(1983</w:t>
      </w:r>
      <w:r>
        <w:t>—</w:t>
      </w:r>
      <w:r>
        <w:rPr>
          <w:rFonts w:hint="eastAsia"/>
        </w:rPr>
        <w:t>)，男，高级工程师，学士，主要从事交能融合、绿色低碳材料研究。E-mail：</w:t>
      </w:r>
      <w:r>
        <w:t>149736630@qq.com</w:t>
      </w:r>
    </w:p>
    <w:p w14:paraId="2F9DD9A0">
      <w:pPr>
        <w:pStyle w:val="6"/>
      </w:pPr>
      <w:r>
        <w:rPr>
          <w:rFonts w:hint="eastAsia"/>
          <w:vertAlign w:val="superscript"/>
        </w:rPr>
        <w:t>*</w:t>
      </w:r>
      <w:r>
        <w:rPr>
          <w:rFonts w:hint="eastAsia"/>
          <w:b/>
          <w:bCs/>
        </w:rPr>
        <w:t>通信作者</w:t>
      </w:r>
      <w:r>
        <w:rPr>
          <w:rFonts w:hint="eastAsia"/>
        </w:rPr>
        <w:t>：徐先峰(1982</w:t>
      </w:r>
      <w:r>
        <w:t>—</w:t>
      </w:r>
      <w:r>
        <w:rPr>
          <w:rFonts w:hint="eastAsia"/>
        </w:rPr>
        <w:t>)，男，教授，副院长，博士，主要从事交能融合、电力系统分析研究。E-mail：</w:t>
      </w:r>
      <w:r>
        <w:t>xxf_chd@163.com</w:t>
      </w:r>
    </w:p>
    <w:p w14:paraId="55B29A80">
      <w:pPr>
        <w:adjustRightInd w:val="0"/>
        <w:snapToGrid w:val="0"/>
        <w:spacing w:line="264" w:lineRule="auto"/>
        <w:jc w:val="left"/>
        <w:rPr>
          <w:color w:val="C00000"/>
          <w:sz w:val="18"/>
          <w:szCs w:val="2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BE1C6">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368"/>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2YTZkZTg1M2I5MjdiMjU1MTkxZDdhZmZlOWUxZTMifQ=="/>
    <w:docVar w:name="EN.Layout" w:val="&lt;ENLayout&gt;&lt;Style&gt;Chinese Std GBT7714 (numeri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avprdx7swwvae2sacxraxlwz2r9eaw9s0z&quot;&gt;My EndNote Library&lt;record-ids&gt;&lt;item&gt;40&lt;/item&gt;&lt;/record-ids&gt;&lt;/item&gt;&lt;/Libraries&gt;"/>
  </w:docVars>
  <w:rsids>
    <w:rsidRoot w:val="00B00CD9"/>
    <w:rsid w:val="000058FD"/>
    <w:rsid w:val="00006C28"/>
    <w:rsid w:val="00010B38"/>
    <w:rsid w:val="000128F9"/>
    <w:rsid w:val="000131F0"/>
    <w:rsid w:val="00014E7D"/>
    <w:rsid w:val="00015E24"/>
    <w:rsid w:val="0002196B"/>
    <w:rsid w:val="00022236"/>
    <w:rsid w:val="00026014"/>
    <w:rsid w:val="00027F03"/>
    <w:rsid w:val="000308F4"/>
    <w:rsid w:val="00033ED2"/>
    <w:rsid w:val="00035156"/>
    <w:rsid w:val="000365EC"/>
    <w:rsid w:val="00036D4F"/>
    <w:rsid w:val="00037DD0"/>
    <w:rsid w:val="000407B1"/>
    <w:rsid w:val="00053324"/>
    <w:rsid w:val="00053369"/>
    <w:rsid w:val="000618F3"/>
    <w:rsid w:val="00063D5D"/>
    <w:rsid w:val="000649BF"/>
    <w:rsid w:val="0007178B"/>
    <w:rsid w:val="00071A45"/>
    <w:rsid w:val="000720A9"/>
    <w:rsid w:val="000738C1"/>
    <w:rsid w:val="00074692"/>
    <w:rsid w:val="0007542E"/>
    <w:rsid w:val="00075DA9"/>
    <w:rsid w:val="00076D1A"/>
    <w:rsid w:val="000770D7"/>
    <w:rsid w:val="000836FF"/>
    <w:rsid w:val="00091A65"/>
    <w:rsid w:val="00092059"/>
    <w:rsid w:val="000976DC"/>
    <w:rsid w:val="000A26E8"/>
    <w:rsid w:val="000A3BE4"/>
    <w:rsid w:val="000A4AA9"/>
    <w:rsid w:val="000A7973"/>
    <w:rsid w:val="000B2599"/>
    <w:rsid w:val="000B3250"/>
    <w:rsid w:val="000B41D6"/>
    <w:rsid w:val="000B5842"/>
    <w:rsid w:val="000B66D1"/>
    <w:rsid w:val="000B6992"/>
    <w:rsid w:val="000C2BFB"/>
    <w:rsid w:val="000C46DF"/>
    <w:rsid w:val="000C618C"/>
    <w:rsid w:val="000C74E4"/>
    <w:rsid w:val="000D0D5C"/>
    <w:rsid w:val="000D14BD"/>
    <w:rsid w:val="000D35F0"/>
    <w:rsid w:val="000E302A"/>
    <w:rsid w:val="000E67B3"/>
    <w:rsid w:val="000F0497"/>
    <w:rsid w:val="000F054F"/>
    <w:rsid w:val="000F0791"/>
    <w:rsid w:val="000F2260"/>
    <w:rsid w:val="000F52CF"/>
    <w:rsid w:val="000F5853"/>
    <w:rsid w:val="000F7B28"/>
    <w:rsid w:val="00100E8A"/>
    <w:rsid w:val="001013ED"/>
    <w:rsid w:val="00101481"/>
    <w:rsid w:val="00104BBE"/>
    <w:rsid w:val="00104C1B"/>
    <w:rsid w:val="00107D53"/>
    <w:rsid w:val="001124DC"/>
    <w:rsid w:val="0011349B"/>
    <w:rsid w:val="0011372D"/>
    <w:rsid w:val="00115CE2"/>
    <w:rsid w:val="0012229A"/>
    <w:rsid w:val="00123998"/>
    <w:rsid w:val="001258FD"/>
    <w:rsid w:val="00131F5A"/>
    <w:rsid w:val="0013242C"/>
    <w:rsid w:val="00134704"/>
    <w:rsid w:val="00135D53"/>
    <w:rsid w:val="0013665C"/>
    <w:rsid w:val="00137D43"/>
    <w:rsid w:val="001433F8"/>
    <w:rsid w:val="00146B3A"/>
    <w:rsid w:val="00146D98"/>
    <w:rsid w:val="00152310"/>
    <w:rsid w:val="0015400E"/>
    <w:rsid w:val="0015519D"/>
    <w:rsid w:val="001569E5"/>
    <w:rsid w:val="001575CC"/>
    <w:rsid w:val="0016368B"/>
    <w:rsid w:val="001655AD"/>
    <w:rsid w:val="001661E4"/>
    <w:rsid w:val="00170E90"/>
    <w:rsid w:val="0017100A"/>
    <w:rsid w:val="0017491C"/>
    <w:rsid w:val="001753D7"/>
    <w:rsid w:val="00177D7D"/>
    <w:rsid w:val="00184650"/>
    <w:rsid w:val="0018580E"/>
    <w:rsid w:val="00186091"/>
    <w:rsid w:val="0019276A"/>
    <w:rsid w:val="00192EE0"/>
    <w:rsid w:val="00193AE3"/>
    <w:rsid w:val="00194563"/>
    <w:rsid w:val="0019549D"/>
    <w:rsid w:val="001964A7"/>
    <w:rsid w:val="001A653A"/>
    <w:rsid w:val="001B3444"/>
    <w:rsid w:val="001B3B13"/>
    <w:rsid w:val="001C1E8C"/>
    <w:rsid w:val="001C547D"/>
    <w:rsid w:val="001C5705"/>
    <w:rsid w:val="001C5B4C"/>
    <w:rsid w:val="001C6F7C"/>
    <w:rsid w:val="001D431D"/>
    <w:rsid w:val="001D4905"/>
    <w:rsid w:val="001D51E7"/>
    <w:rsid w:val="001D543D"/>
    <w:rsid w:val="001D554E"/>
    <w:rsid w:val="001D616C"/>
    <w:rsid w:val="001D7E63"/>
    <w:rsid w:val="001E10AE"/>
    <w:rsid w:val="001E57B3"/>
    <w:rsid w:val="001E6038"/>
    <w:rsid w:val="001E75DD"/>
    <w:rsid w:val="001E7BBC"/>
    <w:rsid w:val="001F0AD1"/>
    <w:rsid w:val="001F63D2"/>
    <w:rsid w:val="002003DB"/>
    <w:rsid w:val="00200677"/>
    <w:rsid w:val="00200EC3"/>
    <w:rsid w:val="002074AE"/>
    <w:rsid w:val="00210E20"/>
    <w:rsid w:val="00213D88"/>
    <w:rsid w:val="00214835"/>
    <w:rsid w:val="002157A9"/>
    <w:rsid w:val="00217C0F"/>
    <w:rsid w:val="0022329C"/>
    <w:rsid w:val="002243D4"/>
    <w:rsid w:val="00224493"/>
    <w:rsid w:val="00226B32"/>
    <w:rsid w:val="002273E8"/>
    <w:rsid w:val="00227800"/>
    <w:rsid w:val="00227F6C"/>
    <w:rsid w:val="002307B7"/>
    <w:rsid w:val="002362A0"/>
    <w:rsid w:val="0024035E"/>
    <w:rsid w:val="00247A4A"/>
    <w:rsid w:val="002524A9"/>
    <w:rsid w:val="002526EE"/>
    <w:rsid w:val="00252EF1"/>
    <w:rsid w:val="0025540C"/>
    <w:rsid w:val="002619C2"/>
    <w:rsid w:val="00264C25"/>
    <w:rsid w:val="002653A1"/>
    <w:rsid w:val="00270565"/>
    <w:rsid w:val="002758F8"/>
    <w:rsid w:val="00275E3F"/>
    <w:rsid w:val="002838EF"/>
    <w:rsid w:val="0028667C"/>
    <w:rsid w:val="00287396"/>
    <w:rsid w:val="00291ECE"/>
    <w:rsid w:val="00292397"/>
    <w:rsid w:val="002944ED"/>
    <w:rsid w:val="0029488A"/>
    <w:rsid w:val="00294CC0"/>
    <w:rsid w:val="002969A2"/>
    <w:rsid w:val="0029780B"/>
    <w:rsid w:val="002A2A94"/>
    <w:rsid w:val="002A3135"/>
    <w:rsid w:val="002A40D2"/>
    <w:rsid w:val="002A7C7F"/>
    <w:rsid w:val="002B2037"/>
    <w:rsid w:val="002B4722"/>
    <w:rsid w:val="002B56F9"/>
    <w:rsid w:val="002B7C38"/>
    <w:rsid w:val="002C04F5"/>
    <w:rsid w:val="002C446C"/>
    <w:rsid w:val="002C5022"/>
    <w:rsid w:val="002C6278"/>
    <w:rsid w:val="002C6DA2"/>
    <w:rsid w:val="002C763A"/>
    <w:rsid w:val="002D239A"/>
    <w:rsid w:val="002D4D04"/>
    <w:rsid w:val="002D5EDA"/>
    <w:rsid w:val="002D6F92"/>
    <w:rsid w:val="002E544E"/>
    <w:rsid w:val="002F1D55"/>
    <w:rsid w:val="002F1EAE"/>
    <w:rsid w:val="002F2F9A"/>
    <w:rsid w:val="002F4B3D"/>
    <w:rsid w:val="002F512F"/>
    <w:rsid w:val="002F5D96"/>
    <w:rsid w:val="002F6493"/>
    <w:rsid w:val="002F7465"/>
    <w:rsid w:val="0030107A"/>
    <w:rsid w:val="00301870"/>
    <w:rsid w:val="00303BCC"/>
    <w:rsid w:val="00303E87"/>
    <w:rsid w:val="0030402D"/>
    <w:rsid w:val="003049C3"/>
    <w:rsid w:val="00304BC9"/>
    <w:rsid w:val="0030548E"/>
    <w:rsid w:val="00316CED"/>
    <w:rsid w:val="00316EF5"/>
    <w:rsid w:val="003228CD"/>
    <w:rsid w:val="00322AE8"/>
    <w:rsid w:val="00323962"/>
    <w:rsid w:val="00324AE8"/>
    <w:rsid w:val="003256E5"/>
    <w:rsid w:val="003258AD"/>
    <w:rsid w:val="0033072D"/>
    <w:rsid w:val="00332C01"/>
    <w:rsid w:val="00333665"/>
    <w:rsid w:val="00334940"/>
    <w:rsid w:val="00334BA9"/>
    <w:rsid w:val="003353D2"/>
    <w:rsid w:val="00340FB7"/>
    <w:rsid w:val="00341C7A"/>
    <w:rsid w:val="00342276"/>
    <w:rsid w:val="00344DAD"/>
    <w:rsid w:val="00351427"/>
    <w:rsid w:val="003515C3"/>
    <w:rsid w:val="00351EB8"/>
    <w:rsid w:val="003531D1"/>
    <w:rsid w:val="0035438E"/>
    <w:rsid w:val="0035475F"/>
    <w:rsid w:val="00354904"/>
    <w:rsid w:val="00357969"/>
    <w:rsid w:val="0036019F"/>
    <w:rsid w:val="00361C81"/>
    <w:rsid w:val="00362D45"/>
    <w:rsid w:val="00364F03"/>
    <w:rsid w:val="0036542E"/>
    <w:rsid w:val="00365AAB"/>
    <w:rsid w:val="00374CA8"/>
    <w:rsid w:val="00380CC7"/>
    <w:rsid w:val="00380CEA"/>
    <w:rsid w:val="0038236F"/>
    <w:rsid w:val="003835C6"/>
    <w:rsid w:val="003847A7"/>
    <w:rsid w:val="00385E5B"/>
    <w:rsid w:val="00387ABB"/>
    <w:rsid w:val="003931AB"/>
    <w:rsid w:val="003972C1"/>
    <w:rsid w:val="0039736D"/>
    <w:rsid w:val="003A19B4"/>
    <w:rsid w:val="003A2B4C"/>
    <w:rsid w:val="003A7706"/>
    <w:rsid w:val="003B0955"/>
    <w:rsid w:val="003B19A8"/>
    <w:rsid w:val="003B1E43"/>
    <w:rsid w:val="003B3C8F"/>
    <w:rsid w:val="003C1DE3"/>
    <w:rsid w:val="003C342D"/>
    <w:rsid w:val="003C3AD7"/>
    <w:rsid w:val="003C4593"/>
    <w:rsid w:val="003D3B32"/>
    <w:rsid w:val="003D487F"/>
    <w:rsid w:val="003D5335"/>
    <w:rsid w:val="003D7F56"/>
    <w:rsid w:val="003E2B1B"/>
    <w:rsid w:val="003E322E"/>
    <w:rsid w:val="003E37B4"/>
    <w:rsid w:val="003E53A7"/>
    <w:rsid w:val="003E767B"/>
    <w:rsid w:val="003F1182"/>
    <w:rsid w:val="003F1AE6"/>
    <w:rsid w:val="003F2876"/>
    <w:rsid w:val="003F2E81"/>
    <w:rsid w:val="0040243F"/>
    <w:rsid w:val="00402F7D"/>
    <w:rsid w:val="00405830"/>
    <w:rsid w:val="004064B3"/>
    <w:rsid w:val="00406CB6"/>
    <w:rsid w:val="00407C5C"/>
    <w:rsid w:val="004131E4"/>
    <w:rsid w:val="00414EC0"/>
    <w:rsid w:val="00422368"/>
    <w:rsid w:val="0042639F"/>
    <w:rsid w:val="004267FC"/>
    <w:rsid w:val="00433570"/>
    <w:rsid w:val="00433F46"/>
    <w:rsid w:val="00437D94"/>
    <w:rsid w:val="00441635"/>
    <w:rsid w:val="00442445"/>
    <w:rsid w:val="00443640"/>
    <w:rsid w:val="004467AB"/>
    <w:rsid w:val="00447A6F"/>
    <w:rsid w:val="00447BA7"/>
    <w:rsid w:val="00450CAB"/>
    <w:rsid w:val="00453BA6"/>
    <w:rsid w:val="0045698D"/>
    <w:rsid w:val="004602B3"/>
    <w:rsid w:val="00460BD4"/>
    <w:rsid w:val="00461E10"/>
    <w:rsid w:val="00463FA0"/>
    <w:rsid w:val="00464F6E"/>
    <w:rsid w:val="0046571A"/>
    <w:rsid w:val="00466838"/>
    <w:rsid w:val="00467B70"/>
    <w:rsid w:val="00471956"/>
    <w:rsid w:val="00474882"/>
    <w:rsid w:val="00475A8D"/>
    <w:rsid w:val="00477260"/>
    <w:rsid w:val="0048101A"/>
    <w:rsid w:val="004833E2"/>
    <w:rsid w:val="00493FE1"/>
    <w:rsid w:val="00494E6A"/>
    <w:rsid w:val="004967C8"/>
    <w:rsid w:val="004976A4"/>
    <w:rsid w:val="004A2E1D"/>
    <w:rsid w:val="004A4D68"/>
    <w:rsid w:val="004A633E"/>
    <w:rsid w:val="004A6AA7"/>
    <w:rsid w:val="004B05BA"/>
    <w:rsid w:val="004B1CF4"/>
    <w:rsid w:val="004B762D"/>
    <w:rsid w:val="004C251E"/>
    <w:rsid w:val="004D29E6"/>
    <w:rsid w:val="004D3999"/>
    <w:rsid w:val="004D4146"/>
    <w:rsid w:val="004D7F0C"/>
    <w:rsid w:val="004E11BD"/>
    <w:rsid w:val="004E2038"/>
    <w:rsid w:val="004E26B6"/>
    <w:rsid w:val="004E3CB3"/>
    <w:rsid w:val="004F093B"/>
    <w:rsid w:val="004F1122"/>
    <w:rsid w:val="004F37C8"/>
    <w:rsid w:val="004F5632"/>
    <w:rsid w:val="004F795C"/>
    <w:rsid w:val="004F7AB3"/>
    <w:rsid w:val="00502998"/>
    <w:rsid w:val="00504894"/>
    <w:rsid w:val="00505A12"/>
    <w:rsid w:val="005061F0"/>
    <w:rsid w:val="00510953"/>
    <w:rsid w:val="00515802"/>
    <w:rsid w:val="005164F9"/>
    <w:rsid w:val="00516E79"/>
    <w:rsid w:val="00516FBA"/>
    <w:rsid w:val="00520AAB"/>
    <w:rsid w:val="00525105"/>
    <w:rsid w:val="00525549"/>
    <w:rsid w:val="0052557D"/>
    <w:rsid w:val="00527D97"/>
    <w:rsid w:val="005332BA"/>
    <w:rsid w:val="00535EA0"/>
    <w:rsid w:val="00541C4D"/>
    <w:rsid w:val="00542F18"/>
    <w:rsid w:val="005440B0"/>
    <w:rsid w:val="00551BAF"/>
    <w:rsid w:val="005538D0"/>
    <w:rsid w:val="00554E48"/>
    <w:rsid w:val="00555780"/>
    <w:rsid w:val="00555C7C"/>
    <w:rsid w:val="00560B1E"/>
    <w:rsid w:val="00561EAC"/>
    <w:rsid w:val="00562AA1"/>
    <w:rsid w:val="005635CB"/>
    <w:rsid w:val="00563612"/>
    <w:rsid w:val="00564970"/>
    <w:rsid w:val="0056653D"/>
    <w:rsid w:val="005700E6"/>
    <w:rsid w:val="005714F1"/>
    <w:rsid w:val="0057282A"/>
    <w:rsid w:val="005755EC"/>
    <w:rsid w:val="00584BC9"/>
    <w:rsid w:val="00590C01"/>
    <w:rsid w:val="00592761"/>
    <w:rsid w:val="005941FC"/>
    <w:rsid w:val="005A070C"/>
    <w:rsid w:val="005A5B57"/>
    <w:rsid w:val="005B1B89"/>
    <w:rsid w:val="005B2882"/>
    <w:rsid w:val="005B2F95"/>
    <w:rsid w:val="005B3DD4"/>
    <w:rsid w:val="005B72F4"/>
    <w:rsid w:val="005C0FE8"/>
    <w:rsid w:val="005C659A"/>
    <w:rsid w:val="005C6A20"/>
    <w:rsid w:val="005C6C0D"/>
    <w:rsid w:val="005C7A29"/>
    <w:rsid w:val="005D02E4"/>
    <w:rsid w:val="005D0A30"/>
    <w:rsid w:val="005D3158"/>
    <w:rsid w:val="005D46BD"/>
    <w:rsid w:val="005D5A6D"/>
    <w:rsid w:val="005D7588"/>
    <w:rsid w:val="005E1618"/>
    <w:rsid w:val="005E234D"/>
    <w:rsid w:val="005E62C5"/>
    <w:rsid w:val="005E6973"/>
    <w:rsid w:val="005E7B15"/>
    <w:rsid w:val="005F07F9"/>
    <w:rsid w:val="005F0D01"/>
    <w:rsid w:val="005F3DC3"/>
    <w:rsid w:val="005F487B"/>
    <w:rsid w:val="005F5992"/>
    <w:rsid w:val="006017AA"/>
    <w:rsid w:val="0061221C"/>
    <w:rsid w:val="00614B7D"/>
    <w:rsid w:val="00614E93"/>
    <w:rsid w:val="00615175"/>
    <w:rsid w:val="00615BC7"/>
    <w:rsid w:val="0061766B"/>
    <w:rsid w:val="006215B8"/>
    <w:rsid w:val="00622DBA"/>
    <w:rsid w:val="00623013"/>
    <w:rsid w:val="00624D99"/>
    <w:rsid w:val="00626A99"/>
    <w:rsid w:val="0062747D"/>
    <w:rsid w:val="00630A9A"/>
    <w:rsid w:val="00631F31"/>
    <w:rsid w:val="0063268A"/>
    <w:rsid w:val="006328A0"/>
    <w:rsid w:val="0063560D"/>
    <w:rsid w:val="00635B9D"/>
    <w:rsid w:val="0064155A"/>
    <w:rsid w:val="00641C45"/>
    <w:rsid w:val="00645AFB"/>
    <w:rsid w:val="00650541"/>
    <w:rsid w:val="006514C5"/>
    <w:rsid w:val="00651D75"/>
    <w:rsid w:val="0065223C"/>
    <w:rsid w:val="0065565F"/>
    <w:rsid w:val="00660452"/>
    <w:rsid w:val="00662268"/>
    <w:rsid w:val="00663015"/>
    <w:rsid w:val="00664052"/>
    <w:rsid w:val="00665AD0"/>
    <w:rsid w:val="00670692"/>
    <w:rsid w:val="006724BE"/>
    <w:rsid w:val="00672EC7"/>
    <w:rsid w:val="00673F3B"/>
    <w:rsid w:val="00674A57"/>
    <w:rsid w:val="00680DB3"/>
    <w:rsid w:val="0068124C"/>
    <w:rsid w:val="0068319E"/>
    <w:rsid w:val="00684922"/>
    <w:rsid w:val="00685A62"/>
    <w:rsid w:val="00686133"/>
    <w:rsid w:val="00686FA3"/>
    <w:rsid w:val="00692D15"/>
    <w:rsid w:val="00695AFA"/>
    <w:rsid w:val="006A13B5"/>
    <w:rsid w:val="006A35E8"/>
    <w:rsid w:val="006B178C"/>
    <w:rsid w:val="006B1926"/>
    <w:rsid w:val="006B2767"/>
    <w:rsid w:val="006B427F"/>
    <w:rsid w:val="006B6BDC"/>
    <w:rsid w:val="006C1D60"/>
    <w:rsid w:val="006C2C30"/>
    <w:rsid w:val="006C3CC1"/>
    <w:rsid w:val="006C5773"/>
    <w:rsid w:val="006C6117"/>
    <w:rsid w:val="006E1F13"/>
    <w:rsid w:val="006E1F80"/>
    <w:rsid w:val="006E512B"/>
    <w:rsid w:val="006E5536"/>
    <w:rsid w:val="006E6D8A"/>
    <w:rsid w:val="006F125A"/>
    <w:rsid w:val="006F1F82"/>
    <w:rsid w:val="006F21C0"/>
    <w:rsid w:val="006F2529"/>
    <w:rsid w:val="006F4B21"/>
    <w:rsid w:val="006F588A"/>
    <w:rsid w:val="006F6821"/>
    <w:rsid w:val="00700286"/>
    <w:rsid w:val="00701CE5"/>
    <w:rsid w:val="00702B24"/>
    <w:rsid w:val="00711040"/>
    <w:rsid w:val="00720D11"/>
    <w:rsid w:val="00726030"/>
    <w:rsid w:val="007311F4"/>
    <w:rsid w:val="007314BC"/>
    <w:rsid w:val="00737CB3"/>
    <w:rsid w:val="00745BD2"/>
    <w:rsid w:val="00750433"/>
    <w:rsid w:val="00761FF7"/>
    <w:rsid w:val="00771DDD"/>
    <w:rsid w:val="007723C2"/>
    <w:rsid w:val="00772654"/>
    <w:rsid w:val="007727A2"/>
    <w:rsid w:val="00773723"/>
    <w:rsid w:val="007777E3"/>
    <w:rsid w:val="0078092B"/>
    <w:rsid w:val="00782437"/>
    <w:rsid w:val="0078581D"/>
    <w:rsid w:val="007868D8"/>
    <w:rsid w:val="007909AE"/>
    <w:rsid w:val="00792F14"/>
    <w:rsid w:val="00793920"/>
    <w:rsid w:val="00794905"/>
    <w:rsid w:val="00795E41"/>
    <w:rsid w:val="007963E9"/>
    <w:rsid w:val="00796E33"/>
    <w:rsid w:val="00797662"/>
    <w:rsid w:val="007A1776"/>
    <w:rsid w:val="007A5986"/>
    <w:rsid w:val="007A753D"/>
    <w:rsid w:val="007B0338"/>
    <w:rsid w:val="007B406D"/>
    <w:rsid w:val="007C1174"/>
    <w:rsid w:val="007C1A7E"/>
    <w:rsid w:val="007C65A8"/>
    <w:rsid w:val="007C7A0B"/>
    <w:rsid w:val="007D0791"/>
    <w:rsid w:val="007D3924"/>
    <w:rsid w:val="007E32D8"/>
    <w:rsid w:val="007E7E9C"/>
    <w:rsid w:val="007F1204"/>
    <w:rsid w:val="007F42CE"/>
    <w:rsid w:val="007F4411"/>
    <w:rsid w:val="007F4A58"/>
    <w:rsid w:val="007F66E8"/>
    <w:rsid w:val="007F7CE4"/>
    <w:rsid w:val="0080043A"/>
    <w:rsid w:val="008106F8"/>
    <w:rsid w:val="00813AD7"/>
    <w:rsid w:val="0081400E"/>
    <w:rsid w:val="008156AF"/>
    <w:rsid w:val="00815FFC"/>
    <w:rsid w:val="008261FB"/>
    <w:rsid w:val="00830903"/>
    <w:rsid w:val="008329CA"/>
    <w:rsid w:val="0083335E"/>
    <w:rsid w:val="00833452"/>
    <w:rsid w:val="00835A7B"/>
    <w:rsid w:val="0084047D"/>
    <w:rsid w:val="0084224D"/>
    <w:rsid w:val="00844123"/>
    <w:rsid w:val="00846B5E"/>
    <w:rsid w:val="008515B0"/>
    <w:rsid w:val="00851A95"/>
    <w:rsid w:val="00852497"/>
    <w:rsid w:val="00854D65"/>
    <w:rsid w:val="00856A45"/>
    <w:rsid w:val="00866291"/>
    <w:rsid w:val="0086646A"/>
    <w:rsid w:val="00866AFE"/>
    <w:rsid w:val="008709E2"/>
    <w:rsid w:val="008727F2"/>
    <w:rsid w:val="00874C72"/>
    <w:rsid w:val="00881842"/>
    <w:rsid w:val="00881E2B"/>
    <w:rsid w:val="008839D9"/>
    <w:rsid w:val="00885EAF"/>
    <w:rsid w:val="00892637"/>
    <w:rsid w:val="008928BC"/>
    <w:rsid w:val="00895EE4"/>
    <w:rsid w:val="00896CB2"/>
    <w:rsid w:val="0089757A"/>
    <w:rsid w:val="008A0ADF"/>
    <w:rsid w:val="008A1767"/>
    <w:rsid w:val="008A2C5C"/>
    <w:rsid w:val="008A347D"/>
    <w:rsid w:val="008B15CB"/>
    <w:rsid w:val="008B24D2"/>
    <w:rsid w:val="008B46CC"/>
    <w:rsid w:val="008B53EE"/>
    <w:rsid w:val="008B5431"/>
    <w:rsid w:val="008B5599"/>
    <w:rsid w:val="008C54F6"/>
    <w:rsid w:val="008C5DE2"/>
    <w:rsid w:val="008D0B82"/>
    <w:rsid w:val="008D0C41"/>
    <w:rsid w:val="008D1EA1"/>
    <w:rsid w:val="008D2A20"/>
    <w:rsid w:val="008D4E9B"/>
    <w:rsid w:val="008D5C13"/>
    <w:rsid w:val="008D6001"/>
    <w:rsid w:val="008E00C4"/>
    <w:rsid w:val="008E1C0E"/>
    <w:rsid w:val="008E571B"/>
    <w:rsid w:val="008F05DC"/>
    <w:rsid w:val="008F2F04"/>
    <w:rsid w:val="008F35F1"/>
    <w:rsid w:val="008F5FBA"/>
    <w:rsid w:val="008F6DCE"/>
    <w:rsid w:val="009016B5"/>
    <w:rsid w:val="00902BBA"/>
    <w:rsid w:val="00903426"/>
    <w:rsid w:val="00903D69"/>
    <w:rsid w:val="0090672C"/>
    <w:rsid w:val="0091046C"/>
    <w:rsid w:val="00911175"/>
    <w:rsid w:val="0091305E"/>
    <w:rsid w:val="00915A69"/>
    <w:rsid w:val="00916CA8"/>
    <w:rsid w:val="00921C7A"/>
    <w:rsid w:val="0092256C"/>
    <w:rsid w:val="00922F78"/>
    <w:rsid w:val="009230E4"/>
    <w:rsid w:val="009254F5"/>
    <w:rsid w:val="00925C69"/>
    <w:rsid w:val="009261E8"/>
    <w:rsid w:val="009367B8"/>
    <w:rsid w:val="00940EFA"/>
    <w:rsid w:val="00946ECE"/>
    <w:rsid w:val="00947515"/>
    <w:rsid w:val="009517E8"/>
    <w:rsid w:val="00951D2E"/>
    <w:rsid w:val="00956A93"/>
    <w:rsid w:val="00963484"/>
    <w:rsid w:val="009640D5"/>
    <w:rsid w:val="00965DC5"/>
    <w:rsid w:val="00970E5D"/>
    <w:rsid w:val="00970FC8"/>
    <w:rsid w:val="009729CF"/>
    <w:rsid w:val="00977BA9"/>
    <w:rsid w:val="00981BE1"/>
    <w:rsid w:val="00983954"/>
    <w:rsid w:val="0098407D"/>
    <w:rsid w:val="00990AB7"/>
    <w:rsid w:val="00990F10"/>
    <w:rsid w:val="0099476F"/>
    <w:rsid w:val="00994952"/>
    <w:rsid w:val="009A7902"/>
    <w:rsid w:val="009A7EFC"/>
    <w:rsid w:val="009B1638"/>
    <w:rsid w:val="009B6CA7"/>
    <w:rsid w:val="009C55B0"/>
    <w:rsid w:val="009C68E6"/>
    <w:rsid w:val="009D0E89"/>
    <w:rsid w:val="009E3384"/>
    <w:rsid w:val="009E5812"/>
    <w:rsid w:val="009E7B5D"/>
    <w:rsid w:val="009F05C4"/>
    <w:rsid w:val="009F114E"/>
    <w:rsid w:val="009F6525"/>
    <w:rsid w:val="009F655A"/>
    <w:rsid w:val="009F6A64"/>
    <w:rsid w:val="009F6C4E"/>
    <w:rsid w:val="00A010C2"/>
    <w:rsid w:val="00A01C15"/>
    <w:rsid w:val="00A03063"/>
    <w:rsid w:val="00A06617"/>
    <w:rsid w:val="00A07787"/>
    <w:rsid w:val="00A107D2"/>
    <w:rsid w:val="00A12264"/>
    <w:rsid w:val="00A132B2"/>
    <w:rsid w:val="00A15522"/>
    <w:rsid w:val="00A21397"/>
    <w:rsid w:val="00A21F4D"/>
    <w:rsid w:val="00A226D8"/>
    <w:rsid w:val="00A238CB"/>
    <w:rsid w:val="00A275D1"/>
    <w:rsid w:val="00A31130"/>
    <w:rsid w:val="00A32788"/>
    <w:rsid w:val="00A3398A"/>
    <w:rsid w:val="00A35A11"/>
    <w:rsid w:val="00A40C01"/>
    <w:rsid w:val="00A41FF5"/>
    <w:rsid w:val="00A52668"/>
    <w:rsid w:val="00A5376C"/>
    <w:rsid w:val="00A53D6B"/>
    <w:rsid w:val="00A5446B"/>
    <w:rsid w:val="00A606B8"/>
    <w:rsid w:val="00A6165B"/>
    <w:rsid w:val="00A62B70"/>
    <w:rsid w:val="00A6372B"/>
    <w:rsid w:val="00A65856"/>
    <w:rsid w:val="00A7110F"/>
    <w:rsid w:val="00A7216D"/>
    <w:rsid w:val="00A7231B"/>
    <w:rsid w:val="00A7341D"/>
    <w:rsid w:val="00A744A9"/>
    <w:rsid w:val="00A755DE"/>
    <w:rsid w:val="00A836AD"/>
    <w:rsid w:val="00A84EA1"/>
    <w:rsid w:val="00A90509"/>
    <w:rsid w:val="00A93F4D"/>
    <w:rsid w:val="00A94227"/>
    <w:rsid w:val="00A943DD"/>
    <w:rsid w:val="00A95118"/>
    <w:rsid w:val="00AA0576"/>
    <w:rsid w:val="00AA0602"/>
    <w:rsid w:val="00AA2847"/>
    <w:rsid w:val="00AA5371"/>
    <w:rsid w:val="00AA7400"/>
    <w:rsid w:val="00AB06B9"/>
    <w:rsid w:val="00AB2F95"/>
    <w:rsid w:val="00AB6136"/>
    <w:rsid w:val="00AB78E9"/>
    <w:rsid w:val="00AC07ED"/>
    <w:rsid w:val="00AC2104"/>
    <w:rsid w:val="00AD06C0"/>
    <w:rsid w:val="00AD216D"/>
    <w:rsid w:val="00AD39A7"/>
    <w:rsid w:val="00AD52AB"/>
    <w:rsid w:val="00AD7C77"/>
    <w:rsid w:val="00AD7F64"/>
    <w:rsid w:val="00AE0CE8"/>
    <w:rsid w:val="00AE31F2"/>
    <w:rsid w:val="00AE3FAF"/>
    <w:rsid w:val="00AE466B"/>
    <w:rsid w:val="00AE4882"/>
    <w:rsid w:val="00AE49DB"/>
    <w:rsid w:val="00AE6371"/>
    <w:rsid w:val="00AE7CA3"/>
    <w:rsid w:val="00AF2257"/>
    <w:rsid w:val="00AF4E43"/>
    <w:rsid w:val="00AF514A"/>
    <w:rsid w:val="00B00CD9"/>
    <w:rsid w:val="00B01361"/>
    <w:rsid w:val="00B020B9"/>
    <w:rsid w:val="00B03BAB"/>
    <w:rsid w:val="00B0552F"/>
    <w:rsid w:val="00B061B3"/>
    <w:rsid w:val="00B0714E"/>
    <w:rsid w:val="00B11091"/>
    <w:rsid w:val="00B129E3"/>
    <w:rsid w:val="00B12D2F"/>
    <w:rsid w:val="00B1744B"/>
    <w:rsid w:val="00B22FB6"/>
    <w:rsid w:val="00B2414E"/>
    <w:rsid w:val="00B2420B"/>
    <w:rsid w:val="00B257FB"/>
    <w:rsid w:val="00B261CB"/>
    <w:rsid w:val="00B267B5"/>
    <w:rsid w:val="00B31B05"/>
    <w:rsid w:val="00B34C60"/>
    <w:rsid w:val="00B36178"/>
    <w:rsid w:val="00B36C01"/>
    <w:rsid w:val="00B37D36"/>
    <w:rsid w:val="00B42F8E"/>
    <w:rsid w:val="00B451BC"/>
    <w:rsid w:val="00B460EF"/>
    <w:rsid w:val="00B54C56"/>
    <w:rsid w:val="00B5517C"/>
    <w:rsid w:val="00B55CC3"/>
    <w:rsid w:val="00B57821"/>
    <w:rsid w:val="00B601C6"/>
    <w:rsid w:val="00B606E0"/>
    <w:rsid w:val="00B70B00"/>
    <w:rsid w:val="00B70B50"/>
    <w:rsid w:val="00B75781"/>
    <w:rsid w:val="00B764C9"/>
    <w:rsid w:val="00B81827"/>
    <w:rsid w:val="00B826C5"/>
    <w:rsid w:val="00B86374"/>
    <w:rsid w:val="00B9007D"/>
    <w:rsid w:val="00B96F84"/>
    <w:rsid w:val="00BA32D0"/>
    <w:rsid w:val="00BA3561"/>
    <w:rsid w:val="00BA6D2C"/>
    <w:rsid w:val="00BB1A36"/>
    <w:rsid w:val="00BB30F1"/>
    <w:rsid w:val="00BB3216"/>
    <w:rsid w:val="00BB6929"/>
    <w:rsid w:val="00BB6C48"/>
    <w:rsid w:val="00BB7526"/>
    <w:rsid w:val="00BC1C19"/>
    <w:rsid w:val="00BC3DAF"/>
    <w:rsid w:val="00BC4105"/>
    <w:rsid w:val="00BC5484"/>
    <w:rsid w:val="00BC5918"/>
    <w:rsid w:val="00BC6E60"/>
    <w:rsid w:val="00BC7C3F"/>
    <w:rsid w:val="00BD0F4E"/>
    <w:rsid w:val="00BD2F2E"/>
    <w:rsid w:val="00BD6104"/>
    <w:rsid w:val="00BD6277"/>
    <w:rsid w:val="00BD7856"/>
    <w:rsid w:val="00BE133F"/>
    <w:rsid w:val="00BE2E9D"/>
    <w:rsid w:val="00BE3C96"/>
    <w:rsid w:val="00BE5746"/>
    <w:rsid w:val="00BE6E85"/>
    <w:rsid w:val="00BF0084"/>
    <w:rsid w:val="00BF06BB"/>
    <w:rsid w:val="00C01AA1"/>
    <w:rsid w:val="00C032CA"/>
    <w:rsid w:val="00C13CB9"/>
    <w:rsid w:val="00C14289"/>
    <w:rsid w:val="00C149B0"/>
    <w:rsid w:val="00C15CBB"/>
    <w:rsid w:val="00C216A4"/>
    <w:rsid w:val="00C249FB"/>
    <w:rsid w:val="00C30F98"/>
    <w:rsid w:val="00C3173D"/>
    <w:rsid w:val="00C31BA2"/>
    <w:rsid w:val="00C34067"/>
    <w:rsid w:val="00C360D4"/>
    <w:rsid w:val="00C371AC"/>
    <w:rsid w:val="00C42025"/>
    <w:rsid w:val="00C42F21"/>
    <w:rsid w:val="00C45F77"/>
    <w:rsid w:val="00C513C9"/>
    <w:rsid w:val="00C51999"/>
    <w:rsid w:val="00C6036F"/>
    <w:rsid w:val="00C6115A"/>
    <w:rsid w:val="00C63F2A"/>
    <w:rsid w:val="00C6473E"/>
    <w:rsid w:val="00C663F0"/>
    <w:rsid w:val="00C67E51"/>
    <w:rsid w:val="00C702D7"/>
    <w:rsid w:val="00C708D5"/>
    <w:rsid w:val="00C71945"/>
    <w:rsid w:val="00C7251A"/>
    <w:rsid w:val="00C726F9"/>
    <w:rsid w:val="00C730A7"/>
    <w:rsid w:val="00C7510C"/>
    <w:rsid w:val="00C751CD"/>
    <w:rsid w:val="00C779C6"/>
    <w:rsid w:val="00C80377"/>
    <w:rsid w:val="00C81446"/>
    <w:rsid w:val="00C830C8"/>
    <w:rsid w:val="00C8451A"/>
    <w:rsid w:val="00C8702B"/>
    <w:rsid w:val="00C872AA"/>
    <w:rsid w:val="00C93794"/>
    <w:rsid w:val="00C93FE9"/>
    <w:rsid w:val="00CA0E1F"/>
    <w:rsid w:val="00CA29DF"/>
    <w:rsid w:val="00CB0574"/>
    <w:rsid w:val="00CC1BB1"/>
    <w:rsid w:val="00CC4857"/>
    <w:rsid w:val="00CC5B65"/>
    <w:rsid w:val="00CC6338"/>
    <w:rsid w:val="00CD0E52"/>
    <w:rsid w:val="00CD1CCD"/>
    <w:rsid w:val="00CD2A4F"/>
    <w:rsid w:val="00CD4640"/>
    <w:rsid w:val="00CD624F"/>
    <w:rsid w:val="00CE00BC"/>
    <w:rsid w:val="00CE5EF4"/>
    <w:rsid w:val="00CE617A"/>
    <w:rsid w:val="00CE7443"/>
    <w:rsid w:val="00CF21C6"/>
    <w:rsid w:val="00CF4843"/>
    <w:rsid w:val="00CF4F44"/>
    <w:rsid w:val="00D01CB4"/>
    <w:rsid w:val="00D033B7"/>
    <w:rsid w:val="00D03B47"/>
    <w:rsid w:val="00D040A3"/>
    <w:rsid w:val="00D04EBA"/>
    <w:rsid w:val="00D07BFC"/>
    <w:rsid w:val="00D10960"/>
    <w:rsid w:val="00D10985"/>
    <w:rsid w:val="00D11B22"/>
    <w:rsid w:val="00D13FA9"/>
    <w:rsid w:val="00D166F2"/>
    <w:rsid w:val="00D16885"/>
    <w:rsid w:val="00D24684"/>
    <w:rsid w:val="00D2626B"/>
    <w:rsid w:val="00D2778A"/>
    <w:rsid w:val="00D3117E"/>
    <w:rsid w:val="00D31436"/>
    <w:rsid w:val="00D32A25"/>
    <w:rsid w:val="00D36896"/>
    <w:rsid w:val="00D3696D"/>
    <w:rsid w:val="00D37AB4"/>
    <w:rsid w:val="00D41788"/>
    <w:rsid w:val="00D51E4A"/>
    <w:rsid w:val="00D52517"/>
    <w:rsid w:val="00D52905"/>
    <w:rsid w:val="00D547A6"/>
    <w:rsid w:val="00D549FE"/>
    <w:rsid w:val="00D55100"/>
    <w:rsid w:val="00D56C19"/>
    <w:rsid w:val="00D60072"/>
    <w:rsid w:val="00D673D3"/>
    <w:rsid w:val="00D70AC2"/>
    <w:rsid w:val="00D71F77"/>
    <w:rsid w:val="00D72691"/>
    <w:rsid w:val="00D73543"/>
    <w:rsid w:val="00D75C6C"/>
    <w:rsid w:val="00D75CFE"/>
    <w:rsid w:val="00D75D5B"/>
    <w:rsid w:val="00D83C0D"/>
    <w:rsid w:val="00D851C1"/>
    <w:rsid w:val="00D85413"/>
    <w:rsid w:val="00D923F6"/>
    <w:rsid w:val="00D92B38"/>
    <w:rsid w:val="00D9357D"/>
    <w:rsid w:val="00D936CA"/>
    <w:rsid w:val="00D95222"/>
    <w:rsid w:val="00D953BD"/>
    <w:rsid w:val="00DA1F01"/>
    <w:rsid w:val="00DA2D0D"/>
    <w:rsid w:val="00DA38C0"/>
    <w:rsid w:val="00DA401C"/>
    <w:rsid w:val="00DA4EAC"/>
    <w:rsid w:val="00DA63AE"/>
    <w:rsid w:val="00DA69C7"/>
    <w:rsid w:val="00DA7C9E"/>
    <w:rsid w:val="00DB45A6"/>
    <w:rsid w:val="00DB5BEC"/>
    <w:rsid w:val="00DB6DC3"/>
    <w:rsid w:val="00DC5562"/>
    <w:rsid w:val="00DC591A"/>
    <w:rsid w:val="00DD0098"/>
    <w:rsid w:val="00DD11B5"/>
    <w:rsid w:val="00DD1A30"/>
    <w:rsid w:val="00DD1DD9"/>
    <w:rsid w:val="00DD61E3"/>
    <w:rsid w:val="00DD74DC"/>
    <w:rsid w:val="00DD7778"/>
    <w:rsid w:val="00DD7F12"/>
    <w:rsid w:val="00DE0AD2"/>
    <w:rsid w:val="00DE3A26"/>
    <w:rsid w:val="00DE6750"/>
    <w:rsid w:val="00DE75F3"/>
    <w:rsid w:val="00DE7F84"/>
    <w:rsid w:val="00DF18D8"/>
    <w:rsid w:val="00DF4E46"/>
    <w:rsid w:val="00DF6618"/>
    <w:rsid w:val="00E0243B"/>
    <w:rsid w:val="00E041E6"/>
    <w:rsid w:val="00E06468"/>
    <w:rsid w:val="00E06BB4"/>
    <w:rsid w:val="00E06DDC"/>
    <w:rsid w:val="00E07C95"/>
    <w:rsid w:val="00E11FD7"/>
    <w:rsid w:val="00E138AF"/>
    <w:rsid w:val="00E13CB6"/>
    <w:rsid w:val="00E17856"/>
    <w:rsid w:val="00E2179A"/>
    <w:rsid w:val="00E22918"/>
    <w:rsid w:val="00E22D64"/>
    <w:rsid w:val="00E24479"/>
    <w:rsid w:val="00E257D8"/>
    <w:rsid w:val="00E258DD"/>
    <w:rsid w:val="00E26602"/>
    <w:rsid w:val="00E32561"/>
    <w:rsid w:val="00E33551"/>
    <w:rsid w:val="00E36B54"/>
    <w:rsid w:val="00E36B96"/>
    <w:rsid w:val="00E44EBB"/>
    <w:rsid w:val="00E45ABD"/>
    <w:rsid w:val="00E4689A"/>
    <w:rsid w:val="00E50F99"/>
    <w:rsid w:val="00E52E9D"/>
    <w:rsid w:val="00E5507B"/>
    <w:rsid w:val="00E55203"/>
    <w:rsid w:val="00E562D0"/>
    <w:rsid w:val="00E575C1"/>
    <w:rsid w:val="00E60902"/>
    <w:rsid w:val="00E60ADD"/>
    <w:rsid w:val="00E6298E"/>
    <w:rsid w:val="00E63BD3"/>
    <w:rsid w:val="00E65CBE"/>
    <w:rsid w:val="00E66078"/>
    <w:rsid w:val="00E666DE"/>
    <w:rsid w:val="00E71E55"/>
    <w:rsid w:val="00E7320A"/>
    <w:rsid w:val="00E73714"/>
    <w:rsid w:val="00E7424D"/>
    <w:rsid w:val="00E76C8D"/>
    <w:rsid w:val="00E77D30"/>
    <w:rsid w:val="00E80052"/>
    <w:rsid w:val="00E81790"/>
    <w:rsid w:val="00E8511D"/>
    <w:rsid w:val="00E86A7E"/>
    <w:rsid w:val="00E87CC4"/>
    <w:rsid w:val="00E91D97"/>
    <w:rsid w:val="00E92F37"/>
    <w:rsid w:val="00E9558F"/>
    <w:rsid w:val="00E96CA3"/>
    <w:rsid w:val="00EA1CDE"/>
    <w:rsid w:val="00EA6F3C"/>
    <w:rsid w:val="00EB5D88"/>
    <w:rsid w:val="00EC1B24"/>
    <w:rsid w:val="00EC331D"/>
    <w:rsid w:val="00EC342D"/>
    <w:rsid w:val="00EC62BE"/>
    <w:rsid w:val="00EC68A4"/>
    <w:rsid w:val="00EE06A2"/>
    <w:rsid w:val="00EE2A84"/>
    <w:rsid w:val="00EE3FC3"/>
    <w:rsid w:val="00EE7378"/>
    <w:rsid w:val="00EE7D81"/>
    <w:rsid w:val="00EF0122"/>
    <w:rsid w:val="00EF70AF"/>
    <w:rsid w:val="00F00923"/>
    <w:rsid w:val="00F04C27"/>
    <w:rsid w:val="00F15634"/>
    <w:rsid w:val="00F17DDD"/>
    <w:rsid w:val="00F22E7C"/>
    <w:rsid w:val="00F2450F"/>
    <w:rsid w:val="00F25891"/>
    <w:rsid w:val="00F264FE"/>
    <w:rsid w:val="00F3161B"/>
    <w:rsid w:val="00F316C3"/>
    <w:rsid w:val="00F35CA3"/>
    <w:rsid w:val="00F35F4D"/>
    <w:rsid w:val="00F36265"/>
    <w:rsid w:val="00F364E8"/>
    <w:rsid w:val="00F36F5A"/>
    <w:rsid w:val="00F41ABB"/>
    <w:rsid w:val="00F45215"/>
    <w:rsid w:val="00F476B9"/>
    <w:rsid w:val="00F52E8C"/>
    <w:rsid w:val="00F61603"/>
    <w:rsid w:val="00F647FD"/>
    <w:rsid w:val="00F65572"/>
    <w:rsid w:val="00F66775"/>
    <w:rsid w:val="00F704DF"/>
    <w:rsid w:val="00F73F13"/>
    <w:rsid w:val="00F74E11"/>
    <w:rsid w:val="00F74F29"/>
    <w:rsid w:val="00F755A2"/>
    <w:rsid w:val="00F77727"/>
    <w:rsid w:val="00F802E0"/>
    <w:rsid w:val="00F836F5"/>
    <w:rsid w:val="00F839E3"/>
    <w:rsid w:val="00F84BB8"/>
    <w:rsid w:val="00F84E96"/>
    <w:rsid w:val="00F91322"/>
    <w:rsid w:val="00F93DFB"/>
    <w:rsid w:val="00F93F79"/>
    <w:rsid w:val="00F94ACB"/>
    <w:rsid w:val="00F9621A"/>
    <w:rsid w:val="00F973AD"/>
    <w:rsid w:val="00FA00DF"/>
    <w:rsid w:val="00FA1942"/>
    <w:rsid w:val="00FA19DD"/>
    <w:rsid w:val="00FA42BD"/>
    <w:rsid w:val="00FA5402"/>
    <w:rsid w:val="00FA7027"/>
    <w:rsid w:val="00FB03B1"/>
    <w:rsid w:val="00FB0B37"/>
    <w:rsid w:val="00FB20CC"/>
    <w:rsid w:val="00FB38D5"/>
    <w:rsid w:val="00FB71F1"/>
    <w:rsid w:val="00FC2A9F"/>
    <w:rsid w:val="00FC5088"/>
    <w:rsid w:val="00FD1AAB"/>
    <w:rsid w:val="00FD4229"/>
    <w:rsid w:val="00FD53F8"/>
    <w:rsid w:val="00FD55C0"/>
    <w:rsid w:val="00FD61B5"/>
    <w:rsid w:val="00FE0F3A"/>
    <w:rsid w:val="00FE3C5F"/>
    <w:rsid w:val="00FE6496"/>
    <w:rsid w:val="00FF0589"/>
    <w:rsid w:val="00FF0F95"/>
    <w:rsid w:val="00FF4A7C"/>
    <w:rsid w:val="00FF567C"/>
    <w:rsid w:val="00FF61A8"/>
    <w:rsid w:val="00FF7E37"/>
    <w:rsid w:val="01E03A9B"/>
    <w:rsid w:val="036A40E6"/>
    <w:rsid w:val="039F62FF"/>
    <w:rsid w:val="045253DC"/>
    <w:rsid w:val="06FD4A88"/>
    <w:rsid w:val="0C5B44D7"/>
    <w:rsid w:val="0ECA60C7"/>
    <w:rsid w:val="10A4325A"/>
    <w:rsid w:val="1149732C"/>
    <w:rsid w:val="146A5814"/>
    <w:rsid w:val="19985EF5"/>
    <w:rsid w:val="1EDA542E"/>
    <w:rsid w:val="22E06E04"/>
    <w:rsid w:val="246266BF"/>
    <w:rsid w:val="292A511A"/>
    <w:rsid w:val="2A2A5C2E"/>
    <w:rsid w:val="2B2C21B3"/>
    <w:rsid w:val="3C277440"/>
    <w:rsid w:val="3F81666C"/>
    <w:rsid w:val="47F46C1C"/>
    <w:rsid w:val="4934502A"/>
    <w:rsid w:val="4AE45C6A"/>
    <w:rsid w:val="56150435"/>
    <w:rsid w:val="577C3895"/>
    <w:rsid w:val="6452176F"/>
    <w:rsid w:val="64965652"/>
    <w:rsid w:val="656D498E"/>
    <w:rsid w:val="683926A8"/>
    <w:rsid w:val="71FC4104"/>
    <w:rsid w:val="731D17F8"/>
    <w:rsid w:val="769900A0"/>
    <w:rsid w:val="77952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30"/>
    <w:qFormat/>
    <w:uiPriority w:val="99"/>
    <w:pPr>
      <w:jc w:val="left"/>
    </w:pPr>
    <w:rPr>
      <w:lang w:val="zh-CN"/>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29"/>
    <w:qFormat/>
    <w:uiPriority w:val="0"/>
    <w:pPr>
      <w:pBdr>
        <w:bottom w:val="single" w:color="auto" w:sz="6" w:space="1"/>
      </w:pBdr>
      <w:tabs>
        <w:tab w:val="center" w:pos="4153"/>
        <w:tab w:val="right" w:pos="8306"/>
      </w:tabs>
      <w:snapToGrid w:val="0"/>
      <w:jc w:val="center"/>
    </w:pPr>
    <w:rPr>
      <w:sz w:val="18"/>
      <w:szCs w:val="18"/>
      <w:lang w:val="zh-CN"/>
    </w:rPr>
  </w:style>
  <w:style w:type="paragraph" w:styleId="6">
    <w:name w:val="footnote text"/>
    <w:basedOn w:val="1"/>
    <w:semiHidden/>
    <w:qFormat/>
    <w:uiPriority w:val="0"/>
    <w:pPr>
      <w:snapToGrid w:val="0"/>
      <w:jc w:val="left"/>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8">
    <w:name w:val="annotation subject"/>
    <w:basedOn w:val="2"/>
    <w:next w:val="2"/>
    <w:link w:val="31"/>
    <w:qFormat/>
    <w:uiPriority w:val="0"/>
    <w:rPr>
      <w:b/>
      <w:bCs/>
    </w:rPr>
  </w:style>
  <w:style w:type="table" w:styleId="10">
    <w:name w:val="Table Grid"/>
    <w:basedOn w:val="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
    <w:name w:val="Table Simple 1"/>
    <w:basedOn w:val="9"/>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2">
    <w:name w:val="Table List 3"/>
    <w:basedOn w:val="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character" w:styleId="14">
    <w:name w:val="Strong"/>
    <w:qFormat/>
    <w:uiPriority w:val="99"/>
    <w:rPr>
      <w:b/>
      <w:bCs/>
    </w:rPr>
  </w:style>
  <w:style w:type="character" w:styleId="15">
    <w:name w:val="page number"/>
    <w:basedOn w:val="13"/>
    <w:qFormat/>
    <w:uiPriority w:val="0"/>
  </w:style>
  <w:style w:type="character" w:styleId="16">
    <w:name w:val="Hyperlink"/>
    <w:qFormat/>
    <w:uiPriority w:val="0"/>
    <w:rPr>
      <w:color w:val="000099"/>
      <w:u w:val="none"/>
    </w:rPr>
  </w:style>
  <w:style w:type="character" w:styleId="17">
    <w:name w:val="annotation reference"/>
    <w:semiHidden/>
    <w:qFormat/>
    <w:uiPriority w:val="0"/>
    <w:rPr>
      <w:sz w:val="21"/>
      <w:szCs w:val="21"/>
    </w:rPr>
  </w:style>
  <w:style w:type="character" w:styleId="18">
    <w:name w:val="footnote reference"/>
    <w:semiHidden/>
    <w:qFormat/>
    <w:uiPriority w:val="0"/>
    <w:rPr>
      <w:vertAlign w:val="superscript"/>
    </w:rPr>
  </w:style>
  <w:style w:type="paragraph" w:customStyle="1" w:styleId="19">
    <w:name w:val="Char Char Char Char Char Char"/>
    <w:basedOn w:val="1"/>
    <w:qFormat/>
    <w:uiPriority w:val="0"/>
    <w:pPr>
      <w:snapToGrid w:val="0"/>
      <w:spacing w:line="360" w:lineRule="auto"/>
      <w:ind w:firstLine="200" w:firstLineChars="200"/>
    </w:pPr>
    <w:rPr>
      <w:rFonts w:eastAsia="仿宋_GB2312"/>
      <w:sz w:val="24"/>
    </w:rPr>
  </w:style>
  <w:style w:type="character" w:customStyle="1" w:styleId="20">
    <w:name w:val="style21"/>
    <w:qFormat/>
    <w:uiPriority w:val="0"/>
    <w:rPr>
      <w:color w:val="0000A0"/>
      <w:sz w:val="33"/>
      <w:szCs w:val="33"/>
    </w:rPr>
  </w:style>
  <w:style w:type="paragraph" w:customStyle="1" w:styleId="21">
    <w:name w:val="列出段落"/>
    <w:basedOn w:val="1"/>
    <w:qFormat/>
    <w:uiPriority w:val="34"/>
    <w:pPr>
      <w:ind w:firstLine="420" w:firstLineChars="200"/>
    </w:pPr>
    <w:rPr>
      <w:rFonts w:ascii="Calibri" w:hAnsi="Calibri"/>
      <w:szCs w:val="22"/>
    </w:rPr>
  </w:style>
  <w:style w:type="paragraph" w:customStyle="1" w:styleId="22">
    <w:name w:val="公式编号格式"/>
    <w:basedOn w:val="1"/>
    <w:link w:val="23"/>
    <w:qFormat/>
    <w:uiPriority w:val="0"/>
    <w:rPr>
      <w:szCs w:val="22"/>
      <w:lang w:val="zh-CN"/>
    </w:rPr>
  </w:style>
  <w:style w:type="character" w:customStyle="1" w:styleId="23">
    <w:name w:val="公式编号格式 Char"/>
    <w:link w:val="22"/>
    <w:qFormat/>
    <w:uiPriority w:val="0"/>
    <w:rPr>
      <w:kern w:val="2"/>
      <w:sz w:val="21"/>
      <w:szCs w:val="22"/>
    </w:rPr>
  </w:style>
  <w:style w:type="paragraph" w:customStyle="1" w:styleId="24">
    <w:name w:val="公式居中"/>
    <w:basedOn w:val="1"/>
    <w:qFormat/>
    <w:uiPriority w:val="0"/>
    <w:pPr>
      <w:tabs>
        <w:tab w:val="center" w:pos="4253"/>
        <w:tab w:val="right" w:pos="8222"/>
      </w:tabs>
    </w:pPr>
    <w:rPr>
      <w:rFonts w:ascii="Calibri" w:hAnsi="Calibri"/>
      <w:sz w:val="24"/>
      <w:szCs w:val="30"/>
    </w:rPr>
  </w:style>
  <w:style w:type="paragraph" w:customStyle="1" w:styleId="25">
    <w:name w:val="科技导报-一级标题"/>
    <w:basedOn w:val="1"/>
    <w:link w:val="27"/>
    <w:qFormat/>
    <w:uiPriority w:val="0"/>
    <w:pPr>
      <w:spacing w:line="360" w:lineRule="exact"/>
    </w:pPr>
    <w:rPr>
      <w:rFonts w:ascii="黑体" w:eastAsia="黑体"/>
      <w:b/>
      <w:sz w:val="28"/>
      <w:szCs w:val="28"/>
      <w:lang w:val="zh-CN"/>
    </w:rPr>
  </w:style>
  <w:style w:type="paragraph" w:customStyle="1" w:styleId="26">
    <w:name w:val="科技导报-2级标题"/>
    <w:basedOn w:val="1"/>
    <w:link w:val="28"/>
    <w:qFormat/>
    <w:uiPriority w:val="0"/>
    <w:pPr>
      <w:autoSpaceDE w:val="0"/>
      <w:autoSpaceDN w:val="0"/>
      <w:adjustRightInd w:val="0"/>
      <w:spacing w:line="360" w:lineRule="exact"/>
    </w:pPr>
    <w:rPr>
      <w:rFonts w:ascii="黑体" w:eastAsia="黑体"/>
      <w:b/>
      <w:kern w:val="0"/>
      <w:szCs w:val="21"/>
      <w:lang w:val="zh-CN"/>
    </w:rPr>
  </w:style>
  <w:style w:type="character" w:customStyle="1" w:styleId="27">
    <w:name w:val="科技导报-一级标题 Char"/>
    <w:link w:val="25"/>
    <w:qFormat/>
    <w:uiPriority w:val="0"/>
    <w:rPr>
      <w:rFonts w:ascii="黑体" w:eastAsia="黑体"/>
      <w:b/>
      <w:kern w:val="2"/>
      <w:sz w:val="28"/>
      <w:szCs w:val="28"/>
    </w:rPr>
  </w:style>
  <w:style w:type="character" w:customStyle="1" w:styleId="28">
    <w:name w:val="科技导报-2级标题 Char"/>
    <w:link w:val="26"/>
    <w:qFormat/>
    <w:uiPriority w:val="0"/>
    <w:rPr>
      <w:rFonts w:ascii="黑体" w:eastAsia="黑体" w:cs="AdobeSongStd-Light"/>
      <w:b/>
      <w:sz w:val="21"/>
      <w:szCs w:val="21"/>
    </w:rPr>
  </w:style>
  <w:style w:type="character" w:customStyle="1" w:styleId="29">
    <w:name w:val="页眉 字符"/>
    <w:link w:val="5"/>
    <w:qFormat/>
    <w:uiPriority w:val="0"/>
    <w:rPr>
      <w:kern w:val="2"/>
      <w:sz w:val="18"/>
      <w:szCs w:val="18"/>
    </w:rPr>
  </w:style>
  <w:style w:type="character" w:customStyle="1" w:styleId="30">
    <w:name w:val="批注文字 字符"/>
    <w:link w:val="2"/>
    <w:qFormat/>
    <w:uiPriority w:val="99"/>
    <w:rPr>
      <w:kern w:val="2"/>
      <w:sz w:val="21"/>
      <w:szCs w:val="24"/>
    </w:rPr>
  </w:style>
  <w:style w:type="character" w:customStyle="1" w:styleId="31">
    <w:name w:val="批注主题 字符"/>
    <w:basedOn w:val="30"/>
    <w:link w:val="8"/>
    <w:qFormat/>
    <w:uiPriority w:val="0"/>
    <w:rPr>
      <w:kern w:val="2"/>
      <w:sz w:val="21"/>
      <w:szCs w:val="24"/>
    </w:rPr>
  </w:style>
  <w:style w:type="character" w:customStyle="1" w:styleId="32">
    <w:name w:val="未处理的提及1"/>
    <w:semiHidden/>
    <w:unhideWhenUsed/>
    <w:qFormat/>
    <w:uiPriority w:val="99"/>
    <w:rPr>
      <w:color w:val="605E5C"/>
      <w:shd w:val="clear" w:color="auto" w:fill="E1DFDD"/>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table" w:customStyle="1" w:styleId="34">
    <w:name w:val="无格式表格 31"/>
    <w:basedOn w:val="9"/>
    <w:qFormat/>
    <w:uiPriority w:val="43"/>
    <w:rPr>
      <w:rFonts w:asciiTheme="minorHAnsi" w:hAnsiTheme="minorHAnsi" w:eastAsiaTheme="minorEastAsia" w:cstheme="minorBidi"/>
      <w:kern w:val="2"/>
      <w:sz w:val="21"/>
      <w:szCs w:val="22"/>
      <w14:ligatures w14:val="standardContextual"/>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paragraph" w:customStyle="1" w:styleId="35">
    <w:name w:val="图"/>
    <w:basedOn w:val="1"/>
    <w:qFormat/>
    <w:uiPriority w:val="0"/>
    <w:pPr>
      <w:topLinePunct/>
      <w:snapToGrid w:val="0"/>
      <w:spacing w:beforeLines="25" w:afterLines="10"/>
      <w:jc w:val="center"/>
    </w:pPr>
    <w:rPr>
      <w:spacing w:val="6"/>
      <w:kern w:val="20"/>
      <w:sz w:val="20"/>
    </w:rPr>
  </w:style>
  <w:style w:type="paragraph" w:customStyle="1" w:styleId="36">
    <w:name w:val="MTDisplayEquation"/>
    <w:basedOn w:val="1"/>
    <w:next w:val="1"/>
    <w:link w:val="37"/>
    <w:qFormat/>
    <w:uiPriority w:val="0"/>
    <w:pPr>
      <w:tabs>
        <w:tab w:val="center" w:pos="2300"/>
        <w:tab w:val="right" w:pos="4600"/>
      </w:tabs>
      <w:ind w:right="25" w:rightChars="12" w:firstLine="420"/>
    </w:pPr>
    <w:rPr>
      <w:szCs w:val="21"/>
    </w:rPr>
  </w:style>
  <w:style w:type="character" w:customStyle="1" w:styleId="37">
    <w:name w:val="MTDisplayEquation Char"/>
    <w:link w:val="36"/>
    <w:qFormat/>
    <w:uiPriority w:val="0"/>
    <w:rPr>
      <w:kern w:val="2"/>
      <w:sz w:val="21"/>
      <w:szCs w:val="21"/>
    </w:rPr>
  </w:style>
  <w:style w:type="table" w:customStyle="1" w:styleId="38">
    <w:name w:val="无格式表格 21"/>
    <w:basedOn w:val="9"/>
    <w:qFormat/>
    <w:uiPriority w:val="42"/>
    <w:rPr>
      <w:rFonts w:asciiTheme="minorHAnsi" w:hAnsiTheme="minorHAnsi" w:eastAsiaTheme="minorEastAsia" w:cstheme="minorBidi"/>
      <w:kern w:val="2"/>
      <w:sz w:val="21"/>
      <w:szCs w:val="22"/>
      <w14:ligatures w14:val="standardContextual"/>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39">
    <w:name w:val="参文"/>
    <w:basedOn w:val="1"/>
    <w:qFormat/>
    <w:uiPriority w:val="0"/>
    <w:pPr>
      <w:topLinePunct/>
      <w:ind w:left="480" w:hanging="480" w:hangingChars="250"/>
    </w:pPr>
    <w:rPr>
      <w:spacing w:val="6"/>
      <w:kern w:val="20"/>
      <w:sz w:val="18"/>
    </w:rPr>
  </w:style>
  <w:style w:type="character" w:customStyle="1" w:styleId="40">
    <w:name w:val="MTDisplayEquation 字符"/>
    <w:basedOn w:val="13"/>
    <w:qFormat/>
    <w:uiPriority w:val="0"/>
  </w:style>
  <w:style w:type="paragraph" w:styleId="41">
    <w:name w:val="List Paragraph"/>
    <w:basedOn w:val="1"/>
    <w:qFormat/>
    <w:uiPriority w:val="34"/>
    <w:pPr>
      <w:spacing w:after="160" w:line="278" w:lineRule="auto"/>
      <w:ind w:left="720"/>
      <w:contextualSpacing/>
      <w:jc w:val="left"/>
    </w:pPr>
    <w:rPr>
      <w:rFonts w:asciiTheme="minorHAnsi" w:hAnsiTheme="minorHAnsi" w:eastAsiaTheme="minorEastAsia" w:cstheme="minorBidi"/>
      <w:sz w:val="22"/>
      <w14:ligatures w14:val="standardContextual"/>
    </w:rPr>
  </w:style>
  <w:style w:type="paragraph" w:customStyle="1" w:styleId="42">
    <w:name w:val="EndNote Bibliography Title"/>
    <w:basedOn w:val="1"/>
    <w:link w:val="43"/>
    <w:qFormat/>
    <w:uiPriority w:val="0"/>
    <w:pPr>
      <w:jc w:val="center"/>
    </w:pPr>
    <w:rPr>
      <w:sz w:val="20"/>
    </w:rPr>
  </w:style>
  <w:style w:type="character" w:customStyle="1" w:styleId="43">
    <w:name w:val="EndNote Bibliography Title 字符"/>
    <w:basedOn w:val="13"/>
    <w:link w:val="42"/>
    <w:qFormat/>
    <w:uiPriority w:val="0"/>
    <w:rPr>
      <w:kern w:val="2"/>
      <w:szCs w:val="24"/>
    </w:rPr>
  </w:style>
  <w:style w:type="paragraph" w:customStyle="1" w:styleId="44">
    <w:name w:val="EndNote Bibliography"/>
    <w:basedOn w:val="1"/>
    <w:link w:val="45"/>
    <w:qFormat/>
    <w:uiPriority w:val="0"/>
    <w:rPr>
      <w:sz w:val="20"/>
    </w:rPr>
  </w:style>
  <w:style w:type="character" w:customStyle="1" w:styleId="45">
    <w:name w:val="EndNote Bibliography 字符"/>
    <w:basedOn w:val="13"/>
    <w:link w:val="44"/>
    <w:qFormat/>
    <w:uiPriority w:val="0"/>
    <w:rPr>
      <w:kern w:val="2"/>
      <w:szCs w:val="24"/>
    </w:rPr>
  </w:style>
  <w:style w:type="paragraph" w:customStyle="1" w:styleId="46">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47">
    <w:name w:val="未处理的提及2"/>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5.bin"/><Relationship Id="rId97" Type="http://schemas.openxmlformats.org/officeDocument/2006/relationships/image" Target="media/image47.wmf"/><Relationship Id="rId96" Type="http://schemas.openxmlformats.org/officeDocument/2006/relationships/oleObject" Target="embeddings/oleObject44.bin"/><Relationship Id="rId95" Type="http://schemas.openxmlformats.org/officeDocument/2006/relationships/image" Target="media/image46.wmf"/><Relationship Id="rId94" Type="http://schemas.openxmlformats.org/officeDocument/2006/relationships/oleObject" Target="embeddings/oleObject43.bin"/><Relationship Id="rId93" Type="http://schemas.openxmlformats.org/officeDocument/2006/relationships/image" Target="media/image45.wmf"/><Relationship Id="rId92" Type="http://schemas.openxmlformats.org/officeDocument/2006/relationships/oleObject" Target="embeddings/oleObject42.bin"/><Relationship Id="rId91" Type="http://schemas.openxmlformats.org/officeDocument/2006/relationships/image" Target="media/image44.wmf"/><Relationship Id="rId90" Type="http://schemas.openxmlformats.org/officeDocument/2006/relationships/oleObject" Target="embeddings/oleObject41.bin"/><Relationship Id="rId9" Type="http://schemas.openxmlformats.org/officeDocument/2006/relationships/image" Target="media/image2.wmf"/><Relationship Id="rId89" Type="http://schemas.openxmlformats.org/officeDocument/2006/relationships/image" Target="media/image43.wmf"/><Relationship Id="rId88" Type="http://schemas.openxmlformats.org/officeDocument/2006/relationships/oleObject" Target="embeddings/oleObject40.bin"/><Relationship Id="rId87" Type="http://schemas.openxmlformats.org/officeDocument/2006/relationships/image" Target="media/image42.wmf"/><Relationship Id="rId86" Type="http://schemas.openxmlformats.org/officeDocument/2006/relationships/oleObject" Target="embeddings/oleObject39.bin"/><Relationship Id="rId85" Type="http://schemas.openxmlformats.org/officeDocument/2006/relationships/image" Target="media/image41.wmf"/><Relationship Id="rId84" Type="http://schemas.openxmlformats.org/officeDocument/2006/relationships/oleObject" Target="embeddings/oleObject38.bin"/><Relationship Id="rId83" Type="http://schemas.openxmlformats.org/officeDocument/2006/relationships/image" Target="media/image40.wmf"/><Relationship Id="rId82" Type="http://schemas.openxmlformats.org/officeDocument/2006/relationships/oleObject" Target="embeddings/oleObject37.bin"/><Relationship Id="rId81" Type="http://schemas.openxmlformats.org/officeDocument/2006/relationships/image" Target="media/image39.wmf"/><Relationship Id="rId80" Type="http://schemas.openxmlformats.org/officeDocument/2006/relationships/oleObject" Target="embeddings/oleObject36.bin"/><Relationship Id="rId8" Type="http://schemas.openxmlformats.org/officeDocument/2006/relationships/oleObject" Target="embeddings/oleObject1.bin"/><Relationship Id="rId79" Type="http://schemas.openxmlformats.org/officeDocument/2006/relationships/image" Target="media/image38.wmf"/><Relationship Id="rId78" Type="http://schemas.openxmlformats.org/officeDocument/2006/relationships/oleObject" Target="embeddings/oleObject35.bin"/><Relationship Id="rId77" Type="http://schemas.openxmlformats.org/officeDocument/2006/relationships/image" Target="media/image37.wmf"/><Relationship Id="rId76" Type="http://schemas.openxmlformats.org/officeDocument/2006/relationships/oleObject" Target="embeddings/oleObject34.bin"/><Relationship Id="rId75" Type="http://schemas.openxmlformats.org/officeDocument/2006/relationships/image" Target="media/image36.wmf"/><Relationship Id="rId74" Type="http://schemas.openxmlformats.org/officeDocument/2006/relationships/oleObject" Target="embeddings/oleObject33.bin"/><Relationship Id="rId73" Type="http://schemas.openxmlformats.org/officeDocument/2006/relationships/image" Target="media/image35.wmf"/><Relationship Id="rId72" Type="http://schemas.openxmlformats.org/officeDocument/2006/relationships/oleObject" Target="embeddings/oleObject32.bin"/><Relationship Id="rId71" Type="http://schemas.openxmlformats.org/officeDocument/2006/relationships/image" Target="media/image34.wmf"/><Relationship Id="rId70" Type="http://schemas.openxmlformats.org/officeDocument/2006/relationships/oleObject" Target="embeddings/oleObject31.bin"/><Relationship Id="rId7" Type="http://schemas.openxmlformats.org/officeDocument/2006/relationships/image" Target="media/image1.emf"/><Relationship Id="rId69" Type="http://schemas.openxmlformats.org/officeDocument/2006/relationships/image" Target="media/image33.wmf"/><Relationship Id="rId68" Type="http://schemas.openxmlformats.org/officeDocument/2006/relationships/oleObject" Target="embeddings/oleObject30.bin"/><Relationship Id="rId67" Type="http://schemas.openxmlformats.org/officeDocument/2006/relationships/image" Target="media/image32.wmf"/><Relationship Id="rId66" Type="http://schemas.openxmlformats.org/officeDocument/2006/relationships/oleObject" Target="embeddings/oleObject29.bin"/><Relationship Id="rId65" Type="http://schemas.openxmlformats.org/officeDocument/2006/relationships/image" Target="media/image31.wmf"/><Relationship Id="rId64" Type="http://schemas.openxmlformats.org/officeDocument/2006/relationships/oleObject" Target="embeddings/oleObject28.bin"/><Relationship Id="rId63" Type="http://schemas.openxmlformats.org/officeDocument/2006/relationships/image" Target="media/image30.wmf"/><Relationship Id="rId62" Type="http://schemas.openxmlformats.org/officeDocument/2006/relationships/oleObject" Target="embeddings/oleObject27.bin"/><Relationship Id="rId61" Type="http://schemas.openxmlformats.org/officeDocument/2006/relationships/image" Target="media/image29.wmf"/><Relationship Id="rId60" Type="http://schemas.openxmlformats.org/officeDocument/2006/relationships/oleObject" Target="embeddings/oleObject26.bin"/><Relationship Id="rId6" Type="http://schemas.openxmlformats.org/officeDocument/2006/relationships/theme" Target="theme/theme1.xml"/><Relationship Id="rId59" Type="http://schemas.openxmlformats.org/officeDocument/2006/relationships/image" Target="media/image28.wmf"/><Relationship Id="rId58" Type="http://schemas.openxmlformats.org/officeDocument/2006/relationships/oleObject" Target="embeddings/oleObject25.bin"/><Relationship Id="rId57" Type="http://schemas.openxmlformats.org/officeDocument/2006/relationships/image" Target="media/image27.wmf"/><Relationship Id="rId56" Type="http://schemas.openxmlformats.org/officeDocument/2006/relationships/oleObject" Target="embeddings/oleObject24.bin"/><Relationship Id="rId55" Type="http://schemas.openxmlformats.org/officeDocument/2006/relationships/image" Target="media/image26.wmf"/><Relationship Id="rId54" Type="http://schemas.openxmlformats.org/officeDocument/2006/relationships/oleObject" Target="embeddings/oleObject23.bin"/><Relationship Id="rId53" Type="http://schemas.openxmlformats.org/officeDocument/2006/relationships/image" Target="media/image25.wmf"/><Relationship Id="rId52" Type="http://schemas.openxmlformats.org/officeDocument/2006/relationships/oleObject" Target="embeddings/oleObject22.bin"/><Relationship Id="rId51" Type="http://schemas.openxmlformats.org/officeDocument/2006/relationships/image" Target="media/image24.wmf"/><Relationship Id="rId50" Type="http://schemas.openxmlformats.org/officeDocument/2006/relationships/oleObject" Target="embeddings/oleObject21.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22.wmf"/><Relationship Id="rId46" Type="http://schemas.openxmlformats.org/officeDocument/2006/relationships/oleObject" Target="embeddings/oleObject19.bin"/><Relationship Id="rId45" Type="http://schemas.openxmlformats.org/officeDocument/2006/relationships/image" Target="media/image21.wmf"/><Relationship Id="rId44" Type="http://schemas.openxmlformats.org/officeDocument/2006/relationships/oleObject" Target="embeddings/oleObject18.bin"/><Relationship Id="rId43" Type="http://schemas.openxmlformats.org/officeDocument/2006/relationships/image" Target="media/image20.wmf"/><Relationship Id="rId42" Type="http://schemas.openxmlformats.org/officeDocument/2006/relationships/oleObject" Target="embeddings/oleObject17.bin"/><Relationship Id="rId41" Type="http://schemas.openxmlformats.org/officeDocument/2006/relationships/image" Target="media/image19.wmf"/><Relationship Id="rId40" Type="http://schemas.openxmlformats.org/officeDocument/2006/relationships/oleObject" Target="embeddings/oleObject16.bin"/><Relationship Id="rId4" Type="http://schemas.openxmlformats.org/officeDocument/2006/relationships/header" Target="header1.xml"/><Relationship Id="rId39" Type="http://schemas.openxmlformats.org/officeDocument/2006/relationships/image" Target="media/image18.wmf"/><Relationship Id="rId38" Type="http://schemas.openxmlformats.org/officeDocument/2006/relationships/oleObject" Target="embeddings/oleObject15.bin"/><Relationship Id="rId37" Type="http://schemas.openxmlformats.org/officeDocument/2006/relationships/image" Target="media/image17.wmf"/><Relationship Id="rId36" Type="http://schemas.openxmlformats.org/officeDocument/2006/relationships/oleObject" Target="embeddings/oleObject14.bin"/><Relationship Id="rId353" Type="http://schemas.openxmlformats.org/officeDocument/2006/relationships/fontTable" Target="fontTable.xml"/><Relationship Id="rId352" Type="http://schemas.openxmlformats.org/officeDocument/2006/relationships/customXml" Target="../customXml/item1.xml"/><Relationship Id="rId351" Type="http://schemas.openxmlformats.org/officeDocument/2006/relationships/image" Target="media/image176.emf"/><Relationship Id="rId350" Type="http://schemas.openxmlformats.org/officeDocument/2006/relationships/package" Target="embeddings/Microsoft_Visio___12.vsdx"/><Relationship Id="rId35" Type="http://schemas.openxmlformats.org/officeDocument/2006/relationships/image" Target="media/image16.wmf"/><Relationship Id="rId349" Type="http://schemas.openxmlformats.org/officeDocument/2006/relationships/image" Target="media/image175.emf"/><Relationship Id="rId348" Type="http://schemas.openxmlformats.org/officeDocument/2006/relationships/package" Target="embeddings/Microsoft_Visio___11.vsdx"/><Relationship Id="rId347" Type="http://schemas.openxmlformats.org/officeDocument/2006/relationships/image" Target="media/image174.emf"/><Relationship Id="rId346" Type="http://schemas.openxmlformats.org/officeDocument/2006/relationships/package" Target="embeddings/Microsoft_Visio___10.vsdx"/><Relationship Id="rId345" Type="http://schemas.openxmlformats.org/officeDocument/2006/relationships/image" Target="media/image173.emf"/><Relationship Id="rId344" Type="http://schemas.openxmlformats.org/officeDocument/2006/relationships/package" Target="embeddings/Microsoft_Visio___9.vsdx"/><Relationship Id="rId343" Type="http://schemas.openxmlformats.org/officeDocument/2006/relationships/image" Target="media/image172.emf"/><Relationship Id="rId342" Type="http://schemas.openxmlformats.org/officeDocument/2006/relationships/package" Target="embeddings/Microsoft_Visio___8.vsdx"/><Relationship Id="rId341" Type="http://schemas.openxmlformats.org/officeDocument/2006/relationships/image" Target="media/image171.emf"/><Relationship Id="rId340" Type="http://schemas.openxmlformats.org/officeDocument/2006/relationships/package" Target="embeddings/Microsoft_Visio___7.vsdx"/><Relationship Id="rId34" Type="http://schemas.openxmlformats.org/officeDocument/2006/relationships/oleObject" Target="embeddings/oleObject13.bin"/><Relationship Id="rId339" Type="http://schemas.openxmlformats.org/officeDocument/2006/relationships/image" Target="media/image170.wmf"/><Relationship Id="rId338" Type="http://schemas.openxmlformats.org/officeDocument/2006/relationships/oleObject" Target="embeddings/oleObject157.bin"/><Relationship Id="rId337" Type="http://schemas.openxmlformats.org/officeDocument/2006/relationships/image" Target="media/image169.wmf"/><Relationship Id="rId336" Type="http://schemas.openxmlformats.org/officeDocument/2006/relationships/oleObject" Target="embeddings/oleObject156.bin"/><Relationship Id="rId335" Type="http://schemas.openxmlformats.org/officeDocument/2006/relationships/image" Target="media/image168.wmf"/><Relationship Id="rId334" Type="http://schemas.openxmlformats.org/officeDocument/2006/relationships/oleObject" Target="embeddings/oleObject155.bin"/><Relationship Id="rId333" Type="http://schemas.openxmlformats.org/officeDocument/2006/relationships/image" Target="media/image167.wmf"/><Relationship Id="rId332" Type="http://schemas.openxmlformats.org/officeDocument/2006/relationships/oleObject" Target="embeddings/oleObject154.bin"/><Relationship Id="rId331" Type="http://schemas.openxmlformats.org/officeDocument/2006/relationships/image" Target="media/image166.wmf"/><Relationship Id="rId330" Type="http://schemas.openxmlformats.org/officeDocument/2006/relationships/oleObject" Target="embeddings/oleObject153.bin"/><Relationship Id="rId33" Type="http://schemas.openxmlformats.org/officeDocument/2006/relationships/image" Target="media/image15.wmf"/><Relationship Id="rId329" Type="http://schemas.openxmlformats.org/officeDocument/2006/relationships/image" Target="media/image165.wmf"/><Relationship Id="rId328" Type="http://schemas.openxmlformats.org/officeDocument/2006/relationships/oleObject" Target="embeddings/oleObject152.bin"/><Relationship Id="rId327" Type="http://schemas.openxmlformats.org/officeDocument/2006/relationships/image" Target="media/image164.wmf"/><Relationship Id="rId326" Type="http://schemas.openxmlformats.org/officeDocument/2006/relationships/oleObject" Target="embeddings/oleObject151.bin"/><Relationship Id="rId325" Type="http://schemas.openxmlformats.org/officeDocument/2006/relationships/image" Target="media/image163.wmf"/><Relationship Id="rId324" Type="http://schemas.openxmlformats.org/officeDocument/2006/relationships/oleObject" Target="embeddings/oleObject150.bin"/><Relationship Id="rId323" Type="http://schemas.openxmlformats.org/officeDocument/2006/relationships/image" Target="media/image162.emf"/><Relationship Id="rId322" Type="http://schemas.openxmlformats.org/officeDocument/2006/relationships/package" Target="embeddings/Microsoft_Visio___6.vsdx"/><Relationship Id="rId321" Type="http://schemas.openxmlformats.org/officeDocument/2006/relationships/image" Target="media/image161.emf"/><Relationship Id="rId320" Type="http://schemas.openxmlformats.org/officeDocument/2006/relationships/package" Target="embeddings/Microsoft_Visio___5.vsdx"/><Relationship Id="rId32" Type="http://schemas.openxmlformats.org/officeDocument/2006/relationships/oleObject" Target="embeddings/oleObject12.bin"/><Relationship Id="rId319" Type="http://schemas.openxmlformats.org/officeDocument/2006/relationships/image" Target="media/image160.wmf"/><Relationship Id="rId318" Type="http://schemas.openxmlformats.org/officeDocument/2006/relationships/oleObject" Target="embeddings/oleObject149.bin"/><Relationship Id="rId317" Type="http://schemas.openxmlformats.org/officeDocument/2006/relationships/image" Target="media/image159.wmf"/><Relationship Id="rId316" Type="http://schemas.openxmlformats.org/officeDocument/2006/relationships/oleObject" Target="embeddings/oleObject148.bin"/><Relationship Id="rId315" Type="http://schemas.openxmlformats.org/officeDocument/2006/relationships/image" Target="media/image158.emf"/><Relationship Id="rId314" Type="http://schemas.openxmlformats.org/officeDocument/2006/relationships/package" Target="embeddings/Microsoft_Visio___4.vsdx"/><Relationship Id="rId313" Type="http://schemas.openxmlformats.org/officeDocument/2006/relationships/image" Target="media/image157.emf"/><Relationship Id="rId312" Type="http://schemas.openxmlformats.org/officeDocument/2006/relationships/package" Target="embeddings/Microsoft_Visio___3.vsdx"/><Relationship Id="rId311" Type="http://schemas.openxmlformats.org/officeDocument/2006/relationships/image" Target="media/image156.emf"/><Relationship Id="rId310" Type="http://schemas.openxmlformats.org/officeDocument/2006/relationships/package" Target="embeddings/Microsoft_Visio___2.vsdx"/><Relationship Id="rId31" Type="http://schemas.openxmlformats.org/officeDocument/2006/relationships/image" Target="media/image14.wmf"/><Relationship Id="rId309" Type="http://schemas.openxmlformats.org/officeDocument/2006/relationships/image" Target="media/image155.emf"/><Relationship Id="rId308" Type="http://schemas.openxmlformats.org/officeDocument/2006/relationships/package" Target="embeddings/Microsoft_Visio___1.vsdx"/><Relationship Id="rId307" Type="http://schemas.openxmlformats.org/officeDocument/2006/relationships/image" Target="media/image154.wmf"/><Relationship Id="rId306" Type="http://schemas.openxmlformats.org/officeDocument/2006/relationships/oleObject" Target="embeddings/oleObject147.bin"/><Relationship Id="rId305" Type="http://schemas.openxmlformats.org/officeDocument/2006/relationships/image" Target="media/image153.wmf"/><Relationship Id="rId304" Type="http://schemas.openxmlformats.org/officeDocument/2006/relationships/oleObject" Target="embeddings/oleObject146.bin"/><Relationship Id="rId303" Type="http://schemas.openxmlformats.org/officeDocument/2006/relationships/image" Target="media/image152.wmf"/><Relationship Id="rId302" Type="http://schemas.openxmlformats.org/officeDocument/2006/relationships/oleObject" Target="embeddings/oleObject145.bin"/><Relationship Id="rId301" Type="http://schemas.openxmlformats.org/officeDocument/2006/relationships/image" Target="media/image151.wmf"/><Relationship Id="rId300" Type="http://schemas.openxmlformats.org/officeDocument/2006/relationships/oleObject" Target="embeddings/oleObject144.bin"/><Relationship Id="rId30" Type="http://schemas.openxmlformats.org/officeDocument/2006/relationships/oleObject" Target="embeddings/oleObject11.bin"/><Relationship Id="rId3" Type="http://schemas.openxmlformats.org/officeDocument/2006/relationships/footnotes" Target="footnotes.xml"/><Relationship Id="rId299" Type="http://schemas.openxmlformats.org/officeDocument/2006/relationships/image" Target="media/image150.wmf"/><Relationship Id="rId298" Type="http://schemas.openxmlformats.org/officeDocument/2006/relationships/oleObject" Target="embeddings/oleObject143.bin"/><Relationship Id="rId297" Type="http://schemas.openxmlformats.org/officeDocument/2006/relationships/image" Target="media/image149.wmf"/><Relationship Id="rId296" Type="http://schemas.openxmlformats.org/officeDocument/2006/relationships/oleObject" Target="embeddings/oleObject142.bin"/><Relationship Id="rId295" Type="http://schemas.openxmlformats.org/officeDocument/2006/relationships/image" Target="media/image148.wmf"/><Relationship Id="rId294" Type="http://schemas.openxmlformats.org/officeDocument/2006/relationships/oleObject" Target="embeddings/oleObject141.bin"/><Relationship Id="rId293" Type="http://schemas.openxmlformats.org/officeDocument/2006/relationships/image" Target="media/image147.wmf"/><Relationship Id="rId292" Type="http://schemas.openxmlformats.org/officeDocument/2006/relationships/oleObject" Target="embeddings/oleObject140.bin"/><Relationship Id="rId291" Type="http://schemas.openxmlformats.org/officeDocument/2006/relationships/image" Target="media/image146.wmf"/><Relationship Id="rId290" Type="http://schemas.openxmlformats.org/officeDocument/2006/relationships/oleObject" Target="embeddings/oleObject139.bin"/><Relationship Id="rId29" Type="http://schemas.openxmlformats.org/officeDocument/2006/relationships/image" Target="media/image13.wmf"/><Relationship Id="rId289" Type="http://schemas.openxmlformats.org/officeDocument/2006/relationships/image" Target="media/image145.wmf"/><Relationship Id="rId288" Type="http://schemas.openxmlformats.org/officeDocument/2006/relationships/oleObject" Target="embeddings/oleObject138.bin"/><Relationship Id="rId287" Type="http://schemas.openxmlformats.org/officeDocument/2006/relationships/image" Target="media/image144.wmf"/><Relationship Id="rId286" Type="http://schemas.openxmlformats.org/officeDocument/2006/relationships/oleObject" Target="embeddings/oleObject137.bin"/><Relationship Id="rId285" Type="http://schemas.openxmlformats.org/officeDocument/2006/relationships/image" Target="media/image143.wmf"/><Relationship Id="rId284" Type="http://schemas.openxmlformats.org/officeDocument/2006/relationships/oleObject" Target="embeddings/oleObject136.bin"/><Relationship Id="rId283" Type="http://schemas.openxmlformats.org/officeDocument/2006/relationships/image" Target="media/image142.wmf"/><Relationship Id="rId282" Type="http://schemas.openxmlformats.org/officeDocument/2006/relationships/oleObject" Target="embeddings/oleObject135.bin"/><Relationship Id="rId281" Type="http://schemas.openxmlformats.org/officeDocument/2006/relationships/image" Target="media/image141.wmf"/><Relationship Id="rId280" Type="http://schemas.openxmlformats.org/officeDocument/2006/relationships/oleObject" Target="embeddings/oleObject134.bin"/><Relationship Id="rId28" Type="http://schemas.openxmlformats.org/officeDocument/2006/relationships/oleObject" Target="embeddings/oleObject10.bin"/><Relationship Id="rId279" Type="http://schemas.openxmlformats.org/officeDocument/2006/relationships/image" Target="media/image140.wmf"/><Relationship Id="rId278" Type="http://schemas.openxmlformats.org/officeDocument/2006/relationships/oleObject" Target="embeddings/oleObject133.bin"/><Relationship Id="rId277" Type="http://schemas.openxmlformats.org/officeDocument/2006/relationships/image" Target="media/image139.wmf"/><Relationship Id="rId276" Type="http://schemas.openxmlformats.org/officeDocument/2006/relationships/oleObject" Target="embeddings/oleObject132.bin"/><Relationship Id="rId275" Type="http://schemas.openxmlformats.org/officeDocument/2006/relationships/image" Target="media/image138.wmf"/><Relationship Id="rId274" Type="http://schemas.openxmlformats.org/officeDocument/2006/relationships/oleObject" Target="embeddings/oleObject131.bin"/><Relationship Id="rId273" Type="http://schemas.openxmlformats.org/officeDocument/2006/relationships/image" Target="media/image137.wmf"/><Relationship Id="rId272" Type="http://schemas.openxmlformats.org/officeDocument/2006/relationships/oleObject" Target="embeddings/oleObject130.bin"/><Relationship Id="rId271" Type="http://schemas.openxmlformats.org/officeDocument/2006/relationships/image" Target="media/image136.wmf"/><Relationship Id="rId270" Type="http://schemas.openxmlformats.org/officeDocument/2006/relationships/oleObject" Target="embeddings/oleObject129.bin"/><Relationship Id="rId27" Type="http://schemas.openxmlformats.org/officeDocument/2006/relationships/image" Target="media/image12.emf"/><Relationship Id="rId269" Type="http://schemas.openxmlformats.org/officeDocument/2006/relationships/image" Target="media/image135.wmf"/><Relationship Id="rId268" Type="http://schemas.openxmlformats.org/officeDocument/2006/relationships/oleObject" Target="embeddings/oleObject128.bin"/><Relationship Id="rId267" Type="http://schemas.openxmlformats.org/officeDocument/2006/relationships/image" Target="media/image134.wmf"/><Relationship Id="rId266" Type="http://schemas.openxmlformats.org/officeDocument/2006/relationships/oleObject" Target="embeddings/oleObject127.bin"/><Relationship Id="rId265" Type="http://schemas.openxmlformats.org/officeDocument/2006/relationships/image" Target="media/image133.wmf"/><Relationship Id="rId264" Type="http://schemas.openxmlformats.org/officeDocument/2006/relationships/oleObject" Target="embeddings/oleObject126.bin"/><Relationship Id="rId263" Type="http://schemas.openxmlformats.org/officeDocument/2006/relationships/image" Target="media/image132.wmf"/><Relationship Id="rId262" Type="http://schemas.openxmlformats.org/officeDocument/2006/relationships/oleObject" Target="embeddings/oleObject125.bin"/><Relationship Id="rId261" Type="http://schemas.openxmlformats.org/officeDocument/2006/relationships/image" Target="media/image131.wmf"/><Relationship Id="rId260" Type="http://schemas.openxmlformats.org/officeDocument/2006/relationships/oleObject" Target="embeddings/oleObject124.bin"/><Relationship Id="rId26" Type="http://schemas.openxmlformats.org/officeDocument/2006/relationships/image" Target="media/image11.wmf"/><Relationship Id="rId259" Type="http://schemas.openxmlformats.org/officeDocument/2006/relationships/image" Target="media/image130.wmf"/><Relationship Id="rId258" Type="http://schemas.openxmlformats.org/officeDocument/2006/relationships/oleObject" Target="embeddings/oleObject123.bin"/><Relationship Id="rId257" Type="http://schemas.openxmlformats.org/officeDocument/2006/relationships/image" Target="media/image129.wmf"/><Relationship Id="rId256" Type="http://schemas.openxmlformats.org/officeDocument/2006/relationships/oleObject" Target="embeddings/oleObject122.bin"/><Relationship Id="rId255" Type="http://schemas.openxmlformats.org/officeDocument/2006/relationships/image" Target="media/image128.wmf"/><Relationship Id="rId254" Type="http://schemas.openxmlformats.org/officeDocument/2006/relationships/oleObject" Target="embeddings/oleObject121.bin"/><Relationship Id="rId253" Type="http://schemas.openxmlformats.org/officeDocument/2006/relationships/image" Target="media/image127.wmf"/><Relationship Id="rId252" Type="http://schemas.openxmlformats.org/officeDocument/2006/relationships/oleObject" Target="embeddings/oleObject120.bin"/><Relationship Id="rId251" Type="http://schemas.openxmlformats.org/officeDocument/2006/relationships/image" Target="media/image126.wmf"/><Relationship Id="rId250" Type="http://schemas.openxmlformats.org/officeDocument/2006/relationships/oleObject" Target="embeddings/oleObject119.bin"/><Relationship Id="rId25" Type="http://schemas.openxmlformats.org/officeDocument/2006/relationships/oleObject" Target="embeddings/oleObject9.bin"/><Relationship Id="rId249" Type="http://schemas.openxmlformats.org/officeDocument/2006/relationships/image" Target="media/image125.wmf"/><Relationship Id="rId248" Type="http://schemas.openxmlformats.org/officeDocument/2006/relationships/oleObject" Target="embeddings/oleObject118.bin"/><Relationship Id="rId247" Type="http://schemas.openxmlformats.org/officeDocument/2006/relationships/image" Target="media/image124.wmf"/><Relationship Id="rId246" Type="http://schemas.openxmlformats.org/officeDocument/2006/relationships/oleObject" Target="embeddings/oleObject117.bin"/><Relationship Id="rId245" Type="http://schemas.openxmlformats.org/officeDocument/2006/relationships/image" Target="media/image123.wmf"/><Relationship Id="rId244" Type="http://schemas.openxmlformats.org/officeDocument/2006/relationships/oleObject" Target="embeddings/oleObject116.bin"/><Relationship Id="rId243" Type="http://schemas.openxmlformats.org/officeDocument/2006/relationships/image" Target="media/image122.wmf"/><Relationship Id="rId242" Type="http://schemas.openxmlformats.org/officeDocument/2006/relationships/oleObject" Target="embeddings/oleObject115.bin"/><Relationship Id="rId241" Type="http://schemas.openxmlformats.org/officeDocument/2006/relationships/image" Target="media/image121.wmf"/><Relationship Id="rId240" Type="http://schemas.openxmlformats.org/officeDocument/2006/relationships/oleObject" Target="embeddings/oleObject114.bin"/><Relationship Id="rId24" Type="http://schemas.openxmlformats.org/officeDocument/2006/relationships/image" Target="media/image10.wmf"/><Relationship Id="rId239" Type="http://schemas.openxmlformats.org/officeDocument/2006/relationships/image" Target="media/image120.wmf"/><Relationship Id="rId238" Type="http://schemas.openxmlformats.org/officeDocument/2006/relationships/oleObject" Target="embeddings/oleObject113.bin"/><Relationship Id="rId237" Type="http://schemas.openxmlformats.org/officeDocument/2006/relationships/image" Target="media/image119.wmf"/><Relationship Id="rId236" Type="http://schemas.openxmlformats.org/officeDocument/2006/relationships/oleObject" Target="embeddings/oleObject112.bin"/><Relationship Id="rId235" Type="http://schemas.openxmlformats.org/officeDocument/2006/relationships/image" Target="media/image118.wmf"/><Relationship Id="rId234" Type="http://schemas.openxmlformats.org/officeDocument/2006/relationships/oleObject" Target="embeddings/oleObject111.bin"/><Relationship Id="rId233" Type="http://schemas.openxmlformats.org/officeDocument/2006/relationships/image" Target="media/image117.wmf"/><Relationship Id="rId232" Type="http://schemas.openxmlformats.org/officeDocument/2006/relationships/oleObject" Target="embeddings/oleObject110.bin"/><Relationship Id="rId231" Type="http://schemas.openxmlformats.org/officeDocument/2006/relationships/image" Target="media/image116.wmf"/><Relationship Id="rId230" Type="http://schemas.openxmlformats.org/officeDocument/2006/relationships/oleObject" Target="embeddings/oleObject109.bin"/><Relationship Id="rId23" Type="http://schemas.openxmlformats.org/officeDocument/2006/relationships/oleObject" Target="embeddings/oleObject8.bin"/><Relationship Id="rId229" Type="http://schemas.openxmlformats.org/officeDocument/2006/relationships/image" Target="media/image115.wmf"/><Relationship Id="rId228" Type="http://schemas.openxmlformats.org/officeDocument/2006/relationships/oleObject" Target="embeddings/oleObject108.bin"/><Relationship Id="rId227" Type="http://schemas.openxmlformats.org/officeDocument/2006/relationships/image" Target="media/image114.wmf"/><Relationship Id="rId226" Type="http://schemas.openxmlformats.org/officeDocument/2006/relationships/oleObject" Target="embeddings/oleObject107.bin"/><Relationship Id="rId225" Type="http://schemas.openxmlformats.org/officeDocument/2006/relationships/image" Target="media/image113.wmf"/><Relationship Id="rId224" Type="http://schemas.openxmlformats.org/officeDocument/2006/relationships/oleObject" Target="embeddings/oleObject106.bin"/><Relationship Id="rId223" Type="http://schemas.openxmlformats.org/officeDocument/2006/relationships/image" Target="media/image112.wmf"/><Relationship Id="rId222" Type="http://schemas.openxmlformats.org/officeDocument/2006/relationships/oleObject" Target="embeddings/oleObject105.bin"/><Relationship Id="rId221" Type="http://schemas.openxmlformats.org/officeDocument/2006/relationships/image" Target="media/image111.wmf"/><Relationship Id="rId220" Type="http://schemas.openxmlformats.org/officeDocument/2006/relationships/oleObject" Target="embeddings/oleObject104.bin"/><Relationship Id="rId22" Type="http://schemas.openxmlformats.org/officeDocument/2006/relationships/image" Target="media/image9.wmf"/><Relationship Id="rId219" Type="http://schemas.openxmlformats.org/officeDocument/2006/relationships/image" Target="media/image110.wmf"/><Relationship Id="rId218" Type="http://schemas.openxmlformats.org/officeDocument/2006/relationships/oleObject" Target="embeddings/oleObject103.bin"/><Relationship Id="rId217" Type="http://schemas.openxmlformats.org/officeDocument/2006/relationships/image" Target="media/image109.wmf"/><Relationship Id="rId216" Type="http://schemas.openxmlformats.org/officeDocument/2006/relationships/oleObject" Target="embeddings/oleObject102.bin"/><Relationship Id="rId215" Type="http://schemas.openxmlformats.org/officeDocument/2006/relationships/image" Target="media/image108.wmf"/><Relationship Id="rId214" Type="http://schemas.openxmlformats.org/officeDocument/2006/relationships/oleObject" Target="embeddings/oleObject101.bin"/><Relationship Id="rId213" Type="http://schemas.openxmlformats.org/officeDocument/2006/relationships/image" Target="media/image107.wmf"/><Relationship Id="rId212" Type="http://schemas.openxmlformats.org/officeDocument/2006/relationships/oleObject" Target="embeddings/oleObject100.bin"/><Relationship Id="rId211" Type="http://schemas.openxmlformats.org/officeDocument/2006/relationships/image" Target="media/image106.wmf"/><Relationship Id="rId210" Type="http://schemas.openxmlformats.org/officeDocument/2006/relationships/oleObject" Target="embeddings/oleObject99.bin"/><Relationship Id="rId21" Type="http://schemas.openxmlformats.org/officeDocument/2006/relationships/oleObject" Target="embeddings/oleObject7.bin"/><Relationship Id="rId209" Type="http://schemas.openxmlformats.org/officeDocument/2006/relationships/image" Target="media/image105.wmf"/><Relationship Id="rId208" Type="http://schemas.openxmlformats.org/officeDocument/2006/relationships/oleObject" Target="embeddings/oleObject98.bin"/><Relationship Id="rId207" Type="http://schemas.openxmlformats.org/officeDocument/2006/relationships/image" Target="media/image104.wmf"/><Relationship Id="rId206" Type="http://schemas.openxmlformats.org/officeDocument/2006/relationships/oleObject" Target="embeddings/oleObject97.bin"/><Relationship Id="rId205" Type="http://schemas.openxmlformats.org/officeDocument/2006/relationships/image" Target="media/image103.wmf"/><Relationship Id="rId204" Type="http://schemas.openxmlformats.org/officeDocument/2006/relationships/oleObject" Target="embeddings/oleObject96.bin"/><Relationship Id="rId203" Type="http://schemas.openxmlformats.org/officeDocument/2006/relationships/image" Target="media/image102.wmf"/><Relationship Id="rId202" Type="http://schemas.openxmlformats.org/officeDocument/2006/relationships/oleObject" Target="embeddings/oleObject95.bin"/><Relationship Id="rId201" Type="http://schemas.microsoft.com/office/2007/relationships/hdphoto" Target="media/image101.wdp"/><Relationship Id="rId200" Type="http://schemas.openxmlformats.org/officeDocument/2006/relationships/image" Target="media/image100.png"/><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4.bin"/><Relationship Id="rId197" Type="http://schemas.openxmlformats.org/officeDocument/2006/relationships/image" Target="media/image98.wmf"/><Relationship Id="rId196" Type="http://schemas.openxmlformats.org/officeDocument/2006/relationships/oleObject" Target="embeddings/oleObject93.bin"/><Relationship Id="rId195" Type="http://schemas.openxmlformats.org/officeDocument/2006/relationships/image" Target="media/image97.wmf"/><Relationship Id="rId194" Type="http://schemas.openxmlformats.org/officeDocument/2006/relationships/oleObject" Target="embeddings/oleObject92.bin"/><Relationship Id="rId193" Type="http://schemas.openxmlformats.org/officeDocument/2006/relationships/image" Target="media/image96.wmf"/><Relationship Id="rId192" Type="http://schemas.openxmlformats.org/officeDocument/2006/relationships/oleObject" Target="embeddings/oleObject91.bin"/><Relationship Id="rId191" Type="http://schemas.openxmlformats.org/officeDocument/2006/relationships/image" Target="media/image95.wmf"/><Relationship Id="rId190" Type="http://schemas.openxmlformats.org/officeDocument/2006/relationships/oleObject" Target="embeddings/oleObject90.bin"/><Relationship Id="rId19" Type="http://schemas.openxmlformats.org/officeDocument/2006/relationships/oleObject" Target="embeddings/oleObject6.bin"/><Relationship Id="rId189" Type="http://schemas.openxmlformats.org/officeDocument/2006/relationships/image" Target="media/image94.wmf"/><Relationship Id="rId188" Type="http://schemas.openxmlformats.org/officeDocument/2006/relationships/oleObject" Target="embeddings/oleObject89.bin"/><Relationship Id="rId187" Type="http://schemas.openxmlformats.org/officeDocument/2006/relationships/image" Target="media/image93.wmf"/><Relationship Id="rId186" Type="http://schemas.openxmlformats.org/officeDocument/2006/relationships/oleObject" Target="embeddings/oleObject88.bin"/><Relationship Id="rId185" Type="http://schemas.openxmlformats.org/officeDocument/2006/relationships/image" Target="media/image92.wmf"/><Relationship Id="rId184" Type="http://schemas.openxmlformats.org/officeDocument/2006/relationships/oleObject" Target="embeddings/oleObject87.bin"/><Relationship Id="rId183" Type="http://schemas.openxmlformats.org/officeDocument/2006/relationships/image" Target="media/image91.wmf"/><Relationship Id="rId182" Type="http://schemas.openxmlformats.org/officeDocument/2006/relationships/oleObject" Target="embeddings/oleObject86.bin"/><Relationship Id="rId181" Type="http://schemas.openxmlformats.org/officeDocument/2006/relationships/image" Target="media/image90.wmf"/><Relationship Id="rId180" Type="http://schemas.openxmlformats.org/officeDocument/2006/relationships/oleObject" Target="embeddings/oleObject85.bin"/><Relationship Id="rId18" Type="http://schemas.openxmlformats.org/officeDocument/2006/relationships/image" Target="media/image7.wmf"/><Relationship Id="rId179" Type="http://schemas.openxmlformats.org/officeDocument/2006/relationships/image" Target="media/image89.wmf"/><Relationship Id="rId178" Type="http://schemas.openxmlformats.org/officeDocument/2006/relationships/oleObject" Target="embeddings/oleObject84.bin"/><Relationship Id="rId177" Type="http://schemas.openxmlformats.org/officeDocument/2006/relationships/image" Target="media/image88.wmf"/><Relationship Id="rId176" Type="http://schemas.openxmlformats.org/officeDocument/2006/relationships/oleObject" Target="embeddings/oleObject83.bin"/><Relationship Id="rId175" Type="http://schemas.openxmlformats.org/officeDocument/2006/relationships/image" Target="media/image87.wmf"/><Relationship Id="rId174" Type="http://schemas.openxmlformats.org/officeDocument/2006/relationships/oleObject" Target="embeddings/oleObject82.bin"/><Relationship Id="rId173" Type="http://schemas.openxmlformats.org/officeDocument/2006/relationships/image" Target="media/image86.wmf"/><Relationship Id="rId172" Type="http://schemas.openxmlformats.org/officeDocument/2006/relationships/oleObject" Target="embeddings/oleObject81.bin"/><Relationship Id="rId171" Type="http://schemas.openxmlformats.org/officeDocument/2006/relationships/image" Target="media/image85.wmf"/><Relationship Id="rId170" Type="http://schemas.openxmlformats.org/officeDocument/2006/relationships/oleObject" Target="embeddings/oleObject80.bin"/><Relationship Id="rId17" Type="http://schemas.openxmlformats.org/officeDocument/2006/relationships/oleObject" Target="embeddings/oleObject5.bin"/><Relationship Id="rId169" Type="http://schemas.openxmlformats.org/officeDocument/2006/relationships/image" Target="media/image84.wmf"/><Relationship Id="rId168" Type="http://schemas.openxmlformats.org/officeDocument/2006/relationships/oleObject" Target="embeddings/oleObject79.bin"/><Relationship Id="rId167" Type="http://schemas.openxmlformats.org/officeDocument/2006/relationships/image" Target="media/image83.wmf"/><Relationship Id="rId166" Type="http://schemas.openxmlformats.org/officeDocument/2006/relationships/oleObject" Target="embeddings/oleObject78.bin"/><Relationship Id="rId165" Type="http://schemas.openxmlformats.org/officeDocument/2006/relationships/image" Target="media/image82.wmf"/><Relationship Id="rId164" Type="http://schemas.openxmlformats.org/officeDocument/2006/relationships/oleObject" Target="embeddings/oleObject77.bin"/><Relationship Id="rId163" Type="http://schemas.openxmlformats.org/officeDocument/2006/relationships/image" Target="media/image81.wmf"/><Relationship Id="rId162" Type="http://schemas.openxmlformats.org/officeDocument/2006/relationships/oleObject" Target="embeddings/oleObject76.bin"/><Relationship Id="rId161" Type="http://schemas.openxmlformats.org/officeDocument/2006/relationships/image" Target="media/image80.wmf"/><Relationship Id="rId160" Type="http://schemas.openxmlformats.org/officeDocument/2006/relationships/oleObject" Target="embeddings/oleObject75.bin"/><Relationship Id="rId16" Type="http://schemas.openxmlformats.org/officeDocument/2006/relationships/image" Target="media/image6.emf"/><Relationship Id="rId159" Type="http://schemas.openxmlformats.org/officeDocument/2006/relationships/image" Target="media/image79.wmf"/><Relationship Id="rId158" Type="http://schemas.openxmlformats.org/officeDocument/2006/relationships/oleObject" Target="embeddings/oleObject74.bin"/><Relationship Id="rId157" Type="http://schemas.openxmlformats.org/officeDocument/2006/relationships/image" Target="media/image78.wmf"/><Relationship Id="rId156" Type="http://schemas.openxmlformats.org/officeDocument/2006/relationships/oleObject" Target="embeddings/oleObject73.bin"/><Relationship Id="rId155" Type="http://schemas.openxmlformats.org/officeDocument/2006/relationships/image" Target="media/image77.wmf"/><Relationship Id="rId154" Type="http://schemas.openxmlformats.org/officeDocument/2006/relationships/oleObject" Target="embeddings/oleObject72.bin"/><Relationship Id="rId153" Type="http://schemas.openxmlformats.org/officeDocument/2006/relationships/image" Target="media/image76.wmf"/><Relationship Id="rId152" Type="http://schemas.openxmlformats.org/officeDocument/2006/relationships/oleObject" Target="embeddings/oleObject71.bin"/><Relationship Id="rId151" Type="http://schemas.openxmlformats.org/officeDocument/2006/relationships/image" Target="media/image75.wmf"/><Relationship Id="rId150" Type="http://schemas.openxmlformats.org/officeDocument/2006/relationships/oleObject" Target="embeddings/oleObject70.bin"/><Relationship Id="rId15" Type="http://schemas.openxmlformats.org/officeDocument/2006/relationships/image" Target="media/image5.wmf"/><Relationship Id="rId149" Type="http://schemas.openxmlformats.org/officeDocument/2006/relationships/image" Target="media/image74.wmf"/><Relationship Id="rId148" Type="http://schemas.openxmlformats.org/officeDocument/2006/relationships/oleObject" Target="embeddings/oleObject69.bin"/><Relationship Id="rId147" Type="http://schemas.openxmlformats.org/officeDocument/2006/relationships/image" Target="media/image73.wmf"/><Relationship Id="rId146" Type="http://schemas.openxmlformats.org/officeDocument/2006/relationships/oleObject" Target="embeddings/oleObject68.bin"/><Relationship Id="rId145" Type="http://schemas.openxmlformats.org/officeDocument/2006/relationships/image" Target="media/image72.wmf"/><Relationship Id="rId144" Type="http://schemas.openxmlformats.org/officeDocument/2006/relationships/oleObject" Target="embeddings/oleObject67.bin"/><Relationship Id="rId143" Type="http://schemas.openxmlformats.org/officeDocument/2006/relationships/image" Target="media/image71.wmf"/><Relationship Id="rId142" Type="http://schemas.openxmlformats.org/officeDocument/2006/relationships/oleObject" Target="embeddings/oleObject66.bin"/><Relationship Id="rId141" Type="http://schemas.openxmlformats.org/officeDocument/2006/relationships/image" Target="media/image70.wmf"/><Relationship Id="rId140" Type="http://schemas.openxmlformats.org/officeDocument/2006/relationships/oleObject" Target="embeddings/oleObject65.bin"/><Relationship Id="rId14" Type="http://schemas.openxmlformats.org/officeDocument/2006/relationships/oleObject" Target="embeddings/oleObject4.bin"/><Relationship Id="rId139" Type="http://schemas.openxmlformats.org/officeDocument/2006/relationships/image" Target="media/image69.wmf"/><Relationship Id="rId138" Type="http://schemas.openxmlformats.org/officeDocument/2006/relationships/oleObject" Target="embeddings/oleObject64.bin"/><Relationship Id="rId137" Type="http://schemas.openxmlformats.org/officeDocument/2006/relationships/image" Target="media/image68.wmf"/><Relationship Id="rId136" Type="http://schemas.openxmlformats.org/officeDocument/2006/relationships/oleObject" Target="embeddings/oleObject63.bin"/><Relationship Id="rId135" Type="http://schemas.openxmlformats.org/officeDocument/2006/relationships/image" Target="media/image67.wmf"/><Relationship Id="rId134" Type="http://schemas.openxmlformats.org/officeDocument/2006/relationships/oleObject" Target="embeddings/oleObject62.bin"/><Relationship Id="rId133" Type="http://schemas.openxmlformats.org/officeDocument/2006/relationships/image" Target="media/image66.wmf"/><Relationship Id="rId132" Type="http://schemas.openxmlformats.org/officeDocument/2006/relationships/oleObject" Target="embeddings/oleObject61.bin"/><Relationship Id="rId131" Type="http://schemas.openxmlformats.org/officeDocument/2006/relationships/image" Target="media/image65.wmf"/><Relationship Id="rId130" Type="http://schemas.openxmlformats.org/officeDocument/2006/relationships/oleObject" Target="embeddings/oleObject60.bin"/><Relationship Id="rId13" Type="http://schemas.openxmlformats.org/officeDocument/2006/relationships/image" Target="media/image4.wmf"/><Relationship Id="rId129" Type="http://schemas.openxmlformats.org/officeDocument/2006/relationships/image" Target="media/image64.wmf"/><Relationship Id="rId128" Type="http://schemas.openxmlformats.org/officeDocument/2006/relationships/oleObject" Target="embeddings/oleObject59.bin"/><Relationship Id="rId127" Type="http://schemas.microsoft.com/office/2007/relationships/hdphoto" Target="media/image63.wdp"/><Relationship Id="rId126" Type="http://schemas.openxmlformats.org/officeDocument/2006/relationships/image" Target="media/image62.png"/><Relationship Id="rId125" Type="http://schemas.openxmlformats.org/officeDocument/2006/relationships/image" Target="media/image61.wmf"/><Relationship Id="rId124" Type="http://schemas.openxmlformats.org/officeDocument/2006/relationships/oleObject" Target="embeddings/oleObject58.bin"/><Relationship Id="rId123" Type="http://schemas.openxmlformats.org/officeDocument/2006/relationships/image" Target="media/image60.wmf"/><Relationship Id="rId122" Type="http://schemas.openxmlformats.org/officeDocument/2006/relationships/oleObject" Target="embeddings/oleObject57.bin"/><Relationship Id="rId121" Type="http://schemas.openxmlformats.org/officeDocument/2006/relationships/image" Target="media/image59.wmf"/><Relationship Id="rId120" Type="http://schemas.openxmlformats.org/officeDocument/2006/relationships/oleObject" Target="embeddings/oleObject56.bin"/><Relationship Id="rId12" Type="http://schemas.openxmlformats.org/officeDocument/2006/relationships/oleObject" Target="embeddings/oleObject3.bin"/><Relationship Id="rId119" Type="http://schemas.openxmlformats.org/officeDocument/2006/relationships/image" Target="media/image58.wmf"/><Relationship Id="rId118" Type="http://schemas.openxmlformats.org/officeDocument/2006/relationships/oleObject" Target="embeddings/oleObject55.bin"/><Relationship Id="rId117" Type="http://schemas.openxmlformats.org/officeDocument/2006/relationships/image" Target="media/image57.wmf"/><Relationship Id="rId116" Type="http://schemas.openxmlformats.org/officeDocument/2006/relationships/oleObject" Target="embeddings/oleObject54.bin"/><Relationship Id="rId115" Type="http://schemas.openxmlformats.org/officeDocument/2006/relationships/image" Target="media/image56.wmf"/><Relationship Id="rId114" Type="http://schemas.openxmlformats.org/officeDocument/2006/relationships/oleObject" Target="embeddings/oleObject53.bin"/><Relationship Id="rId113" Type="http://schemas.openxmlformats.org/officeDocument/2006/relationships/image" Target="media/image55.wmf"/><Relationship Id="rId112" Type="http://schemas.openxmlformats.org/officeDocument/2006/relationships/oleObject" Target="embeddings/oleObject52.bin"/><Relationship Id="rId111" Type="http://schemas.openxmlformats.org/officeDocument/2006/relationships/image" Target="media/image54.wmf"/><Relationship Id="rId110" Type="http://schemas.openxmlformats.org/officeDocument/2006/relationships/oleObject" Target="embeddings/oleObject51.bin"/><Relationship Id="rId11" Type="http://schemas.openxmlformats.org/officeDocument/2006/relationships/image" Target="media/image3.wmf"/><Relationship Id="rId109" Type="http://schemas.openxmlformats.org/officeDocument/2006/relationships/image" Target="media/image53.wmf"/><Relationship Id="rId108" Type="http://schemas.openxmlformats.org/officeDocument/2006/relationships/oleObject" Target="embeddings/oleObject50.bin"/><Relationship Id="rId107" Type="http://schemas.openxmlformats.org/officeDocument/2006/relationships/image" Target="media/image52.wmf"/><Relationship Id="rId106" Type="http://schemas.openxmlformats.org/officeDocument/2006/relationships/oleObject" Target="embeddings/oleObject49.bin"/><Relationship Id="rId105" Type="http://schemas.openxmlformats.org/officeDocument/2006/relationships/image" Target="media/image51.wmf"/><Relationship Id="rId104" Type="http://schemas.openxmlformats.org/officeDocument/2006/relationships/oleObject" Target="embeddings/oleObject48.bin"/><Relationship Id="rId103" Type="http://schemas.openxmlformats.org/officeDocument/2006/relationships/image" Target="media/image50.wmf"/><Relationship Id="rId102" Type="http://schemas.openxmlformats.org/officeDocument/2006/relationships/oleObject" Target="embeddings/oleObject47.bin"/><Relationship Id="rId101" Type="http://schemas.openxmlformats.org/officeDocument/2006/relationships/image" Target="media/image49.wmf"/><Relationship Id="rId100" Type="http://schemas.openxmlformats.org/officeDocument/2006/relationships/oleObject" Target="embeddings/oleObject46.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FF13F-AC16-4C41-97A0-9A517ECA70E7}">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5000</Words>
  <Characters>7613</Characters>
  <Lines>894</Lines>
  <Paragraphs>860</Paragraphs>
  <TotalTime>172</TotalTime>
  <ScaleCrop>false</ScaleCrop>
  <LinksUpToDate>false</LinksUpToDate>
  <CharactersWithSpaces>8068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2026-02-15T05:15:00Z</dcterms:created>
  <dc:creator>PC</dc:creator>
  <cp:lastModifiedBy>aaa</cp:lastModifiedBy>
  <dcterms:modified xsi:type="dcterms:W3CDTF">2026-06-02T07:11:53Z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43AF4CF9C93F45D6A8315ED134F82120</vt:lpwstr>
  </property>
  <property fmtid="{D5CDD505-2E9C-101B-9397-08002B2CF9AE}" pid="4" name="MTEquationNumber2">
    <vt:lpwstr>(#S1.#E1)</vt:lpwstr>
  </property>
  <property fmtid="{D5CDD505-2E9C-101B-9397-08002B2CF9AE}" pid="5" name="MTWinEqns">
    <vt:bool>true</vt:bool>
  </property>
  <property fmtid="{D5CDD505-2E9C-101B-9397-08002B2CF9AE}" pid="6" name="KSOTemplateDocerSaveRecord">
    <vt:lpwstr>eyJoZGlkIjoiZGE2Mjg2YTZkZTMyMTYwY2M1OTQ5YzJlN2MyYmRjOGEiLCJ1c2VySWQiOiIyNjUyMTM2ODcifQ==</vt:lpwstr>
  </property>
</Properties>
</file>