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7E4DF">
      <w:pPr>
        <w:pStyle w:val="8"/>
        <w:keepNext w:val="0"/>
        <w:keepLines w:val="0"/>
        <w:pageBreakBefore w:val="0"/>
        <w:widowControl w:val="0"/>
        <w:kinsoku/>
        <w:overflowPunct/>
        <w:topLinePunct w:val="0"/>
        <w:autoSpaceDE/>
        <w:autoSpaceDN/>
        <w:bidi w:val="0"/>
        <w:adjustRightInd/>
        <w:snapToGrid/>
        <w:spacing w:before="0" w:after="0" w:line="240" w:lineRule="auto"/>
        <w:ind w:left="0" w:leftChars="0" w:right="0" w:rightChars="0"/>
        <w:textAlignment w:val="auto"/>
        <w:rPr>
          <w:rFonts w:hint="default" w:ascii="Times New Roman" w:hAnsi="Times New Roman" w:eastAsia="宋体" w:cs="Times New Roman"/>
          <w:b/>
          <w:bCs/>
          <w:snapToGrid/>
          <w:color w:val="auto"/>
          <w:spacing w:val="0"/>
          <w:w w:val="100"/>
          <w:kern w:val="2"/>
          <w:position w:val="0"/>
          <w:sz w:val="48"/>
          <w:highlight w:val="none"/>
          <w:u w:val="none"/>
          <w:shd w:val="clear" w:fill="auto"/>
          <w:lang w:val="en-US" w:eastAsia="zh-CN"/>
        </w:rPr>
      </w:pPr>
      <w:r>
        <w:rPr>
          <w:rFonts w:hint="default" w:ascii="Times New Roman" w:hAnsi="Times New Roman" w:eastAsia="宋体" w:cs="Times New Roman"/>
          <w:b/>
          <w:bCs/>
          <w:snapToGrid/>
          <w:color w:val="auto"/>
          <w:spacing w:val="0"/>
          <w:w w:val="100"/>
          <w:kern w:val="2"/>
          <w:position w:val="0"/>
          <w:sz w:val="48"/>
          <w:highlight w:val="none"/>
          <w:u w:val="none"/>
          <w:shd w:val="clear" w:fill="auto"/>
          <w:lang w:val="en-US" w:eastAsia="zh-CN"/>
        </w:rPr>
        <w:t>引排新格局下的河网</w:t>
      </w:r>
      <w:r>
        <w:rPr>
          <w:rFonts w:hint="eastAsia" w:ascii="Times New Roman" w:hAnsi="Times New Roman" w:eastAsia="宋体" w:cs="Times New Roman"/>
          <w:b/>
          <w:bCs/>
          <w:snapToGrid/>
          <w:color w:val="auto"/>
          <w:spacing w:val="0"/>
          <w:w w:val="100"/>
          <w:kern w:val="2"/>
          <w:position w:val="0"/>
          <w:sz w:val="48"/>
          <w:highlight w:val="none"/>
          <w:u w:val="none"/>
          <w:shd w:val="clear" w:fill="auto"/>
          <w:lang w:val="en-US" w:eastAsia="zh-CN"/>
        </w:rPr>
        <w:t>动</w:t>
      </w:r>
      <w:r>
        <w:rPr>
          <w:rFonts w:hint="default" w:ascii="Times New Roman" w:hAnsi="Times New Roman" w:eastAsia="宋体" w:cs="Times New Roman"/>
          <w:b/>
          <w:bCs/>
          <w:snapToGrid/>
          <w:color w:val="auto"/>
          <w:spacing w:val="0"/>
          <w:w w:val="100"/>
          <w:kern w:val="2"/>
          <w:position w:val="0"/>
          <w:sz w:val="48"/>
          <w:highlight w:val="none"/>
          <w:u w:val="none"/>
          <w:shd w:val="clear" w:fill="auto"/>
          <w:lang w:val="en-US" w:eastAsia="zh-CN"/>
        </w:rPr>
        <w:t>力重构与水质响应研究</w:t>
      </w:r>
      <w:r>
        <w:rPr>
          <w:rFonts w:hint="eastAsia" w:ascii="Times New Roman" w:hAnsi="Times New Roman" w:eastAsia="宋体" w:cs="Times New Roman"/>
          <w:b/>
          <w:bCs/>
          <w:snapToGrid/>
          <w:color w:val="auto"/>
          <w:spacing w:val="0"/>
          <w:w w:val="100"/>
          <w:kern w:val="2"/>
          <w:position w:val="0"/>
          <w:sz w:val="48"/>
          <w:highlight w:val="none"/>
          <w:u w:val="none"/>
          <w:shd w:val="clear" w:fill="auto"/>
          <w:lang w:val="en-US" w:eastAsia="zh-CN"/>
        </w:rPr>
        <w:t>：</w:t>
      </w:r>
      <w:r>
        <w:rPr>
          <w:rFonts w:hint="default" w:ascii="Times New Roman" w:hAnsi="Times New Roman" w:eastAsia="宋体" w:cs="Times New Roman"/>
          <w:b/>
          <w:bCs/>
          <w:snapToGrid/>
          <w:color w:val="auto"/>
          <w:spacing w:val="0"/>
          <w:w w:val="100"/>
          <w:kern w:val="2"/>
          <w:position w:val="0"/>
          <w:sz w:val="48"/>
          <w:highlight w:val="none"/>
          <w:u w:val="none"/>
          <w:shd w:val="clear" w:fill="auto"/>
          <w:lang w:val="en-US" w:eastAsia="zh-CN"/>
        </w:rPr>
        <w:t>以新孟河工程为例</w:t>
      </w:r>
    </w:p>
    <w:p w14:paraId="2AAFC5B7">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jc w:val="center"/>
        <w:textAlignment w:val="baseline"/>
        <w:rPr>
          <w:rFonts w:hint="default" w:ascii="Times New Roman" w:hAnsi="Times New Roman" w:eastAsia="楷体" w:cs="Times New Roman"/>
          <w:snapToGrid/>
          <w:color w:val="auto"/>
          <w:spacing w:val="0"/>
          <w:w w:val="100"/>
          <w:kern w:val="2"/>
          <w:position w:val="0"/>
          <w:sz w:val="28"/>
          <w:szCs w:val="28"/>
          <w:highlight w:val="none"/>
          <w:u w:val="none"/>
          <w:shd w:val="clear" w:fill="auto"/>
          <w:vertAlign w:val="superscript"/>
          <w:lang w:val="en-US" w:eastAsia="zh-CN"/>
        </w:rPr>
      </w:pPr>
      <w:r>
        <w:rPr>
          <w:rFonts w:hint="default" w:ascii="Times New Roman" w:hAnsi="Times New Roman" w:eastAsia="楷体" w:cs="Times New Roman"/>
          <w:snapToGrid/>
          <w:color w:val="auto"/>
          <w:spacing w:val="0"/>
          <w:w w:val="100"/>
          <w:kern w:val="2"/>
          <w:position w:val="0"/>
          <w:sz w:val="28"/>
          <w:szCs w:val="28"/>
          <w:highlight w:val="none"/>
          <w:u w:val="none"/>
          <w:shd w:val="clear" w:fill="auto"/>
        </w:rPr>
        <w:t>江宸宇</w:t>
      </w:r>
      <w:r>
        <w:rPr>
          <w:rFonts w:hint="default" w:ascii="Times New Roman" w:hAnsi="Times New Roman" w:eastAsia="楷体" w:cs="Times New Roman"/>
          <w:b w:val="0"/>
          <w:bCs w:val="0"/>
          <w:snapToGrid/>
          <w:color w:val="auto"/>
          <w:spacing w:val="0"/>
          <w:w w:val="100"/>
          <w:kern w:val="2"/>
          <w:position w:val="0"/>
          <w:sz w:val="28"/>
          <w:szCs w:val="28"/>
          <w:highlight w:val="none"/>
          <w:u w:val="none"/>
          <w:shd w:val="clear" w:fill="auto"/>
          <w:vertAlign w:val="superscript"/>
          <w:lang w:val="en-US" w:eastAsia="zh-CN"/>
        </w:rPr>
        <w:t>1,2</w:t>
      </w:r>
      <w:r>
        <w:rPr>
          <w:rFonts w:hint="default" w:ascii="Times New Roman" w:hAnsi="Times New Roman" w:eastAsia="楷体" w:cs="Times New Roman"/>
          <w:snapToGrid/>
          <w:color w:val="auto"/>
          <w:spacing w:val="0"/>
          <w:w w:val="100"/>
          <w:kern w:val="2"/>
          <w:position w:val="0"/>
          <w:sz w:val="28"/>
          <w:szCs w:val="28"/>
          <w:highlight w:val="none"/>
          <w:u w:val="none"/>
          <w:shd w:val="clear" w:fill="auto"/>
          <w:lang w:val="en-US" w:eastAsia="zh-CN"/>
        </w:rPr>
        <w:t>，</w:t>
      </w:r>
      <w:r>
        <w:rPr>
          <w:rFonts w:hint="default" w:ascii="Times New Roman" w:hAnsi="Times New Roman" w:eastAsia="楷体" w:cs="Times New Roman"/>
          <w:snapToGrid/>
          <w:color w:val="auto"/>
          <w:spacing w:val="0"/>
          <w:w w:val="100"/>
          <w:kern w:val="2"/>
          <w:position w:val="0"/>
          <w:sz w:val="28"/>
          <w:szCs w:val="28"/>
          <w:highlight w:val="none"/>
          <w:u w:val="none"/>
          <w:shd w:val="clear" w:fill="auto"/>
        </w:rPr>
        <w:t>潘明祥</w:t>
      </w:r>
      <w:r>
        <w:rPr>
          <w:rFonts w:hint="default" w:ascii="Times New Roman" w:hAnsi="Times New Roman" w:eastAsia="楷体" w:cs="Times New Roman"/>
          <w:snapToGrid/>
          <w:color w:val="auto"/>
          <w:spacing w:val="0"/>
          <w:w w:val="100"/>
          <w:kern w:val="2"/>
          <w:position w:val="0"/>
          <w:sz w:val="28"/>
          <w:szCs w:val="28"/>
          <w:highlight w:val="none"/>
          <w:u w:val="none"/>
          <w:shd w:val="clear" w:fill="auto"/>
          <w:vertAlign w:val="superscript"/>
          <w:lang w:val="en-US" w:eastAsia="zh-CN"/>
        </w:rPr>
        <w:t>1</w:t>
      </w:r>
      <w:r>
        <w:rPr>
          <w:rFonts w:hint="default" w:ascii="Times New Roman" w:hAnsi="Times New Roman" w:eastAsia="楷体" w:cs="Times New Roman"/>
          <w:snapToGrid/>
          <w:color w:val="auto"/>
          <w:spacing w:val="0"/>
          <w:w w:val="100"/>
          <w:kern w:val="2"/>
          <w:position w:val="0"/>
          <w:sz w:val="28"/>
          <w:szCs w:val="28"/>
          <w:highlight w:val="none"/>
          <w:u w:val="none"/>
          <w:shd w:val="clear" w:fill="auto"/>
          <w:lang w:val="en-US" w:eastAsia="zh-CN"/>
        </w:rPr>
        <w:t>，</w:t>
      </w:r>
      <w:r>
        <w:rPr>
          <w:rFonts w:hint="default" w:ascii="Times New Roman" w:hAnsi="Times New Roman" w:eastAsia="楷体" w:cs="Times New Roman"/>
          <w:snapToGrid/>
          <w:color w:val="auto"/>
          <w:spacing w:val="0"/>
          <w:w w:val="100"/>
          <w:kern w:val="2"/>
          <w:position w:val="0"/>
          <w:sz w:val="28"/>
          <w:szCs w:val="28"/>
          <w:highlight w:val="none"/>
          <w:u w:val="none"/>
          <w:shd w:val="clear" w:fill="auto"/>
        </w:rPr>
        <w:t>李  朋</w:t>
      </w:r>
      <w:r>
        <w:rPr>
          <w:rFonts w:hint="default" w:ascii="Times New Roman" w:hAnsi="Times New Roman" w:eastAsia="楷体" w:cs="Times New Roman"/>
          <w:b w:val="0"/>
          <w:bCs w:val="0"/>
          <w:snapToGrid/>
          <w:color w:val="auto"/>
          <w:spacing w:val="0"/>
          <w:w w:val="100"/>
          <w:kern w:val="2"/>
          <w:position w:val="0"/>
          <w:sz w:val="28"/>
          <w:szCs w:val="28"/>
          <w:highlight w:val="none"/>
          <w:u w:val="none"/>
          <w:shd w:val="clear" w:fill="auto"/>
          <w:vertAlign w:val="superscript"/>
          <w:lang w:val="en-US" w:eastAsia="zh-CN"/>
        </w:rPr>
        <w:t>1</w:t>
      </w:r>
      <w:r>
        <w:rPr>
          <w:rFonts w:hint="default" w:ascii="Times New Roman" w:hAnsi="Times New Roman" w:eastAsia="楷体" w:cs="Times New Roman"/>
          <w:snapToGrid/>
          <w:color w:val="auto"/>
          <w:spacing w:val="0"/>
          <w:w w:val="100"/>
          <w:kern w:val="2"/>
          <w:position w:val="0"/>
          <w:sz w:val="28"/>
          <w:szCs w:val="28"/>
          <w:highlight w:val="none"/>
          <w:u w:val="none"/>
          <w:shd w:val="clear" w:fill="auto"/>
          <w:lang w:val="en-US" w:eastAsia="zh-CN"/>
        </w:rPr>
        <w:t>，</w:t>
      </w:r>
      <w:r>
        <w:rPr>
          <w:rFonts w:hint="default" w:ascii="Times New Roman" w:hAnsi="Times New Roman" w:eastAsia="楷体" w:cs="Times New Roman"/>
          <w:snapToGrid/>
          <w:color w:val="auto"/>
          <w:spacing w:val="0"/>
          <w:w w:val="100"/>
          <w:kern w:val="2"/>
          <w:position w:val="0"/>
          <w:sz w:val="28"/>
          <w:szCs w:val="28"/>
          <w:highlight w:val="none"/>
          <w:u w:val="none"/>
          <w:shd w:val="clear" w:fill="auto"/>
        </w:rPr>
        <w:t>李勇涛</w:t>
      </w:r>
      <w:r>
        <w:rPr>
          <w:rFonts w:hint="default" w:ascii="Times New Roman" w:hAnsi="Times New Roman" w:eastAsia="楷体" w:cs="Times New Roman"/>
          <w:b w:val="0"/>
          <w:bCs w:val="0"/>
          <w:snapToGrid/>
          <w:color w:val="auto"/>
          <w:spacing w:val="0"/>
          <w:w w:val="100"/>
          <w:kern w:val="2"/>
          <w:position w:val="0"/>
          <w:sz w:val="28"/>
          <w:szCs w:val="28"/>
          <w:highlight w:val="none"/>
          <w:u w:val="none"/>
          <w:shd w:val="clear" w:fill="auto"/>
          <w:vertAlign w:val="superscript"/>
          <w:lang w:val="en-US" w:eastAsia="zh-CN"/>
        </w:rPr>
        <w:t>1</w:t>
      </w:r>
      <w:r>
        <w:rPr>
          <w:rFonts w:hint="default" w:ascii="Times New Roman" w:hAnsi="Times New Roman" w:eastAsia="楷体" w:cs="Times New Roman"/>
          <w:snapToGrid/>
          <w:color w:val="auto"/>
          <w:spacing w:val="0"/>
          <w:w w:val="100"/>
          <w:kern w:val="2"/>
          <w:position w:val="0"/>
          <w:sz w:val="28"/>
          <w:szCs w:val="28"/>
          <w:highlight w:val="none"/>
          <w:u w:val="none"/>
          <w:shd w:val="clear" w:fill="auto"/>
          <w:lang w:val="en-US" w:eastAsia="zh-CN"/>
        </w:rPr>
        <w:t>，</w:t>
      </w:r>
      <w:r>
        <w:rPr>
          <w:rFonts w:hint="default" w:ascii="Times New Roman" w:hAnsi="Times New Roman" w:eastAsia="楷体" w:cs="Times New Roman"/>
          <w:snapToGrid/>
          <w:color w:val="auto"/>
          <w:spacing w:val="0"/>
          <w:w w:val="100"/>
          <w:kern w:val="2"/>
          <w:position w:val="0"/>
          <w:sz w:val="28"/>
          <w:szCs w:val="28"/>
          <w:highlight w:val="none"/>
          <w:u w:val="none"/>
          <w:shd w:val="clear" w:fill="auto"/>
        </w:rPr>
        <w:t>顾</w:t>
      </w:r>
      <w:r>
        <w:rPr>
          <w:rFonts w:hint="default" w:ascii="Times New Roman" w:hAnsi="Times New Roman" w:eastAsia="楷体" w:cs="Times New Roman"/>
          <w:snapToGrid/>
          <w:color w:val="auto"/>
          <w:spacing w:val="0"/>
          <w:w w:val="100"/>
          <w:kern w:val="2"/>
          <w:position w:val="0"/>
          <w:sz w:val="28"/>
          <w:szCs w:val="28"/>
          <w:highlight w:val="none"/>
          <w:u w:val="none"/>
          <w:shd w:val="clear" w:fill="auto"/>
          <w:lang w:val="en-US" w:eastAsia="zh-CN"/>
        </w:rPr>
        <w:t xml:space="preserve">  </w:t>
      </w:r>
      <w:r>
        <w:rPr>
          <w:rFonts w:hint="default" w:ascii="Times New Roman" w:hAnsi="Times New Roman" w:eastAsia="楷体" w:cs="Times New Roman"/>
          <w:snapToGrid/>
          <w:color w:val="auto"/>
          <w:spacing w:val="0"/>
          <w:w w:val="100"/>
          <w:kern w:val="2"/>
          <w:position w:val="0"/>
          <w:sz w:val="28"/>
          <w:szCs w:val="28"/>
          <w:highlight w:val="none"/>
          <w:u w:val="none"/>
          <w:shd w:val="clear" w:fill="auto"/>
        </w:rPr>
        <w:t>浩</w:t>
      </w:r>
      <w:r>
        <w:rPr>
          <w:rFonts w:hint="default" w:ascii="Times New Roman" w:hAnsi="Times New Roman" w:eastAsia="楷体" w:cs="Times New Roman"/>
          <w:snapToGrid/>
          <w:color w:val="auto"/>
          <w:spacing w:val="0"/>
          <w:w w:val="100"/>
          <w:kern w:val="2"/>
          <w:position w:val="0"/>
          <w:sz w:val="28"/>
          <w:szCs w:val="28"/>
          <w:highlight w:val="none"/>
          <w:u w:val="none"/>
          <w:shd w:val="clear" w:fill="auto"/>
          <w:vertAlign w:val="superscript"/>
          <w:lang w:val="en-US" w:eastAsia="zh-CN"/>
        </w:rPr>
        <w:t>1</w:t>
      </w:r>
      <w:r>
        <w:rPr>
          <w:rFonts w:hint="default" w:ascii="Times New Roman" w:hAnsi="Times New Roman" w:eastAsia="楷体" w:cs="Times New Roman"/>
          <w:snapToGrid/>
          <w:color w:val="auto"/>
          <w:spacing w:val="0"/>
          <w:w w:val="100"/>
          <w:kern w:val="2"/>
          <w:position w:val="0"/>
          <w:sz w:val="28"/>
          <w:szCs w:val="28"/>
          <w:highlight w:val="none"/>
          <w:u w:val="none"/>
          <w:shd w:val="clear" w:fill="auto"/>
          <w:lang w:val="en-US" w:eastAsia="zh-CN"/>
        </w:rPr>
        <w:t>，李  蓓</w:t>
      </w:r>
      <w:r>
        <w:rPr>
          <w:rFonts w:hint="default" w:ascii="Times New Roman" w:hAnsi="Times New Roman" w:eastAsia="楷体" w:cs="Times New Roman"/>
          <w:snapToGrid/>
          <w:color w:val="auto"/>
          <w:spacing w:val="0"/>
          <w:w w:val="100"/>
          <w:kern w:val="2"/>
          <w:position w:val="0"/>
          <w:sz w:val="28"/>
          <w:szCs w:val="28"/>
          <w:highlight w:val="none"/>
          <w:u w:val="none"/>
          <w:shd w:val="clear" w:fill="auto"/>
          <w:vertAlign w:val="superscript"/>
          <w:lang w:val="en-US" w:eastAsia="zh-CN"/>
        </w:rPr>
        <w:t>1</w:t>
      </w:r>
    </w:p>
    <w:p w14:paraId="3B09F82B">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jc w:val="center"/>
        <w:textAlignment w:val="baseline"/>
        <w:rPr>
          <w:rFonts w:hint="default" w:ascii="Times New Roman" w:hAnsi="Times New Roman" w:eastAsia="仿宋" w:cs="Times New Roman"/>
          <w:snapToGrid/>
          <w:color w:val="auto"/>
          <w:spacing w:val="0"/>
          <w:w w:val="100"/>
          <w:kern w:val="2"/>
          <w:position w:val="0"/>
          <w:sz w:val="21"/>
          <w:szCs w:val="21"/>
          <w:highlight w:val="none"/>
          <w:u w:val="none"/>
          <w:shd w:val="clear" w:fill="auto"/>
        </w:rPr>
      </w:pPr>
      <w:r>
        <w:rPr>
          <w:rFonts w:hint="default" w:ascii="Times New Roman" w:hAnsi="Times New Roman" w:eastAsia="仿宋" w:cs="Times New Roman"/>
          <w:snapToGrid/>
          <w:color w:val="auto"/>
          <w:spacing w:val="0"/>
          <w:w w:val="100"/>
          <w:kern w:val="2"/>
          <w:position w:val="0"/>
          <w:sz w:val="21"/>
          <w:szCs w:val="21"/>
          <w:highlight w:val="none"/>
          <w:u w:val="none"/>
          <w:shd w:val="clear" w:fill="auto"/>
        </w:rPr>
        <w:t>（1.</w:t>
      </w:r>
      <w:r>
        <w:rPr>
          <w:rFonts w:hint="default" w:ascii="Times New Roman" w:hAnsi="Times New Roman" w:eastAsia="仿宋" w:cs="Times New Roman"/>
          <w:snapToGrid/>
          <w:color w:val="auto"/>
          <w:spacing w:val="0"/>
          <w:w w:val="100"/>
          <w:kern w:val="2"/>
          <w:position w:val="0"/>
          <w:sz w:val="21"/>
          <w:szCs w:val="21"/>
          <w:highlight w:val="none"/>
          <w:u w:val="none"/>
          <w:shd w:val="clear" w:fill="auto"/>
          <w:lang w:val="en-US" w:eastAsia="zh-CN"/>
        </w:rPr>
        <w:t>太湖流域管理局水利发展研究中心</w:t>
      </w:r>
      <w:r>
        <w:rPr>
          <w:rFonts w:hint="default" w:ascii="Times New Roman" w:hAnsi="Times New Roman" w:eastAsia="仿宋" w:cs="Times New Roman"/>
          <w:snapToGrid/>
          <w:color w:val="auto"/>
          <w:spacing w:val="0"/>
          <w:w w:val="100"/>
          <w:kern w:val="2"/>
          <w:position w:val="0"/>
          <w:sz w:val="21"/>
          <w:szCs w:val="21"/>
          <w:highlight w:val="none"/>
          <w:u w:val="none"/>
          <w:shd w:val="clear" w:fill="auto"/>
        </w:rPr>
        <w:t>，</w:t>
      </w:r>
      <w:r>
        <w:rPr>
          <w:rFonts w:hint="default" w:ascii="Times New Roman" w:hAnsi="Times New Roman" w:eastAsia="仿宋" w:cs="Times New Roman"/>
          <w:snapToGrid/>
          <w:color w:val="auto"/>
          <w:spacing w:val="0"/>
          <w:w w:val="100"/>
          <w:kern w:val="2"/>
          <w:position w:val="0"/>
          <w:sz w:val="21"/>
          <w:szCs w:val="21"/>
          <w:highlight w:val="none"/>
          <w:u w:val="none"/>
          <w:shd w:val="clear" w:fill="auto"/>
          <w:lang w:val="en-US" w:eastAsia="zh-CN"/>
        </w:rPr>
        <w:t>上海</w:t>
      </w:r>
      <w:r>
        <w:rPr>
          <w:rFonts w:hint="default" w:ascii="Times New Roman" w:hAnsi="Times New Roman" w:eastAsia="仿宋" w:cs="Times New Roman"/>
          <w:snapToGrid/>
          <w:color w:val="auto"/>
          <w:spacing w:val="0"/>
          <w:w w:val="100"/>
          <w:kern w:val="2"/>
          <w:position w:val="0"/>
          <w:sz w:val="21"/>
          <w:szCs w:val="21"/>
          <w:highlight w:val="none"/>
          <w:u w:val="none"/>
          <w:shd w:val="clear" w:fill="auto"/>
        </w:rPr>
        <w:t xml:space="preserve"> </w:t>
      </w:r>
      <w:r>
        <w:rPr>
          <w:rFonts w:hint="default" w:ascii="Times New Roman" w:hAnsi="Times New Roman" w:eastAsia="仿宋" w:cs="Times New Roman"/>
          <w:snapToGrid/>
          <w:color w:val="auto"/>
          <w:spacing w:val="0"/>
          <w:w w:val="100"/>
          <w:kern w:val="2"/>
          <w:position w:val="0"/>
          <w:sz w:val="21"/>
          <w:szCs w:val="21"/>
          <w:highlight w:val="none"/>
          <w:u w:val="none"/>
          <w:shd w:val="clear" w:fill="auto"/>
          <w:lang w:val="en-US" w:eastAsia="zh-CN"/>
        </w:rPr>
        <w:t xml:space="preserve"> 200438</w:t>
      </w:r>
      <w:r>
        <w:rPr>
          <w:rFonts w:hint="default" w:ascii="Times New Roman" w:hAnsi="Times New Roman" w:eastAsia="仿宋" w:cs="Times New Roman"/>
          <w:snapToGrid/>
          <w:color w:val="auto"/>
          <w:spacing w:val="0"/>
          <w:w w:val="100"/>
          <w:kern w:val="2"/>
          <w:position w:val="0"/>
          <w:sz w:val="21"/>
          <w:szCs w:val="21"/>
          <w:highlight w:val="none"/>
          <w:u w:val="none"/>
          <w:shd w:val="clear" w:fill="auto"/>
        </w:rPr>
        <w:t>；2.</w:t>
      </w:r>
      <w:r>
        <w:rPr>
          <w:rFonts w:hint="default" w:ascii="Times New Roman" w:hAnsi="Times New Roman" w:eastAsia="仿宋" w:cs="Times New Roman"/>
          <w:snapToGrid/>
          <w:color w:val="auto"/>
          <w:spacing w:val="0"/>
          <w:w w:val="100"/>
          <w:kern w:val="2"/>
          <w:position w:val="0"/>
          <w:sz w:val="21"/>
          <w:szCs w:val="21"/>
          <w:highlight w:val="none"/>
          <w:u w:val="none"/>
          <w:shd w:val="clear" w:fill="auto"/>
          <w:lang w:val="en-US" w:eastAsia="zh-CN"/>
        </w:rPr>
        <w:t>河海大学 水利部水循环与水动力系统重点实验室，江苏 南京  210098</w:t>
      </w:r>
      <w:r>
        <w:rPr>
          <w:rFonts w:hint="default" w:ascii="Times New Roman" w:hAnsi="Times New Roman" w:eastAsia="仿宋" w:cs="Times New Roman"/>
          <w:snapToGrid/>
          <w:color w:val="auto"/>
          <w:spacing w:val="0"/>
          <w:w w:val="100"/>
          <w:kern w:val="2"/>
          <w:position w:val="0"/>
          <w:sz w:val="21"/>
          <w:szCs w:val="21"/>
          <w:highlight w:val="none"/>
          <w:u w:val="none"/>
          <w:shd w:val="clear" w:fill="auto"/>
        </w:rPr>
        <w:t>）</w:t>
      </w:r>
    </w:p>
    <w:p w14:paraId="5A6FC07A">
      <w:pPr>
        <w:pStyle w:val="4"/>
        <w:keepNext w:val="0"/>
        <w:keepLines w:val="0"/>
        <w:pageBreakBefore w:val="0"/>
        <w:widowControl/>
        <w:wordWrap/>
        <w:overflowPunct/>
        <w:topLinePunct w:val="0"/>
        <w:autoSpaceDE w:val="0"/>
        <w:autoSpaceDN w:val="0"/>
        <w:bidi w:val="0"/>
        <w:adjustRightInd/>
        <w:snapToGrid/>
        <w:spacing w:line="240" w:lineRule="auto"/>
        <w:ind w:left="0" w:leftChars="0" w:right="0" w:rightChars="0" w:hanging="5"/>
        <w:textAlignment w:val="baseline"/>
        <w:rPr>
          <w:rFonts w:hint="default" w:ascii="Times New Roman" w:hAnsi="Times New Roman" w:eastAsia="黑体" w:cs="Times New Roman"/>
          <w:snapToGrid/>
          <w:color w:val="auto"/>
          <w:spacing w:val="0"/>
          <w:w w:val="100"/>
          <w:kern w:val="2"/>
          <w:position w:val="0"/>
          <w:highlight w:val="none"/>
          <w:u w:val="none"/>
          <w:shd w:val="clear" w:fill="auto"/>
        </w:rPr>
      </w:pPr>
    </w:p>
    <w:p w14:paraId="1C141E9F">
      <w:pPr>
        <w:pStyle w:val="4"/>
        <w:keepNext w:val="0"/>
        <w:keepLines w:val="0"/>
        <w:pageBreakBefore w:val="0"/>
        <w:widowControl/>
        <w:kinsoku/>
        <w:wordWrap/>
        <w:overflowPunct/>
        <w:topLinePunct w:val="0"/>
        <w:autoSpaceDE w:val="0"/>
        <w:autoSpaceDN w:val="0"/>
        <w:bidi w:val="0"/>
        <w:adjustRightInd/>
        <w:snapToGrid/>
        <w:spacing w:line="240" w:lineRule="auto"/>
        <w:ind w:left="0" w:leftChars="0" w:right="0" w:rightChars="0" w:firstLine="0"/>
        <w:jc w:val="both"/>
        <w:textAlignment w:val="baseline"/>
        <w:rPr>
          <w:rFonts w:hint="default" w:ascii="Times New Roman" w:hAnsi="Times New Roman" w:eastAsia="楷体" w:cs="Times New Roman"/>
          <w:snapToGrid/>
          <w:color w:val="auto"/>
          <w:spacing w:val="0"/>
          <w:w w:val="100"/>
          <w:kern w:val="2"/>
          <w:position w:val="0"/>
          <w:sz w:val="21"/>
          <w:szCs w:val="21"/>
          <w:highlight w:val="none"/>
          <w:u w:val="none"/>
          <w:shd w:val="clear" w:fill="auto"/>
        </w:rPr>
      </w:pPr>
      <w:r>
        <w:rPr>
          <w:rFonts w:hint="default" w:ascii="Times New Roman" w:hAnsi="Times New Roman" w:eastAsia="黑体" w:cs="Times New Roman"/>
          <w:b/>
          <w:bCs/>
          <w:snapToGrid/>
          <w:color w:val="auto"/>
          <w:spacing w:val="0"/>
          <w:w w:val="100"/>
          <w:kern w:val="2"/>
          <w:position w:val="0"/>
          <w:sz w:val="21"/>
          <w:szCs w:val="21"/>
          <w:highlight w:val="none"/>
          <w:u w:val="none"/>
          <w:shd w:val="clear" w:fill="auto"/>
        </w:rPr>
        <w:t>摘  要：</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bidi="ar-SA"/>
        </w:rPr>
        <w:t>【目的】</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为</w:t>
      </w:r>
      <w:r>
        <w:rPr>
          <w:rFonts w:hint="eastAsia" w:eastAsia="楷体" w:cs="Times New Roman"/>
          <w:snapToGrid/>
          <w:color w:val="auto"/>
          <w:spacing w:val="0"/>
          <w:w w:val="100"/>
          <w:kern w:val="2"/>
          <w:position w:val="0"/>
          <w:sz w:val="21"/>
          <w:szCs w:val="21"/>
          <w:highlight w:val="none"/>
          <w:u w:val="none"/>
          <w:shd w:val="clear" w:fill="auto"/>
          <w:lang w:val="en-US" w:eastAsia="zh-CN"/>
        </w:rPr>
        <w:t>定量</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评估太湖上游地区骨干引排工程联合调度下平原河网动力</w:t>
      </w:r>
      <w:r>
        <w:rPr>
          <w:rFonts w:hint="eastAsia" w:eastAsia="楷体" w:cs="Times New Roman"/>
          <w:snapToGrid/>
          <w:color w:val="auto"/>
          <w:spacing w:val="0"/>
          <w:w w:val="100"/>
          <w:kern w:val="2"/>
          <w:position w:val="0"/>
          <w:sz w:val="21"/>
          <w:szCs w:val="21"/>
          <w:highlight w:val="none"/>
          <w:u w:val="none"/>
          <w:shd w:val="clear" w:fill="auto"/>
          <w:lang w:val="en-US" w:eastAsia="zh-CN"/>
        </w:rPr>
        <w:t>重构规律与水质</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响应特征</w:t>
      </w:r>
      <w:r>
        <w:rPr>
          <w:rFonts w:hint="eastAsia" w:eastAsia="楷体" w:cs="Times New Roman"/>
          <w:snapToGrid/>
          <w:color w:val="auto"/>
          <w:spacing w:val="0"/>
          <w:w w:val="100"/>
          <w:kern w:val="2"/>
          <w:position w:val="0"/>
          <w:sz w:val="21"/>
          <w:szCs w:val="21"/>
          <w:highlight w:val="none"/>
          <w:u w:val="none"/>
          <w:shd w:val="clear" w:fill="auto"/>
          <w:lang w:eastAsia="zh-CN"/>
        </w:rPr>
        <w:t>，</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bidi="ar-SA"/>
        </w:rPr>
        <w:t>【方法】</w:t>
      </w:r>
      <w:r>
        <w:rPr>
          <w:rFonts w:hint="eastAsia" w:eastAsia="楷体" w:cs="Times New Roman"/>
          <w:snapToGrid/>
          <w:color w:val="auto"/>
          <w:spacing w:val="0"/>
          <w:w w:val="100"/>
          <w:kern w:val="2"/>
          <w:position w:val="0"/>
          <w:sz w:val="21"/>
          <w:szCs w:val="21"/>
          <w:highlight w:val="none"/>
          <w:u w:val="none"/>
          <w:shd w:val="clear" w:fill="auto"/>
          <w:lang w:val="en-US" w:eastAsia="zh-CN"/>
        </w:rPr>
        <w:t>以新孟河工程沿线水系为对象，</w:t>
      </w:r>
      <w:r>
        <w:rPr>
          <w:rFonts w:hint="eastAsia" w:eastAsia="楷体" w:cs="Times New Roman"/>
          <w:snapToGrid/>
          <w:color w:val="auto"/>
          <w:spacing w:val="0"/>
          <w:w w:val="100"/>
          <w:kern w:val="2"/>
          <w:position w:val="0"/>
          <w:sz w:val="21"/>
          <w:szCs w:val="21"/>
          <w:highlight w:val="none"/>
          <w:u w:val="none"/>
          <w:shd w:val="clear" w:fill="auto"/>
          <w:lang w:val="en-US" w:eastAsia="zh-CN" w:bidi="ar-SA"/>
        </w:rPr>
        <w:t>提出了</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bidi="ar-SA"/>
        </w:rPr>
        <w:t>适用于平原河网的</w:t>
      </w:r>
      <w:r>
        <w:rPr>
          <w:rFonts w:hint="eastAsia" w:eastAsia="楷体" w:cs="Times New Roman"/>
          <w:snapToGrid/>
          <w:color w:val="auto"/>
          <w:spacing w:val="0"/>
          <w:w w:val="100"/>
          <w:kern w:val="2"/>
          <w:position w:val="0"/>
          <w:sz w:val="21"/>
          <w:szCs w:val="21"/>
          <w:highlight w:val="none"/>
          <w:u w:val="none"/>
          <w:shd w:val="clear" w:fill="auto"/>
          <w:lang w:val="en-US" w:eastAsia="zh-CN" w:bidi="ar-SA"/>
        </w:rPr>
        <w:t>改进</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bidi="ar-SA"/>
        </w:rPr>
        <w:t>能量</w:t>
      </w:r>
      <w:r>
        <w:rPr>
          <w:rFonts w:hint="eastAsia" w:eastAsia="楷体" w:cs="Times New Roman"/>
          <w:snapToGrid/>
          <w:color w:val="auto"/>
          <w:spacing w:val="0"/>
          <w:w w:val="100"/>
          <w:kern w:val="2"/>
          <w:position w:val="0"/>
          <w:sz w:val="21"/>
          <w:szCs w:val="21"/>
          <w:highlight w:val="none"/>
          <w:u w:val="none"/>
          <w:shd w:val="clear" w:fill="auto"/>
          <w:lang w:val="en-US" w:eastAsia="zh-CN" w:bidi="ar-SA"/>
        </w:rPr>
        <w:t>功率</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bidi="ar-SA"/>
        </w:rPr>
        <w:t>法</w:t>
      </w:r>
      <w:r>
        <w:rPr>
          <w:rFonts w:hint="eastAsia" w:eastAsia="楷体" w:cs="Times New Roman"/>
          <w:snapToGrid/>
          <w:color w:val="auto"/>
          <w:spacing w:val="0"/>
          <w:w w:val="100"/>
          <w:kern w:val="2"/>
          <w:position w:val="0"/>
          <w:sz w:val="21"/>
          <w:szCs w:val="21"/>
          <w:highlight w:val="none"/>
          <w:u w:val="none"/>
          <w:shd w:val="clear" w:fill="auto"/>
          <w:lang w:val="en-US" w:eastAsia="zh-CN" w:bidi="ar-SA"/>
        </w:rPr>
        <w:t>与新增功率传递系数，并</w:t>
      </w:r>
      <w:r>
        <w:rPr>
          <w:rFonts w:hint="eastAsia" w:eastAsia="楷体" w:cs="Times New Roman"/>
          <w:snapToGrid/>
          <w:color w:val="auto"/>
          <w:spacing w:val="0"/>
          <w:w w:val="100"/>
          <w:kern w:val="2"/>
          <w:position w:val="0"/>
          <w:sz w:val="21"/>
          <w:szCs w:val="21"/>
          <w:highlight w:val="none"/>
          <w:u w:val="none"/>
          <w:shd w:val="clear" w:fill="auto"/>
          <w:lang w:val="en-US" w:eastAsia="zh-CN"/>
        </w:rPr>
        <w:t>结合</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精细化构建的水量水质耦合模型，设计多闸泵联合调度情景开展数值模拟分析。</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bidi="ar-SA"/>
        </w:rPr>
        <w:t>【结果】</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结果</w:t>
      </w:r>
      <w:r>
        <w:rPr>
          <w:rFonts w:hint="eastAsia" w:eastAsia="楷体" w:cs="Times New Roman"/>
          <w:snapToGrid/>
          <w:color w:val="auto"/>
          <w:spacing w:val="0"/>
          <w:w w:val="100"/>
          <w:kern w:val="2"/>
          <w:position w:val="0"/>
          <w:sz w:val="21"/>
          <w:szCs w:val="21"/>
          <w:highlight w:val="none"/>
          <w:u w:val="none"/>
          <w:shd w:val="clear" w:fill="auto"/>
          <w:lang w:val="en-US" w:eastAsia="zh-CN"/>
        </w:rPr>
        <w:t>表明，</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新孟河</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rPr>
        <w:t>工程</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引水可有效抬升湖西河网水位，</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rPr>
        <w:t>工程</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沿线、滆湖周边骨干河道水质改善效果相对明显，入太湖水质亦有所提升；联合武南河引水和新沟河北排后，可进一步削弱太滆运河上游倒流顶托，提升武南河及近端城区河道活水效果。然而，新增能量向武进城区内部河网的传递仍然不足，</w:t>
      </w:r>
      <w:r>
        <w:rPr>
          <w:rFonts w:hint="eastAsia" w:eastAsia="楷体" w:cs="Times New Roman"/>
          <w:snapToGrid/>
          <w:color w:val="auto"/>
          <w:spacing w:val="0"/>
          <w:w w:val="100"/>
          <w:kern w:val="2"/>
          <w:position w:val="0"/>
          <w:sz w:val="21"/>
          <w:szCs w:val="21"/>
          <w:highlight w:val="none"/>
          <w:u w:val="none"/>
          <w:shd w:val="clear" w:fill="auto"/>
          <w:lang w:val="en-US" w:eastAsia="zh-CN"/>
        </w:rPr>
        <w:t>武南河枢纽至</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长沟河、湖塘河等内部河道功率传递系数仅</w:t>
      </w:r>
      <w:r>
        <w:rPr>
          <w:rFonts w:hint="eastAsia" w:eastAsia="楷体" w:cs="Times New Roman"/>
          <w:snapToGrid/>
          <w:color w:val="auto"/>
          <w:spacing w:val="0"/>
          <w:w w:val="100"/>
          <w:kern w:val="2"/>
          <w:position w:val="0"/>
          <w:sz w:val="21"/>
          <w:szCs w:val="21"/>
          <w:highlight w:val="none"/>
          <w:u w:val="none"/>
          <w:shd w:val="clear" w:fill="auto"/>
          <w:lang w:val="en-US" w:eastAsia="zh-CN"/>
        </w:rPr>
        <w:t>约</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6.8%</w:t>
      </w:r>
      <w:r>
        <w:rPr>
          <w:rFonts w:hint="eastAsia" w:eastAsia="楷体" w:cs="Times New Roman"/>
          <w:snapToGrid/>
          <w:color w:val="auto"/>
          <w:spacing w:val="0"/>
          <w:w w:val="100"/>
          <w:kern w:val="2"/>
          <w:position w:val="0"/>
          <w:sz w:val="21"/>
          <w:szCs w:val="21"/>
          <w:highlight w:val="none"/>
          <w:u w:val="none"/>
          <w:shd w:val="clear" w:fill="auto"/>
          <w:lang w:val="en-US" w:eastAsia="zh-CN"/>
        </w:rPr>
        <w:t>~8.6%</w:t>
      </w:r>
      <w:r>
        <w:rPr>
          <w:rFonts w:hint="eastAsia" w:eastAsia="楷体" w:cs="Times New Roman"/>
          <w:snapToGrid/>
          <w:color w:val="auto"/>
          <w:spacing w:val="0"/>
          <w:w w:val="100"/>
          <w:kern w:val="2"/>
          <w:position w:val="0"/>
          <w:sz w:val="21"/>
          <w:szCs w:val="21"/>
          <w:highlight w:val="none"/>
          <w:u w:val="none"/>
          <w:shd w:val="clear" w:fill="auto"/>
          <w:lang w:eastAsia="zh-CN"/>
        </w:rPr>
        <w:t>，</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动力和水质改善均相对有限。</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bidi="ar-SA"/>
        </w:rPr>
        <w:t>【结论】</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结果</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rPr>
        <w:t>表明</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，联合调度改变了骨干通道水量输移和能量分配，但城区内部仍存在动力传递衰减问题</w:t>
      </w:r>
      <w:r>
        <w:rPr>
          <w:rFonts w:hint="eastAsia" w:eastAsia="楷体" w:cs="Times New Roman"/>
          <w:snapToGrid/>
          <w:color w:val="auto"/>
          <w:spacing w:val="0"/>
          <w:w w:val="100"/>
          <w:kern w:val="2"/>
          <w:position w:val="0"/>
          <w:sz w:val="21"/>
          <w:szCs w:val="21"/>
          <w:highlight w:val="none"/>
          <w:u w:val="none"/>
          <w:shd w:val="clear" w:fill="auto"/>
          <w:lang w:eastAsia="zh-CN"/>
        </w:rPr>
        <w:t>，</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未来需进一步强化</w:t>
      </w:r>
      <w:r>
        <w:rPr>
          <w:rFonts w:hint="eastAsia" w:eastAsia="楷体" w:cs="Times New Roman"/>
          <w:snapToGrid/>
          <w:color w:val="auto"/>
          <w:spacing w:val="0"/>
          <w:w w:val="100"/>
          <w:kern w:val="2"/>
          <w:position w:val="0"/>
          <w:sz w:val="21"/>
          <w:szCs w:val="21"/>
          <w:highlight w:val="none"/>
          <w:u w:val="none"/>
          <w:shd w:val="clear" w:fill="auto"/>
          <w:lang w:val="en-US" w:eastAsia="zh-CN"/>
        </w:rPr>
        <w:t>新孟河工程</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rPr>
        <w:t>与沿江口门、环太湖</w:t>
      </w:r>
      <w:r>
        <w:rPr>
          <w:rFonts w:hint="eastAsia" w:eastAsia="楷体" w:cs="Times New Roman"/>
          <w:snapToGrid/>
          <w:color w:val="auto"/>
          <w:spacing w:val="0"/>
          <w:w w:val="100"/>
          <w:kern w:val="2"/>
          <w:position w:val="0"/>
          <w:sz w:val="21"/>
          <w:szCs w:val="21"/>
          <w:highlight w:val="none"/>
          <w:u w:val="none"/>
          <w:shd w:val="clear" w:fill="auto"/>
          <w:lang w:val="en-US" w:eastAsia="zh-CN"/>
        </w:rPr>
        <w:t>口</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rPr>
        <w:t>门以及城区工程协同</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调控，以系统解决城区活水不足、河道倒流等问题。</w:t>
      </w:r>
    </w:p>
    <w:p w14:paraId="13CC9687">
      <w:pPr>
        <w:pStyle w:val="4"/>
        <w:keepNext w:val="0"/>
        <w:keepLines w:val="0"/>
        <w:pageBreakBefore w:val="0"/>
        <w:widowControl/>
        <w:wordWrap/>
        <w:overflowPunct/>
        <w:topLinePunct w:val="0"/>
        <w:autoSpaceDE w:val="0"/>
        <w:autoSpaceDN w:val="0"/>
        <w:bidi w:val="0"/>
        <w:adjustRightInd/>
        <w:snapToGrid/>
        <w:spacing w:line="240" w:lineRule="auto"/>
        <w:ind w:left="0" w:leftChars="0" w:right="0" w:rightChars="0"/>
        <w:textAlignment w:val="baseline"/>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黑体" w:cs="Times New Roman"/>
          <w:b/>
          <w:bCs/>
          <w:snapToGrid/>
          <w:color w:val="auto"/>
          <w:spacing w:val="0"/>
          <w:w w:val="100"/>
          <w:kern w:val="2"/>
          <w:position w:val="0"/>
          <w:sz w:val="21"/>
          <w:szCs w:val="21"/>
          <w:highlight w:val="none"/>
          <w:u w:val="none"/>
          <w:shd w:val="clear" w:fill="auto"/>
        </w:rPr>
        <w:t>关键词：</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新孟河</w:t>
      </w:r>
      <w:r>
        <w:rPr>
          <w:rFonts w:hint="default" w:ascii="Times New Roman" w:hAnsi="Times New Roman" w:eastAsia="楷体" w:cs="Times New Roman"/>
          <w:snapToGrid/>
          <w:color w:val="auto"/>
          <w:spacing w:val="0"/>
          <w:w w:val="100"/>
          <w:kern w:val="2"/>
          <w:position w:val="0"/>
          <w:sz w:val="21"/>
          <w:szCs w:val="21"/>
          <w:highlight w:val="none"/>
          <w:u w:val="none"/>
          <w:shd w:val="clear" w:fill="auto"/>
          <w:lang w:val="en-US" w:eastAsia="zh-CN"/>
        </w:rPr>
        <w:t>工程</w:t>
      </w:r>
      <w:r>
        <w:rPr>
          <w:rFonts w:hint="default" w:ascii="Times New Roman" w:hAnsi="Times New Roman" w:eastAsia="楷体" w:cs="Times New Roman"/>
          <w:snapToGrid/>
          <w:color w:val="auto"/>
          <w:spacing w:val="0"/>
          <w:w w:val="100"/>
          <w:kern w:val="2"/>
          <w:position w:val="0"/>
          <w:sz w:val="21"/>
          <w:szCs w:val="21"/>
          <w:highlight w:val="none"/>
          <w:u w:val="none"/>
          <w:shd w:val="clear" w:fill="auto"/>
        </w:rPr>
        <w:t>；工程调度；平原河网；太湖流域</w:t>
      </w:r>
      <w:r>
        <w:rPr>
          <w:rFonts w:hint="eastAsia" w:eastAsia="楷体" w:cs="Times New Roman"/>
          <w:snapToGrid/>
          <w:color w:val="auto"/>
          <w:spacing w:val="0"/>
          <w:w w:val="100"/>
          <w:kern w:val="2"/>
          <w:position w:val="0"/>
          <w:sz w:val="21"/>
          <w:szCs w:val="21"/>
          <w:highlight w:val="none"/>
          <w:u w:val="none"/>
          <w:shd w:val="clear" w:fill="auto"/>
          <w:lang w:eastAsia="zh-CN"/>
        </w:rPr>
        <w:t>；</w:t>
      </w:r>
      <w:r>
        <w:rPr>
          <w:rFonts w:hint="eastAsia" w:eastAsia="楷体" w:cs="Times New Roman"/>
          <w:snapToGrid/>
          <w:color w:val="auto"/>
          <w:spacing w:val="0"/>
          <w:w w:val="100"/>
          <w:kern w:val="2"/>
          <w:position w:val="0"/>
          <w:sz w:val="21"/>
          <w:szCs w:val="21"/>
          <w:highlight w:val="none"/>
          <w:u w:val="none"/>
          <w:shd w:val="clear" w:fill="auto"/>
          <w:lang w:val="en-US" w:eastAsia="zh-CN"/>
        </w:rPr>
        <w:t>水动力重构；数值模拟；功率通量；水环境</w:t>
      </w:r>
    </w:p>
    <w:p w14:paraId="63B649B9">
      <w:pPr>
        <w:pStyle w:val="4"/>
        <w:keepNext w:val="0"/>
        <w:keepLines w:val="0"/>
        <w:pageBreakBefore w:val="0"/>
        <w:widowControl/>
        <w:wordWrap/>
        <w:overflowPunct/>
        <w:topLinePunct w:val="0"/>
        <w:autoSpaceDE w:val="0"/>
        <w:autoSpaceDN w:val="0"/>
        <w:bidi w:val="0"/>
        <w:adjustRightInd/>
        <w:snapToGrid/>
        <w:spacing w:line="240" w:lineRule="auto"/>
        <w:ind w:left="0" w:leftChars="0" w:right="0" w:rightChars="0"/>
        <w:textAlignment w:val="baseline"/>
        <w:rPr>
          <w:rFonts w:hint="default" w:ascii="Times New Roman" w:hAnsi="Times New Roman" w:eastAsia="宋体" w:cs="Times New Roman"/>
          <w:b/>
          <w:bCs/>
          <w:snapToGrid/>
          <w:color w:val="auto"/>
          <w:spacing w:val="0"/>
          <w:w w:val="100"/>
          <w:kern w:val="2"/>
          <w:position w:val="0"/>
          <w:highlight w:val="none"/>
          <w:u w:val="none"/>
          <w:shd w:val="clear" w:fill="auto"/>
        </w:rPr>
      </w:pPr>
      <w:r>
        <w:rPr>
          <w:rFonts w:hint="default" w:ascii="Times New Roman" w:hAnsi="Times New Roman" w:eastAsia="黑体" w:cs="Times New Roman"/>
          <w:b/>
          <w:bCs/>
          <w:snapToGrid/>
          <w:color w:val="auto"/>
          <w:spacing w:val="0"/>
          <w:w w:val="100"/>
          <w:kern w:val="2"/>
          <w:position w:val="0"/>
          <w:highlight w:val="none"/>
          <w:u w:val="none"/>
          <w:shd w:val="clear" w:fill="auto"/>
        </w:rPr>
        <w:t>中图分类号：</w:t>
      </w:r>
      <w:r>
        <w:rPr>
          <w:rFonts w:hint="default" w:ascii="Times New Roman" w:hAnsi="Times New Roman" w:eastAsia="宋体" w:cs="Times New Roman"/>
          <w:snapToGrid/>
          <w:color w:val="auto"/>
          <w:spacing w:val="0"/>
          <w:w w:val="100"/>
          <w:kern w:val="2"/>
          <w:position w:val="0"/>
          <w:highlight w:val="none"/>
          <w:u w:val="none"/>
          <w:shd w:val="clear" w:fill="auto"/>
        </w:rPr>
        <w:t>TV6</w:t>
      </w:r>
      <w:r>
        <w:rPr>
          <w:rFonts w:hint="default" w:ascii="Times New Roman" w:hAnsi="Times New Roman" w:eastAsia="宋体" w:cs="Times New Roman"/>
          <w:snapToGrid/>
          <w:color w:val="auto"/>
          <w:spacing w:val="0"/>
          <w:w w:val="100"/>
          <w:kern w:val="2"/>
          <w:position w:val="0"/>
          <w:highlight w:val="none"/>
          <w:u w:val="none"/>
          <w:shd w:val="clear" w:fill="auto"/>
          <w:lang w:val="en-US" w:eastAsia="zh-CN"/>
        </w:rPr>
        <w:t>8</w:t>
      </w:r>
      <w:r>
        <w:rPr>
          <w:rFonts w:hint="default" w:ascii="Times New Roman" w:hAnsi="Times New Roman" w:eastAsia="楷体" w:cs="Times New Roman"/>
          <w:snapToGrid/>
          <w:color w:val="auto"/>
          <w:spacing w:val="0"/>
          <w:w w:val="100"/>
          <w:kern w:val="2"/>
          <w:position w:val="0"/>
          <w:highlight w:val="none"/>
          <w:u w:val="none"/>
          <w:shd w:val="clear" w:fill="auto"/>
        </w:rPr>
        <w:t xml:space="preserve">   </w:t>
      </w:r>
      <w:r>
        <w:rPr>
          <w:rFonts w:hint="default" w:ascii="Times New Roman" w:hAnsi="Times New Roman" w:eastAsia="黑体" w:cs="Times New Roman"/>
          <w:snapToGrid/>
          <w:color w:val="auto"/>
          <w:spacing w:val="0"/>
          <w:w w:val="100"/>
          <w:kern w:val="2"/>
          <w:position w:val="0"/>
          <w:highlight w:val="none"/>
          <w:u w:val="none"/>
          <w:shd w:val="clear" w:fill="auto"/>
        </w:rPr>
        <w:t>文献标志码：</w:t>
      </w:r>
      <w:r>
        <w:rPr>
          <w:rFonts w:hint="default" w:ascii="Times New Roman" w:hAnsi="Times New Roman" w:eastAsia="宋体" w:cs="Times New Roman"/>
          <w:b/>
          <w:bCs/>
          <w:snapToGrid/>
          <w:color w:val="auto"/>
          <w:spacing w:val="0"/>
          <w:w w:val="100"/>
          <w:kern w:val="2"/>
          <w:position w:val="0"/>
          <w:highlight w:val="none"/>
          <w:u w:val="none"/>
          <w:shd w:val="clear" w:fill="auto"/>
        </w:rPr>
        <w:t>A</w:t>
      </w:r>
    </w:p>
    <w:p w14:paraId="55AED747">
      <w:pPr>
        <w:pStyle w:val="4"/>
        <w:keepNext w:val="0"/>
        <w:keepLines w:val="0"/>
        <w:pageBreakBefore w:val="0"/>
        <w:widowControl/>
        <w:wordWrap/>
        <w:overflowPunct/>
        <w:topLinePunct w:val="0"/>
        <w:autoSpaceDE w:val="0"/>
        <w:autoSpaceDN w:val="0"/>
        <w:bidi w:val="0"/>
        <w:adjustRightInd/>
        <w:snapToGrid/>
        <w:spacing w:line="240" w:lineRule="auto"/>
        <w:ind w:left="0" w:leftChars="0" w:right="0" w:rightChars="0"/>
        <w:textAlignment w:val="baseline"/>
        <w:rPr>
          <w:rFonts w:hint="default" w:ascii="Times New Roman" w:hAnsi="Times New Roman" w:eastAsia="宋体" w:cs="Times New Roman"/>
          <w:b/>
          <w:bCs/>
          <w:snapToGrid/>
          <w:color w:val="auto"/>
          <w:spacing w:val="0"/>
          <w:w w:val="100"/>
          <w:kern w:val="2"/>
          <w:position w:val="0"/>
          <w:highlight w:val="none"/>
          <w:u w:val="none"/>
          <w:shd w:val="clear" w:fill="auto"/>
          <w:lang w:val="en-US" w:eastAsia="zh-CN"/>
        </w:rPr>
      </w:pPr>
      <w:r>
        <w:rPr>
          <w:rFonts w:hint="eastAsia" w:eastAsia="宋体" w:cs="Times New Roman"/>
          <w:b/>
          <w:bCs/>
          <w:snapToGrid/>
          <w:color w:val="auto"/>
          <w:spacing w:val="0"/>
          <w:w w:val="100"/>
          <w:kern w:val="2"/>
          <w:position w:val="0"/>
          <w:highlight w:val="none"/>
          <w:u w:val="none"/>
          <w:shd w:val="clear" w:fill="auto"/>
          <w:lang w:val="en-US" w:eastAsia="zh-CN"/>
        </w:rPr>
        <w:t>DOI:           OSID:</w:t>
      </w:r>
      <w:bookmarkStart w:id="0" w:name="_GoBack"/>
      <w:r>
        <w:rPr>
          <w:rFonts w:hint="default" w:ascii="Times New Roman" w:hAnsi="Times New Roman" w:eastAsia="宋体" w:cs="Times New Roman"/>
          <w:b/>
          <w:bCs/>
          <w:snapToGrid/>
          <w:color w:val="auto"/>
          <w:spacing w:val="0"/>
          <w:w w:val="100"/>
          <w:kern w:val="2"/>
          <w:position w:val="0"/>
          <w:highlight w:val="none"/>
          <w:u w:val="none"/>
          <w:shd w:val="clear" w:fill="auto"/>
          <w:lang w:val="en-US" w:eastAsia="zh-CN"/>
        </w:rPr>
        <w:drawing>
          <wp:inline distT="0" distB="0" distL="114300" distR="114300">
            <wp:extent cx="1134745" cy="1134745"/>
            <wp:effectExtent l="0" t="0" r="8255" b="8255"/>
            <wp:docPr id="1" name="图片 1" descr="引排新格局下的河网动力重构与水质响应研究：以新孟河工程为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引排新格局下的河网动力重构与水质响应研究：以新孟河工程为例"/>
                    <pic:cNvPicPr>
                      <a:picLocks noChangeAspect="1"/>
                    </pic:cNvPicPr>
                  </pic:nvPicPr>
                  <pic:blipFill>
                    <a:blip r:embed="rId9"/>
                    <a:stretch>
                      <a:fillRect/>
                    </a:stretch>
                  </pic:blipFill>
                  <pic:spPr>
                    <a:xfrm>
                      <a:off x="0" y="0"/>
                      <a:ext cx="1134745" cy="1134745"/>
                    </a:xfrm>
                    <a:prstGeom prst="rect">
                      <a:avLst/>
                    </a:prstGeom>
                  </pic:spPr>
                </pic:pic>
              </a:graphicData>
            </a:graphic>
          </wp:inline>
        </w:drawing>
      </w:r>
      <w:bookmarkEnd w:id="0"/>
    </w:p>
    <w:p w14:paraId="74E79C45">
      <w:pPr>
        <w:pStyle w:val="4"/>
        <w:keepNext w:val="0"/>
        <w:keepLines w:val="0"/>
        <w:pageBreakBefore w:val="0"/>
        <w:overflowPunct/>
        <w:topLinePunct w:val="0"/>
        <w:bidi w:val="0"/>
        <w:adjustRightInd/>
        <w:snapToGrid/>
        <w:spacing w:line="240" w:lineRule="auto"/>
        <w:ind w:left="0" w:leftChars="0" w:right="0" w:rightChars="0"/>
        <w:rPr>
          <w:rFonts w:hint="default" w:ascii="Times New Roman" w:hAnsi="Times New Roman" w:cs="Times New Roman"/>
          <w:snapToGrid/>
          <w:color w:val="auto"/>
          <w:spacing w:val="0"/>
          <w:w w:val="100"/>
          <w:kern w:val="2"/>
          <w:position w:val="0"/>
          <w:sz w:val="21"/>
          <w:highlight w:val="none"/>
          <w:u w:val="none"/>
          <w:shd w:val="clear" w:fill="auto"/>
        </w:rPr>
      </w:pPr>
    </w:p>
    <w:p w14:paraId="36E60A2B">
      <w:pPr>
        <w:pStyle w:val="8"/>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default" w:ascii="Times New Roman" w:hAnsi="Times New Roman" w:eastAsia="宋体" w:cs="Times New Roman"/>
          <w:snapToGrid/>
          <w:color w:val="auto"/>
          <w:spacing w:val="0"/>
          <w:w w:val="100"/>
          <w:kern w:val="2"/>
          <w:position w:val="0"/>
          <w:sz w:val="28"/>
          <w:szCs w:val="28"/>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28"/>
          <w:szCs w:val="28"/>
          <w:highlight w:val="none"/>
          <w:u w:val="none"/>
          <w:shd w:val="clear" w:fill="auto"/>
          <w:lang w:eastAsia="zh-CN"/>
        </w:rPr>
        <w:t>Study on hydrodynamic</w:t>
      </w:r>
      <w:r>
        <w:rPr>
          <w:rFonts w:hint="eastAsia" w:ascii="Times New Roman" w:hAnsi="Times New Roman" w:eastAsia="宋体" w:cs="Times New Roman"/>
          <w:snapToGrid/>
          <w:color w:val="auto"/>
          <w:spacing w:val="0"/>
          <w:w w:val="100"/>
          <w:kern w:val="2"/>
          <w:position w:val="0"/>
          <w:sz w:val="28"/>
          <w:szCs w:val="28"/>
          <w:highlight w:val="none"/>
          <w:u w:val="none"/>
          <w:shd w:val="clear" w:fill="auto"/>
          <w:lang w:val="en-US" w:eastAsia="zh-CN"/>
        </w:rPr>
        <w:t xml:space="preserve"> reconstruction</w:t>
      </w:r>
      <w:r>
        <w:rPr>
          <w:rFonts w:hint="default" w:ascii="Times New Roman" w:hAnsi="Times New Roman" w:eastAsia="宋体" w:cs="Times New Roman"/>
          <w:snapToGrid/>
          <w:color w:val="auto"/>
          <w:spacing w:val="0"/>
          <w:w w:val="100"/>
          <w:kern w:val="2"/>
          <w:position w:val="0"/>
          <w:sz w:val="28"/>
          <w:szCs w:val="28"/>
          <w:highlight w:val="none"/>
          <w:u w:val="none"/>
          <w:shd w:val="clear" w:fill="auto"/>
          <w:lang w:eastAsia="zh-CN"/>
        </w:rPr>
        <w:t xml:space="preserve"> and water quality responses in river</w:t>
      </w:r>
      <w:r>
        <w:rPr>
          <w:rFonts w:hint="default" w:ascii="Times New Roman" w:hAnsi="Times New Roman" w:eastAsia="宋体" w:cs="Times New Roman"/>
          <w:snapToGrid/>
          <w:color w:val="auto"/>
          <w:spacing w:val="0"/>
          <w:w w:val="100"/>
          <w:kern w:val="2"/>
          <w:position w:val="0"/>
          <w:sz w:val="28"/>
          <w:szCs w:val="28"/>
          <w:highlight w:val="none"/>
          <w:u w:val="none"/>
          <w:shd w:val="clear" w:fill="auto"/>
          <w:lang w:val="en-US" w:eastAsia="zh-CN"/>
        </w:rPr>
        <w:t xml:space="preserve"> </w:t>
      </w:r>
      <w:r>
        <w:rPr>
          <w:rFonts w:hint="default" w:ascii="Times New Roman" w:hAnsi="Times New Roman" w:eastAsia="宋体" w:cs="Times New Roman"/>
          <w:snapToGrid/>
          <w:color w:val="auto"/>
          <w:spacing w:val="0"/>
          <w:w w:val="100"/>
          <w:kern w:val="2"/>
          <w:position w:val="0"/>
          <w:sz w:val="28"/>
          <w:szCs w:val="28"/>
          <w:highlight w:val="none"/>
          <w:u w:val="none"/>
          <w:shd w:val="clear" w:fill="auto"/>
          <w:lang w:eastAsia="zh-CN"/>
        </w:rPr>
        <w:t xml:space="preserve">networks under new diversion-drainage regimes: </w:t>
      </w:r>
      <w:r>
        <w:rPr>
          <w:rFonts w:hint="eastAsia" w:ascii="Times New Roman" w:hAnsi="Times New Roman" w:eastAsia="宋体" w:cs="Times New Roman"/>
          <w:snapToGrid/>
          <w:color w:val="auto"/>
          <w:spacing w:val="0"/>
          <w:w w:val="100"/>
          <w:kern w:val="2"/>
          <w:position w:val="0"/>
          <w:sz w:val="28"/>
          <w:szCs w:val="28"/>
          <w:highlight w:val="none"/>
          <w:u w:val="none"/>
          <w:shd w:val="clear" w:fill="auto"/>
          <w:lang w:val="en-US" w:eastAsia="zh-CN"/>
        </w:rPr>
        <w:t>A</w:t>
      </w:r>
      <w:r>
        <w:rPr>
          <w:rFonts w:hint="default" w:ascii="Times New Roman" w:hAnsi="Times New Roman" w:eastAsia="宋体" w:cs="Times New Roman"/>
          <w:snapToGrid/>
          <w:color w:val="auto"/>
          <w:spacing w:val="0"/>
          <w:w w:val="100"/>
          <w:kern w:val="2"/>
          <w:position w:val="0"/>
          <w:sz w:val="28"/>
          <w:szCs w:val="28"/>
          <w:highlight w:val="none"/>
          <w:u w:val="none"/>
          <w:shd w:val="clear" w:fill="auto"/>
          <w:lang w:eastAsia="zh-CN"/>
        </w:rPr>
        <w:t xml:space="preserve"> case study of Xinmeng River Project</w:t>
      </w:r>
    </w:p>
    <w:p w14:paraId="79DA481F">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jc w:val="center"/>
        <w:textAlignment w:val="baseline"/>
        <w:outlineLvl w:val="9"/>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JIANG Chenyu</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1,2</w:t>
      </w:r>
      <w:r>
        <w:rPr>
          <w:rFonts w:hint="default" w:ascii="Times New Roman" w:hAnsi="Times New Roman" w:cs="Times New Roman"/>
          <w:snapToGrid/>
          <w:color w:val="auto"/>
          <w:spacing w:val="0"/>
          <w:w w:val="100"/>
          <w:kern w:val="2"/>
          <w:position w:val="0"/>
          <w:sz w:val="21"/>
          <w:szCs w:val="21"/>
          <w:highlight w:val="none"/>
          <w:u w:val="none"/>
          <w:shd w:val="clear" w:fill="auto"/>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 xml:space="preserve"> </w:t>
      </w:r>
      <w:r>
        <w:rPr>
          <w:rFonts w:hint="default" w:ascii="Times New Roman" w:hAnsi="Times New Roman" w:cs="Times New Roman"/>
          <w:snapToGrid/>
          <w:color w:val="auto"/>
          <w:spacing w:val="0"/>
          <w:w w:val="100"/>
          <w:kern w:val="2"/>
          <w:position w:val="0"/>
          <w:sz w:val="21"/>
          <w:szCs w:val="21"/>
          <w:highlight w:val="none"/>
          <w:u w:val="none"/>
          <w:shd w:val="clear" w:fill="auto"/>
        </w:rPr>
        <w:t>PAN Mingxian</w:t>
      </w:r>
      <w:r>
        <w:rPr>
          <w:rFonts w:hint="eastAsia" w:eastAsia="宋体" w:cs="Times New Roman"/>
          <w:snapToGrid/>
          <w:color w:val="auto"/>
          <w:spacing w:val="0"/>
          <w:w w:val="100"/>
          <w:kern w:val="2"/>
          <w:position w:val="0"/>
          <w:sz w:val="21"/>
          <w:szCs w:val="21"/>
          <w:highlight w:val="none"/>
          <w:u w:val="none"/>
          <w:shd w:val="clear" w:fill="auto"/>
          <w:lang w:val="en-US" w:eastAsia="zh-CN"/>
        </w:rPr>
        <w:t>g</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1</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 xml:space="preserve">, </w:t>
      </w:r>
      <w:r>
        <w:rPr>
          <w:rFonts w:hint="default" w:ascii="Times New Roman" w:hAnsi="Times New Roman" w:cs="Times New Roman"/>
          <w:snapToGrid/>
          <w:color w:val="auto"/>
          <w:spacing w:val="0"/>
          <w:w w:val="100"/>
          <w:kern w:val="2"/>
          <w:position w:val="0"/>
          <w:sz w:val="21"/>
          <w:szCs w:val="21"/>
          <w:highlight w:val="none"/>
          <w:u w:val="none"/>
          <w:shd w:val="clear" w:fill="auto"/>
        </w:rPr>
        <w:t xml:space="preserve">LI </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Peng</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1</w:t>
      </w:r>
      <w:r>
        <w:rPr>
          <w:rFonts w:hint="default" w:ascii="Times New Roman" w:hAnsi="Times New Roman" w:cs="Times New Roman"/>
          <w:snapToGrid/>
          <w:color w:val="auto"/>
          <w:spacing w:val="0"/>
          <w:w w:val="100"/>
          <w:kern w:val="2"/>
          <w:position w:val="0"/>
          <w:sz w:val="21"/>
          <w:szCs w:val="21"/>
          <w:highlight w:val="none"/>
          <w:u w:val="none"/>
          <w:shd w:val="clear" w:fill="auto"/>
        </w:rPr>
        <w:t xml:space="preserve">, </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LI Yongtao</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1</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 GU Hao</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1</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 LI Bei</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1</w:t>
      </w:r>
    </w:p>
    <w:p w14:paraId="73C1EE6B">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jc w:val="center"/>
        <w:textAlignment w:val="baseline"/>
        <w:rPr>
          <w:rFonts w:hint="default" w:ascii="Times New Roman" w:hAnsi="Times New Roman" w:cs="Times New Roman"/>
          <w:snapToGrid/>
          <w:color w:val="auto"/>
          <w:spacing w:val="0"/>
          <w:w w:val="100"/>
          <w:kern w:val="2"/>
          <w:position w:val="0"/>
          <w:sz w:val="18"/>
          <w:highlight w:val="none"/>
          <w:u w:val="none"/>
          <w:shd w:val="clear" w:fill="auto"/>
        </w:rPr>
      </w:pPr>
      <w:r>
        <w:rPr>
          <w:rFonts w:hint="default" w:ascii="Times New Roman" w:hAnsi="Times New Roman" w:cs="Times New Roman"/>
          <w:snapToGrid/>
          <w:color w:val="auto"/>
          <w:spacing w:val="0"/>
          <w:w w:val="100"/>
          <w:kern w:val="2"/>
          <w:position w:val="0"/>
          <w:sz w:val="18"/>
          <w:highlight w:val="none"/>
          <w:u w:val="none"/>
          <w:shd w:val="clear" w:fill="auto"/>
        </w:rPr>
        <w:t>(1. Water Resources Development Research Center</w:t>
      </w:r>
      <w:r>
        <w:rPr>
          <w:rFonts w:hint="default" w:ascii="Times New Roman" w:hAnsi="Times New Roman" w:eastAsia="宋体" w:cs="Times New Roman"/>
          <w:snapToGrid/>
          <w:color w:val="auto"/>
          <w:spacing w:val="0"/>
          <w:w w:val="100"/>
          <w:kern w:val="2"/>
          <w:position w:val="0"/>
          <w:sz w:val="18"/>
          <w:highlight w:val="none"/>
          <w:u w:val="none"/>
          <w:shd w:val="clear" w:fill="auto"/>
          <w:lang w:val="en-US" w:eastAsia="zh-CN"/>
        </w:rPr>
        <w:t xml:space="preserve"> of </w:t>
      </w:r>
      <w:r>
        <w:rPr>
          <w:rFonts w:hint="default" w:ascii="Times New Roman" w:hAnsi="Times New Roman" w:cs="Times New Roman"/>
          <w:snapToGrid/>
          <w:color w:val="auto"/>
          <w:spacing w:val="0"/>
          <w:w w:val="100"/>
          <w:kern w:val="2"/>
          <w:position w:val="0"/>
          <w:sz w:val="18"/>
          <w:highlight w:val="none"/>
          <w:u w:val="none"/>
          <w:shd w:val="clear" w:fill="auto"/>
        </w:rPr>
        <w:t xml:space="preserve">Taihu Basin Authority, Shanghai 200438, China; 2. Key Laboratory of Hydrologic-cycle and Hydrodynamic System of Ministry of Water Resources, Hohai University, </w:t>
      </w:r>
      <w:r>
        <w:rPr>
          <w:rFonts w:hint="default" w:ascii="Times New Roman" w:hAnsi="Times New Roman" w:eastAsia="宋体" w:cs="Times New Roman"/>
          <w:snapToGrid/>
          <w:color w:val="auto"/>
          <w:spacing w:val="0"/>
          <w:w w:val="100"/>
          <w:kern w:val="2"/>
          <w:position w:val="0"/>
          <w:sz w:val="18"/>
          <w:highlight w:val="none"/>
          <w:u w:val="none"/>
          <w:shd w:val="clear" w:fill="auto"/>
          <w:lang w:val="en-US" w:eastAsia="zh-CN"/>
        </w:rPr>
        <w:t>Nanjing</w:t>
      </w:r>
      <w:r>
        <w:rPr>
          <w:rFonts w:hint="default" w:ascii="Times New Roman" w:hAnsi="Times New Roman" w:cs="Times New Roman"/>
          <w:snapToGrid/>
          <w:color w:val="auto"/>
          <w:spacing w:val="0"/>
          <w:w w:val="100"/>
          <w:kern w:val="2"/>
          <w:position w:val="0"/>
          <w:sz w:val="18"/>
          <w:highlight w:val="none"/>
          <w:u w:val="none"/>
          <w:shd w:val="clear" w:fill="auto"/>
        </w:rPr>
        <w:t xml:space="preserve"> </w:t>
      </w:r>
      <w:r>
        <w:rPr>
          <w:rFonts w:hint="default" w:ascii="Times New Roman" w:hAnsi="Times New Roman" w:eastAsia="宋体" w:cs="Times New Roman"/>
          <w:snapToGrid/>
          <w:color w:val="auto"/>
          <w:spacing w:val="0"/>
          <w:w w:val="100"/>
          <w:kern w:val="2"/>
          <w:position w:val="0"/>
          <w:sz w:val="18"/>
          <w:highlight w:val="none"/>
          <w:u w:val="none"/>
          <w:shd w:val="clear" w:fill="auto"/>
          <w:lang w:val="en-US" w:eastAsia="zh-CN"/>
        </w:rPr>
        <w:t>210098</w:t>
      </w:r>
      <w:r>
        <w:rPr>
          <w:rFonts w:hint="default" w:ascii="Times New Roman" w:hAnsi="Times New Roman" w:cs="Times New Roman"/>
          <w:snapToGrid/>
          <w:color w:val="auto"/>
          <w:spacing w:val="0"/>
          <w:w w:val="100"/>
          <w:kern w:val="2"/>
          <w:position w:val="0"/>
          <w:sz w:val="18"/>
          <w:highlight w:val="none"/>
          <w:u w:val="none"/>
          <w:shd w:val="clear" w:fill="auto"/>
        </w:rPr>
        <w:t xml:space="preserve">, </w:t>
      </w:r>
      <w:r>
        <w:rPr>
          <w:rFonts w:hint="eastAsia" w:eastAsia="宋体" w:cs="Times New Roman"/>
          <w:snapToGrid/>
          <w:color w:val="auto"/>
          <w:spacing w:val="0"/>
          <w:w w:val="100"/>
          <w:kern w:val="2"/>
          <w:position w:val="0"/>
          <w:sz w:val="18"/>
          <w:highlight w:val="none"/>
          <w:u w:val="none"/>
          <w:shd w:val="clear" w:fill="auto"/>
          <w:lang w:val="en-US" w:eastAsia="zh-CN"/>
        </w:rPr>
        <w:t xml:space="preserve">Jiangsu, </w:t>
      </w:r>
      <w:r>
        <w:rPr>
          <w:rFonts w:hint="default" w:ascii="Times New Roman" w:hAnsi="Times New Roman" w:cs="Times New Roman"/>
          <w:snapToGrid/>
          <w:color w:val="auto"/>
          <w:spacing w:val="0"/>
          <w:w w:val="100"/>
          <w:kern w:val="2"/>
          <w:position w:val="0"/>
          <w:sz w:val="18"/>
          <w:highlight w:val="none"/>
          <w:u w:val="none"/>
          <w:shd w:val="clear" w:fill="auto"/>
        </w:rPr>
        <w:t>China)</w:t>
      </w:r>
    </w:p>
    <w:p w14:paraId="0738C409">
      <w:pPr>
        <w:pStyle w:val="4"/>
        <w:keepNext w:val="0"/>
        <w:keepLines w:val="0"/>
        <w:pageBreakBefore w:val="0"/>
        <w:overflowPunct/>
        <w:topLinePunct w:val="0"/>
        <w:bidi w:val="0"/>
        <w:adjustRightInd/>
        <w:snapToGrid/>
        <w:spacing w:line="240" w:lineRule="auto"/>
        <w:ind w:left="0" w:leftChars="0" w:right="0" w:rightChars="0"/>
        <w:jc w:val="center"/>
        <w:rPr>
          <w:rFonts w:hint="default" w:ascii="Times New Roman" w:hAnsi="Times New Roman" w:cs="Times New Roman"/>
          <w:snapToGrid/>
          <w:color w:val="auto"/>
          <w:spacing w:val="0"/>
          <w:w w:val="100"/>
          <w:kern w:val="2"/>
          <w:position w:val="0"/>
          <w:highlight w:val="none"/>
          <w:u w:val="none"/>
          <w:shd w:val="clear" w:fill="auto"/>
        </w:rPr>
      </w:pPr>
    </w:p>
    <w:p w14:paraId="4852D84E">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cs="Times New Roman"/>
          <w:b/>
          <w:bCs/>
          <w:snapToGrid/>
          <w:color w:val="auto"/>
          <w:spacing w:val="0"/>
          <w:w w:val="100"/>
          <w:kern w:val="2"/>
          <w:position w:val="0"/>
          <w:sz w:val="21"/>
          <w:szCs w:val="21"/>
          <w:highlight w:val="none"/>
          <w:u w:val="none"/>
          <w:shd w:val="clear" w:fill="auto"/>
        </w:rPr>
        <w:t xml:space="preserve">Abstract: </w:t>
      </w:r>
      <w:r>
        <w:rPr>
          <w:rFonts w:hint="default" w:ascii="Times New Roman" w:hAnsi="Times New Roman" w:eastAsia="楷体" w:cs="Times New Roman"/>
          <w:b w:val="0"/>
          <w:bCs/>
          <w:snapToGrid/>
          <w:color w:val="auto"/>
          <w:spacing w:val="0"/>
          <w:w w:val="100"/>
          <w:kern w:val="2"/>
          <w:position w:val="0"/>
          <w:sz w:val="21"/>
          <w:szCs w:val="21"/>
          <w:highlight w:val="none"/>
          <w:u w:val="none"/>
          <w:shd w:val="clear" w:fill="auto"/>
          <w:lang w:val="en-US" w:eastAsia="zh-CN" w:bidi="ar-SA"/>
        </w:rPr>
        <w:t>[Objective]</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T</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he hydrodynamic reconstruction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patterns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and water</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quality response characteristics</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of plain river networks under the joint operation of major diversion and drainage projects in the upper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reaches of the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Taihu Basin</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 are quantitatively evaluated</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 </w:t>
      </w:r>
      <w:r>
        <w:rPr>
          <w:rFonts w:hint="default" w:ascii="Times New Roman" w:hAnsi="Times New Roman" w:eastAsia="楷体" w:cs="Times New Roman"/>
          <w:b w:val="0"/>
          <w:bCs/>
          <w:snapToGrid/>
          <w:color w:val="auto"/>
          <w:spacing w:val="0"/>
          <w:w w:val="100"/>
          <w:kern w:val="2"/>
          <w:position w:val="0"/>
          <w:sz w:val="21"/>
          <w:szCs w:val="21"/>
          <w:highlight w:val="none"/>
          <w:u w:val="none"/>
          <w:shd w:val="clear" w:fill="auto"/>
          <w:lang w:val="en-US" w:eastAsia="zh-CN" w:bidi="ar-SA"/>
        </w:rPr>
        <w:t xml:space="preserve">[Methods]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Taking the river system along the Xinmeng River Project as the study area, a modified energy</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power method and an incremental power transfer coefficient suitable for plain river networks were proposed. These methods were coupled with a refined hydrodynamic</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water quality model, and multiple joint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scheduling</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 scenarios involving gates and pumping stations were designed for numerical simulation</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 analysis</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w:t>
      </w:r>
      <w:r>
        <w:rPr>
          <w:rFonts w:hint="default" w:ascii="Times New Roman" w:hAnsi="Times New Roman" w:eastAsia="楷体" w:cs="Times New Roman"/>
          <w:b w:val="0"/>
          <w:bCs/>
          <w:snapToGrid/>
          <w:color w:val="auto"/>
          <w:spacing w:val="0"/>
          <w:w w:val="100"/>
          <w:kern w:val="2"/>
          <w:position w:val="0"/>
          <w:sz w:val="21"/>
          <w:szCs w:val="21"/>
          <w:highlight w:val="none"/>
          <w:u w:val="none"/>
          <w:shd w:val="clear" w:fill="auto"/>
          <w:lang w:val="en-US" w:eastAsia="zh-CN" w:bidi="ar-SA"/>
        </w:rPr>
        <w:t xml:space="preserve"> [Results]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The results showed that water diversion through the Xinmeng River Project raised water levels in the river network</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s</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of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western Taihu</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 Lake</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 The water quality improvement of the trunk rivers along the project corridor and around Gehu Lake was relatively significant, and the water quality of inflows to Taihu Lake also improved. After joint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scheduling</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 with Wunan River diversion and northward drainage through the Xingou River, the reverse-flow backwater effect in the upper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reaches of the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Taige Canal was further weakened, and flow activation in the Wunan River and nearby urban rivers was enhanced. However, the transfer of additional energy to the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internal</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 river network of Wujin District remained insufficient. The power transfer coefficient from the Wunan River hub to internal rivers such as the Changgou River and Hutang River was only approximately 6.8%</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8.6%, and the corresponding</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hydrodynamic and water</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quality improvements were relatively</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 xml:space="preserve">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limited. </w:t>
      </w:r>
      <w:r>
        <w:rPr>
          <w:rFonts w:hint="default" w:ascii="Times New Roman" w:hAnsi="Times New Roman" w:eastAsia="楷体" w:cs="Times New Roman"/>
          <w:b w:val="0"/>
          <w:bCs/>
          <w:snapToGrid/>
          <w:color w:val="auto"/>
          <w:spacing w:val="0"/>
          <w:w w:val="100"/>
          <w:kern w:val="2"/>
          <w:position w:val="0"/>
          <w:sz w:val="21"/>
          <w:szCs w:val="21"/>
          <w:highlight w:val="none"/>
          <w:u w:val="none"/>
          <w:shd w:val="clear" w:fill="auto"/>
          <w:lang w:val="en-US" w:eastAsia="zh-CN" w:bidi="ar-SA"/>
        </w:rPr>
        <w:t xml:space="preserve">[Conclusion] </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The results indicate that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t</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he joint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scheduling</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 change</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s</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 water conveyance and energy distribution along the trunk channels, but power transfer attenuation remains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within</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 the urban river network. Future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scheduling</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xml:space="preserve"> should further strengthen coordinated regulation among the project, Yangtze River outlets, Taihu Lake outlets, and urban </w:t>
      </w:r>
      <w:r>
        <w:rPr>
          <w:rStyle w:val="12"/>
          <w:rFonts w:hint="eastAsia" w:eastAsia="宋体" w:cs="Times New Roman"/>
          <w:b w:val="0"/>
          <w:bCs w:val="0"/>
          <w:snapToGrid/>
          <w:color w:val="auto"/>
          <w:spacing w:val="0"/>
          <w:w w:val="100"/>
          <w:kern w:val="2"/>
          <w:position w:val="0"/>
          <w:sz w:val="20"/>
          <w:szCs w:val="20"/>
          <w:highlight w:val="none"/>
          <w:u w:val="none"/>
          <w:shd w:val="clear" w:fill="auto"/>
          <w:lang w:val="en-US" w:eastAsia="zh-CN"/>
        </w:rPr>
        <w:t>projects</w:t>
      </w:r>
      <w:r>
        <w:rPr>
          <w:rStyle w:val="12"/>
          <w:rFonts w:hint="default" w:ascii="Times New Roman" w:hAnsi="Times New Roman" w:cs="Times New Roman"/>
          <w:b w:val="0"/>
          <w:bCs w:val="0"/>
          <w:snapToGrid/>
          <w:color w:val="auto"/>
          <w:spacing w:val="0"/>
          <w:w w:val="100"/>
          <w:kern w:val="2"/>
          <w:position w:val="0"/>
          <w:sz w:val="20"/>
          <w:szCs w:val="20"/>
          <w:highlight w:val="none"/>
          <w:u w:val="none"/>
          <w:shd w:val="clear" w:fill="auto"/>
        </w:rPr>
        <w:t>, so as to systematically solve problems such as insufficient flow activation and reverse flow in urban rivers</w:t>
      </w:r>
      <w:r>
        <w:rPr>
          <w:rFonts w:hint="default" w:ascii="Times New Roman" w:hAnsi="Times New Roman" w:cs="Times New Roman"/>
          <w:snapToGrid/>
          <w:color w:val="auto"/>
          <w:spacing w:val="0"/>
          <w:w w:val="100"/>
          <w:kern w:val="2"/>
          <w:position w:val="0"/>
          <w:sz w:val="21"/>
          <w:szCs w:val="21"/>
          <w:highlight w:val="none"/>
          <w:u w:val="none"/>
          <w:shd w:val="clear" w:fill="auto"/>
        </w:rPr>
        <w:t>.</w:t>
      </w:r>
    </w:p>
    <w:p w14:paraId="7DE5A9C2">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cs="Times New Roman"/>
          <w:b/>
          <w:bCs/>
          <w:snapToGrid/>
          <w:color w:val="auto"/>
          <w:spacing w:val="0"/>
          <w:w w:val="100"/>
          <w:kern w:val="2"/>
          <w:position w:val="0"/>
          <w:sz w:val="21"/>
          <w:szCs w:val="21"/>
          <w:highlight w:val="none"/>
          <w:u w:val="none"/>
          <w:shd w:val="clear" w:fill="auto"/>
        </w:rPr>
        <w:t xml:space="preserve">Keywords: </w:t>
      </w:r>
      <w:r>
        <w:rPr>
          <w:rFonts w:hint="default" w:ascii="Times New Roman" w:hAnsi="Times New Roman" w:cs="Times New Roman"/>
          <w:snapToGrid/>
          <w:color w:val="auto"/>
          <w:spacing w:val="0"/>
          <w:w w:val="100"/>
          <w:kern w:val="2"/>
          <w:position w:val="0"/>
          <w:sz w:val="21"/>
          <w:szCs w:val="21"/>
          <w:highlight w:val="none"/>
          <w:u w:val="none"/>
          <w:shd w:val="clear" w:fill="auto"/>
        </w:rPr>
        <w:t>Xinmeng River</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 xml:space="preserve"> Project</w:t>
      </w:r>
      <w:r>
        <w:rPr>
          <w:rFonts w:hint="default" w:ascii="Times New Roman" w:hAnsi="Times New Roman" w:cs="Times New Roman"/>
          <w:snapToGrid/>
          <w:color w:val="auto"/>
          <w:spacing w:val="0"/>
          <w:w w:val="100"/>
          <w:kern w:val="2"/>
          <w:position w:val="0"/>
          <w:sz w:val="21"/>
          <w:szCs w:val="21"/>
          <w:highlight w:val="none"/>
          <w:u w:val="none"/>
          <w:shd w:val="clear" w:fill="auto"/>
        </w:rPr>
        <w:t xml:space="preserve">; engineering </w:t>
      </w:r>
      <w:r>
        <w:rPr>
          <w:rFonts w:hint="eastAsia" w:eastAsia="宋体" w:cs="Times New Roman"/>
          <w:snapToGrid/>
          <w:color w:val="auto"/>
          <w:spacing w:val="0"/>
          <w:w w:val="100"/>
          <w:kern w:val="2"/>
          <w:position w:val="0"/>
          <w:sz w:val="21"/>
          <w:szCs w:val="21"/>
          <w:highlight w:val="none"/>
          <w:u w:val="none"/>
          <w:shd w:val="clear" w:fill="auto"/>
          <w:lang w:val="en-US" w:eastAsia="zh-CN"/>
        </w:rPr>
        <w:t>scheduling</w:t>
      </w:r>
      <w:r>
        <w:rPr>
          <w:rFonts w:hint="default" w:ascii="Times New Roman" w:hAnsi="Times New Roman" w:cs="Times New Roman"/>
          <w:snapToGrid/>
          <w:color w:val="auto"/>
          <w:spacing w:val="0"/>
          <w:w w:val="100"/>
          <w:kern w:val="2"/>
          <w:position w:val="0"/>
          <w:sz w:val="21"/>
          <w:szCs w:val="21"/>
          <w:highlight w:val="none"/>
          <w:u w:val="none"/>
          <w:shd w:val="clear" w:fill="auto"/>
        </w:rPr>
        <w:t>; plain river network; Taihu Basin</w:t>
      </w:r>
      <w:r>
        <w:rPr>
          <w:rFonts w:hint="eastAsia" w:eastAsia="宋体" w:cs="Times New Roman"/>
          <w:snapToGrid/>
          <w:color w:val="auto"/>
          <w:spacing w:val="0"/>
          <w:w w:val="100"/>
          <w:kern w:val="2"/>
          <w:position w:val="0"/>
          <w:sz w:val="21"/>
          <w:szCs w:val="21"/>
          <w:highlight w:val="none"/>
          <w:u w:val="none"/>
          <w:shd w:val="clear" w:fill="auto"/>
          <w:lang w:val="en-US" w:eastAsia="zh-CN"/>
        </w:rPr>
        <w:t xml:space="preserve">; hydrodynamic reconstruction; numerical simulation; power flux; water </w:t>
      </w:r>
      <w:r>
        <w:rPr>
          <w:rFonts w:hint="eastAsia" w:eastAsia="宋体"/>
          <w:snapToGrid/>
          <w:color w:val="auto"/>
          <w:kern w:val="2"/>
          <w:sz w:val="21"/>
          <w:szCs w:val="21"/>
          <w:highlight w:val="none"/>
          <w:u w:val="none"/>
          <w:shd w:val="clear" w:fill="auto"/>
          <w:lang w:eastAsia="zh-CN"/>
        </w:rPr>
        <w:t>environment</w:t>
      </w:r>
    </w:p>
    <w:p w14:paraId="3DE4D8C2">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textAlignment w:val="baseline"/>
        <w:rPr>
          <w:rFonts w:hint="default" w:ascii="Times New Roman" w:hAnsi="Times New Roman" w:cs="Times New Roman"/>
          <w:snapToGrid/>
          <w:color w:val="auto"/>
          <w:spacing w:val="0"/>
          <w:w w:val="100"/>
          <w:kern w:val="2"/>
          <w:position w:val="0"/>
          <w:highlight w:val="none"/>
          <w:u w:val="none"/>
          <w:shd w:val="clear" w:fill="auto"/>
        </w:rPr>
      </w:pPr>
    </w:p>
    <w:p w14:paraId="32B3DB11">
      <w:pPr>
        <w:pStyle w:val="2"/>
        <w:pageBreakBefore w:val="0"/>
        <w:overflowPunct/>
        <w:topLinePunct w:val="0"/>
        <w:bidi w:val="0"/>
        <w:adjustRightInd/>
        <w:snapToGrid/>
        <w:spacing w:before="0" w:after="0" w:line="240" w:lineRule="auto"/>
        <w:ind w:left="0" w:leftChars="0" w:right="0" w:rightChars="0"/>
        <w:rPr>
          <w:rFonts w:hint="default" w:ascii="Times New Roman" w:hAnsi="Times New Roman" w:cs="Times New Roman"/>
          <w:snapToGrid/>
          <w:color w:val="auto"/>
          <w:spacing w:val="0"/>
          <w:w w:val="100"/>
          <w:kern w:val="2"/>
          <w:position w:val="0"/>
          <w:highlight w:val="none"/>
          <w:u w:val="none"/>
          <w:shd w:val="clear" w:fill="auto"/>
        </w:rPr>
      </w:pPr>
      <w:r>
        <w:rPr>
          <w:rFonts w:hint="default" w:ascii="Times New Roman" w:hAnsi="Times New Roman" w:cs="Times New Roman"/>
          <w:snapToGrid/>
          <w:color w:val="auto"/>
          <w:spacing w:val="0"/>
          <w:w w:val="100"/>
          <w:kern w:val="2"/>
          <w:position w:val="0"/>
          <w:highlight w:val="none"/>
          <w:u w:val="none"/>
          <w:shd w:val="clear" w:fill="auto"/>
        </w:rPr>
        <w:t>0 引  言</w:t>
      </w:r>
    </w:p>
    <w:p w14:paraId="6406F324">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太湖流域位于长江三角洲南翼，是我国经济最发达、人口最密集的地区之一</w:t>
      </w:r>
      <w:r>
        <w:rPr>
          <w:rFonts w:hint="default" w:ascii="Times New Roman" w:hAnsi="Times New Roman" w:eastAsia="Times New Roman"/>
          <w:color w:val="auto"/>
          <w:sz w:val="21"/>
          <w:szCs w:val="21"/>
          <w:highlight w:val="none"/>
          <w:u w:val="none"/>
          <w:shd w:val="clear" w:fill="auto"/>
          <w:vertAlign w:val="superscript"/>
        </w:rPr>
        <w:t>[1]</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。流域内</w:t>
      </w:r>
      <w:r>
        <w:rPr>
          <w:rFonts w:hint="default" w:eastAsia="宋体"/>
          <w:snapToGrid/>
          <w:color w:val="auto"/>
          <w:kern w:val="2"/>
          <w:sz w:val="21"/>
          <w:szCs w:val="21"/>
          <w:highlight w:val="none"/>
          <w:u w:val="none"/>
          <w:shd w:val="clear" w:fill="auto"/>
        </w:rPr>
        <w:t>平原河网区地势低平、河道比降微弱，水流方向易受外部边界、闸泵运行和局地排涝过程共同影响，常形成弱流动、往复流、局部滞流及水体交换不足等问题</w:t>
      </w:r>
      <w:r>
        <w:rPr>
          <w:rFonts w:hint="default" w:ascii="Times New Roman" w:hAnsi="Times New Roman" w:eastAsia="Times New Roman"/>
          <w:color w:val="auto"/>
          <w:sz w:val="21"/>
          <w:szCs w:val="21"/>
          <w:highlight w:val="none"/>
          <w:u w:val="none"/>
          <w:shd w:val="clear" w:fill="auto"/>
          <w:vertAlign w:val="superscript"/>
        </w:rPr>
        <w:t>[2</w:t>
      </w:r>
      <w:r>
        <w:rPr>
          <w:rFonts w:hint="eastAsia" w:eastAsia="宋体"/>
          <w:color w:val="auto"/>
          <w:sz w:val="21"/>
          <w:szCs w:val="21"/>
          <w:highlight w:val="none"/>
          <w:u w:val="none"/>
          <w:shd w:val="clear" w:fill="auto"/>
          <w:vertAlign w:val="superscript"/>
          <w:lang w:eastAsia="zh-CN"/>
        </w:rPr>
        <w:t>-</w:t>
      </w:r>
      <w:r>
        <w:rPr>
          <w:rFonts w:hint="default" w:ascii="Times New Roman" w:hAnsi="Times New Roman" w:eastAsia="Times New Roman"/>
          <w:color w:val="auto"/>
          <w:sz w:val="21"/>
          <w:szCs w:val="21"/>
          <w:highlight w:val="none"/>
          <w:u w:val="none"/>
          <w:shd w:val="clear" w:fill="auto"/>
          <w:vertAlign w:val="superscript"/>
        </w:rPr>
        <w:t>3]</w:t>
      </w:r>
      <w:r>
        <w:rPr>
          <w:rFonts w:hint="default" w:eastAsia="宋体"/>
          <w:snapToGrid/>
          <w:color w:val="auto"/>
          <w:kern w:val="2"/>
          <w:sz w:val="21"/>
          <w:szCs w:val="21"/>
          <w:highlight w:val="none"/>
          <w:u w:val="none"/>
          <w:shd w:val="clear" w:fill="auto"/>
        </w:rPr>
        <w:t>。水动力条件不足</w:t>
      </w:r>
      <w:r>
        <w:rPr>
          <w:rFonts w:hint="eastAsia" w:eastAsia="宋体"/>
          <w:snapToGrid/>
          <w:color w:val="auto"/>
          <w:kern w:val="2"/>
          <w:sz w:val="21"/>
          <w:szCs w:val="21"/>
          <w:highlight w:val="none"/>
          <w:u w:val="none"/>
          <w:shd w:val="clear" w:fill="auto"/>
          <w:lang w:val="en-US" w:eastAsia="zh-CN"/>
        </w:rPr>
        <w:t>可能影响河网</w:t>
      </w:r>
      <w:r>
        <w:rPr>
          <w:rFonts w:hint="default" w:eastAsia="宋体"/>
          <w:snapToGrid/>
          <w:color w:val="auto"/>
          <w:kern w:val="2"/>
          <w:sz w:val="21"/>
          <w:szCs w:val="21"/>
          <w:highlight w:val="none"/>
          <w:u w:val="none"/>
          <w:shd w:val="clear" w:fill="auto"/>
        </w:rPr>
        <w:t>水量交换</w:t>
      </w:r>
      <w:r>
        <w:rPr>
          <w:rFonts w:hint="eastAsia" w:eastAsia="宋体"/>
          <w:snapToGrid/>
          <w:color w:val="auto"/>
          <w:kern w:val="2"/>
          <w:sz w:val="21"/>
          <w:szCs w:val="21"/>
          <w:highlight w:val="none"/>
          <w:u w:val="none"/>
          <w:shd w:val="clear" w:fill="auto"/>
          <w:lang w:val="en-US" w:eastAsia="zh-CN"/>
        </w:rPr>
        <w:t>与物质掺混</w:t>
      </w:r>
      <w:r>
        <w:rPr>
          <w:rFonts w:hint="eastAsia" w:eastAsia="宋体"/>
          <w:snapToGrid/>
          <w:color w:val="auto"/>
          <w:kern w:val="2"/>
          <w:sz w:val="21"/>
          <w:szCs w:val="21"/>
          <w:highlight w:val="none"/>
          <w:u w:val="none"/>
          <w:shd w:val="clear" w:fill="auto"/>
          <w:lang w:eastAsia="zh-CN"/>
        </w:rPr>
        <w:t>，</w:t>
      </w:r>
      <w:r>
        <w:rPr>
          <w:rFonts w:hint="default" w:eastAsia="宋体"/>
          <w:snapToGrid/>
          <w:color w:val="auto"/>
          <w:kern w:val="2"/>
          <w:sz w:val="21"/>
          <w:szCs w:val="21"/>
          <w:highlight w:val="none"/>
          <w:u w:val="none"/>
          <w:shd w:val="clear" w:fill="auto"/>
        </w:rPr>
        <w:t>削弱污染物输移扩散和水体自净能力</w:t>
      </w:r>
      <w:r>
        <w:rPr>
          <w:rFonts w:hint="eastAsia" w:eastAsia="宋体"/>
          <w:snapToGrid/>
          <w:color w:val="auto"/>
          <w:kern w:val="2"/>
          <w:sz w:val="21"/>
          <w:szCs w:val="21"/>
          <w:highlight w:val="none"/>
          <w:u w:val="none"/>
          <w:shd w:val="clear" w:fill="auto"/>
          <w:lang w:eastAsia="zh-CN"/>
        </w:rPr>
        <w:t>，</w:t>
      </w:r>
      <w:r>
        <w:rPr>
          <w:rFonts w:hint="eastAsia" w:eastAsia="宋体"/>
          <w:snapToGrid/>
          <w:color w:val="auto"/>
          <w:kern w:val="2"/>
          <w:sz w:val="21"/>
          <w:szCs w:val="21"/>
          <w:highlight w:val="none"/>
          <w:u w:val="none"/>
          <w:shd w:val="clear" w:fill="auto"/>
          <w:lang w:val="en-US" w:eastAsia="zh-CN"/>
        </w:rPr>
        <w:t>从而影响河道</w:t>
      </w:r>
      <w:r>
        <w:rPr>
          <w:rFonts w:hint="default" w:eastAsia="宋体"/>
          <w:snapToGrid/>
          <w:color w:val="auto"/>
          <w:kern w:val="2"/>
          <w:sz w:val="21"/>
          <w:szCs w:val="21"/>
          <w:highlight w:val="none"/>
          <w:u w:val="none"/>
          <w:shd w:val="clear" w:fill="auto"/>
        </w:rPr>
        <w:t>水质</w:t>
      </w:r>
      <w:r>
        <w:rPr>
          <w:rFonts w:hint="default" w:ascii="Times New Roman" w:hAnsi="Times New Roman" w:eastAsia="Times New Roman"/>
          <w:color w:val="auto"/>
          <w:sz w:val="21"/>
          <w:szCs w:val="21"/>
          <w:highlight w:val="none"/>
          <w:u w:val="none"/>
          <w:shd w:val="clear" w:fill="auto"/>
          <w:vertAlign w:val="superscript"/>
        </w:rPr>
        <w:t>[4-</w:t>
      </w:r>
      <w:r>
        <w:rPr>
          <w:rFonts w:hint="eastAsia" w:eastAsia="宋体"/>
          <w:color w:val="auto"/>
          <w:sz w:val="21"/>
          <w:szCs w:val="21"/>
          <w:highlight w:val="none"/>
          <w:u w:val="none"/>
          <w:shd w:val="clear" w:fill="auto"/>
          <w:vertAlign w:val="superscript"/>
          <w:lang w:val="en-US" w:eastAsia="zh-CN"/>
        </w:rPr>
        <w:t>5</w:t>
      </w:r>
      <w:r>
        <w:rPr>
          <w:rFonts w:hint="default" w:ascii="Times New Roman" w:hAnsi="Times New Roman" w:eastAsia="Times New Roman"/>
          <w:color w:val="auto"/>
          <w:sz w:val="21"/>
          <w:szCs w:val="21"/>
          <w:highlight w:val="none"/>
          <w:u w:val="none"/>
          <w:shd w:val="clear" w:fill="auto"/>
          <w:vertAlign w:val="superscript"/>
        </w:rPr>
        <w:t>]</w:t>
      </w:r>
      <w:r>
        <w:rPr>
          <w:rFonts w:hint="default" w:eastAsia="宋体"/>
          <w:snapToGrid/>
          <w:color w:val="auto"/>
          <w:kern w:val="2"/>
          <w:sz w:val="21"/>
          <w:szCs w:val="21"/>
          <w:highlight w:val="none"/>
          <w:u w:val="none"/>
          <w:shd w:val="clear" w:fill="auto"/>
        </w:rPr>
        <w:t>，是</w:t>
      </w:r>
      <w:r>
        <w:rPr>
          <w:rFonts w:hint="eastAsia" w:eastAsia="宋体"/>
          <w:snapToGrid/>
          <w:color w:val="auto"/>
          <w:kern w:val="2"/>
          <w:sz w:val="21"/>
          <w:szCs w:val="21"/>
          <w:highlight w:val="none"/>
          <w:u w:val="none"/>
          <w:shd w:val="clear" w:fill="auto"/>
          <w:lang w:val="en-US" w:eastAsia="zh-CN"/>
        </w:rPr>
        <w:t>太湖流域</w:t>
      </w:r>
      <w:r>
        <w:rPr>
          <w:rFonts w:hint="default" w:eastAsia="宋体"/>
          <w:snapToGrid/>
          <w:color w:val="auto"/>
          <w:kern w:val="2"/>
          <w:sz w:val="21"/>
          <w:szCs w:val="21"/>
          <w:highlight w:val="none"/>
          <w:u w:val="none"/>
          <w:shd w:val="clear" w:fill="auto"/>
        </w:rPr>
        <w:t>水环境治理需要优先解决的关键问题。</w:t>
      </w:r>
    </w:p>
    <w:p w14:paraId="5D21893B">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eastAsia="宋体" w:cs="Times New Roman"/>
          <w:snapToGrid/>
          <w:color w:val="auto"/>
          <w:spacing w:val="0"/>
          <w:w w:val="100"/>
          <w:kern w:val="2"/>
          <w:position w:val="0"/>
          <w:sz w:val="21"/>
          <w:szCs w:val="21"/>
          <w:highlight w:val="none"/>
          <w:u w:val="none"/>
          <w:shd w:val="clear" w:fill="auto"/>
          <w:lang w:val="en-US" w:eastAsia="zh-CN"/>
        </w:rPr>
      </w:pPr>
      <w:r>
        <w:rPr>
          <w:rFonts w:ascii="Times New Roman" w:hAnsi="Times New Roman" w:eastAsia="宋体"/>
          <w:b w:val="0"/>
          <w:color w:val="auto"/>
          <w:sz w:val="21"/>
          <w:szCs w:val="21"/>
          <w:highlight w:val="none"/>
          <w:u w:val="none"/>
          <w:shd w:val="clear" w:fill="auto"/>
        </w:rPr>
        <w:t>针对平原河网弱动力治理，</w:t>
      </w:r>
      <w:r>
        <w:rPr>
          <w:rFonts w:hint="eastAsia" w:eastAsia="宋体" w:cs="Times New Roman"/>
          <w:snapToGrid/>
          <w:color w:val="auto"/>
          <w:spacing w:val="0"/>
          <w:w w:val="100"/>
          <w:kern w:val="2"/>
          <w:position w:val="0"/>
          <w:sz w:val="21"/>
          <w:szCs w:val="21"/>
          <w:highlight w:val="none"/>
          <w:u w:val="none"/>
          <w:shd w:val="clear" w:fill="auto"/>
          <w:lang w:val="en-US" w:eastAsia="zh-CN"/>
        </w:rPr>
        <w:t>唐洪武</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等</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color w:val="auto"/>
          <w:sz w:val="21"/>
          <w:szCs w:val="21"/>
          <w:highlight w:val="none"/>
          <w:u w:val="none"/>
          <w:shd w:val="clear" w:fill="auto"/>
          <w:vertAlign w:val="superscript"/>
          <w:lang w:val="en-US" w:eastAsia="zh-CN"/>
        </w:rPr>
        <w:t>6</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cs="Times New Roman"/>
          <w:snapToGrid/>
          <w:color w:val="auto"/>
          <w:spacing w:val="0"/>
          <w:w w:val="100"/>
          <w:kern w:val="2"/>
          <w:position w:val="0"/>
          <w:sz w:val="21"/>
          <w:szCs w:val="21"/>
          <w:highlight w:val="none"/>
          <w:u w:val="none"/>
          <w:shd w:val="clear" w:fill="auto"/>
          <w:lang w:val="en-US" w:eastAsia="zh-CN"/>
        </w:rPr>
        <w:t>率先提出了</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平原河网水动力重构的理论与技术体系，强调</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可通过优化布局水闸、泵站等水利工程体系</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充分挖潜工程的综合效益</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重构</w:t>
      </w:r>
      <w:r>
        <w:rPr>
          <w:rFonts w:hint="eastAsia" w:eastAsia="宋体" w:cs="Times New Roman"/>
          <w:snapToGrid/>
          <w:color w:val="auto"/>
          <w:spacing w:val="0"/>
          <w:w w:val="100"/>
          <w:kern w:val="2"/>
          <w:position w:val="0"/>
          <w:sz w:val="21"/>
          <w:szCs w:val="21"/>
          <w:highlight w:val="none"/>
          <w:u w:val="none"/>
          <w:shd w:val="clear" w:fill="auto"/>
          <w:lang w:val="en-US" w:eastAsia="zh-CN"/>
        </w:rPr>
        <w:t>河网动力</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时空分布来满足平原河网区复杂水问题统筹治理的需求</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表明增交换、促流动是水质改善的关键控制</w:t>
      </w:r>
      <w:r>
        <w:rPr>
          <w:rFonts w:hint="eastAsia" w:eastAsia="宋体" w:cs="Times New Roman"/>
          <w:snapToGrid/>
          <w:color w:val="auto"/>
          <w:spacing w:val="0"/>
          <w:w w:val="100"/>
          <w:kern w:val="2"/>
          <w:position w:val="0"/>
          <w:sz w:val="21"/>
          <w:szCs w:val="21"/>
          <w:highlight w:val="none"/>
          <w:u w:val="none"/>
          <w:shd w:val="clear" w:fill="auto"/>
          <w:lang w:val="en-US" w:eastAsia="zh-CN"/>
        </w:rPr>
        <w:t>方法</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eastAsia" w:eastAsia="宋体" w:cs="Times New Roman"/>
          <w:snapToGrid/>
          <w:color w:val="auto"/>
          <w:spacing w:val="0"/>
          <w:w w:val="100"/>
          <w:kern w:val="2"/>
          <w:position w:val="0"/>
          <w:sz w:val="21"/>
          <w:szCs w:val="21"/>
          <w:highlight w:val="none"/>
          <w:u w:val="none"/>
          <w:shd w:val="clear" w:fill="auto"/>
          <w:lang w:val="en-US" w:eastAsia="zh-CN"/>
        </w:rPr>
        <w:t>多</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年来，</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已有较多学者</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围绕工程联合调度</w:t>
      </w:r>
      <w:r>
        <w:rPr>
          <w:rFonts w:hint="eastAsia" w:eastAsia="宋体" w:cs="Times New Roman"/>
          <w:snapToGrid/>
          <w:color w:val="auto"/>
          <w:spacing w:val="0"/>
          <w:w w:val="100"/>
          <w:kern w:val="2"/>
          <w:position w:val="0"/>
          <w:sz w:val="21"/>
          <w:szCs w:val="21"/>
          <w:highlight w:val="none"/>
          <w:u w:val="none"/>
          <w:shd w:val="clear" w:fill="auto"/>
          <w:lang w:val="en-US" w:eastAsia="zh-CN"/>
        </w:rPr>
        <w:t>促平原河网水动力重构开展</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相关研究</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。王添等</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color w:val="auto"/>
          <w:sz w:val="21"/>
          <w:szCs w:val="21"/>
          <w:highlight w:val="none"/>
          <w:u w:val="none"/>
          <w:shd w:val="clear" w:fill="auto"/>
          <w:vertAlign w:val="superscript"/>
          <w:lang w:val="en-US" w:eastAsia="zh-CN"/>
        </w:rPr>
        <w:t>7</w:t>
      </w:r>
      <w:r>
        <w:rPr>
          <w:rFonts w:hint="default" w:ascii="Times New Roman" w:hAnsi="Times New Roman" w:eastAsia="Times New Roman"/>
          <w:color w:val="auto"/>
          <w:sz w:val="21"/>
          <w:szCs w:val="21"/>
          <w:highlight w:val="none"/>
          <w:u w:val="none"/>
          <w:shd w:val="clear" w:fill="auto"/>
          <w:vertAlign w:val="superscript"/>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针对平原河网建立了水动力优化调度与水环境改善的响应关系，揭示了工程调控对水体交换能力的增强机制</w:t>
      </w:r>
      <w:r>
        <w:rPr>
          <w:rFonts w:hint="eastAsia" w:eastAsia="宋体" w:cs="Times New Roman"/>
          <w:snapToGrid/>
          <w:color w:val="auto"/>
          <w:spacing w:val="0"/>
          <w:w w:val="100"/>
          <w:kern w:val="2"/>
          <w:position w:val="0"/>
          <w:sz w:val="21"/>
          <w:szCs w:val="21"/>
          <w:highlight w:val="none"/>
          <w:u w:val="none"/>
          <w:shd w:val="clear" w:fill="auto"/>
          <w:lang w:eastAsia="zh-CN"/>
        </w:rPr>
        <w:t>。闫毓等</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color w:val="auto"/>
          <w:sz w:val="21"/>
          <w:szCs w:val="21"/>
          <w:highlight w:val="none"/>
          <w:u w:val="none"/>
          <w:shd w:val="clear" w:fill="auto"/>
          <w:vertAlign w:val="superscript"/>
          <w:lang w:val="en-US" w:eastAsia="zh-CN"/>
        </w:rPr>
        <w:t>8</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cs="Times New Roman"/>
          <w:snapToGrid/>
          <w:color w:val="auto"/>
          <w:spacing w:val="0"/>
          <w:w w:val="100"/>
          <w:kern w:val="2"/>
          <w:position w:val="0"/>
          <w:sz w:val="21"/>
          <w:szCs w:val="21"/>
          <w:highlight w:val="none"/>
          <w:u w:val="none"/>
          <w:shd w:val="clear" w:fill="auto"/>
          <w:lang w:eastAsia="zh-CN"/>
        </w:rPr>
        <w:t>在上海蕰南水利控制片开展了河网水动力再造实践，验证了工程调控对畅流活水效果的有效性；</w:t>
      </w:r>
      <w:r>
        <w:rPr>
          <w:rFonts w:hint="default" w:eastAsia="宋体"/>
          <w:snapToGrid/>
          <w:color w:val="auto"/>
          <w:kern w:val="2"/>
          <w:sz w:val="21"/>
          <w:szCs w:val="21"/>
          <w:highlight w:val="none"/>
          <w:u w:val="none"/>
          <w:shd w:val="clear" w:fill="auto"/>
        </w:rPr>
        <w:t>GAO等</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color w:val="auto"/>
          <w:sz w:val="21"/>
          <w:szCs w:val="21"/>
          <w:highlight w:val="none"/>
          <w:u w:val="none"/>
          <w:shd w:val="clear" w:fill="auto"/>
          <w:vertAlign w:val="superscript"/>
          <w:lang w:val="en-US" w:eastAsia="zh-CN"/>
        </w:rPr>
        <w:t>9</w:t>
      </w:r>
      <w:r>
        <w:rPr>
          <w:rFonts w:hint="default" w:ascii="Times New Roman" w:hAnsi="Times New Roman" w:eastAsia="Times New Roman"/>
          <w:color w:val="auto"/>
          <w:sz w:val="21"/>
          <w:szCs w:val="21"/>
          <w:highlight w:val="none"/>
          <w:u w:val="none"/>
          <w:shd w:val="clear" w:fill="auto"/>
          <w:vertAlign w:val="superscript"/>
        </w:rPr>
        <w:t>]</w:t>
      </w:r>
      <w:r>
        <w:rPr>
          <w:rFonts w:hint="default" w:eastAsia="宋体"/>
          <w:snapToGrid/>
          <w:color w:val="auto"/>
          <w:kern w:val="2"/>
          <w:sz w:val="21"/>
          <w:szCs w:val="21"/>
          <w:highlight w:val="none"/>
          <w:u w:val="none"/>
          <w:shd w:val="clear" w:fill="auto"/>
        </w:rPr>
        <w:t>探讨了工程调度</w:t>
      </w:r>
      <w:r>
        <w:rPr>
          <w:rFonts w:hint="eastAsia" w:eastAsia="宋体"/>
          <w:snapToGrid/>
          <w:color w:val="auto"/>
          <w:kern w:val="2"/>
          <w:sz w:val="21"/>
          <w:szCs w:val="21"/>
          <w:highlight w:val="none"/>
          <w:u w:val="none"/>
          <w:shd w:val="clear" w:fill="auto"/>
          <w:lang w:val="en-US" w:eastAsia="zh-CN"/>
        </w:rPr>
        <w:t>水动力重构</w:t>
      </w:r>
      <w:r>
        <w:rPr>
          <w:rFonts w:hint="default" w:eastAsia="宋体"/>
          <w:snapToGrid/>
          <w:color w:val="auto"/>
          <w:kern w:val="2"/>
          <w:sz w:val="21"/>
          <w:szCs w:val="21"/>
          <w:highlight w:val="none"/>
          <w:u w:val="none"/>
          <w:shd w:val="clear" w:fill="auto"/>
        </w:rPr>
        <w:t>对防洪与水质改善的协同作用；龚李莉等</w:t>
      </w:r>
      <w:r>
        <w:rPr>
          <w:rFonts w:hint="default" w:ascii="Times New Roman" w:hAnsi="Times New Roman" w:eastAsia="Times New Roman"/>
          <w:color w:val="auto"/>
          <w:sz w:val="21"/>
          <w:szCs w:val="21"/>
          <w:highlight w:val="none"/>
          <w:u w:val="none"/>
          <w:shd w:val="clear" w:fill="auto"/>
          <w:vertAlign w:val="superscript"/>
        </w:rPr>
        <w:t>[1</w:t>
      </w:r>
      <w:r>
        <w:rPr>
          <w:rFonts w:hint="eastAsia" w:eastAsia="宋体"/>
          <w:color w:val="auto"/>
          <w:sz w:val="21"/>
          <w:szCs w:val="21"/>
          <w:highlight w:val="none"/>
          <w:u w:val="none"/>
          <w:shd w:val="clear" w:fill="auto"/>
          <w:vertAlign w:val="superscript"/>
          <w:lang w:val="en-US" w:eastAsia="zh-CN"/>
        </w:rPr>
        <w:t>0</w:t>
      </w:r>
      <w:r>
        <w:rPr>
          <w:rFonts w:hint="default" w:ascii="Times New Roman" w:hAnsi="Times New Roman" w:eastAsia="Times New Roman"/>
          <w:color w:val="auto"/>
          <w:sz w:val="21"/>
          <w:szCs w:val="21"/>
          <w:highlight w:val="none"/>
          <w:u w:val="none"/>
          <w:shd w:val="clear" w:fill="auto"/>
          <w:vertAlign w:val="superscript"/>
        </w:rPr>
        <w:t>]</w:t>
      </w:r>
      <w:r>
        <w:rPr>
          <w:rFonts w:hint="default" w:eastAsia="宋体"/>
          <w:snapToGrid/>
          <w:color w:val="auto"/>
          <w:kern w:val="2"/>
          <w:sz w:val="21"/>
          <w:szCs w:val="21"/>
          <w:highlight w:val="none"/>
          <w:u w:val="none"/>
          <w:shd w:val="clear" w:fill="auto"/>
        </w:rPr>
        <w:t>以新沟河工程为例评估了应急调水对区域</w:t>
      </w:r>
      <w:r>
        <w:rPr>
          <w:rFonts w:hint="eastAsia" w:eastAsia="宋体"/>
          <w:snapToGrid/>
          <w:color w:val="auto"/>
          <w:kern w:val="2"/>
          <w:sz w:val="21"/>
          <w:szCs w:val="21"/>
          <w:highlight w:val="none"/>
          <w:u w:val="none"/>
          <w:shd w:val="clear" w:fill="auto"/>
          <w:lang w:val="en-US" w:eastAsia="zh-CN"/>
        </w:rPr>
        <w:t>水动力和</w:t>
      </w:r>
      <w:r>
        <w:rPr>
          <w:rFonts w:hint="default" w:eastAsia="宋体"/>
          <w:snapToGrid/>
          <w:color w:val="auto"/>
          <w:kern w:val="2"/>
          <w:sz w:val="21"/>
          <w:szCs w:val="21"/>
          <w:highlight w:val="none"/>
          <w:u w:val="none"/>
          <w:shd w:val="clear" w:fill="auto"/>
        </w:rPr>
        <w:t>水环境的改善效果。</w:t>
      </w:r>
      <w:r>
        <w:rPr>
          <w:rFonts w:hint="eastAsia" w:eastAsia="宋体"/>
          <w:snapToGrid/>
          <w:color w:val="auto"/>
          <w:kern w:val="2"/>
          <w:sz w:val="21"/>
          <w:szCs w:val="21"/>
          <w:highlight w:val="none"/>
          <w:u w:val="none"/>
          <w:shd w:val="clear" w:fill="auto"/>
          <w:lang w:eastAsia="zh-CN"/>
        </w:rPr>
        <w:t>总体来看，已有研究较多从水位、流量、流速、水体交换能力或水质浓度变化等角度评价工程调度</w:t>
      </w:r>
      <w:r>
        <w:rPr>
          <w:rFonts w:hint="eastAsia" w:eastAsia="宋体"/>
          <w:snapToGrid/>
          <w:color w:val="auto"/>
          <w:kern w:val="2"/>
          <w:sz w:val="21"/>
          <w:szCs w:val="21"/>
          <w:highlight w:val="none"/>
          <w:u w:val="none"/>
          <w:shd w:val="clear" w:fill="auto"/>
          <w:lang w:val="en-US" w:eastAsia="zh-CN"/>
        </w:rPr>
        <w:t>与水动力重构</w:t>
      </w:r>
      <w:r>
        <w:rPr>
          <w:rFonts w:hint="eastAsia" w:eastAsia="宋体"/>
          <w:snapToGrid/>
          <w:color w:val="auto"/>
          <w:kern w:val="2"/>
          <w:sz w:val="21"/>
          <w:szCs w:val="21"/>
          <w:highlight w:val="none"/>
          <w:u w:val="none"/>
          <w:shd w:val="clear" w:fill="auto"/>
          <w:lang w:eastAsia="zh-CN"/>
        </w:rPr>
        <w:t>效果，但对工程调度究竟通过何种动力要素重构河网、不同河段</w:t>
      </w:r>
      <w:r>
        <w:rPr>
          <w:rFonts w:hint="eastAsia" w:eastAsia="宋体"/>
          <w:snapToGrid/>
          <w:color w:val="auto"/>
          <w:kern w:val="2"/>
          <w:sz w:val="21"/>
          <w:szCs w:val="21"/>
          <w:highlight w:val="none"/>
          <w:u w:val="none"/>
          <w:shd w:val="clear" w:fill="auto"/>
          <w:lang w:val="en-US" w:eastAsia="zh-CN"/>
        </w:rPr>
        <w:t>动力</w:t>
      </w:r>
      <w:r>
        <w:rPr>
          <w:rFonts w:hint="eastAsia" w:eastAsia="宋体"/>
          <w:snapToGrid/>
          <w:color w:val="auto"/>
          <w:kern w:val="2"/>
          <w:sz w:val="21"/>
          <w:szCs w:val="21"/>
          <w:highlight w:val="none"/>
          <w:u w:val="none"/>
          <w:shd w:val="clear" w:fill="auto"/>
          <w:lang w:eastAsia="zh-CN"/>
        </w:rPr>
        <w:t>如何传递及衰减，仍缺少进一步的定量表征</w:t>
      </w:r>
      <w:r>
        <w:rPr>
          <w:rFonts w:hint="eastAsia" w:eastAsia="宋体" w:cs="Times New Roman"/>
          <w:snapToGrid/>
          <w:color w:val="auto"/>
          <w:spacing w:val="0"/>
          <w:w w:val="100"/>
          <w:kern w:val="2"/>
          <w:position w:val="0"/>
          <w:sz w:val="21"/>
          <w:szCs w:val="21"/>
          <w:highlight w:val="none"/>
          <w:u w:val="none"/>
          <w:shd w:val="clear" w:fill="auto"/>
          <w:lang w:val="en-US" w:eastAsia="zh-CN"/>
        </w:rPr>
        <w:t>。</w:t>
      </w:r>
    </w:p>
    <w:p w14:paraId="17A1D81D">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能量视角</w:t>
      </w:r>
      <w:r>
        <w:rPr>
          <w:rFonts w:hint="eastAsia" w:eastAsia="宋体" w:cs="Times New Roman"/>
          <w:snapToGrid/>
          <w:color w:val="auto"/>
          <w:spacing w:val="0"/>
          <w:w w:val="100"/>
          <w:kern w:val="2"/>
          <w:position w:val="0"/>
          <w:sz w:val="21"/>
          <w:szCs w:val="21"/>
          <w:highlight w:val="none"/>
          <w:u w:val="none"/>
          <w:shd w:val="clear" w:fill="auto"/>
          <w:lang w:val="en-US" w:eastAsia="zh-CN"/>
        </w:rPr>
        <w:t>的引入</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为解释</w:t>
      </w:r>
      <w:r>
        <w:rPr>
          <w:rFonts w:hint="eastAsia" w:eastAsia="宋体" w:cs="Times New Roman"/>
          <w:snapToGrid/>
          <w:color w:val="auto"/>
          <w:spacing w:val="0"/>
          <w:w w:val="100"/>
          <w:kern w:val="2"/>
          <w:position w:val="0"/>
          <w:sz w:val="21"/>
          <w:szCs w:val="21"/>
          <w:highlight w:val="none"/>
          <w:u w:val="none"/>
          <w:shd w:val="clear" w:fill="auto"/>
          <w:lang w:val="en-US" w:eastAsia="zh-CN"/>
        </w:rPr>
        <w:t>平原</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河网动力</w:t>
      </w:r>
      <w:r>
        <w:rPr>
          <w:rFonts w:hint="eastAsia" w:eastAsia="宋体" w:cs="Times New Roman"/>
          <w:snapToGrid/>
          <w:color w:val="auto"/>
          <w:spacing w:val="0"/>
          <w:w w:val="100"/>
          <w:kern w:val="2"/>
          <w:position w:val="0"/>
          <w:sz w:val="21"/>
          <w:szCs w:val="21"/>
          <w:highlight w:val="none"/>
          <w:u w:val="none"/>
          <w:shd w:val="clear" w:fill="auto"/>
          <w:lang w:val="en-US" w:eastAsia="zh-CN"/>
        </w:rPr>
        <w:t>重构</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过程提供了新的思路。</w:t>
      </w:r>
      <w:r>
        <w:rPr>
          <w:rFonts w:hint="eastAsia" w:eastAsia="宋体" w:cs="Times New Roman"/>
          <w:snapToGrid/>
          <w:color w:val="auto"/>
          <w:spacing w:val="0"/>
          <w:w w:val="100"/>
          <w:kern w:val="2"/>
          <w:position w:val="0"/>
          <w:sz w:val="21"/>
          <w:szCs w:val="21"/>
          <w:highlight w:val="none"/>
          <w:u w:val="none"/>
          <w:shd w:val="clear" w:fill="auto"/>
          <w:lang w:val="en-US" w:eastAsia="zh-CN"/>
        </w:rPr>
        <w:t>能量的传播与耗散在河口海洋地区的研究相对较多</w:t>
      </w:r>
      <w:r>
        <w:rPr>
          <w:rFonts w:hint="default" w:ascii="Times New Roman" w:hAnsi="Times New Roman" w:eastAsia="Times New Roman"/>
          <w:color w:val="auto"/>
          <w:sz w:val="21"/>
          <w:szCs w:val="21"/>
          <w:highlight w:val="none"/>
          <w:u w:val="none"/>
          <w:shd w:val="clear" w:fill="auto"/>
          <w:vertAlign w:val="superscript"/>
        </w:rPr>
        <w:t>[1</w:t>
      </w:r>
      <w:r>
        <w:rPr>
          <w:rFonts w:hint="eastAsia" w:eastAsia="宋体"/>
          <w:color w:val="auto"/>
          <w:sz w:val="21"/>
          <w:szCs w:val="21"/>
          <w:highlight w:val="none"/>
          <w:u w:val="none"/>
          <w:shd w:val="clear" w:fill="auto"/>
          <w:vertAlign w:val="superscript"/>
          <w:lang w:val="en-US" w:eastAsia="zh-CN"/>
        </w:rPr>
        <w:t>1</w:t>
      </w:r>
      <w:r>
        <w:rPr>
          <w:rFonts w:hint="default" w:ascii="Times New Roman" w:hAnsi="Times New Roman" w:eastAsia="Times New Roman"/>
          <w:color w:val="auto"/>
          <w:sz w:val="21"/>
          <w:szCs w:val="21"/>
          <w:highlight w:val="none"/>
          <w:u w:val="none"/>
          <w:shd w:val="clear" w:fill="auto"/>
          <w:vertAlign w:val="superscript"/>
        </w:rPr>
        <w:t>-1</w:t>
      </w:r>
      <w:r>
        <w:rPr>
          <w:rFonts w:hint="eastAsia" w:eastAsia="宋体"/>
          <w:color w:val="auto"/>
          <w:sz w:val="21"/>
          <w:szCs w:val="21"/>
          <w:highlight w:val="none"/>
          <w:u w:val="none"/>
          <w:shd w:val="clear" w:fill="auto"/>
          <w:vertAlign w:val="superscript"/>
          <w:lang w:val="en-US" w:eastAsia="zh-CN"/>
        </w:rPr>
        <w:t>3</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cs="Times New Roman"/>
          <w:snapToGrid/>
          <w:color w:val="auto"/>
          <w:spacing w:val="0"/>
          <w:w w:val="100"/>
          <w:kern w:val="2"/>
          <w:position w:val="0"/>
          <w:sz w:val="21"/>
          <w:szCs w:val="21"/>
          <w:highlight w:val="none"/>
          <w:u w:val="none"/>
          <w:shd w:val="clear" w:fill="auto"/>
          <w:lang w:val="en-US" w:eastAsia="zh-CN"/>
        </w:rPr>
        <w:t>。例如，刘欢等</w:t>
      </w:r>
      <w:r>
        <w:rPr>
          <w:rFonts w:hint="default" w:ascii="Times New Roman" w:hAnsi="Times New Roman" w:eastAsia="Times New Roman"/>
          <w:color w:val="auto"/>
          <w:sz w:val="21"/>
          <w:szCs w:val="21"/>
          <w:highlight w:val="none"/>
          <w:u w:val="none"/>
          <w:shd w:val="clear" w:fill="auto"/>
          <w:vertAlign w:val="superscript"/>
        </w:rPr>
        <w:t>[1</w:t>
      </w:r>
      <w:r>
        <w:rPr>
          <w:rFonts w:hint="eastAsia" w:eastAsia="宋体"/>
          <w:color w:val="auto"/>
          <w:sz w:val="21"/>
          <w:szCs w:val="21"/>
          <w:highlight w:val="none"/>
          <w:u w:val="none"/>
          <w:shd w:val="clear" w:fill="auto"/>
          <w:vertAlign w:val="superscript"/>
          <w:lang w:val="en-US" w:eastAsia="zh-CN"/>
        </w:rPr>
        <w:t>3</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cs="Times New Roman"/>
          <w:snapToGrid/>
          <w:color w:val="auto"/>
          <w:spacing w:val="0"/>
          <w:w w:val="100"/>
          <w:kern w:val="2"/>
          <w:position w:val="0"/>
          <w:sz w:val="21"/>
          <w:szCs w:val="21"/>
          <w:highlight w:val="none"/>
          <w:u w:val="none"/>
          <w:shd w:val="clear" w:fill="auto"/>
          <w:lang w:val="en-US" w:eastAsia="zh-CN"/>
        </w:rPr>
        <w:t>计算了珠江河口的能量传播和能量耗散特征，表明河口的能量场（水面升降所产生的势能和水体流动所具有的动能）和动力场（水位和流速）实质上是同一个过程的不同方面和表述。</w:t>
      </w:r>
      <w:r>
        <w:rPr>
          <w:rFonts w:hint="eastAsia" w:eastAsia="宋体"/>
          <w:snapToGrid/>
          <w:color w:val="auto"/>
          <w:kern w:val="2"/>
          <w:sz w:val="21"/>
          <w:szCs w:val="21"/>
          <w:highlight w:val="none"/>
          <w:u w:val="none"/>
          <w:shd w:val="clear" w:fill="auto"/>
          <w:lang w:val="en-US" w:eastAsia="zh-CN"/>
        </w:rPr>
        <w:t>近年来</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w:t>
      </w:r>
      <w:r>
        <w:rPr>
          <w:rFonts w:hint="eastAsia" w:eastAsia="宋体" w:cs="Times New Roman"/>
          <w:snapToGrid/>
          <w:color w:val="auto"/>
          <w:spacing w:val="0"/>
          <w:w w:val="100"/>
          <w:kern w:val="2"/>
          <w:position w:val="0"/>
          <w:sz w:val="21"/>
          <w:szCs w:val="21"/>
          <w:highlight w:val="none"/>
          <w:u w:val="none"/>
          <w:shd w:val="clear" w:fill="auto"/>
          <w:lang w:val="en-US" w:eastAsia="zh-CN"/>
        </w:rPr>
        <w:t>也有学者针对平原河网地区进行了相关探索。田雪琪等</w:t>
      </w:r>
      <w:r>
        <w:rPr>
          <w:rFonts w:hint="default" w:ascii="Times New Roman" w:hAnsi="Times New Roman" w:eastAsia="Times New Roman"/>
          <w:color w:val="auto"/>
          <w:sz w:val="21"/>
          <w:szCs w:val="21"/>
          <w:highlight w:val="none"/>
          <w:u w:val="none"/>
          <w:shd w:val="clear" w:fill="auto"/>
          <w:vertAlign w:val="superscript"/>
        </w:rPr>
        <w:t>[1</w:t>
      </w:r>
      <w:r>
        <w:rPr>
          <w:rFonts w:hint="eastAsia" w:eastAsia="宋体"/>
          <w:color w:val="auto"/>
          <w:sz w:val="21"/>
          <w:szCs w:val="21"/>
          <w:highlight w:val="none"/>
          <w:u w:val="none"/>
          <w:shd w:val="clear" w:fill="auto"/>
          <w:vertAlign w:val="superscript"/>
          <w:lang w:val="en-US" w:eastAsia="zh-CN"/>
        </w:rPr>
        <w:t>4</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snapToGrid/>
          <w:color w:val="auto"/>
          <w:kern w:val="2"/>
          <w:sz w:val="21"/>
          <w:szCs w:val="21"/>
          <w:highlight w:val="none"/>
          <w:u w:val="none"/>
          <w:shd w:val="clear" w:fill="auto"/>
          <w:lang w:eastAsia="zh-CN"/>
        </w:rPr>
        <w:t>以无锡滨湖河网为例，基于MIKE21二维水动力-水质模型和能量积分</w:t>
      </w:r>
      <w:r>
        <w:rPr>
          <w:rFonts w:hint="eastAsia" w:eastAsia="宋体"/>
          <w:snapToGrid/>
          <w:color w:val="auto"/>
          <w:kern w:val="2"/>
          <w:sz w:val="21"/>
          <w:szCs w:val="21"/>
          <w:highlight w:val="none"/>
          <w:u w:val="none"/>
          <w:shd w:val="clear" w:fill="auto"/>
          <w:lang w:val="en-US" w:eastAsia="zh-CN"/>
        </w:rPr>
        <w:t>算法</w:t>
      </w:r>
      <w:r>
        <w:rPr>
          <w:rFonts w:hint="eastAsia" w:eastAsia="宋体"/>
          <w:snapToGrid/>
          <w:color w:val="auto"/>
          <w:kern w:val="2"/>
          <w:sz w:val="21"/>
          <w:szCs w:val="21"/>
          <w:highlight w:val="none"/>
          <w:u w:val="none"/>
          <w:shd w:val="clear" w:fill="auto"/>
          <w:lang w:eastAsia="zh-CN"/>
        </w:rPr>
        <w:t>，分析了河网能量时空演变、水质参数与能量之间的关系，结果表明河流动能与营养盐浓度、Chl-a浓度呈显著负相关，并进一步提出了基于能量目标的最佳调水流量区间。</w:t>
      </w:r>
      <w:r>
        <w:rPr>
          <w:rFonts w:hint="eastAsia" w:eastAsia="宋体" w:cs="Times New Roman"/>
          <w:snapToGrid/>
          <w:color w:val="auto"/>
          <w:spacing w:val="0"/>
          <w:w w:val="100"/>
          <w:kern w:val="2"/>
          <w:position w:val="0"/>
          <w:sz w:val="21"/>
          <w:szCs w:val="21"/>
          <w:highlight w:val="none"/>
          <w:u w:val="none"/>
          <w:shd w:val="clear" w:fill="auto"/>
          <w:lang w:val="en-US" w:eastAsia="zh-CN"/>
        </w:rPr>
        <w:t>YUAN等</w:t>
      </w:r>
      <w:r>
        <w:rPr>
          <w:rFonts w:hint="default" w:ascii="Times New Roman" w:hAnsi="Times New Roman" w:eastAsia="Times New Roman"/>
          <w:color w:val="auto"/>
          <w:sz w:val="21"/>
          <w:szCs w:val="21"/>
          <w:highlight w:val="none"/>
          <w:u w:val="none"/>
          <w:shd w:val="clear" w:fill="auto"/>
          <w:vertAlign w:val="superscript"/>
        </w:rPr>
        <w:t>[1</w:t>
      </w:r>
      <w:r>
        <w:rPr>
          <w:rFonts w:hint="eastAsia" w:eastAsia="宋体"/>
          <w:color w:val="auto"/>
          <w:sz w:val="21"/>
          <w:szCs w:val="21"/>
          <w:highlight w:val="none"/>
          <w:u w:val="none"/>
          <w:shd w:val="clear" w:fill="auto"/>
          <w:vertAlign w:val="superscript"/>
          <w:lang w:val="en-US" w:eastAsia="zh-CN"/>
        </w:rPr>
        <w:t>5</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cs="Times New Roman"/>
          <w:snapToGrid/>
          <w:color w:val="auto"/>
          <w:spacing w:val="0"/>
          <w:w w:val="100"/>
          <w:kern w:val="2"/>
          <w:position w:val="0"/>
          <w:sz w:val="21"/>
          <w:szCs w:val="21"/>
          <w:highlight w:val="none"/>
          <w:u w:val="none"/>
          <w:shd w:val="clear" w:fill="auto"/>
          <w:lang w:val="en-US" w:eastAsia="zh-CN"/>
        </w:rPr>
        <w:t>提出了基于“能量流率”的河网水动力线性方程组，其定义为流量（流率）与动能水头的乘积，用于量化河网中存储和传输的动能，从而实现了恒定流条件下的快速计算。</w:t>
      </w:r>
      <w:r>
        <w:rPr>
          <w:rFonts w:hint="eastAsia" w:eastAsia="宋体"/>
          <w:snapToGrid/>
          <w:color w:val="auto"/>
          <w:kern w:val="2"/>
          <w:sz w:val="21"/>
          <w:szCs w:val="21"/>
          <w:highlight w:val="none"/>
          <w:u w:val="none"/>
          <w:shd w:val="clear" w:fill="auto"/>
          <w:lang w:eastAsia="zh-CN"/>
        </w:rPr>
        <w:t>上述研究表明，能量指标能够将流量规模、水头条件和水动力强度统一到同一框架中</w:t>
      </w:r>
      <w:r>
        <w:rPr>
          <w:rFonts w:hint="eastAsia" w:eastAsia="宋体"/>
          <w:snapToGrid/>
          <w:color w:val="auto"/>
          <w:kern w:val="2"/>
          <w:sz w:val="21"/>
          <w:szCs w:val="21"/>
          <w:highlight w:val="none"/>
          <w:u w:val="none"/>
          <w:shd w:val="clear" w:fill="auto"/>
          <w:lang w:val="en-US" w:eastAsia="zh-CN"/>
        </w:rPr>
        <w:t>开展</w:t>
      </w:r>
      <w:r>
        <w:rPr>
          <w:rFonts w:hint="eastAsia" w:eastAsia="宋体"/>
          <w:snapToGrid/>
          <w:color w:val="auto"/>
          <w:kern w:val="2"/>
          <w:sz w:val="21"/>
          <w:szCs w:val="21"/>
          <w:highlight w:val="none"/>
          <w:u w:val="none"/>
          <w:shd w:val="clear" w:fill="auto"/>
          <w:lang w:eastAsia="zh-CN"/>
        </w:rPr>
        <w:t>分析，为识别平原河网动力重构过程提供了</w:t>
      </w:r>
      <w:r>
        <w:rPr>
          <w:rFonts w:hint="eastAsia" w:eastAsia="宋体"/>
          <w:snapToGrid/>
          <w:color w:val="auto"/>
          <w:kern w:val="2"/>
          <w:sz w:val="21"/>
          <w:szCs w:val="21"/>
          <w:highlight w:val="none"/>
          <w:u w:val="none"/>
          <w:shd w:val="clear" w:fill="auto"/>
          <w:lang w:val="en-US" w:eastAsia="zh-CN"/>
        </w:rPr>
        <w:t>更有效的手段</w:t>
      </w:r>
      <w:r>
        <w:rPr>
          <w:rFonts w:hint="eastAsia" w:eastAsia="宋体"/>
          <w:snapToGrid/>
          <w:color w:val="auto"/>
          <w:kern w:val="2"/>
          <w:sz w:val="21"/>
          <w:szCs w:val="21"/>
          <w:highlight w:val="none"/>
          <w:u w:val="none"/>
          <w:shd w:val="clear" w:fill="auto"/>
          <w:lang w:eastAsia="zh-CN"/>
        </w:rPr>
        <w:t>。然而，现有能量分析研究多侧重于河网整体能量水平、能量时空分布或能量与水质指标之间的统计关系，对多闸泵联合调度条件下新增动力由骨干引排通道向湖区口门、城区内部弱动力河网传递的路径、效率及衰减规律关注不足。</w:t>
      </w:r>
    </w:p>
    <w:p w14:paraId="07B21158">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eastAsia="宋体" w:cs="Times New Roman"/>
          <w:snapToGrid/>
          <w:color w:val="auto"/>
          <w:spacing w:val="0"/>
          <w:w w:val="100"/>
          <w:kern w:val="2"/>
          <w:position w:val="0"/>
          <w:sz w:val="21"/>
          <w:szCs w:val="21"/>
          <w:highlight w:val="none"/>
          <w:u w:val="none"/>
          <w:shd w:val="clear" w:fill="auto"/>
          <w:lang w:val="en-US" w:eastAsia="zh-CN"/>
        </w:rPr>
      </w:pPr>
      <w:r>
        <w:rPr>
          <w:rFonts w:hint="eastAsia" w:eastAsia="宋体" w:cs="Times New Roman"/>
          <w:snapToGrid/>
          <w:color w:val="auto"/>
          <w:spacing w:val="0"/>
          <w:w w:val="100"/>
          <w:kern w:val="2"/>
          <w:position w:val="0"/>
          <w:sz w:val="21"/>
          <w:szCs w:val="21"/>
          <w:highlight w:val="none"/>
          <w:u w:val="none"/>
          <w:shd w:val="clear" w:fill="auto"/>
          <w:lang w:val="en-US" w:eastAsia="zh-CN"/>
        </w:rPr>
        <w:t>在平原河网多闸泵联合调度条件下，工程运行会同时改变水位差、流量分配和污染物输移过程，水动力改善与水质响应之间并非简单线性关系</w:t>
      </w:r>
      <w:r>
        <w:rPr>
          <w:rFonts w:hint="default" w:ascii="Times New Roman" w:hAnsi="Times New Roman" w:eastAsia="Times New Roman"/>
          <w:color w:val="auto"/>
          <w:sz w:val="21"/>
          <w:szCs w:val="21"/>
          <w:highlight w:val="none"/>
          <w:u w:val="none"/>
          <w:shd w:val="clear" w:fill="auto"/>
          <w:vertAlign w:val="superscript"/>
        </w:rPr>
        <w:t>[1</w:t>
      </w:r>
      <w:r>
        <w:rPr>
          <w:rFonts w:hint="eastAsia" w:eastAsia="宋体"/>
          <w:color w:val="auto"/>
          <w:sz w:val="21"/>
          <w:szCs w:val="21"/>
          <w:highlight w:val="none"/>
          <w:u w:val="none"/>
          <w:shd w:val="clear" w:fill="auto"/>
          <w:vertAlign w:val="superscript"/>
          <w:lang w:val="en-US" w:eastAsia="zh-CN"/>
        </w:rPr>
        <w:t>6</w:t>
      </w:r>
      <w:r>
        <w:rPr>
          <w:rFonts w:hint="eastAsia" w:eastAsia="宋体"/>
          <w:color w:val="auto"/>
          <w:sz w:val="21"/>
          <w:szCs w:val="21"/>
          <w:highlight w:val="none"/>
          <w:u w:val="none"/>
          <w:shd w:val="clear" w:fill="auto"/>
          <w:vertAlign w:val="superscript"/>
          <w:lang w:eastAsia="zh-CN"/>
        </w:rPr>
        <w:t>-</w:t>
      </w:r>
      <w:r>
        <w:rPr>
          <w:rFonts w:hint="default" w:ascii="Times New Roman" w:hAnsi="Times New Roman" w:eastAsia="Times New Roman"/>
          <w:color w:val="auto"/>
          <w:sz w:val="21"/>
          <w:szCs w:val="21"/>
          <w:highlight w:val="none"/>
          <w:u w:val="none"/>
          <w:shd w:val="clear" w:fill="auto"/>
          <w:vertAlign w:val="superscript"/>
        </w:rPr>
        <w:t>18]</w:t>
      </w:r>
      <w:r>
        <w:rPr>
          <w:rFonts w:hint="eastAsia" w:eastAsia="宋体" w:cs="Times New Roman"/>
          <w:snapToGrid/>
          <w:color w:val="auto"/>
          <w:spacing w:val="0"/>
          <w:w w:val="100"/>
          <w:kern w:val="2"/>
          <w:position w:val="0"/>
          <w:sz w:val="21"/>
          <w:szCs w:val="21"/>
          <w:highlight w:val="none"/>
          <w:u w:val="none"/>
          <w:shd w:val="clear" w:fill="auto"/>
          <w:lang w:val="en-US" w:eastAsia="zh-CN"/>
        </w:rPr>
        <w:t>，从能量角度进一步分析工程调度过程，有望为骨干引排工程效益识别提供新的判断依据。以</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新孟河延伸拓浚工程</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以下简称新孟河工程</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eastAsia="zh-CN"/>
        </w:rPr>
        <w:t>）</w:t>
      </w:r>
      <w:r>
        <w:rPr>
          <w:rFonts w:hint="eastAsia" w:eastAsia="宋体" w:cs="Times New Roman"/>
          <w:snapToGrid/>
          <w:color w:val="auto"/>
          <w:spacing w:val="0"/>
          <w:w w:val="100"/>
          <w:kern w:val="2"/>
          <w:position w:val="0"/>
          <w:sz w:val="21"/>
          <w:szCs w:val="21"/>
          <w:highlight w:val="none"/>
          <w:u w:val="none"/>
          <w:shd w:val="clear" w:fill="auto"/>
          <w:lang w:val="en-US" w:eastAsia="zh-CN"/>
        </w:rPr>
        <w:t>为例，</w:t>
      </w:r>
      <w:r>
        <w:rPr>
          <w:rFonts w:hint="eastAsia" w:eastAsia="宋体" w:cs="Times New Roman"/>
          <w:snapToGrid/>
          <w:color w:val="auto"/>
          <w:spacing w:val="0"/>
          <w:w w:val="100"/>
          <w:kern w:val="2"/>
          <w:position w:val="0"/>
          <w:sz w:val="21"/>
          <w:szCs w:val="21"/>
          <w:highlight w:val="none"/>
          <w:u w:val="none"/>
          <w:shd w:val="clear" w:fill="auto"/>
          <w:lang w:eastAsia="zh-CN"/>
        </w:rPr>
        <w:t>该</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工程是构建“引江济太”清水走廊的关键通道，承担着向西北部湖区引入长江优质水源的核心功能</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eastAsia="zh-CN"/>
        </w:rPr>
        <w:t>，</w:t>
      </w:r>
      <w:r>
        <w:rPr>
          <w:rFonts w:hint="eastAsia" w:eastAsia="宋体" w:cs="Times New Roman"/>
          <w:snapToGrid/>
          <w:color w:val="auto"/>
          <w:spacing w:val="0"/>
          <w:w w:val="100"/>
          <w:kern w:val="2"/>
          <w:position w:val="0"/>
          <w:sz w:val="21"/>
          <w:szCs w:val="21"/>
          <w:highlight w:val="none"/>
          <w:u w:val="none"/>
          <w:shd w:val="clear" w:fill="auto"/>
          <w:lang w:val="en-US" w:eastAsia="zh-CN"/>
        </w:rPr>
        <w:t>改善区域内水体交换能力相对较弱、污染物易积聚等状况</w:t>
      </w:r>
      <w:r>
        <w:rPr>
          <w:rFonts w:hint="default" w:ascii="Times New Roman" w:hAnsi="Times New Roman" w:eastAsia="Times New Roman"/>
          <w:color w:val="auto"/>
          <w:sz w:val="21"/>
          <w:szCs w:val="21"/>
          <w:highlight w:val="none"/>
          <w:u w:val="none"/>
          <w:shd w:val="clear" w:fill="auto"/>
          <w:vertAlign w:val="superscript"/>
        </w:rPr>
        <w:t>[19]</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是太湖流域引排新格局中的重要工程之一</w:t>
      </w:r>
      <w:r>
        <w:rPr>
          <w:rFonts w:hint="default" w:ascii="Times New Roman" w:hAnsi="Times New Roman" w:eastAsia="Times New Roman"/>
          <w:color w:val="auto"/>
          <w:sz w:val="21"/>
          <w:szCs w:val="21"/>
          <w:highlight w:val="none"/>
          <w:u w:val="none"/>
          <w:shd w:val="clear" w:fill="auto"/>
          <w:vertAlign w:val="superscript"/>
        </w:rPr>
        <w:t>[20]</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eastAsia" w:eastAsia="宋体" w:cs="Times New Roman"/>
          <w:snapToGrid/>
          <w:color w:val="auto"/>
          <w:spacing w:val="0"/>
          <w:w w:val="100"/>
          <w:kern w:val="2"/>
          <w:position w:val="0"/>
          <w:sz w:val="21"/>
          <w:szCs w:val="21"/>
          <w:highlight w:val="none"/>
          <w:u w:val="none"/>
          <w:shd w:val="clear" w:fill="auto"/>
          <w:lang w:val="en-US" w:eastAsia="zh-CN"/>
        </w:rPr>
        <w:t>然而，</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新孟河工程建成后，仅在</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2022</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年</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10</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12</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月和</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2024</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年</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1</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月两次引水进入京杭运河以南地区，实测资料较为匮乏，工程在防洪排涝、引调水等方面的</w:t>
      </w:r>
      <w:r>
        <w:rPr>
          <w:rFonts w:hint="eastAsia" w:eastAsia="宋体" w:cs="Times New Roman"/>
          <w:snapToGrid/>
          <w:color w:val="auto"/>
          <w:spacing w:val="0"/>
          <w:w w:val="100"/>
          <w:kern w:val="2"/>
          <w:position w:val="0"/>
          <w:sz w:val="21"/>
          <w:szCs w:val="21"/>
          <w:highlight w:val="none"/>
          <w:u w:val="none"/>
          <w:shd w:val="clear" w:fill="auto"/>
          <w:lang w:val="en-US" w:eastAsia="zh-CN"/>
        </w:rPr>
        <w:t>效果</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尚无</w:t>
      </w:r>
      <w:r>
        <w:rPr>
          <w:rFonts w:hint="eastAsia" w:eastAsia="宋体" w:cs="Times New Roman"/>
          <w:snapToGrid/>
          <w:color w:val="auto"/>
          <w:spacing w:val="0"/>
          <w:w w:val="100"/>
          <w:kern w:val="2"/>
          <w:position w:val="0"/>
          <w:sz w:val="21"/>
          <w:szCs w:val="21"/>
          <w:highlight w:val="none"/>
          <w:u w:val="none"/>
          <w:shd w:val="clear" w:fill="auto"/>
          <w:lang w:val="en-US" w:eastAsia="zh-CN"/>
        </w:rPr>
        <w:t>定论</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w:t>
      </w:r>
      <w:r>
        <w:rPr>
          <w:rFonts w:hint="eastAsia" w:eastAsia="宋体"/>
          <w:snapToGrid/>
          <w:color w:val="auto"/>
          <w:kern w:val="2"/>
          <w:sz w:val="21"/>
          <w:szCs w:val="21"/>
          <w:highlight w:val="none"/>
          <w:u w:val="none"/>
          <w:shd w:val="clear" w:fill="auto"/>
          <w:lang w:eastAsia="zh-CN"/>
        </w:rPr>
        <w:t>已有研究为认识新孟河工程效益提供了重要基础。</w:t>
      </w:r>
      <w:r>
        <w:rPr>
          <w:rFonts w:hint="eastAsia" w:eastAsia="宋体"/>
          <w:snapToGrid/>
          <w:color w:val="auto"/>
          <w:kern w:val="2"/>
          <w:sz w:val="21"/>
          <w:szCs w:val="21"/>
          <w:highlight w:val="none"/>
          <w:u w:val="none"/>
          <w:shd w:val="clear" w:fill="auto"/>
          <w:lang w:val="en-US" w:eastAsia="zh-CN"/>
        </w:rPr>
        <w:t>例如，</w:t>
      </w:r>
      <w:r>
        <w:rPr>
          <w:rFonts w:hint="eastAsia" w:eastAsia="宋体" w:cs="Times New Roman"/>
          <w:snapToGrid/>
          <w:color w:val="auto"/>
          <w:spacing w:val="0"/>
          <w:w w:val="100"/>
          <w:kern w:val="2"/>
          <w:position w:val="0"/>
          <w:sz w:val="21"/>
          <w:szCs w:val="21"/>
          <w:highlight w:val="none"/>
          <w:u w:val="none"/>
          <w:shd w:val="clear" w:fill="auto"/>
          <w:lang w:val="en-US" w:eastAsia="zh-CN"/>
        </w:rPr>
        <w:t>WU</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等</w:t>
      </w:r>
      <w:r>
        <w:rPr>
          <w:rFonts w:hint="default" w:ascii="Times New Roman" w:hAnsi="Times New Roman" w:eastAsia="Times New Roman"/>
          <w:color w:val="auto"/>
          <w:sz w:val="21"/>
          <w:szCs w:val="21"/>
          <w:highlight w:val="none"/>
          <w:u w:val="none"/>
          <w:shd w:val="clear" w:fill="auto"/>
          <w:vertAlign w:val="superscript"/>
        </w:rPr>
        <w:t>[2</w:t>
      </w:r>
      <w:r>
        <w:rPr>
          <w:rFonts w:hint="eastAsia" w:eastAsia="宋体"/>
          <w:color w:val="auto"/>
          <w:sz w:val="21"/>
          <w:szCs w:val="21"/>
          <w:highlight w:val="none"/>
          <w:u w:val="none"/>
          <w:shd w:val="clear" w:fill="auto"/>
          <w:vertAlign w:val="superscript"/>
          <w:lang w:val="en-US" w:eastAsia="zh-CN"/>
        </w:rPr>
        <w:t>1</w:t>
      </w:r>
      <w:r>
        <w:rPr>
          <w:rFonts w:hint="default" w:ascii="Times New Roman" w:hAnsi="Times New Roman" w:eastAsia="Times New Roman"/>
          <w:color w:val="auto"/>
          <w:sz w:val="21"/>
          <w:szCs w:val="21"/>
          <w:highlight w:val="none"/>
          <w:u w:val="none"/>
          <w:shd w:val="clear" w:fill="auto"/>
          <w:vertAlign w:val="superscript"/>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构建了新孟河干流沿线及湖区数值模型，发现</w:t>
      </w:r>
      <w:r>
        <w:rPr>
          <w:rFonts w:hint="eastAsia" w:eastAsia="宋体" w:cs="Times New Roman"/>
          <w:snapToGrid/>
          <w:color w:val="auto"/>
          <w:spacing w:val="0"/>
          <w:w w:val="100"/>
          <w:kern w:val="2"/>
          <w:position w:val="0"/>
          <w:sz w:val="21"/>
          <w:szCs w:val="21"/>
          <w:highlight w:val="none"/>
          <w:u w:val="none"/>
          <w:shd w:val="clear" w:fill="auto"/>
          <w:lang w:val="en-US" w:eastAsia="zh-CN"/>
        </w:rPr>
        <w:t>新孟河</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引水可使竺山湾总磷降低24%</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34%。</w:t>
      </w:r>
      <w:r>
        <w:rPr>
          <w:rFonts w:hint="eastAsia" w:eastAsia="宋体" w:cs="Times New Roman"/>
          <w:snapToGrid/>
          <w:color w:val="auto"/>
          <w:spacing w:val="0"/>
          <w:w w:val="100"/>
          <w:kern w:val="2"/>
          <w:position w:val="0"/>
          <w:sz w:val="21"/>
          <w:szCs w:val="21"/>
          <w:highlight w:val="none"/>
          <w:u w:val="none"/>
          <w:shd w:val="clear" w:fill="auto"/>
          <w:lang w:val="en-US" w:eastAsia="zh-CN"/>
        </w:rPr>
        <w:t>朱伟等</w:t>
      </w:r>
      <w:r>
        <w:rPr>
          <w:rFonts w:hint="default" w:ascii="Times New Roman" w:hAnsi="Times New Roman" w:eastAsia="Times New Roman"/>
          <w:color w:val="auto"/>
          <w:sz w:val="21"/>
          <w:szCs w:val="21"/>
          <w:highlight w:val="none"/>
          <w:u w:val="none"/>
          <w:shd w:val="clear" w:fill="auto"/>
          <w:vertAlign w:val="superscript"/>
        </w:rPr>
        <w:t>[2</w:t>
      </w:r>
      <w:r>
        <w:rPr>
          <w:rFonts w:hint="eastAsia" w:eastAsia="宋体"/>
          <w:color w:val="auto"/>
          <w:sz w:val="21"/>
          <w:szCs w:val="21"/>
          <w:highlight w:val="none"/>
          <w:u w:val="none"/>
          <w:shd w:val="clear" w:fill="auto"/>
          <w:vertAlign w:val="superscript"/>
          <w:lang w:val="en-US" w:eastAsia="zh-CN"/>
        </w:rPr>
        <w:t>2</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cs="Times New Roman"/>
          <w:snapToGrid/>
          <w:color w:val="auto"/>
          <w:spacing w:val="0"/>
          <w:w w:val="100"/>
          <w:kern w:val="2"/>
          <w:position w:val="0"/>
          <w:sz w:val="21"/>
          <w:szCs w:val="21"/>
          <w:highlight w:val="none"/>
          <w:u w:val="none"/>
          <w:shd w:val="clear" w:fill="auto"/>
          <w:lang w:val="en-US" w:eastAsia="zh-CN"/>
        </w:rPr>
        <w:t>的研究表明，若新孟河工程选择不当的出水路线，调水本身可能成为新的污染转移渠道。</w:t>
      </w:r>
      <w:r>
        <w:rPr>
          <w:rFonts w:hint="eastAsia" w:eastAsia="宋体"/>
          <w:snapToGrid/>
          <w:color w:val="auto"/>
          <w:kern w:val="2"/>
          <w:sz w:val="21"/>
          <w:szCs w:val="21"/>
          <w:highlight w:val="none"/>
          <w:u w:val="none"/>
          <w:shd w:val="clear" w:fill="auto"/>
          <w:lang w:eastAsia="zh-CN"/>
        </w:rPr>
        <w:t>但现有研究</w:t>
      </w:r>
      <w:r>
        <w:rPr>
          <w:rFonts w:hint="eastAsia" w:eastAsia="宋体"/>
          <w:snapToGrid/>
          <w:color w:val="auto"/>
          <w:kern w:val="2"/>
          <w:sz w:val="21"/>
          <w:szCs w:val="21"/>
          <w:highlight w:val="none"/>
          <w:u w:val="none"/>
          <w:shd w:val="clear" w:fill="auto"/>
          <w:lang w:val="en-US" w:eastAsia="zh-CN"/>
        </w:rPr>
        <w:t>仍多</w:t>
      </w:r>
      <w:r>
        <w:rPr>
          <w:rFonts w:hint="eastAsia" w:eastAsia="宋体"/>
          <w:snapToGrid/>
          <w:color w:val="auto"/>
          <w:kern w:val="2"/>
          <w:sz w:val="21"/>
          <w:szCs w:val="21"/>
          <w:highlight w:val="none"/>
          <w:u w:val="none"/>
          <w:shd w:val="clear" w:fill="auto"/>
          <w:lang w:eastAsia="zh-CN"/>
        </w:rPr>
        <w:t>侧重水量分配、水质浓度变化或</w:t>
      </w:r>
      <w:r>
        <w:rPr>
          <w:rFonts w:hint="eastAsia" w:eastAsia="宋体"/>
          <w:snapToGrid/>
          <w:color w:val="auto"/>
          <w:kern w:val="2"/>
          <w:sz w:val="21"/>
          <w:szCs w:val="21"/>
          <w:highlight w:val="none"/>
          <w:u w:val="none"/>
          <w:shd w:val="clear" w:fill="auto"/>
          <w:lang w:val="en-US" w:eastAsia="zh-CN"/>
        </w:rPr>
        <w:t>太湖</w:t>
      </w:r>
      <w:r>
        <w:rPr>
          <w:rFonts w:hint="eastAsia" w:eastAsia="宋体"/>
          <w:snapToGrid/>
          <w:color w:val="auto"/>
          <w:kern w:val="2"/>
          <w:sz w:val="21"/>
          <w:szCs w:val="21"/>
          <w:highlight w:val="none"/>
          <w:u w:val="none"/>
          <w:shd w:val="clear" w:fill="auto"/>
          <w:lang w:eastAsia="zh-CN"/>
        </w:rPr>
        <w:t>局部湖区响应，对多闸泵联合调度条件下区域河网动力重构格局，以及动力变化与水质响应之间的耦合关系仍缺少系统分析。</w:t>
      </w:r>
    </w:p>
    <w:p w14:paraId="1D96CEB4">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cs="Times New Roman"/>
          <w:snapToGrid/>
          <w:color w:val="auto"/>
          <w:spacing w:val="0"/>
          <w:w w:val="100"/>
          <w:kern w:val="2"/>
          <w:position w:val="0"/>
          <w:sz w:val="21"/>
          <w:szCs w:val="21"/>
          <w:highlight w:val="none"/>
          <w:u w:val="none"/>
          <w:shd w:val="clear" w:fill="auto"/>
        </w:rPr>
      </w:pPr>
      <w:r>
        <w:rPr>
          <w:rFonts w:hint="eastAsia" w:eastAsia="宋体" w:cs="Times New Roman"/>
          <w:snapToGrid/>
          <w:color w:val="auto"/>
          <w:spacing w:val="0"/>
          <w:w w:val="100"/>
          <w:kern w:val="2"/>
          <w:position w:val="0"/>
          <w:sz w:val="21"/>
          <w:szCs w:val="21"/>
          <w:highlight w:val="none"/>
          <w:u w:val="none"/>
          <w:shd w:val="clear" w:fill="auto"/>
          <w:lang w:val="en-US" w:eastAsia="zh-CN"/>
        </w:rPr>
        <w:t>基于此，</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本文</w:t>
      </w:r>
      <w:r>
        <w:rPr>
          <w:rFonts w:hint="eastAsia" w:eastAsia="宋体" w:cs="Times New Roman"/>
          <w:snapToGrid/>
          <w:color w:val="auto"/>
          <w:spacing w:val="0"/>
          <w:w w:val="100"/>
          <w:kern w:val="2"/>
          <w:position w:val="0"/>
          <w:sz w:val="21"/>
          <w:szCs w:val="21"/>
          <w:highlight w:val="none"/>
          <w:u w:val="none"/>
          <w:shd w:val="clear" w:fill="auto"/>
          <w:lang w:val="en-US" w:eastAsia="zh-CN"/>
        </w:rPr>
        <w:t>提出了</w:t>
      </w:r>
      <w:r>
        <w:rPr>
          <w:rFonts w:hint="eastAsia" w:eastAsia="宋体"/>
          <w:snapToGrid/>
          <w:color w:val="auto"/>
          <w:kern w:val="2"/>
          <w:sz w:val="21"/>
          <w:szCs w:val="21"/>
          <w:highlight w:val="none"/>
          <w:u w:val="none"/>
          <w:shd w:val="clear" w:fill="auto"/>
          <w:lang w:eastAsia="zh-CN"/>
        </w:rPr>
        <w:t>能够反映断面流量</w:t>
      </w:r>
      <w:r>
        <w:rPr>
          <w:rFonts w:hint="eastAsia" w:eastAsia="宋体"/>
          <w:snapToGrid/>
          <w:color w:val="auto"/>
          <w:kern w:val="2"/>
          <w:sz w:val="21"/>
          <w:szCs w:val="21"/>
          <w:highlight w:val="none"/>
          <w:u w:val="none"/>
          <w:shd w:val="clear" w:fill="auto"/>
          <w:lang w:val="en-US" w:eastAsia="zh-CN"/>
        </w:rPr>
        <w:t>和</w:t>
      </w:r>
      <w:r>
        <w:rPr>
          <w:rFonts w:hint="eastAsia" w:eastAsia="宋体"/>
          <w:snapToGrid/>
          <w:color w:val="auto"/>
          <w:kern w:val="2"/>
          <w:sz w:val="21"/>
          <w:szCs w:val="21"/>
          <w:highlight w:val="none"/>
          <w:u w:val="none"/>
          <w:shd w:val="clear" w:fill="auto"/>
          <w:lang w:eastAsia="zh-CN"/>
        </w:rPr>
        <w:t>有效水头差的功率通量指标，定义新增功率传递系数，</w:t>
      </w:r>
      <w:r>
        <w:rPr>
          <w:rFonts w:hint="eastAsia" w:eastAsia="宋体" w:cs="Times New Roman"/>
          <w:snapToGrid/>
          <w:color w:val="auto"/>
          <w:spacing w:val="0"/>
          <w:w w:val="100"/>
          <w:kern w:val="2"/>
          <w:position w:val="0"/>
          <w:sz w:val="21"/>
          <w:szCs w:val="21"/>
          <w:highlight w:val="none"/>
          <w:u w:val="none"/>
          <w:shd w:val="clear" w:fill="auto"/>
          <w:lang w:val="en-US" w:eastAsia="zh-CN"/>
        </w:rPr>
        <w:t>结合</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细化</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构建</w:t>
      </w:r>
      <w:r>
        <w:rPr>
          <w:rFonts w:hint="eastAsia" w:eastAsia="宋体" w:cs="Times New Roman"/>
          <w:snapToGrid/>
          <w:color w:val="auto"/>
          <w:spacing w:val="0"/>
          <w:w w:val="100"/>
          <w:kern w:val="2"/>
          <w:position w:val="0"/>
          <w:sz w:val="21"/>
          <w:szCs w:val="21"/>
          <w:highlight w:val="none"/>
          <w:u w:val="none"/>
          <w:shd w:val="clear" w:fill="auto"/>
          <w:lang w:val="en-US" w:eastAsia="zh-CN"/>
        </w:rPr>
        <w:t>的</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新孟河沿线区域数学模型，</w:t>
      </w:r>
      <w:r>
        <w:rPr>
          <w:rFonts w:hint="eastAsia" w:eastAsia="宋体" w:cs="Times New Roman"/>
          <w:snapToGrid/>
          <w:color w:val="auto"/>
          <w:spacing w:val="0"/>
          <w:w w:val="100"/>
          <w:kern w:val="2"/>
          <w:position w:val="0"/>
          <w:sz w:val="21"/>
          <w:szCs w:val="21"/>
          <w:highlight w:val="none"/>
          <w:u w:val="none"/>
          <w:shd w:val="clear" w:fill="auto"/>
          <w:lang w:val="en-US" w:eastAsia="zh-CN"/>
        </w:rPr>
        <w:t>定量</w:t>
      </w:r>
      <w:r>
        <w:rPr>
          <w:rFonts w:hint="default" w:eastAsia="宋体"/>
          <w:snapToGrid/>
          <w:color w:val="auto"/>
          <w:kern w:val="2"/>
          <w:sz w:val="21"/>
          <w:szCs w:val="21"/>
          <w:highlight w:val="none"/>
          <w:u w:val="none"/>
          <w:shd w:val="clear" w:fill="auto"/>
        </w:rPr>
        <w:t>分析新孟河工程多闸泵联合调度情景下河网</w:t>
      </w:r>
      <w:r>
        <w:rPr>
          <w:rFonts w:hint="eastAsia" w:eastAsia="宋体"/>
          <w:snapToGrid/>
          <w:color w:val="auto"/>
          <w:kern w:val="2"/>
          <w:sz w:val="21"/>
          <w:szCs w:val="21"/>
          <w:highlight w:val="none"/>
          <w:u w:val="none"/>
          <w:shd w:val="clear" w:fill="auto"/>
          <w:lang w:val="en-US" w:eastAsia="zh-CN"/>
        </w:rPr>
        <w:t>能量传递与效率规律</w:t>
      </w:r>
      <w:r>
        <w:rPr>
          <w:rFonts w:hint="default" w:eastAsia="宋体"/>
          <w:snapToGrid/>
          <w:color w:val="auto"/>
          <w:kern w:val="2"/>
          <w:sz w:val="21"/>
          <w:szCs w:val="21"/>
          <w:highlight w:val="none"/>
          <w:u w:val="none"/>
          <w:shd w:val="clear" w:fill="auto"/>
        </w:rPr>
        <w:t>，揭示工程调度对湖西河网水动力重构与水质改善的作用机制，以期为新孟河工程长效运行和太湖流域平原河网区骨干水工程优化调度提供</w:t>
      </w:r>
      <w:r>
        <w:rPr>
          <w:rFonts w:hint="eastAsia" w:eastAsia="宋体"/>
          <w:snapToGrid/>
          <w:color w:val="auto"/>
          <w:kern w:val="2"/>
          <w:sz w:val="21"/>
          <w:szCs w:val="21"/>
          <w:highlight w:val="none"/>
          <w:u w:val="none"/>
          <w:shd w:val="clear" w:fill="auto"/>
          <w:lang w:val="en-US" w:eastAsia="zh-CN"/>
        </w:rPr>
        <w:t>理论依据</w:t>
      </w:r>
      <w:r>
        <w:rPr>
          <w:rFonts w:hint="default" w:eastAsia="宋体"/>
          <w:snapToGrid/>
          <w:color w:val="auto"/>
          <w:kern w:val="2"/>
          <w:sz w:val="21"/>
          <w:szCs w:val="21"/>
          <w:highlight w:val="none"/>
          <w:u w:val="none"/>
          <w:shd w:val="clear" w:fill="auto"/>
        </w:rPr>
        <w:t>。</w:t>
      </w:r>
    </w:p>
    <w:p w14:paraId="2266815C">
      <w:pPr>
        <w:pStyle w:val="2"/>
        <w:pageBreakBefore w:val="0"/>
        <w:overflowPunct/>
        <w:topLinePunct w:val="0"/>
        <w:bidi w:val="0"/>
        <w:adjustRightInd/>
        <w:snapToGrid/>
        <w:spacing w:before="0" w:after="0" w:line="240" w:lineRule="auto"/>
        <w:ind w:left="0" w:leftChars="0" w:right="0" w:rightChars="0"/>
        <w:rPr>
          <w:rFonts w:hint="default" w:ascii="Times New Roman" w:hAnsi="Times New Roman" w:cs="Times New Roman"/>
          <w:snapToGrid/>
          <w:color w:val="auto"/>
          <w:spacing w:val="0"/>
          <w:w w:val="100"/>
          <w:kern w:val="2"/>
          <w:position w:val="0"/>
          <w:highlight w:val="none"/>
          <w:u w:val="none"/>
          <w:shd w:val="clear" w:fill="auto"/>
        </w:rPr>
      </w:pPr>
      <w:r>
        <w:rPr>
          <w:rFonts w:hint="default" w:ascii="Times New Roman" w:hAnsi="Times New Roman" w:cs="Times New Roman"/>
          <w:snapToGrid/>
          <w:color w:val="auto"/>
          <w:spacing w:val="0"/>
          <w:w w:val="100"/>
          <w:kern w:val="2"/>
          <w:position w:val="0"/>
          <w:highlight w:val="none"/>
          <w:u w:val="none"/>
          <w:shd w:val="clear" w:fill="auto"/>
        </w:rPr>
        <w:t>1  研究区概况</w:t>
      </w:r>
    </w:p>
    <w:p w14:paraId="28185072">
      <w:pPr>
        <w:pStyle w:val="4"/>
        <w:keepNext w:val="0"/>
        <w:keepLines w:val="0"/>
        <w:pageBreakBefore w:val="0"/>
        <w:widowControl/>
        <w:tabs>
          <w:tab w:val="left" w:pos="8530"/>
        </w:tabs>
        <w:kinsoku/>
        <w:wordWrap/>
        <w:overflowPunct/>
        <w:topLinePunct w:val="0"/>
        <w:autoSpaceDE/>
        <w:autoSpaceDN/>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本研究主要</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聚焦新孟河</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工程</w:t>
      </w:r>
      <w:r>
        <w:rPr>
          <w:rFonts w:hint="eastAsia" w:eastAsia="宋体" w:cs="Times New Roman"/>
          <w:snapToGrid/>
          <w:color w:val="auto"/>
          <w:spacing w:val="0"/>
          <w:w w:val="100"/>
          <w:kern w:val="2"/>
          <w:position w:val="0"/>
          <w:sz w:val="21"/>
          <w:szCs w:val="21"/>
          <w:highlight w:val="none"/>
          <w:u w:val="none"/>
          <w:shd w:val="clear" w:fill="auto"/>
          <w:lang w:val="en-US" w:eastAsia="zh-CN"/>
        </w:rPr>
        <w:t>沿线水系与</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调水主要受水区，即新孟河干流以东、武进港以西、苏南运河以南、太滆运河以北区域</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（见图1）</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区域内河网密布，主要包括新孟河、新沟河、京杭运河、滆湖、太滆运河、漕桥河等。作为典型平原河网地区，其水动力系统受自然地理条件约束与人类活动干扰的双重影响，形成了多尺度、多目标的协同调控难题</w:t>
      </w:r>
      <w:r>
        <w:rPr>
          <w:rFonts w:hint="default" w:ascii="Times New Roman" w:hAnsi="Times New Roman" w:eastAsia="Times New Roman"/>
          <w:color w:val="auto"/>
          <w:sz w:val="21"/>
          <w:szCs w:val="21"/>
          <w:highlight w:val="none"/>
          <w:u w:val="none"/>
          <w:shd w:val="clear" w:fill="auto"/>
          <w:vertAlign w:val="superscript"/>
        </w:rPr>
        <w:t>[2</w:t>
      </w:r>
      <w:r>
        <w:rPr>
          <w:rFonts w:hint="eastAsia" w:eastAsia="宋体"/>
          <w:color w:val="auto"/>
          <w:sz w:val="21"/>
          <w:szCs w:val="21"/>
          <w:highlight w:val="none"/>
          <w:u w:val="none"/>
          <w:shd w:val="clear" w:fill="auto"/>
          <w:vertAlign w:val="superscript"/>
          <w:lang w:val="en-US" w:eastAsia="zh-CN"/>
        </w:rPr>
        <w:t>3</w:t>
      </w:r>
      <w:r>
        <w:rPr>
          <w:rFonts w:hint="default" w:ascii="Times New Roman" w:hAnsi="Times New Roman" w:eastAsia="Times New Roman"/>
          <w:color w:val="auto"/>
          <w:sz w:val="21"/>
          <w:szCs w:val="21"/>
          <w:highlight w:val="none"/>
          <w:u w:val="none"/>
          <w:shd w:val="clear" w:fill="auto"/>
          <w:vertAlign w:val="superscript"/>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。一是研究区域河网密布，水流路径迂回，加之河道上下游比降小，水面平缓，水动力不足，水流缓慢。二是</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密集</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水利工程干预导致水流分区化，水体交换周期延长</w:t>
      </w:r>
      <w:r>
        <w:rPr>
          <w:rFonts w:hint="default" w:ascii="Times New Roman" w:hAnsi="Times New Roman" w:eastAsia="Times New Roman"/>
          <w:color w:val="auto"/>
          <w:sz w:val="21"/>
          <w:szCs w:val="21"/>
          <w:highlight w:val="none"/>
          <w:u w:val="none"/>
          <w:shd w:val="clear" w:fill="auto"/>
          <w:vertAlign w:val="superscript"/>
        </w:rPr>
        <w:t>[2</w:t>
      </w:r>
      <w:r>
        <w:rPr>
          <w:rFonts w:hint="eastAsia" w:eastAsia="宋体"/>
          <w:color w:val="auto"/>
          <w:sz w:val="21"/>
          <w:szCs w:val="21"/>
          <w:highlight w:val="none"/>
          <w:u w:val="none"/>
          <w:shd w:val="clear" w:fill="auto"/>
          <w:vertAlign w:val="superscript"/>
          <w:lang w:val="en-US" w:eastAsia="zh-CN"/>
        </w:rPr>
        <w:t>4</w:t>
      </w:r>
      <w:r>
        <w:rPr>
          <w:rFonts w:hint="default" w:ascii="Times New Roman" w:hAnsi="Times New Roman" w:eastAsia="Times New Roman"/>
          <w:color w:val="auto"/>
          <w:sz w:val="21"/>
          <w:szCs w:val="21"/>
          <w:highlight w:val="none"/>
          <w:u w:val="none"/>
          <w:shd w:val="clear" w:fill="auto"/>
          <w:vertAlign w:val="superscript"/>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。如武进港北承运河来水，又承接无锡锡溧漕河来水，因受下游出口武进港闸、直湖港经常性关闸影响，水流下泄不畅，水流转道新、老锡溧漕河后分别流入太滆运河和武宜运河</w:t>
      </w:r>
      <w:r>
        <w:rPr>
          <w:rFonts w:hint="default" w:ascii="Times New Roman" w:hAnsi="Times New Roman" w:eastAsia="Times New Roman"/>
          <w:color w:val="auto"/>
          <w:sz w:val="21"/>
          <w:szCs w:val="21"/>
          <w:highlight w:val="none"/>
          <w:u w:val="none"/>
          <w:shd w:val="clear" w:fill="auto"/>
          <w:vertAlign w:val="superscript"/>
        </w:rPr>
        <w:t>[2</w:t>
      </w:r>
      <w:r>
        <w:rPr>
          <w:rFonts w:hint="eastAsia" w:eastAsia="宋体"/>
          <w:color w:val="auto"/>
          <w:sz w:val="21"/>
          <w:szCs w:val="21"/>
          <w:highlight w:val="none"/>
          <w:u w:val="none"/>
          <w:shd w:val="clear" w:fill="auto"/>
          <w:vertAlign w:val="superscript"/>
          <w:lang w:val="en-US" w:eastAsia="zh-CN"/>
        </w:rPr>
        <w:t>5</w:t>
      </w:r>
      <w:r>
        <w:rPr>
          <w:rFonts w:hint="default" w:ascii="Times New Roman" w:hAnsi="Times New Roman" w:eastAsia="Times New Roman"/>
          <w:color w:val="auto"/>
          <w:sz w:val="21"/>
          <w:szCs w:val="21"/>
          <w:highlight w:val="none"/>
          <w:u w:val="none"/>
          <w:shd w:val="clear" w:fill="auto"/>
          <w:vertAlign w:val="superscript"/>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三是流域、区域尚未形成体系化的水工程联合调度规则，水工程的管理调度权限分级管理造成了各自为政的局面，行政区划分割导致“下游引水、上游顶托”等人为影响问题，如研究区域下游梅梁湖泵站、大渲河泵站常态化运行，一定程度上抬高了苏南运河常州下游段水位</w:t>
      </w:r>
      <w:r>
        <w:rPr>
          <w:rFonts w:hint="default" w:ascii="Times New Roman" w:hAnsi="Times New Roman" w:eastAsia="Times New Roman"/>
          <w:color w:val="auto"/>
          <w:sz w:val="21"/>
          <w:szCs w:val="21"/>
          <w:highlight w:val="none"/>
          <w:u w:val="none"/>
          <w:shd w:val="clear" w:fill="auto"/>
          <w:vertAlign w:val="superscript"/>
        </w:rPr>
        <w:t>[2</w:t>
      </w:r>
      <w:r>
        <w:rPr>
          <w:rFonts w:hint="eastAsia" w:eastAsia="宋体"/>
          <w:color w:val="auto"/>
          <w:sz w:val="21"/>
          <w:szCs w:val="21"/>
          <w:highlight w:val="none"/>
          <w:u w:val="none"/>
          <w:shd w:val="clear" w:fill="auto"/>
          <w:vertAlign w:val="superscript"/>
          <w:lang w:val="en-US" w:eastAsia="zh-CN"/>
        </w:rPr>
        <w:t>6</w:t>
      </w:r>
      <w:r>
        <w:rPr>
          <w:rFonts w:hint="default" w:ascii="Times New Roman" w:hAnsi="Times New Roman" w:eastAsia="Times New Roman"/>
          <w:color w:val="auto"/>
          <w:sz w:val="21"/>
          <w:szCs w:val="21"/>
          <w:highlight w:val="none"/>
          <w:u w:val="none"/>
          <w:shd w:val="clear" w:fill="auto"/>
          <w:vertAlign w:val="superscript"/>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，使得运河水由锡溧漕河经太滆运河入太湖，锡溧漕河水流方向由顺流出境改变为逆流入境</w:t>
      </w:r>
      <w:r>
        <w:rPr>
          <w:rFonts w:hint="default" w:ascii="Times New Roman" w:hAnsi="Times New Roman" w:eastAsia="Times New Roman"/>
          <w:color w:val="auto"/>
          <w:sz w:val="21"/>
          <w:szCs w:val="21"/>
          <w:highlight w:val="none"/>
          <w:u w:val="none"/>
          <w:shd w:val="clear" w:fill="auto"/>
          <w:vertAlign w:val="superscript"/>
        </w:rPr>
        <w:t>[2</w:t>
      </w:r>
      <w:r>
        <w:rPr>
          <w:rFonts w:hint="eastAsia" w:eastAsia="宋体"/>
          <w:color w:val="auto"/>
          <w:sz w:val="21"/>
          <w:szCs w:val="21"/>
          <w:highlight w:val="none"/>
          <w:u w:val="none"/>
          <w:shd w:val="clear" w:fill="auto"/>
          <w:vertAlign w:val="superscript"/>
          <w:lang w:val="en-US" w:eastAsia="zh-CN"/>
        </w:rPr>
        <w:t>7</w:t>
      </w:r>
      <w:r>
        <w:rPr>
          <w:rFonts w:hint="default" w:ascii="Times New Roman" w:hAnsi="Times New Roman" w:eastAsia="Times New Roman"/>
          <w:color w:val="auto"/>
          <w:sz w:val="21"/>
          <w:szCs w:val="21"/>
          <w:highlight w:val="none"/>
          <w:u w:val="none"/>
          <w:shd w:val="clear" w:fill="auto"/>
          <w:vertAlign w:val="superscript"/>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，其与新孟河太滆运河交汇后一方面增大了下泄太湖水量，同时也顶托了新孟河太滆运河段上游滆湖洪水的下泄出路，太滆运河上游出滆湖段逆流发生频次较高</w:t>
      </w:r>
      <w:r>
        <w:rPr>
          <w:rFonts w:hint="eastAsia" w:eastAsia="宋体" w:cs="Times New Roman"/>
          <w:snapToGrid/>
          <w:color w:val="auto"/>
          <w:spacing w:val="0"/>
          <w:w w:val="100"/>
          <w:kern w:val="2"/>
          <w:position w:val="0"/>
          <w:sz w:val="21"/>
          <w:szCs w:val="21"/>
          <w:highlight w:val="none"/>
          <w:u w:val="none"/>
          <w:shd w:val="clear" w:fill="auto"/>
          <w:lang w:eastAsia="zh-CN"/>
        </w:rPr>
        <w:t>，区域水文情势极为复杂</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。因此，亟待通过水利工程调度形成科学合理的有序引排水格局，提升河网水动力，改善水环境。</w:t>
      </w:r>
    </w:p>
    <w:p w14:paraId="384EAF9B">
      <w:pPr>
        <w:keepNext w:val="0"/>
        <w:keepLines w:val="0"/>
        <w:pageBreakBefore w:val="0"/>
        <w:overflowPunct/>
        <w:topLinePunct w:val="0"/>
        <w:bidi w:val="0"/>
        <w:adjustRightInd/>
        <w:snapToGrid/>
        <w:spacing w:line="240" w:lineRule="auto"/>
        <w:ind w:left="0" w:leftChars="0" w:right="0" w:rightChars="0"/>
        <w:jc w:val="center"/>
        <w:rPr>
          <w:color w:val="auto"/>
          <w:highlight w:val="none"/>
          <w:u w:val="none"/>
          <w:shd w:val="clear" w:fill="auto"/>
        </w:rPr>
      </w:pPr>
      <w:r>
        <w:rPr>
          <w:color w:val="auto"/>
          <w:highlight w:val="none"/>
          <w:u w:val="none"/>
          <w:shd w:val="clear" w:fill="auto"/>
        </w:rPr>
        <w:drawing>
          <wp:inline distT="0" distB="0" distL="114300" distR="114300">
            <wp:extent cx="5271135" cy="3866515"/>
            <wp:effectExtent l="0" t="0" r="1905"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271135" cy="3866515"/>
                    </a:xfrm>
                    <a:prstGeom prst="rect">
                      <a:avLst/>
                    </a:prstGeom>
                    <a:noFill/>
                    <a:ln>
                      <a:noFill/>
                    </a:ln>
                  </pic:spPr>
                </pic:pic>
              </a:graphicData>
            </a:graphic>
          </wp:inline>
        </w:drawing>
      </w:r>
    </w:p>
    <w:p w14:paraId="1D6FC41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图1  研究区域示意</w:t>
      </w:r>
    </w:p>
    <w:p w14:paraId="7C0733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Fig.1 Schematic diagram of study area </w:t>
      </w:r>
    </w:p>
    <w:p w14:paraId="3F611676">
      <w:pPr>
        <w:pStyle w:val="2"/>
        <w:pageBreakBefore w:val="0"/>
        <w:overflowPunct/>
        <w:topLinePunct w:val="0"/>
        <w:bidi w:val="0"/>
        <w:adjustRightInd/>
        <w:snapToGrid/>
        <w:spacing w:before="0" w:after="0" w:line="240" w:lineRule="auto"/>
        <w:ind w:left="0" w:leftChars="0" w:right="0" w:rightChars="0"/>
        <w:rPr>
          <w:rFonts w:hint="default" w:ascii="Times New Roman" w:hAnsi="Times New Roman" w:cs="Times New Roman"/>
          <w:snapToGrid/>
          <w:color w:val="auto"/>
          <w:spacing w:val="0"/>
          <w:w w:val="100"/>
          <w:kern w:val="2"/>
          <w:position w:val="0"/>
          <w:highlight w:val="none"/>
          <w:u w:val="none"/>
          <w:shd w:val="clear" w:fill="auto"/>
          <w:lang w:val="en-US" w:eastAsia="zh-CN"/>
        </w:rPr>
      </w:pPr>
      <w:r>
        <w:rPr>
          <w:rFonts w:hint="default" w:ascii="Times New Roman" w:hAnsi="Times New Roman" w:cs="Times New Roman"/>
          <w:snapToGrid/>
          <w:color w:val="auto"/>
          <w:spacing w:val="0"/>
          <w:w w:val="100"/>
          <w:kern w:val="2"/>
          <w:position w:val="0"/>
          <w:highlight w:val="none"/>
          <w:u w:val="none"/>
          <w:shd w:val="clear" w:fill="auto"/>
          <w:lang w:val="en-US" w:eastAsia="zh-CN"/>
        </w:rPr>
        <w:t>2 研究方法</w:t>
      </w:r>
    </w:p>
    <w:p w14:paraId="5E4846E1">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textAlignment w:val="baseline"/>
        <w:outlineLvl w:val="2"/>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2.1 改进能量功率分析方法</w:t>
      </w:r>
    </w:p>
    <w:p w14:paraId="1CD9FACD">
      <w:pPr>
        <w:pageBreakBefore w:val="0"/>
        <w:kinsoku/>
        <w:wordWrap/>
        <w:overflowPunct/>
        <w:topLinePunct w:val="0"/>
        <w:autoSpaceDE/>
        <w:autoSpaceDN/>
        <w:bidi w:val="0"/>
        <w:adjustRightInd/>
        <w:snapToGrid/>
        <w:spacing w:line="240" w:lineRule="auto"/>
        <w:ind w:left="0" w:leftChars="0" w:right="0" w:rightChars="0" w:firstLine="420" w:firstLineChars="200"/>
        <w:textAlignment w:val="center"/>
        <w:rPr>
          <w:rFonts w:hint="default"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pPr>
      <w:r>
        <w:rPr>
          <w:rFonts w:hint="eastAsia"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t>已有研究采用基于潮位波动的能量通量法针对感潮河口河网水系开展</w:t>
      </w:r>
      <w:r>
        <w:rPr>
          <w:rFonts w:hint="default"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t>分析研究</w:t>
      </w:r>
      <w:r>
        <w:rPr>
          <w:rFonts w:hint="default" w:ascii="Times New Roman" w:hAnsi="Times New Roman" w:eastAsia="Times New Roman"/>
          <w:color w:val="auto"/>
          <w:sz w:val="21"/>
          <w:szCs w:val="24"/>
          <w:highlight w:val="none"/>
          <w:u w:val="none"/>
          <w:shd w:val="clear" w:fill="auto"/>
          <w:vertAlign w:val="superscript"/>
        </w:rPr>
        <w:t>[1</w:t>
      </w:r>
      <w:r>
        <w:rPr>
          <w:rFonts w:hint="eastAsia" w:ascii="Times New Roman" w:hAnsi="Times New Roman" w:eastAsia="宋体"/>
          <w:color w:val="auto"/>
          <w:sz w:val="21"/>
          <w:szCs w:val="24"/>
          <w:highlight w:val="none"/>
          <w:u w:val="none"/>
          <w:shd w:val="clear" w:fill="auto"/>
          <w:vertAlign w:val="superscript"/>
          <w:lang w:val="en-US" w:eastAsia="zh-CN"/>
        </w:rPr>
        <w:t>3</w:t>
      </w:r>
      <w:r>
        <w:rPr>
          <w:rFonts w:hint="default" w:ascii="Times New Roman" w:hAnsi="Times New Roman" w:eastAsia="Times New Roman"/>
          <w:color w:val="auto"/>
          <w:sz w:val="21"/>
          <w:szCs w:val="24"/>
          <w:highlight w:val="none"/>
          <w:u w:val="none"/>
          <w:shd w:val="clear" w:fill="auto"/>
          <w:vertAlign w:val="superscript"/>
        </w:rPr>
        <w:t>]</w:t>
      </w:r>
      <w:r>
        <w:rPr>
          <w:rFonts w:hint="default"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t>，然而，太湖流域平原河网虽然有一定感潮属性，但是新孟河工程控制下的湖西水系属于高度人为控制的系统，其水位变化受众多闸泵群启闭引起的水量改变主导，水位的起伏在很大程度上无法体现水力梯度的变化，难以直接表征水流的驱动作用。WANG等</w:t>
      </w:r>
      <w:r>
        <w:rPr>
          <w:rFonts w:hint="default" w:ascii="Times New Roman" w:hAnsi="Times New Roman" w:eastAsia="Times New Roman"/>
          <w:color w:val="auto"/>
          <w:sz w:val="21"/>
          <w:szCs w:val="24"/>
          <w:highlight w:val="none"/>
          <w:u w:val="none"/>
          <w:shd w:val="clear" w:fill="auto"/>
          <w:vertAlign w:val="superscript"/>
        </w:rPr>
        <w:t>[</w:t>
      </w:r>
      <w:r>
        <w:rPr>
          <w:rFonts w:hint="eastAsia" w:ascii="Times New Roman" w:hAnsi="Times New Roman" w:eastAsia="宋体"/>
          <w:color w:val="auto"/>
          <w:sz w:val="21"/>
          <w:szCs w:val="24"/>
          <w:highlight w:val="none"/>
          <w:u w:val="none"/>
          <w:shd w:val="clear" w:fill="auto"/>
          <w:vertAlign w:val="superscript"/>
          <w:lang w:val="en-US" w:eastAsia="zh-CN"/>
        </w:rPr>
        <w:t>28</w:t>
      </w:r>
      <w:r>
        <w:rPr>
          <w:rFonts w:hint="default" w:ascii="Times New Roman" w:hAnsi="Times New Roman" w:eastAsia="Times New Roman"/>
          <w:color w:val="auto"/>
          <w:sz w:val="21"/>
          <w:szCs w:val="24"/>
          <w:highlight w:val="none"/>
          <w:u w:val="none"/>
          <w:shd w:val="clear" w:fill="auto"/>
          <w:vertAlign w:val="superscript"/>
        </w:rPr>
        <w:t>]</w:t>
      </w:r>
      <w:r>
        <w:rPr>
          <w:rFonts w:hint="default"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t>研究了人工调水对无锡滨湖区城市河网水动力条件的影响，结果表明调水流量与河网流</w:t>
      </w:r>
      <w:r>
        <w:rPr>
          <w:rFonts w:hint="eastAsia"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t>速响应并非简单线性关系，水利工程、河湖水位差和河道自身特征是影响河网水动力条件的主要因素。因此，本研究采用改进的能量功率分析方法，将断面功率通量定义为相对势能通量与动能通量之和。根据明渠水流机械能通量的基本形式，单位时间内通过某一断面的势能通量可表示为</w:t>
      </w:r>
      <m:oMath>
        <m:r>
          <m:rPr>
            <m:nor/>
          </m:rPr>
          <w:rPr>
            <w:rFonts w:hint="default" w:ascii="Times New Roman" w:hAnsi="Times New Roman" w:cs="Times New Roman"/>
            <w:i/>
            <w:snapToGrid/>
            <w:color w:val="auto"/>
            <w:spacing w:val="0"/>
            <w:w w:val="100"/>
            <w:kern w:val="2"/>
            <w:position w:val="0"/>
            <w:sz w:val="21"/>
            <w:highlight w:val="none"/>
            <w:u w:val="none"/>
            <w:shd w:val="clear" w:fill="auto"/>
          </w:rPr>
          <m:t>ρgQZ</m:t>
        </m:r>
      </m:oMath>
      <w:r>
        <w:rPr>
          <w:rFonts w:hint="eastAsia"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t>，但在平原河网中，绝对水位高程难以直接反映不同断面之间的有效水头驱动，工程调度引起的动力变化更主要体现为断面相对于受水边界的水头差变化。为此，本文选取百渎口断面水位作为统一参考水位</w:t>
      </w:r>
      <m:oMath>
        <m:sSub>
          <m:sSubPr>
            <m:ctrlPr>
              <w:rPr>
                <w:rFonts w:hint="default" w:ascii="Cambria Math" w:hAnsi="Cambria Math" w:cs="Times New Roman"/>
                <w:i/>
                <w:iCs/>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b w:val="0"/>
                <w:i/>
                <w:iCs/>
                <w:snapToGrid/>
                <w:color w:val="auto"/>
                <w:spacing w:val="0"/>
                <w:w w:val="100"/>
                <w:kern w:val="2"/>
                <w:position w:val="0"/>
                <w:sz w:val="21"/>
                <w:highlight w:val="none"/>
                <w:u w:val="none"/>
                <w:shd w:val="clear" w:fill="auto"/>
              </w:rPr>
              <m:t>Z</m:t>
            </m:r>
            <m:ctrlPr>
              <w:rPr>
                <w:rFonts w:hint="default" w:ascii="Cambria Math" w:hAnsi="Cambria Math" w:cs="Times New Roman"/>
                <w:i/>
                <w:iCs/>
                <w:snapToGrid/>
                <w:color w:val="auto"/>
                <w:spacing w:val="0"/>
                <w:w w:val="100"/>
                <w:kern w:val="2"/>
                <w:position w:val="0"/>
                <w:sz w:val="21"/>
                <w:highlight w:val="none"/>
                <w:u w:val="none"/>
                <w:shd w:val="clear" w:fill="auto"/>
              </w:rPr>
            </m:ctrlPr>
          </m:e>
          <m:sub>
            <m:r>
              <m:rPr>
                <m:nor/>
                <m:sty m:val="p"/>
              </m:rPr>
              <w:rPr>
                <w:rFonts w:hint="default" w:ascii="Times New Roman" w:hAnsi="Times New Roman" w:cs="Times New Roman"/>
                <w:b w:val="0"/>
                <w:i w:val="0"/>
                <w:iCs w:val="0"/>
                <w:snapToGrid/>
                <w:color w:val="auto"/>
                <w:spacing w:val="0"/>
                <w:w w:val="100"/>
                <w:kern w:val="2"/>
                <w:position w:val="0"/>
                <w:sz w:val="21"/>
                <w:highlight w:val="none"/>
                <w:u w:val="none"/>
                <w:shd w:val="clear" w:fill="auto"/>
              </w:rPr>
              <m:t>r</m:t>
            </m:r>
            <m:ctrlPr>
              <w:rPr>
                <w:rFonts w:hint="default" w:ascii="Cambria Math" w:hAnsi="Cambria Math" w:cs="Times New Roman"/>
                <w:i/>
                <w:iCs/>
                <w:snapToGrid/>
                <w:color w:val="auto"/>
                <w:spacing w:val="0"/>
                <w:w w:val="100"/>
                <w:kern w:val="2"/>
                <w:position w:val="0"/>
                <w:sz w:val="21"/>
                <w:highlight w:val="none"/>
                <w:u w:val="none"/>
                <w:shd w:val="clear" w:fill="auto"/>
              </w:rPr>
            </m:ctrlPr>
          </m:sub>
        </m:sSub>
      </m:oMath>
      <w:r>
        <w:rPr>
          <w:rFonts w:hint="eastAsia" w:hAnsi="Cambria Math" w:eastAsia="宋体" w:cs="Times New Roman"/>
          <w:i w:val="0"/>
          <w:iCs w:val="0"/>
          <w:snapToGrid/>
          <w:color w:val="auto"/>
          <w:spacing w:val="0"/>
          <w:w w:val="100"/>
          <w:kern w:val="2"/>
          <w:position w:val="0"/>
          <w:sz w:val="21"/>
          <w:highlight w:val="none"/>
          <w:u w:val="none"/>
          <w:shd w:val="clear" w:fill="auto"/>
          <w:lang w:eastAsia="zh-CN"/>
        </w:rPr>
        <w:t>，</w:t>
      </w:r>
      <w:r>
        <w:rPr>
          <w:rFonts w:hint="eastAsia" w:hAnsi="Cambria Math" w:eastAsia="宋体" w:cs="Times New Roman"/>
          <w:i w:val="0"/>
          <w:iCs w:val="0"/>
          <w:snapToGrid/>
          <w:color w:val="auto"/>
          <w:spacing w:val="0"/>
          <w:w w:val="100"/>
          <w:kern w:val="2"/>
          <w:position w:val="0"/>
          <w:sz w:val="21"/>
          <w:highlight w:val="none"/>
          <w:u w:val="none"/>
          <w:shd w:val="clear" w:fill="auto"/>
          <w:lang w:val="en-US" w:eastAsia="zh-CN"/>
        </w:rPr>
        <w:t>采用</w:t>
      </w:r>
      <m:oMath>
        <m:r>
          <m:rPr>
            <m:nor/>
          </m:rPr>
          <w:rPr>
            <w:rFonts w:hint="default" w:ascii="Times New Roman" w:hAnsi="Times New Roman" w:cs="Times New Roman"/>
            <w:i/>
            <w:snapToGrid/>
            <w:color w:val="auto"/>
            <w:spacing w:val="0"/>
            <w:w w:val="100"/>
            <w:kern w:val="2"/>
            <w:position w:val="0"/>
            <w:sz w:val="21"/>
            <w:highlight w:val="none"/>
            <w:u w:val="none"/>
            <w:shd w:val="clear" w:fill="auto"/>
          </w:rPr>
          <m:t>ρgQ</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Z</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sSub>
          <m:sSubPr>
            <m:ctrlPr>
              <w:rPr>
                <w:rFonts w:hint="default" w:ascii="Cambria Math" w:hAnsi="Cambria Math" w:cs="Times New Roman"/>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i/>
                <w:snapToGrid/>
                <w:color w:val="auto"/>
                <w:spacing w:val="0"/>
                <w:w w:val="100"/>
                <w:kern w:val="2"/>
                <w:position w:val="0"/>
                <w:sz w:val="21"/>
                <w:highlight w:val="none"/>
                <w:u w:val="none"/>
                <w:shd w:val="clear" w:fill="auto"/>
              </w:rPr>
              <m:t>Z</m:t>
            </m:r>
            <m:ctrlPr>
              <w:rPr>
                <w:rFonts w:hint="default" w:ascii="Cambria Math" w:hAnsi="Cambria Math" w:cs="Times New Roman"/>
                <w:snapToGrid/>
                <w:color w:val="auto"/>
                <w:spacing w:val="0"/>
                <w:w w:val="100"/>
                <w:kern w:val="2"/>
                <w:position w:val="0"/>
                <w:sz w:val="21"/>
                <w:highlight w:val="none"/>
                <w:u w:val="none"/>
                <w:shd w:val="clear" w:fill="auto"/>
              </w:rPr>
            </m:ctrlPr>
          </m:e>
          <m:sub>
            <m:r>
              <m:rPr>
                <m:nor/>
                <m:sty m:val="p"/>
              </m:rPr>
              <w:rPr>
                <w:rFonts w:hint="default" w:ascii="Times New Roman" w:hAnsi="Times New Roman" w:cs="Times New Roman"/>
                <w:b w:val="0"/>
                <w:i w:val="0"/>
                <w:iCs/>
                <w:snapToGrid/>
                <w:color w:val="auto"/>
                <w:spacing w:val="0"/>
                <w:w w:val="100"/>
                <w:kern w:val="2"/>
                <w:position w:val="0"/>
                <w:sz w:val="21"/>
                <w:highlight w:val="none"/>
                <w:u w:val="none"/>
                <w:shd w:val="clear" w:fill="auto"/>
              </w:rPr>
              <m:t>r</m:t>
            </m:r>
            <m:ctrlPr>
              <w:rPr>
                <w:rFonts w:hint="default" w:ascii="Cambria Math" w:hAnsi="Cambria Math" w:cs="Times New Roman"/>
                <w:snapToGrid/>
                <w:color w:val="auto"/>
                <w:spacing w:val="0"/>
                <w:w w:val="100"/>
                <w:kern w:val="2"/>
                <w:position w:val="0"/>
                <w:sz w:val="21"/>
                <w:highlight w:val="none"/>
                <w:u w:val="none"/>
                <w:shd w:val="clear" w:fill="auto"/>
              </w:rPr>
            </m:ctrlPr>
          </m:sub>
        </m:sSub>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oMath>
      <w:r>
        <w:rPr>
          <w:rFonts w:hint="eastAsia"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t>表征断面相对于入湖控制边界的相对势能功率通量；同时，相应动能功率通量为</w:t>
      </w:r>
      <m:oMath>
        <m:f>
          <m:fPr>
            <m:ctrlPr>
              <w:rPr>
                <w:rFonts w:hint="default" w:ascii="Cambria Math" w:hAnsi="Cambria Math" w:cs="Times New Roman" w:eastAsiaTheme="minorEastAsia"/>
                <w:i/>
                <w:snapToGrid/>
                <w:color w:val="auto"/>
                <w:spacing w:val="0"/>
                <w:w w:val="100"/>
                <w:kern w:val="2"/>
                <w:position w:val="0"/>
                <w:sz w:val="21"/>
                <w:szCs w:val="21"/>
                <w:highlight w:val="none"/>
                <w:u w:val="none"/>
                <w:shd w:val="clear" w:fill="auto"/>
                <w:lang w:val="en-US" w:eastAsia="zh-CN"/>
              </w:rPr>
            </m:ctrlPr>
          </m:fPr>
          <m:num>
            <m:r>
              <m:rPr/>
              <w:rPr>
                <w:rFonts w:hint="default" w:ascii="Cambria Math" w:hAnsi="Cambria Math" w:cs="Times New Roman" w:eastAsiaTheme="minorEastAsia"/>
                <w:snapToGrid/>
                <w:color w:val="auto"/>
                <w:spacing w:val="0"/>
                <w:w w:val="100"/>
                <w:kern w:val="2"/>
                <w:position w:val="0"/>
                <w:sz w:val="21"/>
                <w:szCs w:val="21"/>
                <w:highlight w:val="none"/>
                <w:u w:val="none"/>
                <w:shd w:val="clear" w:fill="auto"/>
                <w:lang w:val="en-US" w:eastAsia="zh-CN"/>
              </w:rPr>
              <m:t>1</m:t>
            </m:r>
            <m:ctrlPr>
              <w:rPr>
                <w:rFonts w:hint="default" w:ascii="Cambria Math" w:hAnsi="Cambria Math" w:cs="Times New Roman" w:eastAsiaTheme="minorEastAsia"/>
                <w:i/>
                <w:snapToGrid/>
                <w:color w:val="auto"/>
                <w:spacing w:val="0"/>
                <w:w w:val="100"/>
                <w:kern w:val="2"/>
                <w:position w:val="0"/>
                <w:sz w:val="21"/>
                <w:szCs w:val="21"/>
                <w:highlight w:val="none"/>
                <w:u w:val="none"/>
                <w:shd w:val="clear" w:fill="auto"/>
                <w:lang w:val="en-US" w:eastAsia="zh-CN"/>
              </w:rPr>
            </m:ctrlPr>
          </m:num>
          <m:den>
            <m:r>
              <m:rPr/>
              <w:rPr>
                <w:rFonts w:hint="default" w:ascii="Cambria Math" w:hAnsi="Cambria Math" w:cs="Times New Roman" w:eastAsiaTheme="minorEastAsia"/>
                <w:snapToGrid/>
                <w:color w:val="auto"/>
                <w:spacing w:val="0"/>
                <w:w w:val="100"/>
                <w:kern w:val="2"/>
                <w:position w:val="0"/>
                <w:sz w:val="21"/>
                <w:szCs w:val="21"/>
                <w:highlight w:val="none"/>
                <w:u w:val="none"/>
                <w:shd w:val="clear" w:fill="auto"/>
                <w:lang w:val="en-US" w:eastAsia="zh-CN"/>
              </w:rPr>
              <m:t>2</m:t>
            </m:r>
            <m:ctrlPr>
              <w:rPr>
                <w:rFonts w:hint="default" w:ascii="Cambria Math" w:hAnsi="Cambria Math" w:cs="Times New Roman" w:eastAsiaTheme="minorEastAsia"/>
                <w:i/>
                <w:snapToGrid/>
                <w:color w:val="auto"/>
                <w:spacing w:val="0"/>
                <w:w w:val="100"/>
                <w:kern w:val="2"/>
                <w:position w:val="0"/>
                <w:sz w:val="21"/>
                <w:szCs w:val="21"/>
                <w:highlight w:val="none"/>
                <w:u w:val="none"/>
                <w:shd w:val="clear" w:fill="auto"/>
                <w:lang w:val="en-US" w:eastAsia="zh-CN"/>
              </w:rPr>
            </m:ctrlPr>
          </m:den>
        </m:f>
        <m:r>
          <m:rPr>
            <m:nor/>
          </m:rPr>
          <w:rPr>
            <w:rFonts w:hint="default" w:ascii="Times New Roman" w:hAnsi="Times New Roman" w:cs="Times New Roman"/>
            <w:i/>
            <w:snapToGrid/>
            <w:color w:val="auto"/>
            <w:spacing w:val="0"/>
            <w:w w:val="100"/>
            <w:kern w:val="2"/>
            <w:position w:val="0"/>
            <w:sz w:val="21"/>
            <w:highlight w:val="none"/>
            <w:u w:val="none"/>
            <w:shd w:val="clear" w:fill="auto"/>
          </w:rPr>
          <m:t>ρQ</m:t>
        </m:r>
        <m:sSup>
          <m:sSupPr>
            <m:ctrlPr>
              <w:rPr>
                <w:rFonts w:hint="default" w:ascii="Cambria Math" w:hAnsi="Cambria Math" w:cs="Times New Roman"/>
                <w:i/>
                <w:snapToGrid/>
                <w:color w:val="auto"/>
                <w:spacing w:val="0"/>
                <w:w w:val="100"/>
                <w:kern w:val="2"/>
                <w:position w:val="0"/>
                <w:sz w:val="21"/>
                <w:highlight w:val="none"/>
                <w:u w:val="none"/>
                <w:shd w:val="clear" w:fill="auto"/>
              </w:rPr>
            </m:ctrlPr>
          </m:sSupPr>
          <m:e>
            <m:r>
              <m:rPr/>
              <w:rPr>
                <w:rFonts w:hint="default" w:ascii="Cambria Math" w:hAnsi="Cambria Math" w:eastAsia="宋体" w:cs="Times New Roman"/>
                <w:snapToGrid/>
                <w:color w:val="auto"/>
                <w:spacing w:val="0"/>
                <w:w w:val="100"/>
                <w:kern w:val="2"/>
                <w:position w:val="0"/>
                <w:sz w:val="21"/>
                <w:highlight w:val="none"/>
                <w:u w:val="none"/>
                <w:shd w:val="clear" w:fill="auto"/>
                <w:lang w:val="en-US" w:eastAsia="zh-CN"/>
              </w:rPr>
              <m:t>v</m:t>
            </m:r>
            <m:ctrlPr>
              <w:rPr>
                <w:rFonts w:hint="default" w:ascii="Cambria Math" w:hAnsi="Cambria Math" w:cs="Times New Roman"/>
                <w:i/>
                <w:snapToGrid/>
                <w:color w:val="auto"/>
                <w:spacing w:val="0"/>
                <w:w w:val="100"/>
                <w:kern w:val="2"/>
                <w:position w:val="0"/>
                <w:sz w:val="21"/>
                <w:highlight w:val="none"/>
                <w:u w:val="none"/>
                <w:shd w:val="clear" w:fill="auto"/>
              </w:rPr>
            </m:ctrlPr>
          </m:e>
          <m:sup>
            <m:r>
              <m:rPr/>
              <w:rPr>
                <w:rFonts w:hint="default" w:ascii="Cambria Math" w:hAnsi="Cambria Math" w:eastAsia="宋体" w:cs="Times New Roman"/>
                <w:snapToGrid/>
                <w:color w:val="auto"/>
                <w:spacing w:val="0"/>
                <w:w w:val="100"/>
                <w:kern w:val="2"/>
                <w:position w:val="0"/>
                <w:sz w:val="21"/>
                <w:highlight w:val="none"/>
                <w:u w:val="none"/>
                <w:shd w:val="clear" w:fill="auto"/>
                <w:lang w:val="en-US" w:eastAsia="zh-CN"/>
              </w:rPr>
              <m:t>2</m:t>
            </m:r>
            <m:ctrlPr>
              <w:rPr>
                <w:rFonts w:hint="default" w:ascii="Cambria Math" w:hAnsi="Cambria Math" w:cs="Times New Roman"/>
                <w:i/>
                <w:snapToGrid/>
                <w:color w:val="auto"/>
                <w:spacing w:val="0"/>
                <w:w w:val="100"/>
                <w:kern w:val="2"/>
                <w:position w:val="0"/>
                <w:sz w:val="21"/>
                <w:highlight w:val="none"/>
                <w:u w:val="none"/>
                <w:shd w:val="clear" w:fill="auto"/>
              </w:rPr>
            </m:ctrlPr>
          </m:sup>
        </m:sSup>
        <m:r>
          <m:rPr>
            <m:nor/>
            <m:sty m:val="p"/>
          </m:rPr>
          <w:rPr>
            <w:rFonts w:hint="default" w:ascii="Times New Roman" w:hAnsi="Times New Roman" w:eastAsia="宋体" w:cs="Times New Roman"/>
            <w:b w:val="0"/>
            <w:i w:val="0"/>
            <w:snapToGrid/>
            <w:color w:val="auto"/>
            <w:spacing w:val="0"/>
            <w:w w:val="100"/>
            <w:kern w:val="2"/>
            <w:position w:val="0"/>
            <w:sz w:val="21"/>
            <w:highlight w:val="none"/>
            <w:u w:val="none"/>
            <w:shd w:val="clear" w:fill="auto"/>
            <w:lang w:val="en-US" w:eastAsia="zh-CN"/>
          </w:rPr>
          <m:t>=</m:t>
        </m:r>
        <m:f>
          <m:fPr>
            <m:ctrlPr>
              <w:rPr>
                <w:rFonts w:hint="default" w:ascii="Cambria Math" w:hAnsi="Cambria Math" w:cs="Times New Roman"/>
                <w:i/>
                <w:snapToGrid/>
                <w:color w:val="auto"/>
                <w:spacing w:val="0"/>
                <w:w w:val="100"/>
                <w:kern w:val="2"/>
                <w:position w:val="0"/>
                <w:sz w:val="21"/>
                <w:highlight w:val="none"/>
                <w:u w:val="none"/>
                <w:shd w:val="clear" w:fill="auto"/>
              </w:rPr>
            </m:ctrlPr>
          </m:fPr>
          <m:num>
            <m:r>
              <m:rPr>
                <m:nor/>
              </m:rPr>
              <w:rPr>
                <w:rFonts w:hint="default" w:ascii="Times New Roman" w:hAnsi="Times New Roman" w:cs="Times New Roman"/>
                <w:i/>
                <w:snapToGrid/>
                <w:color w:val="auto"/>
                <w:spacing w:val="0"/>
                <w:w w:val="100"/>
                <w:kern w:val="2"/>
                <w:position w:val="0"/>
                <w:sz w:val="21"/>
                <w:highlight w:val="none"/>
                <w:u w:val="none"/>
                <w:shd w:val="clear" w:fill="auto"/>
              </w:rPr>
              <m:t>ρ</m:t>
            </m:r>
            <m:sSup>
              <m:sSupPr>
                <m:ctrlPr>
                  <w:rPr>
                    <w:rFonts w:hint="default" w:ascii="Cambria Math" w:hAnsi="Cambria Math" w:cs="Times New Roman"/>
                    <w:snapToGrid/>
                    <w:color w:val="auto"/>
                    <w:spacing w:val="0"/>
                    <w:w w:val="100"/>
                    <w:kern w:val="2"/>
                    <w:position w:val="0"/>
                    <w:sz w:val="21"/>
                    <w:highlight w:val="none"/>
                    <w:u w:val="none"/>
                    <w:shd w:val="clear" w:fill="auto"/>
                  </w:rPr>
                </m:ctrlPr>
              </m:sSupPr>
              <m:e>
                <m:r>
                  <m:rPr>
                    <m:nor/>
                  </m:rPr>
                  <w:rPr>
                    <w:rFonts w:hint="default" w:ascii="Times New Roman" w:hAnsi="Times New Roman" w:cs="Times New Roman"/>
                    <w:i/>
                    <w:snapToGrid/>
                    <w:color w:val="auto"/>
                    <w:spacing w:val="0"/>
                    <w:w w:val="100"/>
                    <w:kern w:val="2"/>
                    <w:position w:val="0"/>
                    <w:sz w:val="21"/>
                    <w:highlight w:val="none"/>
                    <w:u w:val="none"/>
                    <w:shd w:val="clear" w:fill="auto"/>
                  </w:rPr>
                  <m:t>Q</m:t>
                </m:r>
                <m:ctrlPr>
                  <w:rPr>
                    <w:rFonts w:hint="default" w:ascii="Cambria Math" w:hAnsi="Cambria Math" w:cs="Times New Roman"/>
                    <w:snapToGrid/>
                    <w:color w:val="auto"/>
                    <w:spacing w:val="0"/>
                    <w:w w:val="100"/>
                    <w:kern w:val="2"/>
                    <w:position w:val="0"/>
                    <w:sz w:val="21"/>
                    <w:highlight w:val="none"/>
                    <w:u w:val="none"/>
                    <w:shd w:val="clear" w:fill="auto"/>
                  </w:rPr>
                </m:ctrlPr>
              </m:e>
              <m:sup>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3</m:t>
                </m:r>
                <m:ctrlPr>
                  <w:rPr>
                    <w:rFonts w:hint="default" w:ascii="Cambria Math" w:hAnsi="Cambria Math" w:cs="Times New Roman"/>
                    <w:snapToGrid/>
                    <w:color w:val="auto"/>
                    <w:spacing w:val="0"/>
                    <w:w w:val="100"/>
                    <w:kern w:val="2"/>
                    <w:position w:val="0"/>
                    <w:sz w:val="21"/>
                    <w:highlight w:val="none"/>
                    <w:u w:val="none"/>
                    <w:shd w:val="clear" w:fill="auto"/>
                  </w:rPr>
                </m:ctrlPr>
              </m:sup>
            </m:sSup>
            <m:ctrlPr>
              <w:rPr>
                <w:rFonts w:hint="default" w:ascii="Cambria Math" w:hAnsi="Cambria Math" w:cs="Times New Roman"/>
                <w:snapToGrid/>
                <w:color w:val="auto"/>
                <w:spacing w:val="0"/>
                <w:w w:val="100"/>
                <w:kern w:val="2"/>
                <w:position w:val="0"/>
                <w:sz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2</m:t>
            </m:r>
            <m:sSup>
              <m:sSupPr>
                <m:ctrlPr>
                  <w:rPr>
                    <w:rFonts w:hint="default" w:ascii="Cambria Math" w:hAnsi="Cambria Math" w:cs="Times New Roman"/>
                    <w:snapToGrid/>
                    <w:color w:val="auto"/>
                    <w:spacing w:val="0"/>
                    <w:w w:val="100"/>
                    <w:kern w:val="2"/>
                    <w:position w:val="0"/>
                    <w:sz w:val="21"/>
                    <w:highlight w:val="none"/>
                    <w:u w:val="none"/>
                    <w:shd w:val="clear" w:fill="auto"/>
                  </w:rPr>
                </m:ctrlPr>
              </m:sSupPr>
              <m:e>
                <m:r>
                  <m:rPr>
                    <m:nor/>
                  </m:rPr>
                  <w:rPr>
                    <w:rFonts w:hint="default" w:ascii="Times New Roman" w:hAnsi="Times New Roman" w:cs="Times New Roman"/>
                    <w:i/>
                    <w:snapToGrid/>
                    <w:color w:val="auto"/>
                    <w:spacing w:val="0"/>
                    <w:w w:val="100"/>
                    <w:kern w:val="2"/>
                    <w:position w:val="0"/>
                    <w:sz w:val="21"/>
                    <w:highlight w:val="none"/>
                    <w:u w:val="none"/>
                    <w:shd w:val="clear" w:fill="auto"/>
                  </w:rPr>
                  <m:t>A</m:t>
                </m:r>
                <m:ctrlPr>
                  <w:rPr>
                    <w:rFonts w:hint="default" w:ascii="Cambria Math" w:hAnsi="Cambria Math" w:cs="Times New Roman"/>
                    <w:snapToGrid/>
                    <w:color w:val="auto"/>
                    <w:spacing w:val="0"/>
                    <w:w w:val="100"/>
                    <w:kern w:val="2"/>
                    <w:position w:val="0"/>
                    <w:sz w:val="21"/>
                    <w:highlight w:val="none"/>
                    <w:u w:val="none"/>
                    <w:shd w:val="clear" w:fill="auto"/>
                  </w:rPr>
                </m:ctrlPr>
              </m:e>
              <m:sup>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2</m:t>
                </m:r>
                <m:ctrlPr>
                  <w:rPr>
                    <w:rFonts w:hint="default" w:ascii="Cambria Math" w:hAnsi="Cambria Math" w:cs="Times New Roman"/>
                    <w:snapToGrid/>
                    <w:color w:val="auto"/>
                    <w:spacing w:val="0"/>
                    <w:w w:val="100"/>
                    <w:kern w:val="2"/>
                    <w:position w:val="0"/>
                    <w:sz w:val="21"/>
                    <w:highlight w:val="none"/>
                    <w:u w:val="none"/>
                    <w:shd w:val="clear" w:fill="auto"/>
                  </w:rPr>
                </m:ctrlPr>
              </m:sup>
            </m:sSup>
            <m:ctrlPr>
              <w:rPr>
                <w:rFonts w:hint="default" w:ascii="Cambria Math" w:hAnsi="Cambria Math" w:cs="Times New Roman"/>
                <w:snapToGrid/>
                <w:color w:val="auto"/>
                <w:spacing w:val="0"/>
                <w:w w:val="100"/>
                <w:kern w:val="2"/>
                <w:position w:val="0"/>
                <w:sz w:val="21"/>
                <w:highlight w:val="none"/>
                <w:u w:val="none"/>
                <w:shd w:val="clear" w:fill="auto"/>
              </w:rPr>
            </m:ctrlPr>
          </m:den>
        </m:f>
      </m:oMath>
      <w:r>
        <w:rPr>
          <w:rFonts w:hint="eastAsia"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t>。由此，</w:t>
      </w:r>
      <w:r>
        <w:rPr>
          <w:rFonts w:hint="default" w:ascii="Times New Roman" w:hAnsi="Times New Roman" w:cs="Times New Roman" w:eastAsiaTheme="minorEastAsia"/>
          <w:snapToGrid/>
          <w:color w:val="auto"/>
          <w:spacing w:val="0"/>
          <w:w w:val="100"/>
          <w:kern w:val="2"/>
          <w:position w:val="0"/>
          <w:sz w:val="21"/>
          <w:szCs w:val="21"/>
          <w:highlight w:val="none"/>
          <w:u w:val="none"/>
          <w:shd w:val="clear" w:fill="auto"/>
        </w:rPr>
        <w:t>单位时间内通过断面的水流动能增量，即功率通量</w:t>
      </w:r>
      <w:r>
        <w:rPr>
          <w:rFonts w:hint="eastAsia"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t>计算公式如下</w:t>
      </w:r>
    </w:p>
    <w:tbl>
      <w:tblPr>
        <w:tblStyle w:val="9"/>
        <w:tblW w:w="4999" w:type="pct"/>
        <w:tblInd w:w="0" w:type="dxa"/>
        <w:tblLayout w:type="autofit"/>
        <w:tblCellMar>
          <w:top w:w="0" w:type="dxa"/>
          <w:left w:w="108" w:type="dxa"/>
          <w:bottom w:w="0" w:type="dxa"/>
          <w:right w:w="108" w:type="dxa"/>
        </w:tblCellMar>
      </w:tblPr>
      <w:tblGrid>
        <w:gridCol w:w="222"/>
        <w:gridCol w:w="7556"/>
        <w:gridCol w:w="742"/>
      </w:tblGrid>
      <w:tr w14:paraId="59F3CF0F">
        <w:tblPrEx>
          <w:tblCellMar>
            <w:top w:w="0" w:type="dxa"/>
            <w:left w:w="108" w:type="dxa"/>
            <w:bottom w:w="0" w:type="dxa"/>
            <w:right w:w="108" w:type="dxa"/>
          </w:tblCellMar>
        </w:tblPrEx>
        <w:trPr>
          <w:trHeight w:val="603" w:hRule="atLeast"/>
        </w:trPr>
        <w:tc>
          <w:tcPr>
            <w:tcW w:w="186" w:type="pct"/>
            <w:noWrap w:val="0"/>
            <w:vAlign w:val="top"/>
          </w:tcPr>
          <w:p w14:paraId="32E33166">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right"/>
              <w:textAlignment w:val="baseline"/>
              <w:rPr>
                <w:rFonts w:hint="default" w:ascii="Times New Roman" w:hAnsi="Times New Roman" w:cs="Times New Roman"/>
                <w:snapToGrid/>
                <w:color w:val="auto"/>
                <w:spacing w:val="0"/>
                <w:w w:val="100"/>
                <w:kern w:val="2"/>
                <w:position w:val="0"/>
                <w:szCs w:val="28"/>
                <w:highlight w:val="none"/>
                <w:u w:val="none"/>
                <w:shd w:val="clear" w:fill="auto"/>
              </w:rPr>
            </w:pPr>
          </w:p>
        </w:tc>
        <w:tc>
          <w:tcPr>
            <w:tcW w:w="4626" w:type="pct"/>
            <w:noWrap w:val="0"/>
            <w:vAlign w:val="top"/>
          </w:tcPr>
          <w:p w14:paraId="3092BB13">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right"/>
              <w:textAlignment w:val="baseline"/>
              <w:rPr>
                <w:rFonts w:hint="default" w:ascii="Times New Roman" w:hAnsi="Times New Roman" w:cs="Times New Roman"/>
                <w:snapToGrid/>
                <w:color w:val="auto"/>
                <w:spacing w:val="0"/>
                <w:w w:val="100"/>
                <w:kern w:val="2"/>
                <w:position w:val="0"/>
                <w:szCs w:val="28"/>
                <w:highlight w:val="none"/>
                <w:u w:val="none"/>
                <w:shd w:val="clear" w:fill="auto"/>
              </w:rPr>
            </w:pPr>
            <m:oMathPara>
              <m:oMath>
                <m:r>
                  <m:rPr>
                    <m:nor/>
                  </m:rPr>
                  <w:rPr>
                    <w:rFonts w:hint="default" w:ascii="Times New Roman" w:hAnsi="Times New Roman" w:cs="Times New Roman"/>
                    <w:b w:val="0"/>
                    <w:i/>
                    <w:iCs/>
                    <w:snapToGrid/>
                    <w:color w:val="auto"/>
                    <w:spacing w:val="0"/>
                    <w:w w:val="100"/>
                    <w:kern w:val="2"/>
                    <w:position w:val="0"/>
                    <w:sz w:val="21"/>
                    <w:highlight w:val="none"/>
                    <w:u w:val="none"/>
                    <w:shd w:val="clear" w:fill="auto"/>
                  </w:rPr>
                  <m:t>Φ</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sSub>
                  <m:sSubPr>
                    <m:ctrlPr>
                      <w:rPr>
                        <w:rFonts w:hint="default" w:ascii="Cambria Math" w:hAnsi="Cambria Math" w:cs="Times New Roman"/>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b w:val="0"/>
                        <w:i/>
                        <w:iCs/>
                        <w:snapToGrid/>
                        <w:color w:val="auto"/>
                        <w:spacing w:val="0"/>
                        <w:w w:val="100"/>
                        <w:kern w:val="2"/>
                        <w:position w:val="0"/>
                        <w:sz w:val="21"/>
                        <w:highlight w:val="none"/>
                        <w:u w:val="none"/>
                        <w:shd w:val="clear" w:fill="auto"/>
                      </w:rPr>
                      <m:t>Φ</m:t>
                    </m:r>
                    <m:ctrlPr>
                      <w:rPr>
                        <w:rFonts w:hint="default" w:ascii="Cambria Math" w:hAnsi="Cambria Math" w:cs="Times New Roman"/>
                        <w:snapToGrid/>
                        <w:color w:val="auto"/>
                        <w:spacing w:val="0"/>
                        <w:w w:val="100"/>
                        <w:kern w:val="2"/>
                        <w:position w:val="0"/>
                        <w:sz w:val="21"/>
                        <w:highlight w:val="none"/>
                        <w:u w:val="none"/>
                        <w:shd w:val="clear" w:fill="auto"/>
                      </w:rPr>
                    </m:ctrlPr>
                  </m:e>
                  <m:sub>
                    <m:r>
                      <m:rPr>
                        <m:nor/>
                        <m:sty m:val="p"/>
                      </m:rPr>
                      <w:rPr>
                        <w:rFonts w:hint="default" w:ascii="Times New Roman" w:hAnsi="Times New Roman" w:cs="Times New Roman"/>
                        <w:b w:val="0"/>
                        <w:i w:val="0"/>
                        <w:iCs/>
                        <w:snapToGrid/>
                        <w:color w:val="auto"/>
                        <w:spacing w:val="0"/>
                        <w:w w:val="100"/>
                        <w:kern w:val="2"/>
                        <w:position w:val="0"/>
                        <w:sz w:val="21"/>
                        <w:highlight w:val="none"/>
                        <w:u w:val="none"/>
                        <w:shd w:val="clear" w:fill="auto"/>
                      </w:rPr>
                      <m:t>p</m:t>
                    </m:r>
                    <m:ctrlPr>
                      <w:rPr>
                        <w:rFonts w:hint="default" w:ascii="Cambria Math" w:hAnsi="Cambria Math" w:cs="Times New Roman"/>
                        <w:snapToGrid/>
                        <w:color w:val="auto"/>
                        <w:spacing w:val="0"/>
                        <w:w w:val="100"/>
                        <w:kern w:val="2"/>
                        <w:position w:val="0"/>
                        <w:sz w:val="21"/>
                        <w:highlight w:val="none"/>
                        <w:u w:val="none"/>
                        <w:shd w:val="clear" w:fill="auto"/>
                      </w:rPr>
                    </m:ctrlPr>
                  </m:sub>
                </m:sSub>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sSub>
                  <m:sSubPr>
                    <m:ctrlPr>
                      <w:rPr>
                        <w:rFonts w:hint="default" w:ascii="Cambria Math" w:hAnsi="Cambria Math" w:cs="Times New Roman"/>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b w:val="0"/>
                        <w:i/>
                        <w:iCs/>
                        <w:snapToGrid/>
                        <w:color w:val="auto"/>
                        <w:spacing w:val="0"/>
                        <w:w w:val="100"/>
                        <w:kern w:val="2"/>
                        <w:position w:val="0"/>
                        <w:sz w:val="21"/>
                        <w:highlight w:val="none"/>
                        <w:u w:val="none"/>
                        <w:shd w:val="clear" w:fill="auto"/>
                      </w:rPr>
                      <m:t>Φ</m:t>
                    </m:r>
                    <m:ctrlPr>
                      <w:rPr>
                        <w:rFonts w:hint="default" w:ascii="Cambria Math" w:hAnsi="Cambria Math" w:cs="Times New Roman"/>
                        <w:snapToGrid/>
                        <w:color w:val="auto"/>
                        <w:spacing w:val="0"/>
                        <w:w w:val="100"/>
                        <w:kern w:val="2"/>
                        <w:position w:val="0"/>
                        <w:sz w:val="21"/>
                        <w:highlight w:val="none"/>
                        <w:u w:val="none"/>
                        <w:shd w:val="clear" w:fill="auto"/>
                      </w:rPr>
                    </m:ctrlPr>
                  </m:e>
                  <m:sub>
                    <m:r>
                      <m:rPr>
                        <m:nor/>
                        <m:sty m:val="p"/>
                      </m:rPr>
                      <w:rPr>
                        <w:rFonts w:hint="default" w:ascii="Times New Roman" w:hAnsi="Times New Roman" w:cs="Times New Roman"/>
                        <w:b w:val="0"/>
                        <w:i w:val="0"/>
                        <w:iCs/>
                        <w:snapToGrid/>
                        <w:color w:val="auto"/>
                        <w:spacing w:val="0"/>
                        <w:w w:val="100"/>
                        <w:kern w:val="2"/>
                        <w:position w:val="0"/>
                        <w:sz w:val="21"/>
                        <w:highlight w:val="none"/>
                        <w:u w:val="none"/>
                        <w:shd w:val="clear" w:fill="auto"/>
                      </w:rPr>
                      <m:t>k</m:t>
                    </m:r>
                    <m:ctrlPr>
                      <w:rPr>
                        <w:rFonts w:hint="default" w:ascii="Cambria Math" w:hAnsi="Cambria Math" w:cs="Times New Roman"/>
                        <w:snapToGrid/>
                        <w:color w:val="auto"/>
                        <w:spacing w:val="0"/>
                        <w:w w:val="100"/>
                        <w:kern w:val="2"/>
                        <w:position w:val="0"/>
                        <w:sz w:val="21"/>
                        <w:highlight w:val="none"/>
                        <w:u w:val="none"/>
                        <w:shd w:val="clear" w:fill="auto"/>
                      </w:rPr>
                    </m:ctrlPr>
                  </m:sub>
                </m:sSub>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ρgQ</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Z</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sSub>
                  <m:sSubPr>
                    <m:ctrlPr>
                      <w:rPr>
                        <w:rFonts w:hint="default" w:ascii="Cambria Math" w:hAnsi="Cambria Math" w:cs="Times New Roman"/>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i/>
                        <w:snapToGrid/>
                        <w:color w:val="auto"/>
                        <w:spacing w:val="0"/>
                        <w:w w:val="100"/>
                        <w:kern w:val="2"/>
                        <w:position w:val="0"/>
                        <w:sz w:val="21"/>
                        <w:highlight w:val="none"/>
                        <w:u w:val="none"/>
                        <w:shd w:val="clear" w:fill="auto"/>
                      </w:rPr>
                      <m:t>Z</m:t>
                    </m:r>
                    <m:ctrlPr>
                      <w:rPr>
                        <w:rFonts w:hint="default" w:ascii="Cambria Math" w:hAnsi="Cambria Math" w:cs="Times New Roman"/>
                        <w:snapToGrid/>
                        <w:color w:val="auto"/>
                        <w:spacing w:val="0"/>
                        <w:w w:val="100"/>
                        <w:kern w:val="2"/>
                        <w:position w:val="0"/>
                        <w:sz w:val="21"/>
                        <w:highlight w:val="none"/>
                        <w:u w:val="none"/>
                        <w:shd w:val="clear" w:fill="auto"/>
                      </w:rPr>
                    </m:ctrlPr>
                  </m:e>
                  <m:sub>
                    <m:r>
                      <m:rPr>
                        <m:nor/>
                        <m:sty m:val="p"/>
                      </m:rPr>
                      <w:rPr>
                        <w:rFonts w:hint="default" w:ascii="Times New Roman" w:hAnsi="Times New Roman" w:cs="Times New Roman"/>
                        <w:b w:val="0"/>
                        <w:i w:val="0"/>
                        <w:iCs/>
                        <w:snapToGrid/>
                        <w:color w:val="auto"/>
                        <w:spacing w:val="0"/>
                        <w:w w:val="100"/>
                        <w:kern w:val="2"/>
                        <w:position w:val="0"/>
                        <w:sz w:val="21"/>
                        <w:highlight w:val="none"/>
                        <w:u w:val="none"/>
                        <w:shd w:val="clear" w:fill="auto"/>
                      </w:rPr>
                      <m:t>r</m:t>
                    </m:r>
                    <m:ctrlPr>
                      <w:rPr>
                        <w:rFonts w:hint="default" w:ascii="Cambria Math" w:hAnsi="Cambria Math" w:cs="Times New Roman"/>
                        <w:snapToGrid/>
                        <w:color w:val="auto"/>
                        <w:spacing w:val="0"/>
                        <w:w w:val="100"/>
                        <w:kern w:val="2"/>
                        <w:position w:val="0"/>
                        <w:sz w:val="21"/>
                        <w:highlight w:val="none"/>
                        <w:u w:val="none"/>
                        <w:shd w:val="clear" w:fill="auto"/>
                      </w:rPr>
                    </m:ctrlPr>
                  </m:sub>
                </m:sSub>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f>
                  <m:fPr>
                    <m:ctrlPr>
                      <w:rPr>
                        <w:rFonts w:hint="default" w:ascii="Cambria Math" w:hAnsi="Cambria Math" w:cs="Times New Roman"/>
                        <w:i/>
                        <w:snapToGrid/>
                        <w:color w:val="auto"/>
                        <w:spacing w:val="0"/>
                        <w:w w:val="100"/>
                        <w:kern w:val="2"/>
                        <w:position w:val="0"/>
                        <w:sz w:val="21"/>
                        <w:highlight w:val="none"/>
                        <w:u w:val="none"/>
                        <w:shd w:val="clear" w:fill="auto"/>
                      </w:rPr>
                    </m:ctrlPr>
                  </m:fPr>
                  <m:num>
                    <m:r>
                      <m:rPr>
                        <m:nor/>
                      </m:rPr>
                      <w:rPr>
                        <w:rFonts w:hint="default" w:ascii="Times New Roman" w:hAnsi="Times New Roman" w:cs="Times New Roman"/>
                        <w:i/>
                        <w:snapToGrid/>
                        <w:color w:val="auto"/>
                        <w:spacing w:val="0"/>
                        <w:w w:val="100"/>
                        <w:kern w:val="2"/>
                        <w:position w:val="0"/>
                        <w:sz w:val="21"/>
                        <w:highlight w:val="none"/>
                        <w:u w:val="none"/>
                        <w:shd w:val="clear" w:fill="auto"/>
                      </w:rPr>
                      <m:t>ρ</m:t>
                    </m:r>
                    <m:sSup>
                      <m:sSupPr>
                        <m:ctrlPr>
                          <w:rPr>
                            <w:rFonts w:hint="default" w:ascii="Cambria Math" w:hAnsi="Cambria Math" w:cs="Times New Roman"/>
                            <w:snapToGrid/>
                            <w:color w:val="auto"/>
                            <w:spacing w:val="0"/>
                            <w:w w:val="100"/>
                            <w:kern w:val="2"/>
                            <w:position w:val="0"/>
                            <w:sz w:val="21"/>
                            <w:highlight w:val="none"/>
                            <w:u w:val="none"/>
                            <w:shd w:val="clear" w:fill="auto"/>
                          </w:rPr>
                        </m:ctrlPr>
                      </m:sSupPr>
                      <m:e>
                        <m:r>
                          <m:rPr>
                            <m:nor/>
                          </m:rPr>
                          <w:rPr>
                            <w:rFonts w:hint="default" w:ascii="Times New Roman" w:hAnsi="Times New Roman" w:cs="Times New Roman"/>
                            <w:i/>
                            <w:snapToGrid/>
                            <w:color w:val="auto"/>
                            <w:spacing w:val="0"/>
                            <w:w w:val="100"/>
                            <w:kern w:val="2"/>
                            <w:position w:val="0"/>
                            <w:sz w:val="21"/>
                            <w:highlight w:val="none"/>
                            <w:u w:val="none"/>
                            <w:shd w:val="clear" w:fill="auto"/>
                          </w:rPr>
                          <m:t>Q</m:t>
                        </m:r>
                        <m:ctrlPr>
                          <w:rPr>
                            <w:rFonts w:hint="default" w:ascii="Cambria Math" w:hAnsi="Cambria Math" w:cs="Times New Roman"/>
                            <w:snapToGrid/>
                            <w:color w:val="auto"/>
                            <w:spacing w:val="0"/>
                            <w:w w:val="100"/>
                            <w:kern w:val="2"/>
                            <w:position w:val="0"/>
                            <w:sz w:val="21"/>
                            <w:highlight w:val="none"/>
                            <w:u w:val="none"/>
                            <w:shd w:val="clear" w:fill="auto"/>
                          </w:rPr>
                        </m:ctrlPr>
                      </m:e>
                      <m:sup>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3</m:t>
                        </m:r>
                        <m:ctrlPr>
                          <w:rPr>
                            <w:rFonts w:hint="default" w:ascii="Cambria Math" w:hAnsi="Cambria Math" w:cs="Times New Roman"/>
                            <w:snapToGrid/>
                            <w:color w:val="auto"/>
                            <w:spacing w:val="0"/>
                            <w:w w:val="100"/>
                            <w:kern w:val="2"/>
                            <w:position w:val="0"/>
                            <w:sz w:val="21"/>
                            <w:highlight w:val="none"/>
                            <w:u w:val="none"/>
                            <w:shd w:val="clear" w:fill="auto"/>
                          </w:rPr>
                        </m:ctrlPr>
                      </m:sup>
                    </m:sSup>
                    <m:ctrlPr>
                      <w:rPr>
                        <w:rFonts w:hint="default" w:ascii="Cambria Math" w:hAnsi="Cambria Math" w:cs="Times New Roman"/>
                        <w:snapToGrid/>
                        <w:color w:val="auto"/>
                        <w:spacing w:val="0"/>
                        <w:w w:val="100"/>
                        <w:kern w:val="2"/>
                        <w:position w:val="0"/>
                        <w:sz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2</m:t>
                    </m:r>
                    <m:sSup>
                      <m:sSupPr>
                        <m:ctrlPr>
                          <w:rPr>
                            <w:rFonts w:hint="default" w:ascii="Cambria Math" w:hAnsi="Cambria Math" w:cs="Times New Roman"/>
                            <w:snapToGrid/>
                            <w:color w:val="auto"/>
                            <w:spacing w:val="0"/>
                            <w:w w:val="100"/>
                            <w:kern w:val="2"/>
                            <w:position w:val="0"/>
                            <w:sz w:val="21"/>
                            <w:highlight w:val="none"/>
                            <w:u w:val="none"/>
                            <w:shd w:val="clear" w:fill="auto"/>
                          </w:rPr>
                        </m:ctrlPr>
                      </m:sSupPr>
                      <m:e>
                        <m:r>
                          <m:rPr>
                            <m:nor/>
                          </m:rPr>
                          <w:rPr>
                            <w:rFonts w:hint="default" w:ascii="Times New Roman" w:hAnsi="Times New Roman" w:cs="Times New Roman"/>
                            <w:i/>
                            <w:snapToGrid/>
                            <w:color w:val="auto"/>
                            <w:spacing w:val="0"/>
                            <w:w w:val="100"/>
                            <w:kern w:val="2"/>
                            <w:position w:val="0"/>
                            <w:sz w:val="21"/>
                            <w:highlight w:val="none"/>
                            <w:u w:val="none"/>
                            <w:shd w:val="clear" w:fill="auto"/>
                          </w:rPr>
                          <m:t>A</m:t>
                        </m:r>
                        <m:ctrlPr>
                          <w:rPr>
                            <w:rFonts w:hint="default" w:ascii="Cambria Math" w:hAnsi="Cambria Math" w:cs="Times New Roman"/>
                            <w:snapToGrid/>
                            <w:color w:val="auto"/>
                            <w:spacing w:val="0"/>
                            <w:w w:val="100"/>
                            <w:kern w:val="2"/>
                            <w:position w:val="0"/>
                            <w:sz w:val="21"/>
                            <w:highlight w:val="none"/>
                            <w:u w:val="none"/>
                            <w:shd w:val="clear" w:fill="auto"/>
                          </w:rPr>
                        </m:ctrlPr>
                      </m:e>
                      <m:sup>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2</m:t>
                        </m:r>
                        <m:ctrlPr>
                          <w:rPr>
                            <w:rFonts w:hint="default" w:ascii="Cambria Math" w:hAnsi="Cambria Math" w:cs="Times New Roman"/>
                            <w:snapToGrid/>
                            <w:color w:val="auto"/>
                            <w:spacing w:val="0"/>
                            <w:w w:val="100"/>
                            <w:kern w:val="2"/>
                            <w:position w:val="0"/>
                            <w:sz w:val="21"/>
                            <w:highlight w:val="none"/>
                            <w:u w:val="none"/>
                            <w:shd w:val="clear" w:fill="auto"/>
                          </w:rPr>
                        </m:ctrlPr>
                      </m:sup>
                    </m:sSup>
                    <m:ctrlPr>
                      <w:rPr>
                        <w:rFonts w:hint="default" w:ascii="Cambria Math" w:hAnsi="Cambria Math" w:cs="Times New Roman"/>
                        <w:snapToGrid/>
                        <w:color w:val="auto"/>
                        <w:spacing w:val="0"/>
                        <w:w w:val="100"/>
                        <w:kern w:val="2"/>
                        <w:position w:val="0"/>
                        <w:sz w:val="21"/>
                        <w:highlight w:val="none"/>
                        <w:u w:val="none"/>
                        <w:shd w:val="clear" w:fill="auto"/>
                      </w:rPr>
                    </m:ctrlPr>
                  </m:den>
                </m:f>
              </m:oMath>
            </m:oMathPara>
          </w:p>
        </w:tc>
        <w:tc>
          <w:tcPr>
            <w:tcW w:w="186" w:type="pct"/>
            <w:noWrap w:val="0"/>
            <w:vAlign w:val="center"/>
          </w:tcPr>
          <w:p w14:paraId="63CFDAA4">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right"/>
              <w:textAlignment w:val="baseline"/>
              <w:rPr>
                <w:rFonts w:hint="eastAsia" w:ascii="Times New Roman" w:hAnsi="Times New Roman" w:eastAsia="宋体" w:cs="Times New Roman"/>
                <w:snapToGrid/>
                <w:color w:val="auto"/>
                <w:spacing w:val="0"/>
                <w:w w:val="100"/>
                <w:kern w:val="2"/>
                <w:position w:val="0"/>
                <w:szCs w:val="28"/>
                <w:highlight w:val="none"/>
                <w:u w:val="none"/>
                <w:shd w:val="clear" w:fill="auto"/>
                <w:lang w:eastAsia="zh-CN"/>
              </w:rPr>
            </w:pPr>
            <w:r>
              <w:rPr>
                <w:rFonts w:hint="eastAsia" w:ascii="Times New Roman" w:hAnsi="Times New Roman" w:eastAsia="宋体" w:cs="Times New Roman"/>
                <w:snapToGrid/>
                <w:color w:val="auto"/>
                <w:spacing w:val="0"/>
                <w:w w:val="100"/>
                <w:kern w:val="2"/>
                <w:position w:val="0"/>
                <w:szCs w:val="28"/>
                <w:highlight w:val="none"/>
                <w:u w:val="none"/>
                <w:shd w:val="clear" w:fill="auto"/>
                <w:lang w:eastAsia="zh-CN"/>
              </w:rPr>
              <w:t>（</w:t>
            </w:r>
            <w:r>
              <w:rPr>
                <w:rFonts w:hint="eastAsia" w:ascii="Times New Roman" w:hAnsi="Times New Roman" w:eastAsia="宋体" w:cs="Times New Roman"/>
                <w:snapToGrid/>
                <w:color w:val="auto"/>
                <w:spacing w:val="0"/>
                <w:w w:val="100"/>
                <w:kern w:val="2"/>
                <w:position w:val="0"/>
                <w:szCs w:val="28"/>
                <w:highlight w:val="none"/>
                <w:u w:val="none"/>
                <w:shd w:val="clear" w:fill="auto"/>
                <w:lang w:val="en-US" w:eastAsia="zh-CN"/>
              </w:rPr>
              <w:t>1</w:t>
            </w:r>
            <w:r>
              <w:rPr>
                <w:rFonts w:hint="eastAsia" w:ascii="Times New Roman" w:hAnsi="Times New Roman" w:eastAsia="宋体" w:cs="Times New Roman"/>
                <w:snapToGrid/>
                <w:color w:val="auto"/>
                <w:spacing w:val="0"/>
                <w:w w:val="100"/>
                <w:kern w:val="2"/>
                <w:position w:val="0"/>
                <w:szCs w:val="28"/>
                <w:highlight w:val="none"/>
                <w:u w:val="none"/>
                <w:shd w:val="clear" w:fill="auto"/>
                <w:lang w:eastAsia="zh-CN"/>
              </w:rPr>
              <w:t>）</w:t>
            </w:r>
          </w:p>
        </w:tc>
      </w:tr>
    </w:tbl>
    <w:p w14:paraId="131BF7F8">
      <w:pPr>
        <w:pageBreakBefore w:val="0"/>
        <w:kinsoku/>
        <w:wordWrap/>
        <w:overflowPunct/>
        <w:topLinePunct w:val="0"/>
        <w:autoSpaceDE/>
        <w:autoSpaceDN/>
        <w:bidi w:val="0"/>
        <w:adjustRightInd/>
        <w:snapToGrid/>
        <w:spacing w:line="240" w:lineRule="auto"/>
        <w:ind w:left="0" w:leftChars="0" w:right="0" w:rightChars="0" w:firstLine="0" w:firstLineChars="0"/>
        <w:textAlignment w:val="cente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pPr>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式中，</w:t>
      </w:r>
      <m:oMath>
        <m:r>
          <m:rPr>
            <m:nor/>
          </m:rPr>
          <w:rPr>
            <w:rFonts w:hint="default" w:ascii="Times New Roman" w:hAnsi="Times New Roman" w:cs="Times New Roman"/>
            <w:b w:val="0"/>
            <w:i/>
            <w:iCs/>
            <w:snapToGrid/>
            <w:color w:val="auto"/>
            <w:spacing w:val="0"/>
            <w:w w:val="100"/>
            <w:kern w:val="2"/>
            <w:position w:val="0"/>
            <w:sz w:val="21"/>
            <w:highlight w:val="none"/>
            <w:u w:val="none"/>
            <w:shd w:val="clear" w:fill="auto"/>
          </w:rPr>
          <m:t>Φ</m:t>
        </m:r>
      </m:oMath>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为水动力功率通量（W）</w:t>
      </w:r>
      <w:r>
        <w:rPr>
          <w:rFonts w:hint="eastAsia" w:ascii="Times New Roman" w:hAnsi="Times New Roman" w:cs="Times New Roman" w:eastAsiaTheme="minorEastAsia"/>
          <w:i w:val="0"/>
          <w:iCs w:val="0"/>
          <w:snapToGrid/>
          <w:color w:val="auto"/>
          <w:spacing w:val="0"/>
          <w:w w:val="100"/>
          <w:kern w:val="2"/>
          <w:position w:val="0"/>
          <w:sz w:val="21"/>
          <w:szCs w:val="21"/>
          <w:highlight w:val="none"/>
          <w:u w:val="none"/>
          <w:shd w:val="clear" w:fill="auto"/>
          <w:lang w:eastAsia="zh-CN"/>
        </w:rPr>
        <w:t>；</w:t>
      </w:r>
      <m:oMath>
        <m:sSub>
          <m:sSubPr>
            <m:ctrlPr>
              <w:rPr>
                <w:rFonts w:hint="default" w:ascii="Cambria Math" w:hAnsi="Cambria Math" w:cs="Times New Roman"/>
                <w:i w:val="0"/>
                <w:iCs w:val="0"/>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b w:val="0"/>
                <w:i/>
                <w:iCs/>
                <w:snapToGrid/>
                <w:color w:val="auto"/>
                <w:spacing w:val="0"/>
                <w:w w:val="100"/>
                <w:kern w:val="2"/>
                <w:position w:val="0"/>
                <w:sz w:val="21"/>
                <w:highlight w:val="none"/>
                <w:u w:val="none"/>
                <w:shd w:val="clear" w:fill="auto"/>
              </w:rPr>
              <m:t>Φ</m:t>
            </m:r>
            <m:ctrlPr>
              <w:rPr>
                <w:rFonts w:hint="default" w:ascii="Cambria Math" w:hAnsi="Cambria Math" w:cs="Times New Roman"/>
                <w:i w:val="0"/>
                <w:iCs w:val="0"/>
                <w:snapToGrid/>
                <w:color w:val="auto"/>
                <w:spacing w:val="0"/>
                <w:w w:val="100"/>
                <w:kern w:val="2"/>
                <w:position w:val="0"/>
                <w:sz w:val="21"/>
                <w:highlight w:val="none"/>
                <w:u w:val="none"/>
                <w:shd w:val="clear" w:fill="auto"/>
              </w:rPr>
            </m:ctrlPr>
          </m:e>
          <m:sub>
            <m:r>
              <m:rPr>
                <m:nor/>
                <m:sty m:val="p"/>
              </m:rPr>
              <w:rPr>
                <w:rFonts w:hint="default" w:ascii="Times New Roman" w:hAnsi="Times New Roman" w:cs="Times New Roman"/>
                <w:b w:val="0"/>
                <w:i w:val="0"/>
                <w:iCs w:val="0"/>
                <w:snapToGrid/>
                <w:color w:val="auto"/>
                <w:spacing w:val="0"/>
                <w:w w:val="100"/>
                <w:kern w:val="2"/>
                <w:position w:val="0"/>
                <w:sz w:val="21"/>
                <w:highlight w:val="none"/>
                <w:u w:val="none"/>
                <w:shd w:val="clear" w:fill="auto"/>
              </w:rPr>
              <m:t>p</m:t>
            </m:r>
            <m:ctrlPr>
              <w:rPr>
                <w:rFonts w:hint="default" w:ascii="Cambria Math" w:hAnsi="Cambria Math" w:cs="Times New Roman"/>
                <w:i w:val="0"/>
                <w:iCs w:val="0"/>
                <w:snapToGrid/>
                <w:color w:val="auto"/>
                <w:spacing w:val="0"/>
                <w:w w:val="100"/>
                <w:kern w:val="2"/>
                <w:position w:val="0"/>
                <w:sz w:val="21"/>
                <w:highlight w:val="none"/>
                <w:u w:val="none"/>
                <w:shd w:val="clear" w:fill="auto"/>
              </w:rPr>
            </m:ctrlPr>
          </m:sub>
        </m:sSub>
      </m:oMath>
      <w:r>
        <w:rPr>
          <w:rFonts w:hint="eastAsia" w:hAnsi="Cambria Math" w:eastAsia="宋体" w:cs="Times New Roman"/>
          <w:i w:val="0"/>
          <w:iCs w:val="0"/>
          <w:snapToGrid/>
          <w:color w:val="auto"/>
          <w:spacing w:val="0"/>
          <w:w w:val="100"/>
          <w:kern w:val="2"/>
          <w:position w:val="0"/>
          <w:sz w:val="21"/>
          <w:highlight w:val="none"/>
          <w:u w:val="none"/>
          <w:shd w:val="clear" w:fill="auto"/>
          <w:lang w:val="en-US" w:eastAsia="zh-CN"/>
        </w:rPr>
        <w:t>为势能项，</w:t>
      </w:r>
      <m:oMath>
        <m:sSub>
          <m:sSubPr>
            <m:ctrlPr>
              <w:rPr>
                <w:rFonts w:hint="default" w:ascii="Cambria Math" w:hAnsi="Cambria Math" w:cs="Times New Roman"/>
                <w:i w:val="0"/>
                <w:iCs w:val="0"/>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b w:val="0"/>
                <w:i/>
                <w:iCs/>
                <w:snapToGrid/>
                <w:color w:val="auto"/>
                <w:spacing w:val="0"/>
                <w:w w:val="100"/>
                <w:kern w:val="2"/>
                <w:position w:val="0"/>
                <w:sz w:val="21"/>
                <w:highlight w:val="none"/>
                <w:u w:val="none"/>
                <w:shd w:val="clear" w:fill="auto"/>
              </w:rPr>
              <m:t>Φ</m:t>
            </m:r>
            <m:ctrlPr>
              <w:rPr>
                <w:rFonts w:hint="default" w:ascii="Cambria Math" w:hAnsi="Cambria Math" w:cs="Times New Roman"/>
                <w:i w:val="0"/>
                <w:iCs w:val="0"/>
                <w:snapToGrid/>
                <w:color w:val="auto"/>
                <w:spacing w:val="0"/>
                <w:w w:val="100"/>
                <w:kern w:val="2"/>
                <w:position w:val="0"/>
                <w:sz w:val="21"/>
                <w:highlight w:val="none"/>
                <w:u w:val="none"/>
                <w:shd w:val="clear" w:fill="auto"/>
              </w:rPr>
            </m:ctrlPr>
          </m:e>
          <m:sub>
            <m:r>
              <m:rPr>
                <m:sty m:val="p"/>
              </m:rPr>
              <w:rPr>
                <w:rFonts w:hint="default" w:ascii="Cambria Math" w:hAnsi="Cambria Math" w:eastAsia="宋体" w:cs="Times New Roman"/>
                <w:snapToGrid/>
                <w:color w:val="auto"/>
                <w:spacing w:val="0"/>
                <w:w w:val="100"/>
                <w:kern w:val="2"/>
                <w:position w:val="0"/>
                <w:sz w:val="21"/>
                <w:highlight w:val="none"/>
                <w:u w:val="none"/>
                <w:shd w:val="clear" w:fill="auto"/>
                <w:lang w:val="en-US" w:eastAsia="zh-CN"/>
              </w:rPr>
              <m:t>k</m:t>
            </m:r>
            <m:ctrlPr>
              <w:rPr>
                <w:rFonts w:hint="default" w:ascii="Cambria Math" w:hAnsi="Cambria Math" w:cs="Times New Roman"/>
                <w:i w:val="0"/>
                <w:iCs w:val="0"/>
                <w:snapToGrid/>
                <w:color w:val="auto"/>
                <w:spacing w:val="0"/>
                <w:w w:val="100"/>
                <w:kern w:val="2"/>
                <w:position w:val="0"/>
                <w:sz w:val="21"/>
                <w:highlight w:val="none"/>
                <w:u w:val="none"/>
                <w:shd w:val="clear" w:fill="auto"/>
              </w:rPr>
            </m:ctrlPr>
          </m:sub>
        </m:sSub>
        <m:r>
          <m:rPr>
            <m:sty m:val="p"/>
          </m:rPr>
          <w:rPr>
            <w:rFonts w:hint="eastAsia" w:ascii="Cambria Math" w:hAnsi="Cambria Math" w:eastAsia="宋体" w:cs="Times New Roman"/>
            <w:snapToGrid/>
            <w:color w:val="auto"/>
            <w:spacing w:val="0"/>
            <w:w w:val="100"/>
            <w:kern w:val="2"/>
            <w:position w:val="0"/>
            <w:sz w:val="21"/>
            <w:highlight w:val="none"/>
            <w:u w:val="none"/>
            <w:shd w:val="clear" w:fill="auto"/>
            <w:lang w:val="en-US" w:eastAsia="zh-CN"/>
          </w:rPr>
          <m:t>为动能项</m:t>
        </m:r>
      </m:oMath>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w:t>
      </w:r>
      <m:oMath>
        <m:r>
          <m:rPr>
            <m:nor/>
          </m:rPr>
          <w:rPr>
            <w:rFonts w:hint="default" w:ascii="Times New Roman" w:hAnsi="Times New Roman" w:cs="Times New Roman"/>
            <w:b w:val="0"/>
            <w:i/>
            <w:iCs/>
            <w:snapToGrid/>
            <w:color w:val="auto"/>
            <w:spacing w:val="0"/>
            <w:w w:val="100"/>
            <w:kern w:val="2"/>
            <w:position w:val="0"/>
            <w:sz w:val="21"/>
            <w:highlight w:val="none"/>
            <w:u w:val="none"/>
            <w:shd w:val="clear" w:fill="auto"/>
          </w:rPr>
          <m:t>ρ</m:t>
        </m:r>
      </m:oMath>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为水的密度（1000kg/m</w:t>
      </w:r>
      <w:r>
        <w:rPr>
          <w:rFonts w:hint="eastAsia" w:ascii="Times New Roman" w:hAnsi="Times New Roman" w:cs="Times New Roman" w:eastAsiaTheme="minorEastAsia"/>
          <w:i w:val="0"/>
          <w:iCs w:val="0"/>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w:t>
      </w:r>
      <w:r>
        <w:rPr>
          <w:rFonts w:hint="default" w:ascii="Times New Roman" w:hAnsi="Times New Roman" w:cs="Times New Roman" w:eastAsiaTheme="minorEastAsia"/>
          <w:i/>
          <w:iCs/>
          <w:snapToGrid/>
          <w:color w:val="auto"/>
          <w:spacing w:val="0"/>
          <w:w w:val="100"/>
          <w:kern w:val="2"/>
          <w:position w:val="0"/>
          <w:sz w:val="21"/>
          <w:szCs w:val="21"/>
          <w:highlight w:val="none"/>
          <w:u w:val="none"/>
          <w:shd w:val="clear" w:fill="auto"/>
        </w:rPr>
        <w:t>g</w:t>
      </w:r>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为重力加速度（9.81m/s</w:t>
      </w:r>
      <w:r>
        <w:rPr>
          <w:rFonts w:hint="eastAsia" w:ascii="Times New Roman" w:hAnsi="Times New Roman" w:cs="Times New Roman" w:eastAsiaTheme="minorEastAsia"/>
          <w:i w:val="0"/>
          <w:iCs w:val="0"/>
          <w:snapToGrid/>
          <w:color w:val="auto"/>
          <w:spacing w:val="0"/>
          <w:w w:val="100"/>
          <w:kern w:val="2"/>
          <w:position w:val="0"/>
          <w:sz w:val="21"/>
          <w:szCs w:val="21"/>
          <w:highlight w:val="none"/>
          <w:u w:val="none"/>
          <w:shd w:val="clear" w:fill="auto"/>
          <w:vertAlign w:val="superscript"/>
          <w:lang w:val="en-US" w:eastAsia="zh-CN"/>
        </w:rPr>
        <w:t>2</w:t>
      </w:r>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w:t>
      </w:r>
      <w:r>
        <w:rPr>
          <w:rFonts w:hint="default" w:ascii="Times New Roman" w:hAnsi="Times New Roman" w:cs="Times New Roman" w:eastAsiaTheme="minorEastAsia"/>
          <w:i/>
          <w:iCs/>
          <w:snapToGrid/>
          <w:color w:val="auto"/>
          <w:spacing w:val="0"/>
          <w:w w:val="100"/>
          <w:kern w:val="2"/>
          <w:position w:val="0"/>
          <w:sz w:val="21"/>
          <w:szCs w:val="21"/>
          <w:highlight w:val="none"/>
          <w:u w:val="none"/>
          <w:shd w:val="clear" w:fill="auto"/>
        </w:rPr>
        <w:t>Q</w:t>
      </w:r>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为断面流量（m</w:t>
      </w:r>
      <w:r>
        <w:rPr>
          <w:rFonts w:hint="eastAsia" w:ascii="Times New Roman" w:hAnsi="Times New Roman" w:cs="Times New Roman" w:eastAsiaTheme="minorEastAsia"/>
          <w:i w:val="0"/>
          <w:iCs w:val="0"/>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/s）；</w:t>
      </w:r>
      <w:r>
        <w:rPr>
          <w:rFonts w:hint="default" w:ascii="Times New Roman" w:hAnsi="Times New Roman" w:cs="Times New Roman" w:eastAsiaTheme="minorEastAsia"/>
          <w:i/>
          <w:iCs/>
          <w:snapToGrid/>
          <w:color w:val="auto"/>
          <w:spacing w:val="0"/>
          <w:w w:val="100"/>
          <w:kern w:val="2"/>
          <w:position w:val="0"/>
          <w:sz w:val="21"/>
          <w:szCs w:val="21"/>
          <w:highlight w:val="none"/>
          <w:u w:val="none"/>
          <w:shd w:val="clear" w:fill="auto"/>
        </w:rPr>
        <w:t>Z</w:t>
      </w:r>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为断面水位（m</w:t>
      </w:r>
      <w:r>
        <w:rPr>
          <w:rFonts w:hint="eastAsia" w:ascii="Times New Roman" w:hAnsi="Times New Roman" w:cs="Times New Roman" w:eastAsiaTheme="minorEastAsia"/>
          <w:i w:val="0"/>
          <w:iCs w:val="0"/>
          <w:snapToGrid/>
          <w:color w:val="auto"/>
          <w:spacing w:val="0"/>
          <w:w w:val="100"/>
          <w:kern w:val="2"/>
          <w:position w:val="0"/>
          <w:sz w:val="21"/>
          <w:szCs w:val="21"/>
          <w:highlight w:val="none"/>
          <w:u w:val="none"/>
          <w:shd w:val="clear" w:fill="auto"/>
          <w:lang w:eastAsia="zh-CN"/>
        </w:rPr>
        <w:t>），</w:t>
      </w:r>
      <m:oMath>
        <m:sSub>
          <m:sSubPr>
            <m:ctrlPr>
              <w:rPr>
                <w:rFonts w:hint="default" w:ascii="Cambria Math" w:hAnsi="Cambria Math" w:cs="Times New Roman"/>
                <w:i w:val="0"/>
                <w:iCs w:val="0"/>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b w:val="0"/>
                <w:i/>
                <w:iCs/>
                <w:snapToGrid/>
                <w:color w:val="auto"/>
                <w:spacing w:val="0"/>
                <w:w w:val="100"/>
                <w:kern w:val="2"/>
                <w:position w:val="0"/>
                <w:sz w:val="21"/>
                <w:highlight w:val="none"/>
                <w:u w:val="none"/>
                <w:shd w:val="clear" w:fill="auto"/>
              </w:rPr>
              <m:t>Z</m:t>
            </m:r>
            <m:ctrlPr>
              <w:rPr>
                <w:rFonts w:hint="default" w:ascii="Cambria Math" w:hAnsi="Cambria Math" w:cs="Times New Roman"/>
                <w:i w:val="0"/>
                <w:iCs w:val="0"/>
                <w:snapToGrid/>
                <w:color w:val="auto"/>
                <w:spacing w:val="0"/>
                <w:w w:val="100"/>
                <w:kern w:val="2"/>
                <w:position w:val="0"/>
                <w:sz w:val="21"/>
                <w:highlight w:val="none"/>
                <w:u w:val="none"/>
                <w:shd w:val="clear" w:fill="auto"/>
              </w:rPr>
            </m:ctrlPr>
          </m:e>
          <m:sub>
            <m:r>
              <m:rPr>
                <m:nor/>
                <m:sty m:val="p"/>
              </m:rPr>
              <w:rPr>
                <w:rFonts w:hint="default" w:ascii="Times New Roman" w:hAnsi="Times New Roman" w:cs="Times New Roman"/>
                <w:b w:val="0"/>
                <w:i w:val="0"/>
                <w:iCs w:val="0"/>
                <w:snapToGrid/>
                <w:color w:val="auto"/>
                <w:spacing w:val="0"/>
                <w:w w:val="100"/>
                <w:kern w:val="2"/>
                <w:position w:val="0"/>
                <w:sz w:val="21"/>
                <w:highlight w:val="none"/>
                <w:u w:val="none"/>
                <w:shd w:val="clear" w:fill="auto"/>
              </w:rPr>
              <m:t>r</m:t>
            </m:r>
            <m:ctrlPr>
              <w:rPr>
                <w:rFonts w:hint="default" w:ascii="Cambria Math" w:hAnsi="Cambria Math" w:cs="Times New Roman"/>
                <w:i w:val="0"/>
                <w:iCs w:val="0"/>
                <w:snapToGrid/>
                <w:color w:val="auto"/>
                <w:spacing w:val="0"/>
                <w:w w:val="100"/>
                <w:kern w:val="2"/>
                <w:position w:val="0"/>
                <w:sz w:val="21"/>
                <w:highlight w:val="none"/>
                <w:u w:val="none"/>
                <w:shd w:val="clear" w:fill="auto"/>
              </w:rPr>
            </m:ctrlPr>
          </m:sub>
        </m:sSub>
      </m:oMath>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为参考断面水位</w:t>
      </w:r>
      <w:r>
        <w:rPr>
          <w:rFonts w:hint="eastAsia" w:ascii="Times New Roman" w:hAnsi="Times New Roman" w:cs="Times New Roman" w:eastAsiaTheme="minorEastAsia"/>
          <w:i w:val="0"/>
          <w:iCs w:val="0"/>
          <w:snapToGrid/>
          <w:color w:val="auto"/>
          <w:spacing w:val="0"/>
          <w:w w:val="100"/>
          <w:kern w:val="2"/>
          <w:position w:val="0"/>
          <w:sz w:val="21"/>
          <w:szCs w:val="21"/>
          <w:highlight w:val="none"/>
          <w:u w:val="none"/>
          <w:shd w:val="clear" w:fill="auto"/>
          <w:lang w:eastAsia="zh-CN"/>
        </w:rPr>
        <w:t>（</w:t>
      </w:r>
      <w:r>
        <w:rPr>
          <w:rFonts w:hint="eastAsia" w:ascii="Times New Roman" w:hAnsi="Times New Roman" w:cs="Times New Roman" w:eastAsiaTheme="minorEastAsia"/>
          <w:i w:val="0"/>
          <w:iCs w:val="0"/>
          <w:snapToGrid/>
          <w:color w:val="auto"/>
          <w:spacing w:val="0"/>
          <w:w w:val="100"/>
          <w:kern w:val="2"/>
          <w:position w:val="0"/>
          <w:sz w:val="21"/>
          <w:szCs w:val="21"/>
          <w:highlight w:val="none"/>
          <w:u w:val="none"/>
          <w:shd w:val="clear" w:fill="auto"/>
          <w:lang w:val="en-US" w:eastAsia="zh-CN"/>
        </w:rPr>
        <w:t>m</w:t>
      </w:r>
      <w:r>
        <w:rPr>
          <w:rFonts w:hint="eastAsia" w:ascii="Times New Roman" w:hAnsi="Times New Roman" w:cs="Times New Roman" w:eastAsiaTheme="minorEastAsia"/>
          <w:i w:val="0"/>
          <w:iCs w:val="0"/>
          <w:snapToGrid/>
          <w:color w:val="auto"/>
          <w:spacing w:val="0"/>
          <w:w w:val="100"/>
          <w:kern w:val="2"/>
          <w:position w:val="0"/>
          <w:sz w:val="21"/>
          <w:szCs w:val="21"/>
          <w:highlight w:val="none"/>
          <w:u w:val="none"/>
          <w:shd w:val="clear" w:fill="auto"/>
          <w:lang w:eastAsia="zh-CN"/>
        </w:rPr>
        <w:t>）</w:t>
      </w:r>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w:t>
      </w:r>
      <w:r>
        <w:rPr>
          <w:rFonts w:hint="eastAsia" w:ascii="Times New Roman" w:hAnsi="Times New Roman" w:cs="Times New Roman" w:eastAsiaTheme="minorEastAsia"/>
          <w:i/>
          <w:iCs/>
          <w:snapToGrid/>
          <w:color w:val="auto"/>
          <w:spacing w:val="0"/>
          <w:w w:val="100"/>
          <w:kern w:val="2"/>
          <w:position w:val="0"/>
          <w:sz w:val="21"/>
          <w:szCs w:val="21"/>
          <w:highlight w:val="none"/>
          <w:u w:val="none"/>
          <w:shd w:val="clear" w:fill="auto"/>
          <w:lang w:val="en-US" w:eastAsia="zh-CN"/>
        </w:rPr>
        <w:t>A</w:t>
      </w:r>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为过水断面面积（m</w:t>
      </w:r>
      <w:r>
        <w:rPr>
          <w:rFonts w:hint="eastAsia" w:ascii="Times New Roman" w:hAnsi="Times New Roman" w:cs="Times New Roman" w:eastAsiaTheme="minorEastAsia"/>
          <w:i w:val="0"/>
          <w:iCs w:val="0"/>
          <w:snapToGrid/>
          <w:color w:val="auto"/>
          <w:spacing w:val="0"/>
          <w:w w:val="100"/>
          <w:kern w:val="2"/>
          <w:position w:val="0"/>
          <w:sz w:val="21"/>
          <w:szCs w:val="21"/>
          <w:highlight w:val="none"/>
          <w:u w:val="none"/>
          <w:shd w:val="clear" w:fill="auto"/>
          <w:vertAlign w:val="superscript"/>
          <w:lang w:val="en-US" w:eastAsia="zh-CN"/>
        </w:rPr>
        <w:t>2</w:t>
      </w:r>
      <w:r>
        <w:rPr>
          <w:rFonts w:hint="default" w:ascii="Times New Roman" w:hAnsi="Times New Roman" w:cs="Times New Roman" w:eastAsiaTheme="minorEastAsia"/>
          <w:i w:val="0"/>
          <w:iCs w:val="0"/>
          <w:snapToGrid/>
          <w:color w:val="auto"/>
          <w:spacing w:val="0"/>
          <w:w w:val="100"/>
          <w:kern w:val="2"/>
          <w:position w:val="0"/>
          <w:sz w:val="21"/>
          <w:szCs w:val="21"/>
          <w:highlight w:val="none"/>
          <w:u w:val="none"/>
          <w:shd w:val="clear" w:fill="auto"/>
        </w:rPr>
        <w:t>）。</w:t>
      </w:r>
    </w:p>
    <w:p w14:paraId="51DFCC07">
      <w:pPr>
        <w:pageBreakBefore w:val="0"/>
        <w:kinsoku/>
        <w:wordWrap/>
        <w:overflowPunct/>
        <w:topLinePunct w:val="0"/>
        <w:autoSpaceDE/>
        <w:autoSpaceDN/>
        <w:bidi w:val="0"/>
        <w:adjustRightInd/>
        <w:snapToGrid/>
        <w:spacing w:line="240" w:lineRule="auto"/>
        <w:ind w:left="0" w:leftChars="0" w:right="0" w:rightChars="0" w:firstLine="420" w:firstLineChars="200"/>
        <w:textAlignment w:val="center"/>
        <w:rPr>
          <w:rFonts w:hint="eastAsia" w:hAnsi="Times New Roman" w:eastAsia="宋体" w:cs="Times New Roman"/>
          <w:i w:val="0"/>
          <w:iCs w:val="0"/>
          <w:snapToGrid/>
          <w:color w:val="auto"/>
          <w:spacing w:val="0"/>
          <w:w w:val="100"/>
          <w:kern w:val="2"/>
          <w:position w:val="0"/>
          <w:sz w:val="21"/>
          <w:highlight w:val="none"/>
          <w:u w:val="none"/>
          <w:shd w:val="clear" w:fill="auto"/>
          <w:lang w:val="en-US" w:eastAsia="zh-CN"/>
        </w:rPr>
      </w:pPr>
      <w:r>
        <w:rPr>
          <w:rFonts w:hint="eastAsia" w:ascii="Times New Roman" w:hAnsi="Times New Roman" w:cs="Times New Roman" w:eastAsiaTheme="minorEastAsia"/>
          <w:i w:val="0"/>
          <w:iCs w:val="0"/>
          <w:snapToGrid/>
          <w:color w:val="auto"/>
          <w:spacing w:val="0"/>
          <w:w w:val="100"/>
          <w:kern w:val="2"/>
          <w:position w:val="0"/>
          <w:sz w:val="21"/>
          <w:szCs w:val="21"/>
          <w:highlight w:val="none"/>
          <w:u w:val="none"/>
          <w:shd w:val="clear" w:fill="auto"/>
          <w:lang w:val="en-US" w:eastAsia="zh-CN"/>
        </w:rPr>
        <w:t>在本研究中，</w:t>
      </w:r>
      <m:oMath>
        <m:r>
          <m:rPr>
            <m:nor/>
          </m:rPr>
          <w:rPr>
            <w:rFonts w:hint="default" w:ascii="Times New Roman" w:hAnsi="Times New Roman" w:cs="Times New Roman"/>
            <w:b w:val="0"/>
            <w:i/>
            <w:iCs/>
            <w:snapToGrid/>
            <w:color w:val="auto"/>
            <w:spacing w:val="0"/>
            <w:w w:val="100"/>
            <w:kern w:val="2"/>
            <w:position w:val="0"/>
            <w:sz w:val="21"/>
            <w:highlight w:val="none"/>
            <w:u w:val="none"/>
            <w:shd w:val="clear" w:fill="auto"/>
          </w:rPr>
          <m:t>Φ</m:t>
        </m:r>
      </m:oMath>
      <w:r>
        <w:rPr>
          <w:rFonts w:hint="eastAsia" w:hAnsi="Times New Roman" w:eastAsia="宋体" w:cs="Times New Roman"/>
          <w:i w:val="0"/>
          <w:iCs w:val="0"/>
          <w:snapToGrid/>
          <w:color w:val="auto"/>
          <w:spacing w:val="0"/>
          <w:w w:val="100"/>
          <w:kern w:val="2"/>
          <w:position w:val="0"/>
          <w:sz w:val="21"/>
          <w:highlight w:val="none"/>
          <w:u w:val="none"/>
          <w:shd w:val="clear" w:fill="auto"/>
          <w:lang w:val="en-US" w:eastAsia="zh-CN"/>
        </w:rPr>
        <w:t>为相对百渎口基准的断面功率通量，</w:t>
      </w:r>
      <w:r>
        <w:rPr>
          <w:rFonts w:hint="eastAsia" w:hAnsi="Times New Roman" w:eastAsia="宋体" w:cs="Times New Roman"/>
          <w:snapToGrid/>
          <w:color w:val="auto"/>
          <w:kern w:val="2"/>
          <w:highlight w:val="none"/>
          <w:u w:val="none"/>
          <w:shd w:val="clear" w:fill="auto"/>
          <w:lang w:eastAsia="zh-CN"/>
        </w:rPr>
        <w:t>百渎口是研究区域</w:t>
      </w:r>
      <w:r>
        <w:rPr>
          <w:rFonts w:hint="eastAsia" w:hAnsi="Times New Roman" w:eastAsia="宋体" w:cs="Times New Roman"/>
          <w:snapToGrid/>
          <w:color w:val="auto"/>
          <w:kern w:val="2"/>
          <w:highlight w:val="none"/>
          <w:u w:val="none"/>
          <w:shd w:val="clear" w:fill="auto"/>
          <w:lang w:val="en-US" w:eastAsia="zh-CN"/>
        </w:rPr>
        <w:t>水量</w:t>
      </w:r>
      <w:r>
        <w:rPr>
          <w:rFonts w:hint="eastAsia" w:hAnsi="Times New Roman" w:eastAsia="宋体" w:cs="Times New Roman"/>
          <w:snapToGrid/>
          <w:color w:val="auto"/>
          <w:kern w:val="2"/>
          <w:highlight w:val="none"/>
          <w:u w:val="none"/>
          <w:shd w:val="clear" w:fill="auto"/>
          <w:lang w:eastAsia="zh-CN"/>
        </w:rPr>
        <w:t>输移进入太湖的重要入湖控制断面之一，选取百渎口作为统一参考基准，</w:t>
      </w:r>
      <w:r>
        <w:rPr>
          <w:rFonts w:hint="eastAsia" w:hAnsi="Times New Roman" w:eastAsia="宋体" w:cs="Times New Roman"/>
          <w:snapToGrid/>
          <w:color w:val="auto"/>
          <w:kern w:val="2"/>
          <w:highlight w:val="none"/>
          <w:u w:val="none"/>
          <w:shd w:val="clear" w:fill="auto"/>
          <w:lang w:val="en-US" w:eastAsia="zh-CN"/>
        </w:rPr>
        <w:t>可</w:t>
      </w:r>
      <w:r>
        <w:rPr>
          <w:rFonts w:hint="eastAsia" w:hAnsi="Times New Roman" w:eastAsia="宋体" w:cs="Times New Roman"/>
          <w:snapToGrid/>
          <w:color w:val="auto"/>
          <w:kern w:val="2"/>
          <w:highlight w:val="none"/>
          <w:u w:val="none"/>
          <w:shd w:val="clear" w:fill="auto"/>
          <w:lang w:eastAsia="zh-CN"/>
        </w:rPr>
        <w:t>在同一相对水头参照系下比较不同调度方案对骨干输水通道、滆湖出水口门及城区内部河网动力格局的重构作用。</w:t>
      </w:r>
    </w:p>
    <w:p w14:paraId="5C25AB11">
      <w:pPr>
        <w:pageBreakBefore w:val="0"/>
        <w:kinsoku/>
        <w:wordWrap/>
        <w:overflowPunct/>
        <w:topLinePunct w:val="0"/>
        <w:autoSpaceDE/>
        <w:autoSpaceDN/>
        <w:bidi w:val="0"/>
        <w:adjustRightInd/>
        <w:snapToGrid/>
        <w:spacing w:line="240" w:lineRule="auto"/>
        <w:ind w:left="0" w:leftChars="0" w:right="0" w:rightChars="0" w:firstLine="420" w:firstLineChars="200"/>
        <w:textAlignment w:val="center"/>
        <w:rPr>
          <w:rFonts w:hint="eastAsia" w:hAnsi="Times New Roman" w:eastAsia="宋体" w:cs="Times New Roman"/>
          <w:i w:val="0"/>
          <w:iCs w:val="0"/>
          <w:snapToGrid/>
          <w:color w:val="auto"/>
          <w:spacing w:val="0"/>
          <w:w w:val="100"/>
          <w:kern w:val="2"/>
          <w:position w:val="0"/>
          <w:sz w:val="21"/>
          <w:highlight w:val="none"/>
          <w:u w:val="none"/>
          <w:shd w:val="clear" w:fill="auto"/>
          <w:lang w:val="en-US" w:eastAsia="zh-CN"/>
        </w:rPr>
      </w:pPr>
      <w:r>
        <w:rPr>
          <w:rFonts w:hint="eastAsia" w:hAnsi="Times New Roman" w:eastAsia="宋体" w:cs="Times New Roman"/>
          <w:i w:val="0"/>
          <w:iCs w:val="0"/>
          <w:snapToGrid/>
          <w:color w:val="auto"/>
          <w:spacing w:val="0"/>
          <w:w w:val="100"/>
          <w:kern w:val="2"/>
          <w:position w:val="0"/>
          <w:sz w:val="21"/>
          <w:highlight w:val="none"/>
          <w:u w:val="none"/>
          <w:shd w:val="clear" w:fill="auto"/>
          <w:lang w:val="en-US" w:eastAsia="zh-CN"/>
        </w:rPr>
        <w:t>为进一步表征新增动力在河网中的传递效率，本文定义新增功率传递系数</w:t>
      </w:r>
      <m:oMath>
        <m:r>
          <m:rPr>
            <m:nor/>
          </m:rPr>
          <w:rPr>
            <w:rFonts w:hint="default" w:ascii="Times New Roman" w:hAnsi="Times New Roman" w:cs="Times New Roman"/>
            <w:i/>
            <w:color w:val="auto"/>
            <w:sz w:val="21"/>
            <w:highlight w:val="none"/>
            <w:u w:val="none"/>
            <w:shd w:val="clear" w:fill="auto"/>
          </w:rPr>
          <m:t>η</m:t>
        </m:r>
      </m:oMath>
      <w:r>
        <w:rPr>
          <w:rFonts w:hint="eastAsia" w:hAnsi="Times New Roman" w:eastAsia="宋体" w:cs="Times New Roman"/>
          <w:i w:val="0"/>
          <w:color w:val="auto"/>
          <w:sz w:val="21"/>
          <w:highlight w:val="none"/>
          <w:u w:val="none"/>
          <w:shd w:val="clear" w:fill="auto"/>
          <w:lang w:eastAsia="zh-CN"/>
        </w:rPr>
        <w:t>，</w:t>
      </w:r>
      <w:r>
        <w:rPr>
          <w:rFonts w:hint="eastAsia" w:hAnsi="Times New Roman" w:eastAsia="宋体" w:cs="Times New Roman"/>
          <w:i w:val="0"/>
          <w:iCs w:val="0"/>
          <w:snapToGrid/>
          <w:color w:val="auto"/>
          <w:spacing w:val="0"/>
          <w:w w:val="100"/>
          <w:kern w:val="2"/>
          <w:position w:val="0"/>
          <w:sz w:val="21"/>
          <w:highlight w:val="none"/>
          <w:u w:val="none"/>
          <w:shd w:val="clear" w:fill="auto"/>
          <w:lang w:val="en-US" w:eastAsia="zh-CN"/>
        </w:rPr>
        <w:t>为输入断面新增功率通量与下游目标断面正向新增功率通量之比，用以阐述新增能量由骨干通道向目标区域的有效传递程度，公式如下</w:t>
      </w:r>
    </w:p>
    <w:tbl>
      <w:tblPr>
        <w:tblStyle w:val="9"/>
        <w:tblW w:w="4999" w:type="pct"/>
        <w:tblInd w:w="0" w:type="dxa"/>
        <w:tblLayout w:type="autofit"/>
        <w:tblCellMar>
          <w:top w:w="0" w:type="dxa"/>
          <w:left w:w="108" w:type="dxa"/>
          <w:bottom w:w="0" w:type="dxa"/>
          <w:right w:w="108" w:type="dxa"/>
        </w:tblCellMar>
      </w:tblPr>
      <w:tblGrid>
        <w:gridCol w:w="222"/>
        <w:gridCol w:w="7556"/>
        <w:gridCol w:w="742"/>
      </w:tblGrid>
      <w:tr w14:paraId="355A8261">
        <w:tblPrEx>
          <w:tblCellMar>
            <w:top w:w="0" w:type="dxa"/>
            <w:left w:w="108" w:type="dxa"/>
            <w:bottom w:w="0" w:type="dxa"/>
            <w:right w:w="108" w:type="dxa"/>
          </w:tblCellMar>
        </w:tblPrEx>
        <w:trPr>
          <w:trHeight w:val="603" w:hRule="atLeast"/>
        </w:trPr>
        <w:tc>
          <w:tcPr>
            <w:tcW w:w="186" w:type="pct"/>
            <w:noWrap w:val="0"/>
            <w:vAlign w:val="top"/>
          </w:tcPr>
          <w:p w14:paraId="0274BCA9">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right"/>
              <w:textAlignment w:val="baseline"/>
              <w:rPr>
                <w:rFonts w:hint="default" w:ascii="Times New Roman" w:hAnsi="Times New Roman" w:cs="Times New Roman"/>
                <w:snapToGrid/>
                <w:color w:val="auto"/>
                <w:spacing w:val="0"/>
                <w:w w:val="100"/>
                <w:kern w:val="2"/>
                <w:position w:val="0"/>
                <w:szCs w:val="28"/>
                <w:highlight w:val="none"/>
                <w:u w:val="none"/>
                <w:shd w:val="clear" w:fill="auto"/>
              </w:rPr>
            </w:pPr>
          </w:p>
        </w:tc>
        <w:tc>
          <w:tcPr>
            <w:tcW w:w="4626" w:type="pct"/>
            <w:noWrap w:val="0"/>
            <w:vAlign w:val="top"/>
          </w:tcPr>
          <w:p w14:paraId="32D589F1">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right"/>
              <w:textAlignment w:val="baseline"/>
              <w:rPr>
                <w:rFonts w:hint="default" w:ascii="Times New Roman" w:hAnsi="Times New Roman" w:cs="Times New Roman"/>
                <w:snapToGrid/>
                <w:color w:val="auto"/>
                <w:spacing w:val="0"/>
                <w:w w:val="100"/>
                <w:kern w:val="2"/>
                <w:position w:val="0"/>
                <w:szCs w:val="28"/>
                <w:highlight w:val="none"/>
                <w:u w:val="none"/>
                <w:shd w:val="clear" w:fill="auto"/>
              </w:rPr>
            </w:pPr>
            <m:oMathPara>
              <m:oMath>
                <m:r>
                  <m:rPr>
                    <m:nor/>
                  </m:rPr>
                  <w:rPr>
                    <w:rFonts w:hint="default" w:ascii="Times New Roman" w:hAnsi="Times New Roman" w:cs="Times New Roman"/>
                    <w:i/>
                    <w:color w:val="auto"/>
                    <w:sz w:val="21"/>
                    <w:highlight w:val="none"/>
                    <w:u w:val="none"/>
                    <w:shd w:val="clear" w:fill="auto"/>
                  </w:rPr>
                  <m:t>η</m:t>
                </m:r>
                <m:r>
                  <m:rPr>
                    <m:nor/>
                    <m:sty m:val="p"/>
                  </m:rPr>
                  <w:rPr>
                    <w:rFonts w:hint="default" w:ascii="Times New Roman" w:hAnsi="Times New Roman" w:cs="Times New Roman"/>
                    <w:b w:val="0"/>
                    <w:i w:val="0"/>
                    <w:color w:val="auto"/>
                    <w:sz w:val="21"/>
                    <w:highlight w:val="none"/>
                    <w:u w:val="none"/>
                    <w:shd w:val="clear" w:fill="auto"/>
                  </w:rPr>
                  <m:t>=</m:t>
                </m:r>
                <m:f>
                  <m:fPr>
                    <m:ctrlPr>
                      <w:rPr>
                        <w:rFonts w:hint="default" w:ascii="Cambria Math" w:hAnsi="Cambria Math" w:cs="Times New Roman"/>
                        <w:i/>
                        <w:color w:val="auto"/>
                        <w:sz w:val="21"/>
                        <w:highlight w:val="none"/>
                        <w:u w:val="none"/>
                        <w:shd w:val="clear" w:fill="auto"/>
                      </w:rPr>
                    </m:ctrlPr>
                  </m:fPr>
                  <m:num>
                    <m:nary>
                      <m:naryPr>
                        <m:chr m:val="∑"/>
                        <m:limLoc m:val="undOvr"/>
                        <m:subHide m:val="1"/>
                        <m:supHide m:val="1"/>
                        <m:ctrlPr>
                          <w:rPr>
                            <w:rFonts w:hint="default" w:ascii="Cambria Math" w:hAnsi="Cambria Math" w:cs="Times New Roman"/>
                            <w:i/>
                            <w:color w:val="auto"/>
                            <w:sz w:val="21"/>
                            <w:highlight w:val="none"/>
                            <w:u w:val="none"/>
                            <w:shd w:val="clear" w:fill="auto"/>
                          </w:rPr>
                        </m:ctrlPr>
                      </m:naryPr>
                      <m:sub>
                        <m:ctrlPr>
                          <w:rPr>
                            <w:rFonts w:ascii="Cambria Math" w:hAnsi="Cambria Math" w:cs="Times New Roman"/>
                            <w:color w:val="auto"/>
                            <w:sz w:val="21"/>
                            <w:highlight w:val="none"/>
                            <w:u w:val="none"/>
                            <w:shd w:val="clear" w:fill="auto"/>
                          </w:rPr>
                        </m:ctrlPr>
                      </m:sub>
                      <m:sup>
                        <m:ctrlPr>
                          <w:rPr>
                            <w:rFonts w:ascii="Cambria Math" w:hAnsi="Cambria Math" w:cs="Times New Roman"/>
                            <w:color w:val="auto"/>
                            <w:sz w:val="21"/>
                            <w:highlight w:val="none"/>
                            <w:u w:val="none"/>
                            <w:shd w:val="clear" w:fill="auto"/>
                          </w:rPr>
                        </m:ctrlPr>
                      </m:sup>
                      <m:e>
                        <m:r>
                          <m:rPr>
                            <m:nor/>
                            <m:sty m:val="p"/>
                          </m:rPr>
                          <w:rPr>
                            <w:rFonts w:hint="default" w:ascii="Times New Roman" w:hAnsi="Times New Roman" w:cs="Times New Roman"/>
                            <w:b w:val="0"/>
                            <w:i w:val="0"/>
                            <w:color w:val="auto"/>
                            <w:sz w:val="21"/>
                            <w:highlight w:val="none"/>
                            <w:u w:val="none"/>
                            <w:shd w:val="clear" w:fill="auto"/>
                          </w:rPr>
                          <m:t>Δ</m:t>
                        </m:r>
                        <m:ctrlPr>
                          <w:rPr>
                            <w:rFonts w:ascii="Cambria Math" w:hAnsi="Cambria Math" w:cs="Times New Roman"/>
                            <w:color w:val="auto"/>
                            <w:sz w:val="21"/>
                            <w:highlight w:val="none"/>
                            <w:u w:val="none"/>
                            <w:shd w:val="clear" w:fill="auto"/>
                          </w:rPr>
                        </m:ctrlPr>
                      </m:e>
                    </m:nary>
                    <m:sSub>
                      <m:sSubPr>
                        <m:ctrlPr>
                          <w:rPr>
                            <w:rFonts w:ascii="Cambria Math" w:hAnsi="Cambria Math" w:cs="Times New Roman"/>
                            <w:color w:val="auto"/>
                            <w:sz w:val="21"/>
                            <w:highlight w:val="none"/>
                            <w:u w:val="none"/>
                            <w:shd w:val="clear" w:fill="auto"/>
                          </w:rPr>
                        </m:ctrlPr>
                      </m:sSubPr>
                      <m:e>
                        <m:r>
                          <m:rPr>
                            <m:nor/>
                          </m:rPr>
                          <w:rPr>
                            <w:rFonts w:hint="default" w:ascii="Times New Roman" w:hAnsi="Times New Roman" w:cs="Times New Roman"/>
                            <w:b w:val="0"/>
                            <w:i/>
                            <w:iCs/>
                            <w:color w:val="auto"/>
                            <w:sz w:val="21"/>
                            <w:highlight w:val="none"/>
                            <w:u w:val="none"/>
                            <w:shd w:val="clear" w:fill="auto"/>
                          </w:rPr>
                          <m:t>Φ</m:t>
                        </m:r>
                        <m:ctrlPr>
                          <w:rPr>
                            <w:rFonts w:ascii="Cambria Math" w:hAnsi="Cambria Math" w:cs="Times New Roman"/>
                            <w:color w:val="auto"/>
                            <w:sz w:val="21"/>
                            <w:highlight w:val="none"/>
                            <w:u w:val="none"/>
                            <w:shd w:val="clear" w:fill="auto"/>
                          </w:rPr>
                        </m:ctrlPr>
                      </m:e>
                      <m:sub>
                        <m:r>
                          <m:rPr>
                            <m:sty m:val="p"/>
                          </m:rPr>
                          <w:rPr>
                            <w:rFonts w:hint="default" w:ascii="Cambria Math" w:hAnsi="Cambria Math" w:eastAsia="宋体" w:cs="Times New Roman"/>
                            <w:color w:val="auto"/>
                            <w:sz w:val="21"/>
                            <w:highlight w:val="none"/>
                            <w:u w:val="none"/>
                            <w:shd w:val="clear" w:fill="auto"/>
                            <w:lang w:val="en-US" w:eastAsia="zh-CN"/>
                          </w:rPr>
                          <m:t>out</m:t>
                        </m:r>
                        <m:ctrlPr>
                          <w:rPr>
                            <w:rFonts w:ascii="Cambria Math" w:hAnsi="Cambria Math" w:cs="Times New Roman"/>
                            <w:color w:val="auto"/>
                            <w:sz w:val="21"/>
                            <w:highlight w:val="none"/>
                            <w:u w:val="none"/>
                            <w:shd w:val="clear" w:fill="auto"/>
                          </w:rPr>
                        </m:ctrlPr>
                      </m:sub>
                    </m:sSub>
                    <m:ctrlPr>
                      <w:rPr>
                        <w:rFonts w:hint="default" w:ascii="Cambria Math" w:hAnsi="Cambria Math" w:cs="Times New Roman"/>
                        <w:color w:val="auto"/>
                        <w:sz w:val="21"/>
                        <w:highlight w:val="none"/>
                        <w:u w:val="none"/>
                        <w:shd w:val="clear" w:fill="auto"/>
                      </w:rPr>
                    </m:ctrlPr>
                  </m:num>
                  <m:den>
                    <m:r>
                      <m:rPr>
                        <m:nor/>
                        <m:sty m:val="p"/>
                      </m:rPr>
                      <w:rPr>
                        <w:rFonts w:hint="default" w:ascii="Times New Roman" w:hAnsi="Times New Roman" w:cs="Times New Roman"/>
                        <w:b w:val="0"/>
                        <w:i w:val="0"/>
                        <w:color w:val="auto"/>
                        <w:sz w:val="21"/>
                        <w:highlight w:val="none"/>
                        <w:u w:val="none"/>
                        <w:shd w:val="clear" w:fill="auto"/>
                      </w:rPr>
                      <m:t>Δ</m:t>
                    </m:r>
                    <m:sSub>
                      <m:sSubPr>
                        <m:ctrlPr>
                          <w:rPr>
                            <w:rFonts w:hint="default" w:ascii="Cambria Math" w:hAnsi="Cambria Math" w:cs="Times New Roman"/>
                            <w:color w:val="auto"/>
                            <w:sz w:val="21"/>
                            <w:highlight w:val="none"/>
                            <w:u w:val="none"/>
                            <w:shd w:val="clear" w:fill="auto"/>
                          </w:rPr>
                        </m:ctrlPr>
                      </m:sSubPr>
                      <m:e>
                        <m:r>
                          <m:rPr>
                            <m:nor/>
                          </m:rPr>
                          <w:rPr>
                            <w:rFonts w:hint="default" w:ascii="Times New Roman" w:hAnsi="Times New Roman" w:cs="Times New Roman"/>
                            <w:b w:val="0"/>
                            <w:i/>
                            <w:iCs/>
                            <w:color w:val="auto"/>
                            <w:sz w:val="21"/>
                            <w:highlight w:val="none"/>
                            <w:u w:val="none"/>
                            <w:shd w:val="clear" w:fill="auto"/>
                          </w:rPr>
                          <m:t>Φ</m:t>
                        </m:r>
                        <m:ctrlPr>
                          <w:rPr>
                            <w:rFonts w:ascii="Cambria Math" w:hAnsi="Cambria Math" w:cs="Times New Roman"/>
                            <w:color w:val="auto"/>
                            <w:sz w:val="21"/>
                            <w:highlight w:val="none"/>
                            <w:u w:val="none"/>
                            <w:shd w:val="clear" w:fill="auto"/>
                          </w:rPr>
                        </m:ctrlPr>
                      </m:e>
                      <m:sub>
                        <m:r>
                          <m:rPr>
                            <m:nor/>
                            <m:sty m:val="p"/>
                          </m:rPr>
                          <w:rPr>
                            <w:rFonts w:hint="default" w:ascii="Times New Roman" w:hAnsi="Times New Roman" w:cs="Times New Roman"/>
                            <w:b w:val="0"/>
                            <w:i w:val="0"/>
                            <w:iCs/>
                            <w:color w:val="auto"/>
                            <w:sz w:val="21"/>
                            <w:highlight w:val="none"/>
                            <w:u w:val="none"/>
                            <w:shd w:val="clear" w:fill="auto"/>
                          </w:rPr>
                          <m:t>in</m:t>
                        </m:r>
                        <m:ctrlPr>
                          <w:rPr>
                            <w:rFonts w:ascii="Cambria Math" w:hAnsi="Cambria Math" w:cs="Times New Roman"/>
                            <w:color w:val="auto"/>
                            <w:sz w:val="21"/>
                            <w:highlight w:val="none"/>
                            <w:u w:val="none"/>
                            <w:shd w:val="clear" w:fill="auto"/>
                          </w:rPr>
                        </m:ctrlPr>
                      </m:sub>
                    </m:sSub>
                    <m:ctrlPr>
                      <w:rPr>
                        <w:rFonts w:hint="default" w:ascii="Cambria Math" w:hAnsi="Cambria Math" w:cs="Times New Roman"/>
                        <w:color w:val="auto"/>
                        <w:sz w:val="21"/>
                        <w:highlight w:val="none"/>
                        <w:u w:val="none"/>
                        <w:shd w:val="clear" w:fill="auto"/>
                      </w:rPr>
                    </m:ctrlPr>
                  </m:den>
                </m:f>
              </m:oMath>
            </m:oMathPara>
          </w:p>
        </w:tc>
        <w:tc>
          <w:tcPr>
            <w:tcW w:w="186" w:type="pct"/>
            <w:noWrap w:val="0"/>
            <w:vAlign w:val="center"/>
          </w:tcPr>
          <w:p w14:paraId="205CA048">
            <w:pPr>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firstLine="0" w:firstLineChars="0"/>
              <w:jc w:val="right"/>
              <w:textAlignment w:val="baseline"/>
              <w:rPr>
                <w:rFonts w:hint="eastAsia" w:ascii="Times New Roman" w:hAnsi="Times New Roman" w:eastAsia="宋体" w:cs="Times New Roman"/>
                <w:snapToGrid/>
                <w:color w:val="auto"/>
                <w:spacing w:val="0"/>
                <w:w w:val="100"/>
                <w:kern w:val="2"/>
                <w:position w:val="0"/>
                <w:szCs w:val="28"/>
                <w:highlight w:val="none"/>
                <w:u w:val="none"/>
                <w:shd w:val="clear" w:fill="auto"/>
                <w:lang w:eastAsia="zh-CN"/>
              </w:rPr>
            </w:pPr>
            <w:r>
              <w:rPr>
                <w:rFonts w:hint="eastAsia" w:ascii="Times New Roman" w:hAnsi="Times New Roman" w:eastAsia="宋体" w:cs="Times New Roman"/>
                <w:snapToGrid/>
                <w:color w:val="auto"/>
                <w:spacing w:val="0"/>
                <w:w w:val="100"/>
                <w:kern w:val="2"/>
                <w:position w:val="0"/>
                <w:szCs w:val="28"/>
                <w:highlight w:val="none"/>
                <w:u w:val="none"/>
                <w:shd w:val="clear" w:fill="auto"/>
                <w:lang w:eastAsia="zh-CN"/>
              </w:rPr>
              <w:t>（</w:t>
            </w:r>
            <w:r>
              <w:rPr>
                <w:rFonts w:hint="eastAsia" w:ascii="Times New Roman" w:hAnsi="Times New Roman" w:eastAsia="宋体" w:cs="Times New Roman"/>
                <w:snapToGrid/>
                <w:color w:val="auto"/>
                <w:spacing w:val="0"/>
                <w:w w:val="100"/>
                <w:kern w:val="2"/>
                <w:position w:val="0"/>
                <w:szCs w:val="28"/>
                <w:highlight w:val="none"/>
                <w:u w:val="none"/>
                <w:shd w:val="clear" w:fill="auto"/>
                <w:lang w:val="en-US" w:eastAsia="zh-CN"/>
              </w:rPr>
              <w:t>2</w:t>
            </w:r>
            <w:r>
              <w:rPr>
                <w:rFonts w:hint="eastAsia" w:ascii="Times New Roman" w:hAnsi="Times New Roman" w:eastAsia="宋体" w:cs="Times New Roman"/>
                <w:snapToGrid/>
                <w:color w:val="auto"/>
                <w:spacing w:val="0"/>
                <w:w w:val="100"/>
                <w:kern w:val="2"/>
                <w:position w:val="0"/>
                <w:szCs w:val="28"/>
                <w:highlight w:val="none"/>
                <w:u w:val="none"/>
                <w:shd w:val="clear" w:fill="auto"/>
                <w:lang w:eastAsia="zh-CN"/>
              </w:rPr>
              <w:t>）</w:t>
            </w:r>
          </w:p>
        </w:tc>
      </w:tr>
    </w:tbl>
    <w:p w14:paraId="3A691448">
      <w:pPr>
        <w:pageBreakBefore w:val="0"/>
        <w:kinsoku/>
        <w:wordWrap/>
        <w:overflowPunct/>
        <w:topLinePunct w:val="0"/>
        <w:autoSpaceDE/>
        <w:autoSpaceDN/>
        <w:bidi w:val="0"/>
        <w:adjustRightInd/>
        <w:snapToGrid/>
        <w:spacing w:line="240" w:lineRule="auto"/>
        <w:ind w:left="0" w:leftChars="0" w:right="0" w:rightChars="0" w:firstLine="0" w:firstLineChars="0"/>
        <w:textAlignment w:val="center"/>
        <w:rPr>
          <w:rFonts w:hint="eastAsia" w:hAnsi="Times New Roman" w:eastAsia="宋体" w:cs="Times New Roman"/>
          <w:i w:val="0"/>
          <w:iCs w:val="0"/>
          <w:snapToGrid/>
          <w:color w:val="auto"/>
          <w:spacing w:val="0"/>
          <w:w w:val="100"/>
          <w:kern w:val="2"/>
          <w:position w:val="0"/>
          <w:sz w:val="21"/>
          <w:highlight w:val="none"/>
          <w:u w:val="none"/>
          <w:shd w:val="clear" w:fill="auto"/>
          <w:lang w:val="en-US" w:eastAsia="zh-CN"/>
        </w:rPr>
      </w:pPr>
      <w:r>
        <w:rPr>
          <w:rFonts w:hint="eastAsia" w:hAnsi="Times New Roman" w:eastAsia="宋体" w:cs="Times New Roman"/>
          <w:i w:val="0"/>
          <w:iCs w:val="0"/>
          <w:snapToGrid/>
          <w:color w:val="auto"/>
          <w:spacing w:val="0"/>
          <w:w w:val="100"/>
          <w:kern w:val="2"/>
          <w:position w:val="0"/>
          <w:sz w:val="21"/>
          <w:highlight w:val="none"/>
          <w:u w:val="none"/>
          <w:shd w:val="clear" w:fill="auto"/>
          <w:lang w:val="en-US" w:eastAsia="zh-CN"/>
        </w:rPr>
        <w:t>式中，</w:t>
      </w:r>
      <m:oMath>
        <m:r>
          <m:rPr>
            <m:nor/>
            <m:sty m:val="p"/>
          </m:rPr>
          <w:rPr>
            <w:rFonts w:hint="default" w:ascii="Times New Roman" w:hAnsi="Times New Roman" w:cs="Times New Roman"/>
            <w:b w:val="0"/>
            <w:i w:val="0"/>
            <w:color w:val="auto"/>
            <w:sz w:val="21"/>
            <w:highlight w:val="none"/>
            <w:u w:val="none"/>
            <w:shd w:val="clear" w:fill="auto"/>
          </w:rPr>
          <m:t>Δ</m:t>
        </m:r>
        <m:sSub>
          <m:sSubPr>
            <m:ctrlPr>
              <w:rPr>
                <w:rFonts w:hint="default" w:ascii="Cambria Math" w:hAnsi="Cambria Math" w:cs="Times New Roman"/>
                <w:color w:val="auto"/>
                <w:sz w:val="21"/>
                <w:highlight w:val="none"/>
                <w:u w:val="none"/>
                <w:shd w:val="clear" w:fill="auto"/>
              </w:rPr>
            </m:ctrlPr>
          </m:sSubPr>
          <m:e>
            <m:r>
              <m:rPr>
                <m:nor/>
              </m:rPr>
              <w:rPr>
                <w:rFonts w:hint="default" w:ascii="Times New Roman" w:hAnsi="Times New Roman" w:cs="Times New Roman"/>
                <w:b w:val="0"/>
                <w:i/>
                <w:iCs/>
                <w:color w:val="auto"/>
                <w:sz w:val="21"/>
                <w:highlight w:val="none"/>
                <w:u w:val="none"/>
                <w:shd w:val="clear" w:fill="auto"/>
              </w:rPr>
              <m:t>Φ</m:t>
            </m:r>
            <m:ctrlPr>
              <w:rPr>
                <w:rFonts w:ascii="Cambria Math" w:hAnsi="Cambria Math" w:cs="Times New Roman"/>
                <w:color w:val="auto"/>
                <w:sz w:val="21"/>
                <w:highlight w:val="none"/>
                <w:u w:val="none"/>
                <w:shd w:val="clear" w:fill="auto"/>
              </w:rPr>
            </m:ctrlPr>
          </m:e>
          <m:sub>
            <m:r>
              <m:rPr>
                <m:nor/>
                <m:sty m:val="p"/>
              </m:rPr>
              <w:rPr>
                <w:rFonts w:hint="default" w:ascii="Times New Roman" w:hAnsi="Times New Roman" w:cs="Times New Roman"/>
                <w:b w:val="0"/>
                <w:i w:val="0"/>
                <w:iCs/>
                <w:color w:val="auto"/>
                <w:sz w:val="21"/>
                <w:highlight w:val="none"/>
                <w:u w:val="none"/>
                <w:shd w:val="clear" w:fill="auto"/>
              </w:rPr>
              <m:t>in</m:t>
            </m:r>
            <m:ctrlPr>
              <w:rPr>
                <w:rFonts w:ascii="Cambria Math" w:hAnsi="Cambria Math" w:cs="Times New Roman"/>
                <w:color w:val="auto"/>
                <w:sz w:val="21"/>
                <w:highlight w:val="none"/>
                <w:u w:val="none"/>
                <w:shd w:val="clear" w:fill="auto"/>
              </w:rPr>
            </m:ctrlPr>
          </m:sub>
        </m:sSub>
      </m:oMath>
      <w:r>
        <w:rPr>
          <w:rFonts w:hint="eastAsia" w:hAnsi="Times New Roman" w:eastAsia="宋体" w:cs="Times New Roman"/>
          <w:i w:val="0"/>
          <w:iCs w:val="0"/>
          <w:snapToGrid/>
          <w:color w:val="auto"/>
          <w:spacing w:val="0"/>
          <w:w w:val="100"/>
          <w:kern w:val="2"/>
          <w:position w:val="0"/>
          <w:sz w:val="21"/>
          <w:highlight w:val="none"/>
          <w:u w:val="none"/>
          <w:shd w:val="clear" w:fill="auto"/>
          <w:lang w:val="en-US" w:eastAsia="zh-CN"/>
        </w:rPr>
        <w:t>为输入断面的新增功率通量；</w:t>
      </w:r>
      <m:oMath>
        <m:nary>
          <m:naryPr>
            <m:chr m:val="∑"/>
            <m:limLoc m:val="undOvr"/>
            <m:subHide m:val="1"/>
            <m:supHide m:val="1"/>
            <m:ctrlPr>
              <w:rPr>
                <w:rFonts w:hint="default" w:ascii="Cambria Math" w:hAnsi="Cambria Math" w:cs="Times New Roman"/>
                <w:i/>
                <w:color w:val="auto"/>
                <w:sz w:val="21"/>
                <w:highlight w:val="none"/>
                <w:u w:val="none"/>
                <w:shd w:val="clear" w:fill="auto"/>
              </w:rPr>
            </m:ctrlPr>
          </m:naryPr>
          <m:sub>
            <m:ctrlPr>
              <w:rPr>
                <w:rFonts w:ascii="Cambria Math" w:hAnsi="Cambria Math" w:cs="Times New Roman"/>
                <w:color w:val="auto"/>
                <w:sz w:val="21"/>
                <w:highlight w:val="none"/>
                <w:u w:val="none"/>
                <w:shd w:val="clear" w:fill="auto"/>
              </w:rPr>
            </m:ctrlPr>
          </m:sub>
          <m:sup>
            <m:ctrlPr>
              <w:rPr>
                <w:rFonts w:ascii="Cambria Math" w:hAnsi="Cambria Math" w:cs="Times New Roman"/>
                <w:color w:val="auto"/>
                <w:sz w:val="21"/>
                <w:highlight w:val="none"/>
                <w:u w:val="none"/>
                <w:shd w:val="clear" w:fill="auto"/>
              </w:rPr>
            </m:ctrlPr>
          </m:sup>
          <m:e>
            <m:r>
              <m:rPr>
                <m:nor/>
                <m:sty m:val="p"/>
              </m:rPr>
              <w:rPr>
                <w:rFonts w:hint="default" w:ascii="Times New Roman" w:hAnsi="Times New Roman" w:cs="Times New Roman"/>
                <w:b w:val="0"/>
                <w:i w:val="0"/>
                <w:color w:val="auto"/>
                <w:sz w:val="21"/>
                <w:highlight w:val="none"/>
                <w:u w:val="none"/>
                <w:shd w:val="clear" w:fill="auto"/>
              </w:rPr>
              <m:t>Δ</m:t>
            </m:r>
            <m:ctrlPr>
              <w:rPr>
                <w:rFonts w:ascii="Cambria Math" w:hAnsi="Cambria Math" w:cs="Times New Roman"/>
                <w:color w:val="auto"/>
                <w:sz w:val="21"/>
                <w:highlight w:val="none"/>
                <w:u w:val="none"/>
                <w:shd w:val="clear" w:fill="auto"/>
              </w:rPr>
            </m:ctrlPr>
          </m:e>
        </m:nary>
        <m:sSub>
          <m:sSubPr>
            <m:ctrlPr>
              <w:rPr>
                <w:rFonts w:ascii="Cambria Math" w:hAnsi="Cambria Math" w:cs="Times New Roman"/>
                <w:color w:val="auto"/>
                <w:sz w:val="21"/>
                <w:highlight w:val="none"/>
                <w:u w:val="none"/>
                <w:shd w:val="clear" w:fill="auto"/>
              </w:rPr>
            </m:ctrlPr>
          </m:sSubPr>
          <m:e>
            <m:r>
              <m:rPr>
                <m:nor/>
              </m:rPr>
              <w:rPr>
                <w:rFonts w:hint="default" w:ascii="Times New Roman" w:hAnsi="Times New Roman" w:cs="Times New Roman"/>
                <w:b w:val="0"/>
                <w:i/>
                <w:iCs/>
                <w:color w:val="auto"/>
                <w:sz w:val="21"/>
                <w:highlight w:val="none"/>
                <w:u w:val="none"/>
                <w:shd w:val="clear" w:fill="auto"/>
              </w:rPr>
              <m:t>Φ</m:t>
            </m:r>
            <m:ctrlPr>
              <w:rPr>
                <w:rFonts w:ascii="Cambria Math" w:hAnsi="Cambria Math" w:cs="Times New Roman"/>
                <w:color w:val="auto"/>
                <w:sz w:val="21"/>
                <w:highlight w:val="none"/>
                <w:u w:val="none"/>
                <w:shd w:val="clear" w:fill="auto"/>
              </w:rPr>
            </m:ctrlPr>
          </m:e>
          <m:sub>
            <m:r>
              <m:rPr>
                <m:sty m:val="p"/>
              </m:rPr>
              <w:rPr>
                <w:rFonts w:hint="default" w:ascii="Cambria Math" w:hAnsi="Cambria Math" w:eastAsia="宋体" w:cs="Times New Roman"/>
                <w:color w:val="auto"/>
                <w:sz w:val="21"/>
                <w:highlight w:val="none"/>
                <w:u w:val="none"/>
                <w:shd w:val="clear" w:fill="auto"/>
                <w:lang w:val="en-US" w:eastAsia="zh-CN"/>
              </w:rPr>
              <m:t>out</m:t>
            </m:r>
            <m:ctrlPr>
              <w:rPr>
                <w:rFonts w:ascii="Cambria Math" w:hAnsi="Cambria Math" w:cs="Times New Roman"/>
                <w:color w:val="auto"/>
                <w:sz w:val="21"/>
                <w:highlight w:val="none"/>
                <w:u w:val="none"/>
                <w:shd w:val="clear" w:fill="auto"/>
              </w:rPr>
            </m:ctrlPr>
          </m:sub>
        </m:sSub>
      </m:oMath>
      <w:r>
        <w:rPr>
          <w:rFonts w:hint="eastAsia" w:hAnsi="Times New Roman" w:eastAsia="宋体" w:cs="Times New Roman"/>
          <w:i w:val="0"/>
          <w:iCs w:val="0"/>
          <w:snapToGrid/>
          <w:color w:val="auto"/>
          <w:spacing w:val="0"/>
          <w:w w:val="100"/>
          <w:kern w:val="2"/>
          <w:position w:val="0"/>
          <w:sz w:val="21"/>
          <w:highlight w:val="none"/>
          <w:u w:val="none"/>
          <w:shd w:val="clear" w:fill="auto"/>
          <w:lang w:val="en-US" w:eastAsia="zh-CN"/>
        </w:rPr>
        <w:t>为目标断面新增功率通量之和（正向）。</w:t>
      </w:r>
    </w:p>
    <w:p w14:paraId="7F0F9FA1">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textAlignment w:val="baseline"/>
        <w:outlineLvl w:val="2"/>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2.</w:t>
      </w:r>
      <w:r>
        <w:rPr>
          <w:rFonts w:hint="eastAsia" w:eastAsia="黑体" w:cs="Times New Roman"/>
          <w:snapToGrid/>
          <w:color w:val="auto"/>
          <w:spacing w:val="0"/>
          <w:w w:val="100"/>
          <w:kern w:val="2"/>
          <w:position w:val="0"/>
          <w:sz w:val="21"/>
          <w:szCs w:val="21"/>
          <w:highlight w:val="none"/>
          <w:u w:val="none"/>
          <w:shd w:val="clear" w:fill="auto"/>
          <w:lang w:val="en-US" w:eastAsia="zh-CN"/>
        </w:rPr>
        <w:t>2</w:t>
      </w: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 xml:space="preserve"> </w:t>
      </w:r>
      <w:r>
        <w:rPr>
          <w:rFonts w:hint="eastAsia" w:eastAsia="黑体" w:cs="Times New Roman"/>
          <w:snapToGrid/>
          <w:color w:val="auto"/>
          <w:spacing w:val="0"/>
          <w:w w:val="100"/>
          <w:kern w:val="2"/>
          <w:position w:val="0"/>
          <w:sz w:val="21"/>
          <w:szCs w:val="21"/>
          <w:highlight w:val="none"/>
          <w:u w:val="none"/>
          <w:shd w:val="clear" w:fill="auto"/>
          <w:lang w:val="en-US" w:eastAsia="zh-CN"/>
        </w:rPr>
        <w:t>数学模型构建</w:t>
      </w:r>
    </w:p>
    <w:p w14:paraId="366AED36">
      <w:pPr>
        <w:keepNext w:val="0"/>
        <w:keepLines w:val="0"/>
        <w:pageBreakBefore w:val="0"/>
        <w:widowControl w:val="0"/>
        <w:kinsoku/>
        <w:overflowPunct/>
        <w:topLinePunct w:val="0"/>
        <w:autoSpaceDE/>
        <w:autoSpaceDN/>
        <w:bidi w:val="0"/>
        <w:adjustRightInd/>
        <w:snapToGrid/>
        <w:spacing w:line="240" w:lineRule="auto"/>
        <w:ind w:left="0" w:leftChars="0" w:right="0" w:rightChars="0" w:firstLine="560" w:firstLineChars="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ascii="Times New Roman" w:hAnsi="Times New Roman" w:eastAsia="宋体" w:cs="Times New Roman"/>
          <w:snapToGrid/>
          <w:color w:val="auto"/>
          <w:kern w:val="2"/>
          <w:highlight w:val="none"/>
          <w:u w:val="none"/>
          <w:shd w:val="clear" w:fill="auto"/>
          <w:lang w:eastAsia="zh-CN"/>
        </w:rPr>
        <w:t>数学模型是研究大型平原河网水动力演变与水质响应规律的重要技术手段</w:t>
      </w:r>
      <w:r>
        <w:rPr>
          <w:rFonts w:hint="eastAsia" w:ascii="Times New Roman" w:hAnsi="Times New Roman" w:eastAsia="宋体" w:cs="Times New Roman"/>
          <w:snapToGrid/>
          <w:color w:val="auto"/>
          <w:kern w:val="2"/>
          <w:highlight w:val="none"/>
          <w:u w:val="none"/>
          <w:shd w:val="clear" w:fill="auto"/>
          <w:vertAlign w:val="superscript"/>
          <w:lang w:val="en-US" w:eastAsia="zh-CN"/>
        </w:rPr>
        <w:t>[29-30]</w:t>
      </w:r>
      <w:r>
        <w:rPr>
          <w:rFonts w:hint="eastAsia" w:ascii="Times New Roman" w:hAnsi="Times New Roman" w:eastAsia="宋体" w:cs="Times New Roman"/>
          <w:snapToGrid/>
          <w:color w:val="auto"/>
          <w:kern w:val="2"/>
          <w:highlight w:val="none"/>
          <w:u w:val="none"/>
          <w:shd w:val="clear" w:fill="auto"/>
          <w:lang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本研究在太湖流域水量水质数学模型的基础上，</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细化</w:t>
      </w: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建立新孟河调水研究区域数学模型。</w:t>
      </w:r>
    </w:p>
    <w:p w14:paraId="26B1CD02">
      <w:pPr>
        <w:keepNext w:val="0"/>
        <w:keepLines w:val="0"/>
        <w:pageBreakBefore w:val="0"/>
        <w:widowControl w:val="0"/>
        <w:kinsoku/>
        <w:overflowPunct/>
        <w:topLinePunct w:val="0"/>
        <w:autoSpaceDE/>
        <w:autoSpaceDN/>
        <w:bidi w:val="0"/>
        <w:adjustRightInd/>
        <w:snapToGrid/>
        <w:spacing w:line="240" w:lineRule="auto"/>
        <w:ind w:left="0" w:leftChars="0" w:right="0" w:rightChars="0" w:firstLine="560" w:firstLineChars="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模型主要包括降雨径流、水动力和水质模块。在降雨径流模块中，针对太湖流域平原区土地利用特点，将下垫面划分为水面、水田、旱地、建设用地等类型，分别进行产流计算</w:t>
      </w:r>
      <w:r>
        <w:rPr>
          <w:rFonts w:hint="default" w:ascii="Arial" w:hAnsi="Arial"/>
          <w:color w:val="auto"/>
          <w:sz w:val="21"/>
          <w:szCs w:val="21"/>
          <w:highlight w:val="none"/>
          <w:u w:val="none"/>
          <w:shd w:val="clear" w:fill="auto"/>
          <w:vertAlign w:val="superscript"/>
        </w:rPr>
        <w:t>[31]</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（1）</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水面产流。水面产流量根据水量平衡方程由降雨扣除水面蒸发得到。</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（2）</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水田产流。水田产流过程按作物生长期的需水、水稻田适宜水深、耐淹水深及水稻灌排模式得出。在无雨日，需从河道提水灌溉以抵消水田蒸散发量，保持水田的平均适宜水深；在有雨日，</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当水田水深超过耐淹水深时</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以排涝能力为上限排水。</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旱地产流。旱地产流采用三层蒸发一水源新安江蓄满产流模型进行计算。</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（4）</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城镇产流。城镇下垫面分为透水和不透水</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2</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类面积进行产流计算。透水面积主要是城镇绿化带，根据霍顿下渗公式采用三层蒸发一水源新安江蓄满产流模型；不透水面积包括道路、广场、屋顶等，产流即等于有效降雨。总产流量为各类下垫面产流量之和。降雨径流模块计算结果为水动力计算模块提供河道侧向入流。</w:t>
      </w:r>
    </w:p>
    <w:p w14:paraId="7EDBFD5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560" w:firstLineChars="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模型将研究区域内影响水流运动的因素分别概化为零维模型、一维模型和联系要素三类。其中湖、荡采用零维概化，</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其对水流行为的影响主要表现在水量的交换</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，动量交换可以忽略。反映水流行为的指标是水位，水位的变化规律必须遵循水量平衡原理，即流入区域的净水量等于区域内的蓄量增量</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，公式如下</w:t>
      </w:r>
    </w:p>
    <w:tbl>
      <w:tblPr>
        <w:tblStyle w:val="9"/>
        <w:tblW w:w="4999" w:type="pct"/>
        <w:tblInd w:w="0" w:type="dxa"/>
        <w:tblLayout w:type="autofit"/>
        <w:tblCellMar>
          <w:top w:w="0" w:type="dxa"/>
          <w:left w:w="108" w:type="dxa"/>
          <w:bottom w:w="0" w:type="dxa"/>
          <w:right w:w="108" w:type="dxa"/>
        </w:tblCellMar>
      </w:tblPr>
      <w:tblGrid>
        <w:gridCol w:w="222"/>
        <w:gridCol w:w="7556"/>
        <w:gridCol w:w="742"/>
      </w:tblGrid>
      <w:tr w14:paraId="471C3AB4">
        <w:tblPrEx>
          <w:tblCellMar>
            <w:top w:w="0" w:type="dxa"/>
            <w:left w:w="108" w:type="dxa"/>
            <w:bottom w:w="0" w:type="dxa"/>
            <w:right w:w="108" w:type="dxa"/>
          </w:tblCellMar>
        </w:tblPrEx>
        <w:tc>
          <w:tcPr>
            <w:tcW w:w="186" w:type="pct"/>
            <w:noWrap w:val="0"/>
            <w:vAlign w:val="top"/>
          </w:tcPr>
          <w:p w14:paraId="38C25F2C">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w:p>
        </w:tc>
        <w:tc>
          <w:tcPr>
            <w:tcW w:w="4626" w:type="pct"/>
            <w:noWrap w:val="0"/>
            <w:vAlign w:val="top"/>
          </w:tcPr>
          <w:p w14:paraId="08DD9BAC">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m:oMathPara>
              <m:oMath>
                <m:nary>
                  <m:naryPr>
                    <m:chr m:val="∑"/>
                    <m:limLoc m:val="undOvr"/>
                    <m:subHide m:val="1"/>
                    <m:supHide m:val="1"/>
                    <m:ctrlPr>
                      <w:rPr>
                        <w:rFonts w:hint="default" w:ascii="Cambria Math" w:hAnsi="Cambria Math" w:cs="Times New Roman"/>
                        <w:i/>
                        <w:snapToGrid/>
                        <w:color w:val="auto"/>
                        <w:spacing w:val="0"/>
                        <w:w w:val="100"/>
                        <w:kern w:val="2"/>
                        <w:position w:val="0"/>
                        <w:sz w:val="21"/>
                        <w:highlight w:val="none"/>
                        <w:u w:val="none"/>
                        <w:shd w:val="clear" w:fill="auto"/>
                      </w:rPr>
                    </m:ctrlPr>
                  </m:naryPr>
                  <m:sub>
                    <m:ctrlPr>
                      <w:rPr>
                        <w:rFonts w:hint="default" w:ascii="Cambria Math" w:hAnsi="Cambria Math" w:cs="Times New Roman"/>
                        <w:snapToGrid/>
                        <w:color w:val="auto"/>
                        <w:spacing w:val="0"/>
                        <w:w w:val="100"/>
                        <w:kern w:val="2"/>
                        <w:position w:val="0"/>
                        <w:sz w:val="21"/>
                        <w:highlight w:val="none"/>
                        <w:u w:val="none"/>
                        <w:shd w:val="clear" w:fill="auto"/>
                      </w:rPr>
                    </m:ctrlPr>
                  </m:sub>
                  <m:sup>
                    <m:ctrlPr>
                      <w:rPr>
                        <w:rFonts w:hint="default" w:ascii="Cambria Math" w:hAnsi="Cambria Math" w:cs="Times New Roman"/>
                        <w:snapToGrid/>
                        <w:color w:val="auto"/>
                        <w:spacing w:val="0"/>
                        <w:w w:val="100"/>
                        <w:kern w:val="2"/>
                        <w:position w:val="0"/>
                        <w:sz w:val="21"/>
                        <w:highlight w:val="none"/>
                        <w:u w:val="none"/>
                        <w:shd w:val="clear" w:fill="auto"/>
                      </w:rPr>
                    </m:ctrlPr>
                  </m:sup>
                  <m:e>
                    <m:sSub>
                      <m:sSubPr>
                        <m:ctrlPr>
                          <w:rPr>
                            <w:rFonts w:hint="default" w:ascii="Cambria Math" w:hAnsi="Cambria Math" w:cs="Times New Roman"/>
                            <w:i/>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i/>
                            <w:snapToGrid/>
                            <w:color w:val="auto"/>
                            <w:spacing w:val="0"/>
                            <w:w w:val="100"/>
                            <w:kern w:val="2"/>
                            <w:position w:val="0"/>
                            <w:sz w:val="21"/>
                            <w:highlight w:val="none"/>
                            <w:u w:val="none"/>
                            <w:shd w:val="clear" w:fill="auto"/>
                          </w:rPr>
                          <m:t>Q</m:t>
                        </m:r>
                        <m:ctrlPr>
                          <w:rPr>
                            <w:rFonts w:hint="default" w:ascii="Cambria Math" w:hAnsi="Cambria Math" w:cs="Times New Roman"/>
                            <w:i/>
                            <w:snapToGrid/>
                            <w:color w:val="auto"/>
                            <w:spacing w:val="0"/>
                            <w:w w:val="100"/>
                            <w:kern w:val="2"/>
                            <w:position w:val="0"/>
                            <w:sz w:val="21"/>
                            <w:highlight w:val="none"/>
                            <w:u w:val="none"/>
                            <w:shd w:val="clear" w:fill="auto"/>
                          </w:rPr>
                        </m:ctrlPr>
                      </m:e>
                      <m:sub>
                        <m:r>
                          <m:rPr/>
                          <w:rPr>
                            <w:rFonts w:hint="default" w:ascii="Cambria Math" w:hAnsi="Cambria Math" w:eastAsia="宋体" w:cs="Times New Roman"/>
                            <w:snapToGrid/>
                            <w:color w:val="auto"/>
                            <w:spacing w:val="0"/>
                            <w:w w:val="100"/>
                            <w:kern w:val="2"/>
                            <w:position w:val="0"/>
                            <w:sz w:val="21"/>
                            <w:highlight w:val="none"/>
                            <w:u w:val="none"/>
                            <w:shd w:val="clear" w:fill="auto"/>
                            <w:lang w:val="en-US" w:eastAsia="zh-CN"/>
                          </w:rPr>
                          <m:t>0</m:t>
                        </m:r>
                        <m:ctrlPr>
                          <w:rPr>
                            <w:rFonts w:hint="default" w:ascii="Cambria Math" w:hAnsi="Cambria Math" w:cs="Times New Roman"/>
                            <w:i/>
                            <w:snapToGrid/>
                            <w:color w:val="auto"/>
                            <w:spacing w:val="0"/>
                            <w:w w:val="100"/>
                            <w:kern w:val="2"/>
                            <w:position w:val="0"/>
                            <w:sz w:val="21"/>
                            <w:highlight w:val="none"/>
                            <w:u w:val="none"/>
                            <w:shd w:val="clear" w:fill="auto"/>
                          </w:rPr>
                        </m:ctrlPr>
                      </m:sub>
                    </m:sSub>
                    <m:ctrlPr>
                      <w:rPr>
                        <w:rFonts w:hint="default" w:ascii="Cambria Math" w:hAnsi="Cambria Math" w:cs="Times New Roman"/>
                        <w:snapToGrid/>
                        <w:color w:val="auto"/>
                        <w:spacing w:val="0"/>
                        <w:w w:val="100"/>
                        <w:kern w:val="2"/>
                        <w:position w:val="0"/>
                        <w:sz w:val="21"/>
                        <w:highlight w:val="none"/>
                        <w:u w:val="none"/>
                        <w:shd w:val="clear" w:fill="auto"/>
                      </w:rPr>
                    </m:ctrlPr>
                  </m:e>
                </m:nary>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A</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z</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f>
                  <m:fPr>
                    <m:ctrlPr>
                      <w:rPr>
                        <w:rFonts w:hint="default" w:ascii="Cambria Math" w:hAnsi="Cambria Math" w:cs="Times New Roman"/>
                        <w:i/>
                        <w:snapToGrid/>
                        <w:color w:val="auto"/>
                        <w:spacing w:val="0"/>
                        <w:w w:val="100"/>
                        <w:kern w:val="2"/>
                        <w:position w:val="0"/>
                        <w:sz w:val="21"/>
                        <w:highlight w:val="none"/>
                        <w:u w:val="none"/>
                        <w:shd w:val="clear" w:fill="auto"/>
                      </w:rPr>
                    </m:ctrlPr>
                  </m:fPr>
                  <m:num>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eastAsia="宋体" w:cs="Times New Roman"/>
                        <w:i/>
                        <w:snapToGrid/>
                        <w:color w:val="auto"/>
                        <w:spacing w:val="0"/>
                        <w:w w:val="100"/>
                        <w:kern w:val="2"/>
                        <w:position w:val="0"/>
                        <w:sz w:val="21"/>
                        <w:highlight w:val="none"/>
                        <w:u w:val="none"/>
                        <w:shd w:val="clear" w:fill="auto"/>
                        <w:lang w:val="en-US" w:eastAsia="zh-CN"/>
                      </w:rPr>
                      <m:t>Z</m:t>
                    </m:r>
                    <m:ctrlPr>
                      <w:rPr>
                        <w:rFonts w:hint="default" w:ascii="Cambria Math" w:hAnsi="Cambria Math" w:cs="Times New Roman"/>
                        <w:snapToGrid/>
                        <w:color w:val="auto"/>
                        <w:spacing w:val="0"/>
                        <w:w w:val="100"/>
                        <w:kern w:val="2"/>
                        <w:position w:val="0"/>
                        <w:sz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eastAsia="宋体" w:cs="Times New Roman"/>
                        <w:i/>
                        <w:snapToGrid/>
                        <w:color w:val="auto"/>
                        <w:spacing w:val="0"/>
                        <w:w w:val="100"/>
                        <w:kern w:val="2"/>
                        <w:position w:val="0"/>
                        <w:sz w:val="21"/>
                        <w:highlight w:val="none"/>
                        <w:u w:val="none"/>
                        <w:shd w:val="clear" w:fill="auto"/>
                        <w:lang w:val="en-US" w:eastAsia="zh-CN"/>
                      </w:rPr>
                      <m:t>t</m:t>
                    </m:r>
                    <m:ctrlPr>
                      <w:rPr>
                        <w:rFonts w:hint="default" w:ascii="Cambria Math" w:hAnsi="Cambria Math" w:cs="Times New Roman"/>
                        <w:snapToGrid/>
                        <w:color w:val="auto"/>
                        <w:spacing w:val="0"/>
                        <w:w w:val="100"/>
                        <w:kern w:val="2"/>
                        <w:position w:val="0"/>
                        <w:sz w:val="21"/>
                        <w:highlight w:val="none"/>
                        <w:u w:val="none"/>
                        <w:shd w:val="clear" w:fill="auto"/>
                      </w:rPr>
                    </m:ctrlPr>
                  </m:den>
                </m:f>
              </m:oMath>
            </m:oMathPara>
          </w:p>
        </w:tc>
        <w:tc>
          <w:tcPr>
            <w:tcW w:w="186" w:type="pct"/>
            <w:noWrap w:val="0"/>
            <w:vAlign w:val="center"/>
          </w:tcPr>
          <w:p w14:paraId="0B174A31">
            <w:pPr>
              <w:keepNext w:val="0"/>
              <w:keepLines w:val="0"/>
              <w:pageBreakBefore w:val="0"/>
              <w:overflowPunct/>
              <w:topLinePunct w:val="0"/>
              <w:bidi w:val="0"/>
              <w:adjustRightInd/>
              <w:snapToGrid/>
              <w:spacing w:line="240" w:lineRule="auto"/>
              <w:ind w:left="0" w:leftChars="0" w:right="0" w:rightChars="0" w:firstLine="0" w:firstLineChars="0"/>
              <w:jc w:val="right"/>
              <w:rPr>
                <w:rFonts w:hint="eastAsia" w:ascii="Times New Roman" w:hAnsi="Times New Roman" w:eastAsia="宋体" w:cs="Times New Roman"/>
                <w:snapToGrid/>
                <w:color w:val="auto"/>
                <w:spacing w:val="0"/>
                <w:w w:val="100"/>
                <w:kern w:val="2"/>
                <w:position w:val="0"/>
                <w:szCs w:val="28"/>
                <w:highlight w:val="none"/>
                <w:u w:val="none"/>
                <w:shd w:val="clear" w:fill="auto"/>
                <w:lang w:eastAsia="zh-CN"/>
              </w:rPr>
            </w:pPr>
            <w:r>
              <w:rPr>
                <w:rFonts w:hint="eastAsia" w:ascii="Times New Roman" w:hAnsi="Times New Roman" w:eastAsia="宋体" w:cs="Times New Roman"/>
                <w:snapToGrid/>
                <w:color w:val="auto"/>
                <w:spacing w:val="0"/>
                <w:w w:val="100"/>
                <w:kern w:val="2"/>
                <w:position w:val="0"/>
                <w:szCs w:val="28"/>
                <w:highlight w:val="none"/>
                <w:u w:val="none"/>
                <w:shd w:val="clear" w:fill="auto"/>
                <w:lang w:eastAsia="zh-CN"/>
              </w:rPr>
              <w:t>（</w:t>
            </w:r>
            <w:r>
              <w:rPr>
                <w:rFonts w:hint="eastAsia" w:ascii="Times New Roman" w:hAnsi="Times New Roman" w:eastAsia="宋体" w:cs="Times New Roman"/>
                <w:snapToGrid/>
                <w:color w:val="auto"/>
                <w:spacing w:val="0"/>
                <w:w w:val="100"/>
                <w:kern w:val="2"/>
                <w:position w:val="0"/>
                <w:szCs w:val="28"/>
                <w:highlight w:val="none"/>
                <w:u w:val="none"/>
                <w:shd w:val="clear" w:fill="auto"/>
                <w:lang w:val="en-US" w:eastAsia="zh-CN"/>
              </w:rPr>
              <w:t>3</w:t>
            </w:r>
            <w:r>
              <w:rPr>
                <w:rFonts w:hint="eastAsia" w:ascii="Times New Roman" w:hAnsi="Times New Roman" w:eastAsia="宋体" w:cs="Times New Roman"/>
                <w:snapToGrid/>
                <w:color w:val="auto"/>
                <w:spacing w:val="0"/>
                <w:w w:val="100"/>
                <w:kern w:val="2"/>
                <w:position w:val="0"/>
                <w:szCs w:val="28"/>
                <w:highlight w:val="none"/>
                <w:u w:val="none"/>
                <w:shd w:val="clear" w:fill="auto"/>
                <w:lang w:eastAsia="zh-CN"/>
              </w:rPr>
              <w:t>）</w:t>
            </w:r>
          </w:p>
        </w:tc>
      </w:tr>
    </w:tbl>
    <w:p w14:paraId="7D4DD75A">
      <w:pPr>
        <w:keepNext w:val="0"/>
        <w:keepLines w:val="0"/>
        <w:pageBreakBefore w:val="0"/>
        <w:widowControl w:val="0"/>
        <w:kinsoku/>
        <w:wordWrap w:val="0"/>
        <w:overflowPunct/>
        <w:topLinePunct w:val="0"/>
        <w:autoSpaceDE/>
        <w:autoSpaceDN/>
        <w:bidi w:val="0"/>
        <w:adjustRightInd/>
        <w:snapToGrid/>
        <w:spacing w:line="240" w:lineRule="auto"/>
        <w:ind w:left="0" w:leftChars="0" w:right="0" w:rightChars="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式中，</w:t>
      </w:r>
      <w:r>
        <w:rPr>
          <w:rFonts w:hint="eastAsia"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Q</w:t>
      </w:r>
      <w:r>
        <w:rPr>
          <w:rFonts w:hint="eastAsia" w:ascii="Times New Roman" w:hAnsi="Times New Roman" w:eastAsia="宋体" w:cs="Times New Roman"/>
          <w:snapToGrid/>
          <w:color w:val="auto"/>
          <w:spacing w:val="0"/>
          <w:w w:val="100"/>
          <w:kern w:val="2"/>
          <w:position w:val="0"/>
          <w:sz w:val="21"/>
          <w:szCs w:val="21"/>
          <w:highlight w:val="none"/>
          <w:u w:val="none"/>
          <w:shd w:val="clear" w:fill="auto"/>
          <w:vertAlign w:val="subscript"/>
          <w:lang w:val="en-US" w:eastAsia="zh-CN"/>
        </w:rPr>
        <w:t>0</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为净流量（m</w:t>
      </w:r>
      <w:r>
        <w:rPr>
          <w:rFonts w:hint="eastAsia"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w:t>
      </w:r>
      <w:r>
        <w:rPr>
          <w:rFonts w:hint="eastAsia"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A</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eastAsia"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z</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)为水位为</w:t>
      </w:r>
      <w:r>
        <w:rPr>
          <w:rFonts w:hint="eastAsia"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z</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时的湖荡水面面积（m</w:t>
      </w:r>
      <w:r>
        <w:rPr>
          <w:rFonts w:hint="eastAsia"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2</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eastAsia"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t</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为时间（s）。</w:t>
      </w:r>
    </w:p>
    <w:p w14:paraId="48A88A14">
      <w:pPr>
        <w:keepNext w:val="0"/>
        <w:keepLines w:val="0"/>
        <w:pageBreakBefore w:val="0"/>
        <w:widowControl w:val="0"/>
        <w:kinsoku/>
        <w:wordWrap w:val="0"/>
        <w:overflowPunct/>
        <w:topLinePunct w:val="0"/>
        <w:autoSpaceDE/>
        <w:autoSpaceDN/>
        <w:bidi w:val="0"/>
        <w:adjustRightInd/>
        <w:snapToGrid/>
        <w:spacing w:line="240" w:lineRule="auto"/>
        <w:ind w:left="0" w:leftChars="0" w:right="0" w:rightChars="0" w:firstLine="420" w:firstLineChars="200"/>
        <w:jc w:val="both"/>
        <w:textAlignment w:val="auto"/>
        <w:rPr>
          <w:rFonts w:hint="default" w:ascii="Times New Roman" w:hAnsi="Times New Roman" w:eastAsia="宋体" w:cs="Times New Roman"/>
          <w:snapToGrid/>
          <w:color w:val="auto"/>
          <w:spacing w:val="0"/>
          <w:w w:val="100"/>
          <w:kern w:val="2"/>
          <w:position w:val="0"/>
          <w:sz w:val="28"/>
          <w:szCs w:val="28"/>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对湖西区及武澄锡虞区骨干河道，按1:1原始长度进行建模，不进行合并概化；汇入骨干河道和计算河道点相近的次要输水河道，在建模时根据数据搜集情况，尽量按实际情况进行建模，缺乏资料的情况下，可以进行适当的合并，但要满足河道建模的一般原则：即河道总长、总过水断面基本不变，以保持原有河道水面比降和输水能力，相对较小的不起输水作用的河道，可以作为陆域面上的调蓄水面处理。</w:t>
      </w:r>
    </w:p>
    <w:p w14:paraId="2F1C241C">
      <w:pPr>
        <w:keepNext w:val="0"/>
        <w:keepLines w:val="0"/>
        <w:pageBreakBefore w:val="0"/>
        <w:widowControl w:val="0"/>
        <w:kinsoku/>
        <w:overflowPunct/>
        <w:topLinePunct w:val="0"/>
        <w:autoSpaceDE/>
        <w:autoSpaceDN/>
        <w:bidi w:val="0"/>
        <w:adjustRightInd/>
        <w:snapToGrid/>
        <w:spacing w:line="240" w:lineRule="auto"/>
        <w:ind w:left="0" w:leftChars="0" w:right="0" w:rightChars="0" w:firstLine="560" w:firstLineChars="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一维模型主要通过求解描述河道水流运动的圣维南方程组为</w:t>
      </w:r>
    </w:p>
    <w:tbl>
      <w:tblPr>
        <w:tblStyle w:val="9"/>
        <w:tblW w:w="4999" w:type="pct"/>
        <w:tblInd w:w="0" w:type="dxa"/>
        <w:tblLayout w:type="autofit"/>
        <w:tblCellMar>
          <w:top w:w="0" w:type="dxa"/>
          <w:left w:w="108" w:type="dxa"/>
          <w:bottom w:w="0" w:type="dxa"/>
          <w:right w:w="108" w:type="dxa"/>
        </w:tblCellMar>
      </w:tblPr>
      <w:tblGrid>
        <w:gridCol w:w="222"/>
        <w:gridCol w:w="7556"/>
        <w:gridCol w:w="742"/>
      </w:tblGrid>
      <w:tr w14:paraId="6E8EE73D">
        <w:tblPrEx>
          <w:tblCellMar>
            <w:top w:w="0" w:type="dxa"/>
            <w:left w:w="108" w:type="dxa"/>
            <w:bottom w:w="0" w:type="dxa"/>
            <w:right w:w="108" w:type="dxa"/>
          </w:tblCellMar>
        </w:tblPrEx>
        <w:tc>
          <w:tcPr>
            <w:tcW w:w="186" w:type="pct"/>
            <w:noWrap w:val="0"/>
            <w:vAlign w:val="top"/>
          </w:tcPr>
          <w:p w14:paraId="6478325F">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w:p>
        </w:tc>
        <w:tc>
          <w:tcPr>
            <w:tcW w:w="4626" w:type="pct"/>
            <w:noWrap w:val="0"/>
            <w:vAlign w:val="top"/>
          </w:tcPr>
          <w:p w14:paraId="06CEFD44">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 w:val="21"/>
                <w:szCs w:val="21"/>
                <w:highlight w:val="none"/>
                <w:u w:val="none"/>
                <w:shd w:val="clear" w:fill="auto"/>
              </w:rPr>
            </w:pPr>
            <m:oMathPara>
              <m:oMath>
                <m:d>
                  <m:dPr>
                    <m:begChr m:val="{"/>
                    <m:endChr m:val=""/>
                    <m:ctrlPr>
                      <w:rPr>
                        <w:rFonts w:hint="default" w:ascii="Cambria Math" w:hAnsi="Cambria Math" w:cs="Times New Roman"/>
                        <w:i/>
                        <w:snapToGrid/>
                        <w:color w:val="auto"/>
                        <w:spacing w:val="0"/>
                        <w:w w:val="100"/>
                        <w:kern w:val="2"/>
                        <w:position w:val="0"/>
                        <w:sz w:val="21"/>
                        <w:szCs w:val="21"/>
                        <w:highlight w:val="none"/>
                        <w:u w:val="none"/>
                        <w:shd w:val="clear" w:fill="auto"/>
                      </w:rPr>
                    </m:ctrlPr>
                  </m:dPr>
                  <m:e>
                    <m:m>
                      <m:mPr>
                        <m:mcs>
                          <m:mc>
                            <m:mcPr>
                              <m:count m:val="1"/>
                              <m:mcJc m:val="left"/>
                            </m:mcPr>
                          </m:mc>
                        </m:mcs>
                        <m:plcHide m:val="1"/>
                        <m:ctrlPr>
                          <w:rPr>
                            <w:rFonts w:hint="default" w:ascii="Cambria Math" w:hAnsi="Cambria Math" w:cs="Times New Roman"/>
                            <w:i/>
                            <w:snapToGrid/>
                            <w:color w:val="auto"/>
                            <w:spacing w:val="0"/>
                            <w:w w:val="100"/>
                            <w:kern w:val="2"/>
                            <w:position w:val="0"/>
                            <w:sz w:val="21"/>
                            <w:szCs w:val="21"/>
                            <w:highlight w:val="none"/>
                            <w:u w:val="none"/>
                            <w:shd w:val="clear" w:fill="auto"/>
                          </w:rPr>
                        </m:ctrlPr>
                      </m:mPr>
                      <m:mr>
                        <m:e>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B</m:t>
                          </m:r>
                          <m:f>
                            <m:fPr>
                              <m:ctrlPr>
                                <w:rPr>
                                  <w:rFonts w:hint="default" w:ascii="Cambria Math" w:hAnsi="Cambria Math" w:cs="Times New Roman"/>
                                  <w:i/>
                                  <w:snapToGrid/>
                                  <w:color w:val="auto"/>
                                  <w:spacing w:val="0"/>
                                  <w:w w:val="100"/>
                                  <w:kern w:val="2"/>
                                  <w:position w:val="0"/>
                                  <w:sz w:val="21"/>
                                  <w:szCs w:val="21"/>
                                  <w:highlight w:val="none"/>
                                  <w:u w:val="none"/>
                                  <w:shd w:val="clear" w:fill="auto"/>
                                </w:rPr>
                              </m:ctrlPr>
                            </m:fPr>
                            <m:num>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m:t>Z</m:t>
                              </m:r>
                              <m:ctrlPr>
                                <w:rPr>
                                  <w:rFonts w:hint="default" w:ascii="Cambria Math" w:hAnsi="Cambria Math" w:cs="Times New Roman"/>
                                  <w:snapToGrid/>
                                  <w:color w:val="auto"/>
                                  <w:spacing w:val="0"/>
                                  <w:w w:val="100"/>
                                  <w:kern w:val="2"/>
                                  <w:position w:val="0"/>
                                  <w:sz w:val="21"/>
                                  <w:szCs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eastAsia="宋体" w:cs="Times New Roman"/>
                                  <w:i/>
                                  <w:snapToGrid/>
                                  <w:color w:val="auto"/>
                                  <w:spacing w:val="0"/>
                                  <w:w w:val="100"/>
                                  <w:kern w:val="2"/>
                                  <w:position w:val="0"/>
                                  <w:sz w:val="21"/>
                                  <w:szCs w:val="21"/>
                                  <w:highlight w:val="none"/>
                                  <w:u w:val="none"/>
                                  <w:shd w:val="clear" w:fill="auto"/>
                                  <w:lang w:val="en-US" w:eastAsia="zh-CN"/>
                                </w:rPr>
                                <m:t>t</m:t>
                              </m:r>
                              <m:ctrlPr>
                                <w:rPr>
                                  <w:rFonts w:hint="default" w:ascii="Cambria Math" w:hAnsi="Cambria Math" w:cs="Times New Roman"/>
                                  <w:snapToGrid/>
                                  <w:color w:val="auto"/>
                                  <w:spacing w:val="0"/>
                                  <w:w w:val="100"/>
                                  <w:kern w:val="2"/>
                                  <w:position w:val="0"/>
                                  <w:sz w:val="21"/>
                                  <w:szCs w:val="21"/>
                                  <w:highlight w:val="none"/>
                                  <w:u w:val="none"/>
                                  <w:shd w:val="clear" w:fill="auto"/>
                                </w:rPr>
                              </m:ctrlPr>
                            </m:den>
                          </m:f>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f>
                            <m:fPr>
                              <m:ctrlPr>
                                <w:rPr>
                                  <w:rFonts w:hint="default" w:ascii="Cambria Math" w:hAnsi="Cambria Math" w:cs="Times New Roman"/>
                                  <w:i/>
                                  <w:snapToGrid/>
                                  <w:color w:val="auto"/>
                                  <w:spacing w:val="0"/>
                                  <w:w w:val="100"/>
                                  <w:kern w:val="2"/>
                                  <w:position w:val="0"/>
                                  <w:sz w:val="21"/>
                                  <w:szCs w:val="21"/>
                                  <w:highlight w:val="none"/>
                                  <w:u w:val="none"/>
                                  <w:shd w:val="clear" w:fill="auto"/>
                                </w:rPr>
                              </m:ctrlPr>
                            </m:fPr>
                            <m:num>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Q</m:t>
                              </m:r>
                              <m:ctrlPr>
                                <w:rPr>
                                  <w:rFonts w:hint="default" w:ascii="Cambria Math" w:hAnsi="Cambria Math" w:cs="Times New Roman"/>
                                  <w:snapToGrid/>
                                  <w:color w:val="auto"/>
                                  <w:spacing w:val="0"/>
                                  <w:w w:val="100"/>
                                  <w:kern w:val="2"/>
                                  <w:position w:val="0"/>
                                  <w:sz w:val="21"/>
                                  <w:szCs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x</m:t>
                              </m:r>
                              <m:ctrlPr>
                                <w:rPr>
                                  <w:rFonts w:hint="default" w:ascii="Cambria Math" w:hAnsi="Cambria Math" w:cs="Times New Roman"/>
                                  <w:snapToGrid/>
                                  <w:color w:val="auto"/>
                                  <w:spacing w:val="0"/>
                                  <w:w w:val="100"/>
                                  <w:kern w:val="2"/>
                                  <w:position w:val="0"/>
                                  <w:sz w:val="21"/>
                                  <w:szCs w:val="21"/>
                                  <w:highlight w:val="none"/>
                                  <w:u w:val="none"/>
                                  <w:shd w:val="clear" w:fill="auto"/>
                                </w:rPr>
                              </m:ctrlPr>
                            </m:den>
                          </m:f>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q</m:t>
                          </m:r>
                          <m:ctrlPr>
                            <w:rPr>
                              <w:rFonts w:hint="default" w:ascii="Cambria Math" w:hAnsi="Cambria Math" w:cs="Times New Roman"/>
                              <w:i/>
                              <w:snapToGrid/>
                              <w:color w:val="auto"/>
                              <w:spacing w:val="0"/>
                              <w:w w:val="100"/>
                              <w:kern w:val="2"/>
                              <w:position w:val="0"/>
                              <w:sz w:val="21"/>
                              <w:szCs w:val="21"/>
                              <w:highlight w:val="none"/>
                              <w:u w:val="none"/>
                              <w:shd w:val="clear" w:fill="auto"/>
                            </w:rPr>
                          </m:ctrlPr>
                        </m:e>
                      </m:mr>
                      <m:mr>
                        <m:e>
                          <m:f>
                            <m:fPr>
                              <m:ctrlPr>
                                <w:rPr>
                                  <w:rFonts w:hint="default" w:ascii="Cambria Math" w:hAnsi="Cambria Math" w:cs="Times New Roman"/>
                                  <w:i/>
                                  <w:snapToGrid/>
                                  <w:color w:val="auto"/>
                                  <w:spacing w:val="0"/>
                                  <w:w w:val="100"/>
                                  <w:kern w:val="2"/>
                                  <w:position w:val="0"/>
                                  <w:sz w:val="21"/>
                                  <w:szCs w:val="21"/>
                                  <w:highlight w:val="none"/>
                                  <w:u w:val="none"/>
                                  <w:shd w:val="clear" w:fill="auto"/>
                                </w:rPr>
                              </m:ctrlPr>
                            </m:fPr>
                            <m:num>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Q</m:t>
                              </m:r>
                              <m:ctrlPr>
                                <w:rPr>
                                  <w:rFonts w:hint="default" w:ascii="Cambria Math" w:hAnsi="Cambria Math" w:cs="Times New Roman"/>
                                  <w:snapToGrid/>
                                  <w:color w:val="auto"/>
                                  <w:spacing w:val="0"/>
                                  <w:w w:val="100"/>
                                  <w:kern w:val="2"/>
                                  <w:position w:val="0"/>
                                  <w:sz w:val="21"/>
                                  <w:szCs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eastAsia="宋体" w:cs="Times New Roman"/>
                                  <w:i/>
                                  <w:snapToGrid/>
                                  <w:color w:val="auto"/>
                                  <w:spacing w:val="0"/>
                                  <w:w w:val="100"/>
                                  <w:kern w:val="2"/>
                                  <w:position w:val="0"/>
                                  <w:sz w:val="21"/>
                                  <w:szCs w:val="21"/>
                                  <w:highlight w:val="none"/>
                                  <w:u w:val="none"/>
                                  <w:shd w:val="clear" w:fill="auto"/>
                                  <w:lang w:val="en-US" w:eastAsia="zh-CN"/>
                                </w:rPr>
                                <m:t>t</m:t>
                              </m:r>
                              <m:ctrlPr>
                                <w:rPr>
                                  <w:rFonts w:hint="default" w:ascii="Cambria Math" w:hAnsi="Cambria Math" w:cs="Times New Roman"/>
                                  <w:snapToGrid/>
                                  <w:color w:val="auto"/>
                                  <w:spacing w:val="0"/>
                                  <w:w w:val="100"/>
                                  <w:kern w:val="2"/>
                                  <w:position w:val="0"/>
                                  <w:sz w:val="21"/>
                                  <w:szCs w:val="21"/>
                                  <w:highlight w:val="none"/>
                                  <w:u w:val="none"/>
                                  <w:shd w:val="clear" w:fill="auto"/>
                                </w:rPr>
                              </m:ctrlPr>
                            </m:den>
                          </m:f>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f>
                            <m:fPr>
                              <m:ctrlPr>
                                <w:rPr>
                                  <w:rFonts w:hint="default" w:ascii="Cambria Math" w:hAnsi="Cambria Math" w:cs="Times New Roman"/>
                                  <w:i/>
                                  <w:snapToGrid/>
                                  <w:color w:val="auto"/>
                                  <w:spacing w:val="0"/>
                                  <w:w w:val="100"/>
                                  <w:kern w:val="2"/>
                                  <w:position w:val="0"/>
                                  <w:sz w:val="21"/>
                                  <w:szCs w:val="21"/>
                                  <w:highlight w:val="none"/>
                                  <w:u w:val="none"/>
                                  <w:shd w:val="clear" w:fill="auto"/>
                                </w:rPr>
                              </m:ctrlPr>
                            </m:fPr>
                            <m:num>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ctrlPr>
                                <w:rPr>
                                  <w:rFonts w:hint="default" w:ascii="Cambria Math" w:hAnsi="Cambria Math" w:cs="Times New Roman"/>
                                  <w:snapToGrid/>
                                  <w:color w:val="auto"/>
                                  <w:spacing w:val="0"/>
                                  <w:w w:val="100"/>
                                  <w:kern w:val="2"/>
                                  <w:position w:val="0"/>
                                  <w:sz w:val="21"/>
                                  <w:szCs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eastAsia" w:ascii="Times New Roman" w:hAnsi="Times New Roman" w:eastAsia="宋体" w:cs="Times New Roman"/>
                                  <w:i/>
                                  <w:snapToGrid/>
                                  <w:color w:val="auto"/>
                                  <w:spacing w:val="0"/>
                                  <w:w w:val="100"/>
                                  <w:kern w:val="2"/>
                                  <w:position w:val="0"/>
                                  <w:sz w:val="21"/>
                                  <w:szCs w:val="21"/>
                                  <w:highlight w:val="none"/>
                                  <w:u w:val="none"/>
                                  <w:shd w:val="clear" w:fill="auto"/>
                                  <w:lang w:val="en-US" w:eastAsia="zh-CN"/>
                                </w:rPr>
                                <m:t>x</m:t>
                              </m:r>
                              <m:ctrlPr>
                                <w:rPr>
                                  <w:rFonts w:hint="default" w:ascii="Cambria Math" w:hAnsi="Cambria Math" w:cs="Times New Roman"/>
                                  <w:snapToGrid/>
                                  <w:color w:val="auto"/>
                                  <w:spacing w:val="0"/>
                                  <w:w w:val="100"/>
                                  <w:kern w:val="2"/>
                                  <w:position w:val="0"/>
                                  <w:sz w:val="21"/>
                                  <w:szCs w:val="21"/>
                                  <w:highlight w:val="none"/>
                                  <w:u w:val="none"/>
                                  <w:shd w:val="clear" w:fill="auto"/>
                                </w:rPr>
                              </m:ctrlPr>
                            </m:den>
                          </m:f>
                          <m:d>
                            <m:dPr>
                              <m:ctrlPr>
                                <w:rPr>
                                  <w:rFonts w:hint="default" w:ascii="Cambria Math" w:hAnsi="Cambria Math" w:cs="Times New Roman"/>
                                  <w:i/>
                                  <w:snapToGrid/>
                                  <w:color w:val="auto"/>
                                  <w:spacing w:val="0"/>
                                  <w:w w:val="100"/>
                                  <w:kern w:val="2"/>
                                  <w:position w:val="0"/>
                                  <w:sz w:val="21"/>
                                  <w:szCs w:val="21"/>
                                  <w:highlight w:val="none"/>
                                  <w:u w:val="none"/>
                                  <w:shd w:val="clear" w:fill="auto"/>
                                </w:rPr>
                              </m:ctrlPr>
                            </m:dPr>
                            <m:e>
                              <m:f>
                                <m:fPr>
                                  <m:ctrlPr>
                                    <w:rPr>
                                      <w:rFonts w:hint="default" w:ascii="Cambria Math" w:hAnsi="Cambria Math" w:cs="Times New Roman"/>
                                      <w:i/>
                                      <w:snapToGrid/>
                                      <w:color w:val="auto"/>
                                      <w:spacing w:val="0"/>
                                      <w:w w:val="100"/>
                                      <w:kern w:val="2"/>
                                      <w:position w:val="0"/>
                                      <w:sz w:val="21"/>
                                      <w:szCs w:val="21"/>
                                      <w:highlight w:val="none"/>
                                      <w:u w:val="none"/>
                                      <w:shd w:val="clear" w:fill="auto"/>
                                    </w:rPr>
                                  </m:ctrlPr>
                                </m:fPr>
                                <m:num>
                                  <m:r>
                                    <m:rPr/>
                                    <w:rPr>
                                      <w:rFonts w:ascii="Cambria Math" w:hAnsi="Cambria Math" w:cs="Times New Roman"/>
                                      <w:snapToGrid/>
                                      <w:color w:val="auto"/>
                                      <w:spacing w:val="0"/>
                                      <w:w w:val="100"/>
                                      <w:kern w:val="2"/>
                                      <w:position w:val="0"/>
                                      <w:sz w:val="21"/>
                                      <w:szCs w:val="21"/>
                                      <w:highlight w:val="none"/>
                                      <w:u w:val="none"/>
                                      <w:shd w:val="clear" w:fill="auto"/>
                                    </w:rPr>
                                    <m:t>α</m:t>
                                  </m:r>
                                  <m:sSup>
                                    <m:sSupPr>
                                      <m:ctrlPr>
                                        <w:rPr>
                                          <w:rFonts w:hint="default" w:ascii="Cambria Math" w:hAnsi="Cambria Math" w:cs="Times New Roman"/>
                                          <w:snapToGrid/>
                                          <w:color w:val="auto"/>
                                          <w:spacing w:val="0"/>
                                          <w:w w:val="100"/>
                                          <w:kern w:val="2"/>
                                          <w:position w:val="0"/>
                                          <w:sz w:val="21"/>
                                          <w:szCs w:val="21"/>
                                          <w:highlight w:val="none"/>
                                          <w:u w:val="none"/>
                                          <w:shd w:val="clear" w:fill="auto"/>
                                        </w:rPr>
                                      </m:ctrlPr>
                                    </m:sSupPr>
                                    <m:e>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Q</m:t>
                                      </m:r>
                                      <m:ctrlPr>
                                        <w:rPr>
                                          <w:rFonts w:hint="default" w:ascii="Cambria Math" w:hAnsi="Cambria Math" w:cs="Times New Roman"/>
                                          <w:snapToGrid/>
                                          <w:color w:val="auto"/>
                                          <w:spacing w:val="0"/>
                                          <w:w w:val="100"/>
                                          <w:kern w:val="2"/>
                                          <w:position w:val="0"/>
                                          <w:sz w:val="21"/>
                                          <w:szCs w:val="21"/>
                                          <w:highlight w:val="none"/>
                                          <w:u w:val="none"/>
                                          <w:shd w:val="clear" w:fill="auto"/>
                                        </w:rPr>
                                      </m:ctrlPr>
                                    </m:e>
                                    <m:sup>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2</m:t>
                                      </m:r>
                                      <m:ctrlPr>
                                        <w:rPr>
                                          <w:rFonts w:hint="default" w:ascii="Cambria Math" w:hAnsi="Cambria Math" w:cs="Times New Roman"/>
                                          <w:snapToGrid/>
                                          <w:color w:val="auto"/>
                                          <w:spacing w:val="0"/>
                                          <w:w w:val="100"/>
                                          <w:kern w:val="2"/>
                                          <w:position w:val="0"/>
                                          <w:sz w:val="21"/>
                                          <w:szCs w:val="21"/>
                                          <w:highlight w:val="none"/>
                                          <w:u w:val="none"/>
                                          <w:shd w:val="clear" w:fill="auto"/>
                                        </w:rPr>
                                      </m:ctrlPr>
                                    </m:sup>
                                  </m:sSup>
                                  <m:ctrlPr>
                                    <w:rPr>
                                      <w:rFonts w:hint="default" w:ascii="Cambria Math" w:hAnsi="Cambria Math" w:cs="Times New Roman"/>
                                      <w:snapToGrid/>
                                      <w:color w:val="auto"/>
                                      <w:spacing w:val="0"/>
                                      <w:w w:val="100"/>
                                      <w:kern w:val="2"/>
                                      <w:position w:val="0"/>
                                      <w:sz w:val="21"/>
                                      <w:szCs w:val="21"/>
                                      <w:highlight w:val="none"/>
                                      <w:u w:val="none"/>
                                      <w:shd w:val="clear" w:fill="auto"/>
                                    </w:rPr>
                                  </m:ctrlPr>
                                </m:num>
                                <m:den>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A</m:t>
                                  </m:r>
                                  <m:ctrlPr>
                                    <w:rPr>
                                      <w:rFonts w:hint="default" w:ascii="Cambria Math" w:hAnsi="Cambria Math" w:cs="Times New Roman"/>
                                      <w:snapToGrid/>
                                      <w:color w:val="auto"/>
                                      <w:spacing w:val="0"/>
                                      <w:w w:val="100"/>
                                      <w:kern w:val="2"/>
                                      <w:position w:val="0"/>
                                      <w:sz w:val="21"/>
                                      <w:szCs w:val="21"/>
                                      <w:highlight w:val="none"/>
                                      <w:u w:val="none"/>
                                      <w:shd w:val="clear" w:fill="auto"/>
                                    </w:rPr>
                                  </m:ctrlPr>
                                </m:den>
                              </m:f>
                              <m:ctrlPr>
                                <w:rPr>
                                  <w:rFonts w:hint="default" w:ascii="Cambria Math" w:hAnsi="Cambria Math" w:cs="Times New Roman"/>
                                  <w:i/>
                                  <w:snapToGrid/>
                                  <w:color w:val="auto"/>
                                  <w:spacing w:val="0"/>
                                  <w:w w:val="100"/>
                                  <w:kern w:val="2"/>
                                  <w:position w:val="0"/>
                                  <w:sz w:val="21"/>
                                  <w:szCs w:val="21"/>
                                  <w:highlight w:val="none"/>
                                  <w:u w:val="none"/>
                                  <w:shd w:val="clear" w:fill="auto"/>
                                </w:rPr>
                              </m:ctrlPr>
                            </m:e>
                          </m:d>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gA</m:t>
                          </m:r>
                          <m:f>
                            <m:fPr>
                              <m:ctrlPr>
                                <w:rPr>
                                  <w:rFonts w:hint="default" w:ascii="Cambria Math" w:hAnsi="Cambria Math" w:cs="Times New Roman"/>
                                  <w:i/>
                                  <w:snapToGrid/>
                                  <w:color w:val="auto"/>
                                  <w:spacing w:val="0"/>
                                  <w:w w:val="100"/>
                                  <w:kern w:val="2"/>
                                  <w:position w:val="0"/>
                                  <w:sz w:val="21"/>
                                  <w:szCs w:val="21"/>
                                  <w:highlight w:val="none"/>
                                  <w:u w:val="none"/>
                                  <w:shd w:val="clear" w:fill="auto"/>
                                </w:rPr>
                              </m:ctrlPr>
                            </m:fPr>
                            <m:num>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sty m:val="p"/>
                                </m:rPr>
                                <w:rPr>
                                  <w:rFonts w:hint="default" w:ascii="Times New Roman" w:hAnsi="Times New Roman" w:eastAsia="宋体" w:cs="Times New Roman"/>
                                  <w:b w:val="0"/>
                                  <w:i w:val="0"/>
                                  <w:snapToGrid/>
                                  <w:color w:val="auto"/>
                                  <w:spacing w:val="0"/>
                                  <w:w w:val="100"/>
                                  <w:kern w:val="2"/>
                                  <w:position w:val="0"/>
                                  <w:sz w:val="21"/>
                                  <w:szCs w:val="21"/>
                                  <w:highlight w:val="none"/>
                                  <w:u w:val="none"/>
                                  <w:shd w:val="clear" w:fill="auto"/>
                                  <w:lang w:val="en-US" w:eastAsia="zh-CN"/>
                                </w:rPr>
                                <m:t>Z</m:t>
                              </m:r>
                              <m:ctrlPr>
                                <w:rPr>
                                  <w:rFonts w:hint="default" w:ascii="Cambria Math" w:hAnsi="Cambria Math" w:cs="Times New Roman"/>
                                  <w:i/>
                                  <w:snapToGrid/>
                                  <w:color w:val="auto"/>
                                  <w:spacing w:val="0"/>
                                  <w:w w:val="100"/>
                                  <w:kern w:val="2"/>
                                  <w:position w:val="0"/>
                                  <w:sz w:val="21"/>
                                  <w:szCs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x</m:t>
                              </m:r>
                              <m:ctrlPr>
                                <w:rPr>
                                  <w:rFonts w:hint="default" w:ascii="Cambria Math" w:hAnsi="Cambria Math" w:cs="Times New Roman"/>
                                  <w:i/>
                                  <w:snapToGrid/>
                                  <w:color w:val="auto"/>
                                  <w:spacing w:val="0"/>
                                  <w:w w:val="100"/>
                                  <w:kern w:val="2"/>
                                  <w:position w:val="0"/>
                                  <w:sz w:val="21"/>
                                  <w:szCs w:val="21"/>
                                  <w:highlight w:val="none"/>
                                  <w:u w:val="none"/>
                                  <w:shd w:val="clear" w:fill="auto"/>
                                </w:rPr>
                              </m:ctrlPr>
                            </m:den>
                          </m:f>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gA</m:t>
                          </m:r>
                          <m:f>
                            <m:fPr>
                              <m:ctrlPr>
                                <w:rPr>
                                  <w:rFonts w:hint="default" w:ascii="Cambria Math" w:hAnsi="Cambria Math" w:cs="Times New Roman"/>
                                  <w:i/>
                                  <w:snapToGrid/>
                                  <w:color w:val="auto"/>
                                  <w:spacing w:val="0"/>
                                  <w:w w:val="100"/>
                                  <w:kern w:val="2"/>
                                  <w:position w:val="0"/>
                                  <w:sz w:val="21"/>
                                  <w:szCs w:val="21"/>
                                  <w:highlight w:val="none"/>
                                  <w:u w:val="none"/>
                                  <w:shd w:val="clear" w:fill="auto"/>
                                </w:rPr>
                              </m:ctrlPr>
                            </m:fPr>
                            <m:num>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eastAsia="宋体" w:cs="Times New Roman"/>
                                  <w:i/>
                                  <w:snapToGrid/>
                                  <w:color w:val="auto"/>
                                  <w:spacing w:val="0"/>
                                  <w:w w:val="100"/>
                                  <w:kern w:val="2"/>
                                  <w:position w:val="0"/>
                                  <w:sz w:val="21"/>
                                  <w:szCs w:val="21"/>
                                  <w:highlight w:val="none"/>
                                  <w:u w:val="none"/>
                                  <w:shd w:val="clear" w:fill="auto"/>
                                  <w:lang w:val="en-US" w:eastAsia="zh-CN"/>
                                </w:rPr>
                                <m:t>Q</m:t>
                              </m:r>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eastAsia="宋体" w:cs="Times New Roman"/>
                                  <w:i/>
                                  <w:snapToGrid/>
                                  <w:color w:val="auto"/>
                                  <w:spacing w:val="0"/>
                                  <w:w w:val="100"/>
                                  <w:kern w:val="2"/>
                                  <w:position w:val="0"/>
                                  <w:sz w:val="21"/>
                                  <w:szCs w:val="21"/>
                                  <w:highlight w:val="none"/>
                                  <w:u w:val="none"/>
                                  <w:shd w:val="clear" w:fill="auto"/>
                                  <w:lang w:val="en-US" w:eastAsia="zh-CN"/>
                                </w:rPr>
                                <m:t>Q</m:t>
                              </m:r>
                              <m:ctrlPr>
                                <w:rPr>
                                  <w:rFonts w:hint="default" w:ascii="Cambria Math" w:hAnsi="Cambria Math" w:cs="Times New Roman"/>
                                  <w:i/>
                                  <w:snapToGrid/>
                                  <w:color w:val="auto"/>
                                  <w:spacing w:val="0"/>
                                  <w:w w:val="100"/>
                                  <w:kern w:val="2"/>
                                  <w:position w:val="0"/>
                                  <w:sz w:val="21"/>
                                  <w:szCs w:val="21"/>
                                  <w:highlight w:val="none"/>
                                  <w:u w:val="none"/>
                                  <w:shd w:val="clear" w:fill="auto"/>
                                </w:rPr>
                              </m:ctrlPr>
                            </m:num>
                            <m:den>
                              <m:sSup>
                                <m:sSupPr>
                                  <m:ctrlPr>
                                    <w:rPr>
                                      <w:rFonts w:hint="default" w:ascii="Cambria Math" w:hAnsi="Cambria Math" w:cs="Times New Roman"/>
                                      <w:snapToGrid/>
                                      <w:color w:val="auto"/>
                                      <w:spacing w:val="0"/>
                                      <w:w w:val="100"/>
                                      <w:kern w:val="2"/>
                                      <w:position w:val="0"/>
                                      <w:sz w:val="21"/>
                                      <w:szCs w:val="21"/>
                                      <w:highlight w:val="none"/>
                                      <w:u w:val="none"/>
                                      <w:shd w:val="clear" w:fill="auto"/>
                                    </w:rPr>
                                  </m:ctrlPr>
                                </m:sSupPr>
                                <m:e>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K</m:t>
                                  </m:r>
                                  <m:ctrlPr>
                                    <w:rPr>
                                      <w:rFonts w:hint="default" w:ascii="Cambria Math" w:hAnsi="Cambria Math" w:cs="Times New Roman"/>
                                      <w:snapToGrid/>
                                      <w:color w:val="auto"/>
                                      <w:spacing w:val="0"/>
                                      <w:w w:val="100"/>
                                      <w:kern w:val="2"/>
                                      <w:position w:val="0"/>
                                      <w:sz w:val="21"/>
                                      <w:szCs w:val="21"/>
                                      <w:highlight w:val="none"/>
                                      <w:u w:val="none"/>
                                      <w:shd w:val="clear" w:fill="auto"/>
                                    </w:rPr>
                                  </m:ctrlPr>
                                </m:e>
                                <m:sup>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2</m:t>
                                  </m:r>
                                  <m:ctrlPr>
                                    <w:rPr>
                                      <w:rFonts w:hint="default" w:ascii="Cambria Math" w:hAnsi="Cambria Math" w:cs="Times New Roman"/>
                                      <w:snapToGrid/>
                                      <w:color w:val="auto"/>
                                      <w:spacing w:val="0"/>
                                      <w:w w:val="100"/>
                                      <w:kern w:val="2"/>
                                      <w:position w:val="0"/>
                                      <w:sz w:val="21"/>
                                      <w:szCs w:val="21"/>
                                      <w:highlight w:val="none"/>
                                      <w:u w:val="none"/>
                                      <w:shd w:val="clear" w:fill="auto"/>
                                    </w:rPr>
                                  </m:ctrlPr>
                                </m:sup>
                              </m:sSup>
                              <m:ctrlPr>
                                <w:rPr>
                                  <w:rFonts w:hint="default" w:ascii="Cambria Math" w:hAnsi="Cambria Math" w:cs="Times New Roman"/>
                                  <w:snapToGrid/>
                                  <w:color w:val="auto"/>
                                  <w:spacing w:val="0"/>
                                  <w:w w:val="100"/>
                                  <w:kern w:val="2"/>
                                  <w:position w:val="0"/>
                                  <w:sz w:val="21"/>
                                  <w:szCs w:val="21"/>
                                  <w:highlight w:val="none"/>
                                  <w:u w:val="none"/>
                                  <w:shd w:val="clear" w:fill="auto"/>
                                </w:rPr>
                              </m:ctrlPr>
                            </m:den>
                          </m:f>
                          <m:r>
                            <m:rPr>
                              <m:nor/>
                              <m:sty m:val="p"/>
                            </m:rPr>
                            <w:rPr>
                              <w:rFonts w:hint="default" w:ascii="Times New Roman" w:hAnsi="Times New Roman" w:cs="Times New Roman"/>
                              <w:b w:val="0"/>
                              <w:i w:val="0"/>
                              <w:snapToGrid/>
                              <w:color w:val="auto"/>
                              <w:spacing w:val="0"/>
                              <w:w w:val="100"/>
                              <w:kern w:val="2"/>
                              <w:position w:val="0"/>
                              <w:sz w:val="21"/>
                              <w:szCs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q</m:t>
                          </m:r>
                          <m:sSub>
                            <m:sSubPr>
                              <m:ctrlPr>
                                <w:rPr>
                                  <w:rFonts w:hint="default" w:ascii="Cambria Math" w:hAnsi="Cambria Math" w:cs="Times New Roman"/>
                                  <w:snapToGrid/>
                                  <w:color w:val="auto"/>
                                  <w:spacing w:val="0"/>
                                  <w:w w:val="100"/>
                                  <w:kern w:val="2"/>
                                  <w:position w:val="0"/>
                                  <w:sz w:val="21"/>
                                  <w:szCs w:val="21"/>
                                  <w:highlight w:val="none"/>
                                  <w:u w:val="none"/>
                                  <w:shd w:val="clear" w:fill="auto"/>
                                </w:rPr>
                              </m:ctrlPr>
                            </m:sSubPr>
                            <m:e>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V</m:t>
                              </m:r>
                              <m:ctrlPr>
                                <w:rPr>
                                  <w:rFonts w:hint="default" w:ascii="Cambria Math" w:hAnsi="Cambria Math" w:cs="Times New Roman"/>
                                  <w:snapToGrid/>
                                  <w:color w:val="auto"/>
                                  <w:spacing w:val="0"/>
                                  <w:w w:val="100"/>
                                  <w:kern w:val="2"/>
                                  <w:position w:val="0"/>
                                  <w:sz w:val="21"/>
                                  <w:szCs w:val="21"/>
                                  <w:highlight w:val="none"/>
                                  <w:u w:val="none"/>
                                  <w:shd w:val="clear" w:fill="auto"/>
                                </w:rPr>
                              </m:ctrlPr>
                            </m:e>
                            <m:sub>
                              <m:r>
                                <m:rPr>
                                  <m:nor/>
                                </m:rPr>
                                <w:rPr>
                                  <w:rFonts w:hint="default" w:ascii="Times New Roman" w:hAnsi="Times New Roman" w:cs="Times New Roman"/>
                                  <w:i/>
                                  <w:snapToGrid/>
                                  <w:color w:val="auto"/>
                                  <w:spacing w:val="0"/>
                                  <w:w w:val="100"/>
                                  <w:kern w:val="2"/>
                                  <w:position w:val="0"/>
                                  <w:sz w:val="21"/>
                                  <w:szCs w:val="21"/>
                                  <w:highlight w:val="none"/>
                                  <w:u w:val="none"/>
                                  <w:shd w:val="clear" w:fill="auto"/>
                                </w:rPr>
                                <m:t>x</m:t>
                              </m:r>
                              <m:ctrlPr>
                                <w:rPr>
                                  <w:rFonts w:hint="default" w:ascii="Cambria Math" w:hAnsi="Cambria Math" w:cs="Times New Roman"/>
                                  <w:snapToGrid/>
                                  <w:color w:val="auto"/>
                                  <w:spacing w:val="0"/>
                                  <w:w w:val="100"/>
                                  <w:kern w:val="2"/>
                                  <w:position w:val="0"/>
                                  <w:sz w:val="21"/>
                                  <w:szCs w:val="21"/>
                                  <w:highlight w:val="none"/>
                                  <w:u w:val="none"/>
                                  <w:shd w:val="clear" w:fill="auto"/>
                                </w:rPr>
                              </m:ctrlPr>
                            </m:sub>
                          </m:sSub>
                          <m:ctrlPr>
                            <w:rPr>
                              <w:rFonts w:hint="default" w:ascii="Cambria Math" w:hAnsi="Cambria Math" w:cs="Times New Roman"/>
                              <w:snapToGrid/>
                              <w:color w:val="auto"/>
                              <w:spacing w:val="0"/>
                              <w:w w:val="100"/>
                              <w:kern w:val="2"/>
                              <w:position w:val="0"/>
                              <w:sz w:val="21"/>
                              <w:szCs w:val="21"/>
                              <w:highlight w:val="none"/>
                              <w:u w:val="none"/>
                              <w:shd w:val="clear" w:fill="auto"/>
                            </w:rPr>
                          </m:ctrlPr>
                        </m:e>
                      </m:mr>
                    </m:m>
                    <m:ctrlPr>
                      <w:rPr>
                        <w:rFonts w:hint="default" w:ascii="Cambria Math" w:hAnsi="Cambria Math" w:cs="Times New Roman"/>
                        <w:i/>
                        <w:snapToGrid/>
                        <w:color w:val="auto"/>
                        <w:spacing w:val="0"/>
                        <w:w w:val="100"/>
                        <w:kern w:val="2"/>
                        <w:position w:val="0"/>
                        <w:sz w:val="21"/>
                        <w:szCs w:val="21"/>
                        <w:highlight w:val="none"/>
                        <w:u w:val="none"/>
                        <w:shd w:val="clear" w:fill="auto"/>
                      </w:rPr>
                    </m:ctrlPr>
                  </m:e>
                </m:d>
              </m:oMath>
            </m:oMathPara>
          </w:p>
        </w:tc>
        <w:tc>
          <w:tcPr>
            <w:tcW w:w="186" w:type="pct"/>
            <w:noWrap w:val="0"/>
            <w:vAlign w:val="center"/>
          </w:tcPr>
          <w:p w14:paraId="0E724CF4">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eastAsia="宋体" w:cs="Times New Roman"/>
                <w:snapToGrid/>
                <w:color w:val="auto"/>
                <w:spacing w:val="0"/>
                <w:w w:val="100"/>
                <w:kern w:val="2"/>
                <w:position w:val="0"/>
                <w:szCs w:val="28"/>
                <w:highlight w:val="none"/>
                <w:u w:val="none"/>
                <w:shd w:val="clear" w:fill="auto"/>
              </w:rPr>
            </w:pPr>
            <w:r>
              <w:rPr>
                <w:rFonts w:hint="eastAsia" w:ascii="Times New Roman" w:hAnsi="Times New Roman" w:eastAsia="宋体" w:cs="Times New Roman"/>
                <w:snapToGrid/>
                <w:color w:val="auto"/>
                <w:spacing w:val="0"/>
                <w:w w:val="100"/>
                <w:kern w:val="2"/>
                <w:position w:val="0"/>
                <w:szCs w:val="28"/>
                <w:highlight w:val="none"/>
                <w:u w:val="none"/>
                <w:shd w:val="clear" w:fill="auto"/>
                <w:lang w:eastAsia="zh-CN"/>
              </w:rPr>
              <w:t>（</w:t>
            </w:r>
            <w:r>
              <w:rPr>
                <w:rFonts w:hint="eastAsia" w:ascii="Times New Roman" w:hAnsi="Times New Roman" w:eastAsia="宋体" w:cs="Times New Roman"/>
                <w:snapToGrid/>
                <w:color w:val="auto"/>
                <w:spacing w:val="0"/>
                <w:w w:val="100"/>
                <w:kern w:val="2"/>
                <w:position w:val="0"/>
                <w:szCs w:val="28"/>
                <w:highlight w:val="none"/>
                <w:u w:val="none"/>
                <w:shd w:val="clear" w:fill="auto"/>
                <w:lang w:val="en-US" w:eastAsia="zh-CN"/>
              </w:rPr>
              <w:t>4</w:t>
            </w:r>
            <w:r>
              <w:rPr>
                <w:rFonts w:hint="eastAsia" w:ascii="Times New Roman" w:hAnsi="Times New Roman" w:eastAsia="宋体" w:cs="Times New Roman"/>
                <w:snapToGrid/>
                <w:color w:val="auto"/>
                <w:spacing w:val="0"/>
                <w:w w:val="100"/>
                <w:kern w:val="2"/>
                <w:position w:val="0"/>
                <w:szCs w:val="28"/>
                <w:highlight w:val="none"/>
                <w:u w:val="none"/>
                <w:shd w:val="clear" w:fill="auto"/>
                <w:lang w:eastAsia="zh-CN"/>
              </w:rPr>
              <w:t>）</w:t>
            </w:r>
          </w:p>
        </w:tc>
      </w:tr>
    </w:tbl>
    <w:p w14:paraId="273B60E3">
      <w:pPr>
        <w:keepNext w:val="0"/>
        <w:keepLines w:val="0"/>
        <w:pageBreakBefore w:val="0"/>
        <w:widowControl w:val="0"/>
        <w:kinsoku/>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cs="Times New Roman"/>
          <w:snapToGrid/>
          <w:color w:val="auto"/>
          <w:spacing w:val="0"/>
          <w:w w:val="100"/>
          <w:kern w:val="2"/>
          <w:position w:val="0"/>
          <w:szCs w:val="28"/>
          <w:highlight w:val="none"/>
          <w:u w:val="none"/>
          <w:shd w:val="clear" w:fill="auto"/>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式中，</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q</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为旁侧入流</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（m</w:t>
      </w:r>
      <w:r>
        <w:rPr>
          <w:rFonts w:hint="eastAsia"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B</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为河宽（m）；</w:t>
      </w:r>
      <m:oMath>
        <m:sSub>
          <m:sSubPr>
            <m:ctrlPr>
              <w:rPr>
                <w:rFonts w:hint="default" w:ascii="Cambria Math" w:hAnsi="Cambria Math" w:cs="Times New Roman"/>
                <w:snapToGrid/>
                <w:color w:val="auto"/>
                <w:spacing w:val="0"/>
                <w:w w:val="100"/>
                <w:kern w:val="2"/>
                <w:position w:val="0"/>
                <w:sz w:val="20"/>
                <w:szCs w:val="20"/>
                <w:highlight w:val="none"/>
                <w:u w:val="none"/>
                <w:shd w:val="clear" w:fill="auto"/>
              </w:rPr>
            </m:ctrlPr>
          </m:sSubPr>
          <m:e>
            <m:r>
              <m:rPr>
                <m:nor/>
              </m:rPr>
              <w:rPr>
                <w:rFonts w:hint="default" w:ascii="Times New Roman" w:hAnsi="Times New Roman" w:cs="Times New Roman"/>
                <w:i/>
                <w:snapToGrid/>
                <w:color w:val="auto"/>
                <w:spacing w:val="0"/>
                <w:w w:val="100"/>
                <w:kern w:val="2"/>
                <w:position w:val="0"/>
                <w:sz w:val="20"/>
                <w:szCs w:val="20"/>
                <w:highlight w:val="none"/>
                <w:u w:val="none"/>
                <w:shd w:val="clear" w:fill="auto"/>
              </w:rPr>
              <m:t>V</m:t>
            </m:r>
            <m:ctrlPr>
              <w:rPr>
                <w:rFonts w:hint="default" w:ascii="Cambria Math" w:hAnsi="Cambria Math" w:cs="Times New Roman"/>
                <w:snapToGrid/>
                <w:color w:val="auto"/>
                <w:spacing w:val="0"/>
                <w:w w:val="100"/>
                <w:kern w:val="2"/>
                <w:position w:val="0"/>
                <w:sz w:val="20"/>
                <w:szCs w:val="20"/>
                <w:highlight w:val="none"/>
                <w:u w:val="none"/>
                <w:shd w:val="clear" w:fill="auto"/>
              </w:rPr>
            </m:ctrlPr>
          </m:e>
          <m:sub>
            <m:r>
              <m:rPr>
                <m:nor/>
              </m:rPr>
              <w:rPr>
                <w:rFonts w:hint="default" w:ascii="Times New Roman" w:hAnsi="Times New Roman" w:cs="Times New Roman"/>
                <w:i/>
                <w:snapToGrid/>
                <w:color w:val="auto"/>
                <w:spacing w:val="0"/>
                <w:w w:val="100"/>
                <w:kern w:val="2"/>
                <w:position w:val="0"/>
                <w:sz w:val="20"/>
                <w:szCs w:val="20"/>
                <w:highlight w:val="none"/>
                <w:u w:val="none"/>
                <w:shd w:val="clear" w:fill="auto"/>
              </w:rPr>
              <m:t>x</m:t>
            </m:r>
            <m:ctrlPr>
              <w:rPr>
                <w:rFonts w:hint="default" w:ascii="Cambria Math" w:hAnsi="Cambria Math" w:cs="Times New Roman"/>
                <w:snapToGrid/>
                <w:color w:val="auto"/>
                <w:spacing w:val="0"/>
                <w:w w:val="100"/>
                <w:kern w:val="2"/>
                <w:position w:val="0"/>
                <w:sz w:val="20"/>
                <w:szCs w:val="20"/>
                <w:highlight w:val="none"/>
                <w:u w:val="none"/>
                <w:shd w:val="clear" w:fill="auto"/>
              </w:rPr>
            </m:ctrlPr>
          </m:sub>
        </m:sSub>
      </m:oMath>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为旁侧入流流速在水流方向上的分量</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（m/s）</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K</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为流量模数</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（m</w:t>
      </w:r>
      <w:r>
        <w:rPr>
          <w:rFonts w:hint="eastAsia"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，反映河道的实际过水能力；</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α</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为动量校正系数，是反映河道断面流速分布均匀性的系数。</w:t>
      </w:r>
      <w:r>
        <w:rPr>
          <w:rFonts w:hint="default" w:ascii="Times New Roman" w:hAnsi="Times New Roman" w:cs="Times New Roman"/>
          <w:snapToGrid/>
          <w:color w:val="auto"/>
          <w:spacing w:val="0"/>
          <w:w w:val="100"/>
          <w:kern w:val="2"/>
          <w:position w:val="0"/>
          <w:szCs w:val="28"/>
          <w:highlight w:val="none"/>
          <w:u w:val="none"/>
          <w:shd w:val="clear" w:fill="auto"/>
        </w:rPr>
        <w:t>采用有限差分法四点线性隐式格式进行离散。</w:t>
      </w:r>
    </w:p>
    <w:p w14:paraId="487E2969">
      <w:pPr>
        <w:keepNext w:val="0"/>
        <w:keepLines w:val="0"/>
        <w:pageBreakBefore w:val="0"/>
        <w:widowControl w:val="0"/>
        <w:kinsoku/>
        <w:overflowPunct/>
        <w:topLinePunct w:val="0"/>
        <w:autoSpaceDE/>
        <w:autoSpaceDN/>
        <w:bidi w:val="0"/>
        <w:adjustRightInd/>
        <w:snapToGrid/>
        <w:spacing w:line="240" w:lineRule="auto"/>
        <w:ind w:left="0" w:leftChars="0" w:right="0" w:rightChars="0" w:firstLine="560" w:firstLineChars="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为了模拟水闸、泵站、涵洞等水利工程的控制运行方式，建立了“联系”来耦合各模拟区域。“联系”的过流流量采用堰流公式模拟。在闸门开启的情况下，过闸流量按宽顶堰公式计算。</w:t>
      </w:r>
    </w:p>
    <w:p w14:paraId="078F1377">
      <w:pPr>
        <w:keepNext w:val="0"/>
        <w:keepLines w:val="0"/>
        <w:pageBreakBefore w:val="0"/>
        <w:widowControl w:val="0"/>
        <w:kinsoku/>
        <w:overflowPunct/>
        <w:topLinePunct w:val="0"/>
        <w:autoSpaceDE/>
        <w:autoSpaceDN/>
        <w:bidi w:val="0"/>
        <w:adjustRightInd/>
        <w:snapToGrid/>
        <w:spacing w:line="240" w:lineRule="auto"/>
        <w:ind w:left="0" w:leftChars="0" w:right="0" w:rightChars="0" w:firstLine="560" w:firstLineChars="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当出流为自由出流时</w:t>
      </w:r>
    </w:p>
    <w:tbl>
      <w:tblPr>
        <w:tblStyle w:val="9"/>
        <w:tblW w:w="4999" w:type="pct"/>
        <w:tblInd w:w="0" w:type="dxa"/>
        <w:tblLayout w:type="autofit"/>
        <w:tblCellMar>
          <w:top w:w="0" w:type="dxa"/>
          <w:left w:w="108" w:type="dxa"/>
          <w:bottom w:w="0" w:type="dxa"/>
          <w:right w:w="108" w:type="dxa"/>
        </w:tblCellMar>
      </w:tblPr>
      <w:tblGrid>
        <w:gridCol w:w="222"/>
        <w:gridCol w:w="7556"/>
        <w:gridCol w:w="742"/>
      </w:tblGrid>
      <w:tr w14:paraId="58348B92">
        <w:tblPrEx>
          <w:tblCellMar>
            <w:top w:w="0" w:type="dxa"/>
            <w:left w:w="108" w:type="dxa"/>
            <w:bottom w:w="0" w:type="dxa"/>
            <w:right w:w="108" w:type="dxa"/>
          </w:tblCellMar>
        </w:tblPrEx>
        <w:tc>
          <w:tcPr>
            <w:tcW w:w="186" w:type="pct"/>
            <w:noWrap w:val="0"/>
            <w:vAlign w:val="top"/>
          </w:tcPr>
          <w:p w14:paraId="43087D88">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w:p>
        </w:tc>
        <w:tc>
          <w:tcPr>
            <w:tcW w:w="4626" w:type="pct"/>
            <w:noWrap w:val="0"/>
            <w:vAlign w:val="top"/>
          </w:tcPr>
          <w:p w14:paraId="2CE09A0A">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m:oMathPara>
              <m:oMath>
                <m:r>
                  <m:rPr>
                    <m:nor/>
                  </m:rPr>
                  <w:rPr>
                    <w:rFonts w:hint="default" w:ascii="Times New Roman" w:hAnsi="Times New Roman" w:cs="Times New Roman"/>
                    <w:i/>
                    <w:snapToGrid/>
                    <w:color w:val="auto"/>
                    <w:spacing w:val="0"/>
                    <w:w w:val="100"/>
                    <w:kern w:val="2"/>
                    <w:position w:val="0"/>
                    <w:sz w:val="21"/>
                    <w:highlight w:val="none"/>
                    <w:u w:val="none"/>
                    <w:shd w:val="clear" w:fill="auto"/>
                  </w:rPr>
                  <m:t>Q</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m</m:t>
                </m:r>
                <m:sSub>
                  <m:sSubPr>
                    <m:ctrlPr>
                      <w:rPr>
                        <w:rFonts w:hint="default" w:ascii="Cambria Math" w:hAnsi="Cambria Math" w:cs="Times New Roman"/>
                        <w:i/>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i/>
                        <w:snapToGrid/>
                        <w:color w:val="auto"/>
                        <w:spacing w:val="0"/>
                        <w:w w:val="100"/>
                        <w:kern w:val="2"/>
                        <w:position w:val="0"/>
                        <w:sz w:val="21"/>
                        <w:highlight w:val="none"/>
                        <w:u w:val="none"/>
                        <w:shd w:val="clear" w:fill="auto"/>
                      </w:rPr>
                      <m:t>B</m:t>
                    </m:r>
                    <m:ctrlPr>
                      <w:rPr>
                        <w:rFonts w:hint="default" w:ascii="Cambria Math" w:hAnsi="Cambria Math" w:cs="Times New Roman"/>
                        <w:i/>
                        <w:snapToGrid/>
                        <w:color w:val="auto"/>
                        <w:spacing w:val="0"/>
                        <w:w w:val="100"/>
                        <w:kern w:val="2"/>
                        <w:position w:val="0"/>
                        <w:sz w:val="21"/>
                        <w:highlight w:val="none"/>
                        <w:u w:val="none"/>
                        <w:shd w:val="clear" w:fill="auto"/>
                      </w:rPr>
                    </m:ctrlPr>
                  </m:e>
                  <m:sub>
                    <m:r>
                      <m:rPr/>
                      <w:rPr>
                        <w:rFonts w:hint="default" w:ascii="Cambria Math" w:hAnsi="Cambria Math" w:eastAsia="宋体" w:cs="Times New Roman"/>
                        <w:snapToGrid/>
                        <w:color w:val="auto"/>
                        <w:spacing w:val="0"/>
                        <w:w w:val="100"/>
                        <w:kern w:val="2"/>
                        <w:position w:val="0"/>
                        <w:sz w:val="21"/>
                        <w:highlight w:val="none"/>
                        <w:u w:val="none"/>
                        <w:shd w:val="clear" w:fill="auto"/>
                        <w:lang w:val="en-US" w:eastAsia="zh-CN"/>
                      </w:rPr>
                      <m:t>2</m:t>
                    </m:r>
                    <m:ctrlPr>
                      <w:rPr>
                        <w:rFonts w:hint="default" w:ascii="Cambria Math" w:hAnsi="Cambria Math" w:cs="Times New Roman"/>
                        <w:i/>
                        <w:snapToGrid/>
                        <w:color w:val="auto"/>
                        <w:spacing w:val="0"/>
                        <w:w w:val="100"/>
                        <w:kern w:val="2"/>
                        <w:position w:val="0"/>
                        <w:sz w:val="21"/>
                        <w:highlight w:val="none"/>
                        <w:u w:val="none"/>
                        <w:shd w:val="clear" w:fill="auto"/>
                      </w:rPr>
                    </m:ctrlPr>
                  </m:sub>
                </m:sSub>
                <m:rad>
                  <m:radPr>
                    <m:degHide m:val="1"/>
                    <m:ctrlPr>
                      <w:rPr>
                        <w:rFonts w:hint="default" w:ascii="Cambria Math" w:hAnsi="Cambria Math" w:cs="Times New Roman"/>
                        <w:i/>
                        <w:snapToGrid/>
                        <w:color w:val="auto"/>
                        <w:spacing w:val="0"/>
                        <w:w w:val="100"/>
                        <w:kern w:val="2"/>
                        <w:position w:val="0"/>
                        <w:sz w:val="21"/>
                        <w:highlight w:val="none"/>
                        <w:u w:val="none"/>
                        <w:shd w:val="clear" w:fill="auto"/>
                      </w:rPr>
                    </m:ctrlPr>
                  </m:radPr>
                  <m:deg>
                    <m:ctrlPr>
                      <w:rPr>
                        <w:rFonts w:hint="default" w:ascii="Cambria Math" w:hAnsi="Cambria Math" w:cs="Times New Roman"/>
                        <w:snapToGrid/>
                        <w:color w:val="auto"/>
                        <w:spacing w:val="0"/>
                        <w:w w:val="100"/>
                        <w:kern w:val="2"/>
                        <w:position w:val="0"/>
                        <w:sz w:val="21"/>
                        <w:highlight w:val="none"/>
                        <w:u w:val="none"/>
                        <w:shd w:val="clear" w:fill="auto"/>
                      </w:rPr>
                    </m:ctrlPr>
                  </m:deg>
                  <m:e>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2</m:t>
                    </m:r>
                    <m:r>
                      <m:rPr>
                        <m:nor/>
                      </m:rPr>
                      <w:rPr>
                        <w:rFonts w:hint="default" w:ascii="Times New Roman" w:hAnsi="Times New Roman" w:cs="Times New Roman"/>
                        <w:i/>
                        <w:snapToGrid/>
                        <w:color w:val="auto"/>
                        <w:spacing w:val="0"/>
                        <w:w w:val="100"/>
                        <w:kern w:val="2"/>
                        <w:position w:val="0"/>
                        <w:sz w:val="21"/>
                        <w:highlight w:val="none"/>
                        <w:u w:val="none"/>
                        <w:shd w:val="clear" w:fill="auto"/>
                      </w:rPr>
                      <m:t>g</m:t>
                    </m:r>
                    <m:ctrlPr>
                      <w:rPr>
                        <w:rFonts w:hint="default" w:ascii="Cambria Math" w:hAnsi="Cambria Math" w:cs="Times New Roman"/>
                        <w:snapToGrid/>
                        <w:color w:val="auto"/>
                        <w:spacing w:val="0"/>
                        <w:w w:val="100"/>
                        <w:kern w:val="2"/>
                        <w:position w:val="0"/>
                        <w:sz w:val="21"/>
                        <w:highlight w:val="none"/>
                        <w:u w:val="none"/>
                        <w:shd w:val="clear" w:fill="auto"/>
                      </w:rPr>
                    </m:ctrlPr>
                  </m:e>
                </m:rad>
                <m:sSubSup>
                  <m:sSubSupPr>
                    <m:ctrlPr>
                      <w:rPr>
                        <w:rFonts w:hint="default" w:ascii="Cambria Math" w:hAnsi="Cambria Math" w:cs="Times New Roman"/>
                        <w:snapToGrid/>
                        <w:color w:val="auto"/>
                        <w:spacing w:val="0"/>
                        <w:w w:val="100"/>
                        <w:kern w:val="2"/>
                        <w:position w:val="0"/>
                        <w:sz w:val="21"/>
                        <w:highlight w:val="none"/>
                        <w:u w:val="none"/>
                        <w:shd w:val="clear" w:fill="auto"/>
                      </w:rPr>
                    </m:ctrlPr>
                  </m:sSubSupPr>
                  <m:e>
                    <m:r>
                      <m:rPr>
                        <m:nor/>
                      </m:rPr>
                      <w:rPr>
                        <w:rFonts w:hint="default" w:ascii="Times New Roman" w:hAnsi="Times New Roman" w:cs="Times New Roman"/>
                        <w:i/>
                        <w:snapToGrid/>
                        <w:color w:val="auto"/>
                        <w:spacing w:val="0"/>
                        <w:w w:val="100"/>
                        <w:kern w:val="2"/>
                        <w:position w:val="0"/>
                        <w:sz w:val="21"/>
                        <w:highlight w:val="none"/>
                        <w:u w:val="none"/>
                        <w:shd w:val="clear" w:fill="auto"/>
                      </w:rPr>
                      <m:t>H</m:t>
                    </m:r>
                    <m:ctrlPr>
                      <w:rPr>
                        <w:rFonts w:hint="default" w:ascii="Cambria Math" w:hAnsi="Cambria Math" w:cs="Times New Roman"/>
                        <w:snapToGrid/>
                        <w:color w:val="auto"/>
                        <w:spacing w:val="0"/>
                        <w:w w:val="100"/>
                        <w:kern w:val="2"/>
                        <w:position w:val="0"/>
                        <w:sz w:val="21"/>
                        <w:highlight w:val="none"/>
                        <w:u w:val="none"/>
                        <w:shd w:val="clear" w:fill="auto"/>
                      </w:rPr>
                    </m:ctrlPr>
                  </m:e>
                  <m:sub>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0</m:t>
                    </m:r>
                    <m:ctrlPr>
                      <w:rPr>
                        <w:rFonts w:hint="default" w:ascii="Cambria Math" w:hAnsi="Cambria Math" w:cs="Times New Roman"/>
                        <w:snapToGrid/>
                        <w:color w:val="auto"/>
                        <w:spacing w:val="0"/>
                        <w:w w:val="100"/>
                        <w:kern w:val="2"/>
                        <w:position w:val="0"/>
                        <w:sz w:val="21"/>
                        <w:highlight w:val="none"/>
                        <w:u w:val="none"/>
                        <w:shd w:val="clear" w:fill="auto"/>
                      </w:rPr>
                    </m:ctrlPr>
                  </m:sub>
                  <m:sup>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1.5</m:t>
                    </m:r>
                    <m:ctrlPr>
                      <w:rPr>
                        <w:rFonts w:hint="default" w:ascii="Cambria Math" w:hAnsi="Cambria Math" w:cs="Times New Roman"/>
                        <w:snapToGrid/>
                        <w:color w:val="auto"/>
                        <w:spacing w:val="0"/>
                        <w:w w:val="100"/>
                        <w:kern w:val="2"/>
                        <w:position w:val="0"/>
                        <w:sz w:val="21"/>
                        <w:highlight w:val="none"/>
                        <w:u w:val="none"/>
                        <w:shd w:val="clear" w:fill="auto"/>
                      </w:rPr>
                    </m:ctrlPr>
                  </m:sup>
                </m:sSubSup>
              </m:oMath>
            </m:oMathPara>
          </w:p>
        </w:tc>
        <w:tc>
          <w:tcPr>
            <w:tcW w:w="186" w:type="pct"/>
            <w:noWrap w:val="0"/>
            <w:vAlign w:val="center"/>
          </w:tcPr>
          <w:p w14:paraId="0FD81D69">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eastAsia="宋体" w:cs="Times New Roman"/>
                <w:snapToGrid/>
                <w:color w:val="auto"/>
                <w:spacing w:val="0"/>
                <w:w w:val="100"/>
                <w:kern w:val="2"/>
                <w:position w:val="0"/>
                <w:szCs w:val="28"/>
                <w:highlight w:val="none"/>
                <w:u w:val="none"/>
                <w:shd w:val="clear" w:fill="auto"/>
              </w:rPr>
            </w:pPr>
            <w:r>
              <w:rPr>
                <w:rFonts w:hint="default" w:ascii="Times New Roman" w:hAnsi="Times New Roman" w:eastAsia="宋体" w:cs="Times New Roman"/>
                <w:snapToGrid/>
                <w:color w:val="auto"/>
                <w:spacing w:val="0"/>
                <w:w w:val="100"/>
                <w:kern w:val="2"/>
                <w:position w:val="0"/>
                <w:szCs w:val="28"/>
                <w:highlight w:val="none"/>
                <w:u w:val="none"/>
                <w:shd w:val="clear" w:fill="auto"/>
              </w:rPr>
              <w:t>（</w:t>
            </w:r>
            <w:r>
              <w:rPr>
                <w:rFonts w:hint="eastAsia" w:ascii="Times New Roman" w:hAnsi="Times New Roman" w:eastAsia="宋体" w:cs="Times New Roman"/>
                <w:snapToGrid/>
                <w:color w:val="auto"/>
                <w:spacing w:val="0"/>
                <w:w w:val="100"/>
                <w:kern w:val="2"/>
                <w:position w:val="0"/>
                <w:szCs w:val="28"/>
                <w:highlight w:val="none"/>
                <w:u w:val="none"/>
                <w:shd w:val="clear" w:fill="auto"/>
                <w:lang w:val="en-US" w:eastAsia="zh-CN"/>
              </w:rPr>
              <w:t>5</w:t>
            </w:r>
            <w:r>
              <w:rPr>
                <w:rFonts w:hint="default" w:ascii="Times New Roman" w:hAnsi="Times New Roman" w:eastAsia="宋体" w:cs="Times New Roman"/>
                <w:snapToGrid/>
                <w:color w:val="auto"/>
                <w:spacing w:val="0"/>
                <w:w w:val="100"/>
                <w:kern w:val="2"/>
                <w:position w:val="0"/>
                <w:szCs w:val="28"/>
                <w:highlight w:val="none"/>
                <w:u w:val="none"/>
                <w:shd w:val="clear" w:fill="auto"/>
              </w:rPr>
              <w:t>）</w:t>
            </w:r>
          </w:p>
        </w:tc>
      </w:tr>
    </w:tbl>
    <w:p w14:paraId="27E253F8">
      <w:pPr>
        <w:keepNext w:val="0"/>
        <w:keepLines w:val="0"/>
        <w:pageBreakBefore w:val="0"/>
        <w:widowControl w:val="0"/>
        <w:kinsoku/>
        <w:overflowPunct/>
        <w:topLinePunct w:val="0"/>
        <w:autoSpaceDE/>
        <w:autoSpaceDN/>
        <w:bidi w:val="0"/>
        <w:adjustRightInd/>
        <w:snapToGrid/>
        <w:spacing w:line="240" w:lineRule="auto"/>
        <w:ind w:left="0" w:leftChars="0" w:right="0" w:rightChars="0" w:firstLine="560" w:firstLineChars="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当出流为淹没出流时</w:t>
      </w:r>
    </w:p>
    <w:tbl>
      <w:tblPr>
        <w:tblStyle w:val="9"/>
        <w:tblW w:w="4999" w:type="pct"/>
        <w:tblInd w:w="0" w:type="dxa"/>
        <w:tblLayout w:type="autofit"/>
        <w:tblCellMar>
          <w:top w:w="0" w:type="dxa"/>
          <w:left w:w="108" w:type="dxa"/>
          <w:bottom w:w="0" w:type="dxa"/>
          <w:right w:w="108" w:type="dxa"/>
        </w:tblCellMar>
      </w:tblPr>
      <w:tblGrid>
        <w:gridCol w:w="222"/>
        <w:gridCol w:w="7556"/>
        <w:gridCol w:w="742"/>
      </w:tblGrid>
      <w:tr w14:paraId="2820233B">
        <w:tblPrEx>
          <w:tblCellMar>
            <w:top w:w="0" w:type="dxa"/>
            <w:left w:w="108" w:type="dxa"/>
            <w:bottom w:w="0" w:type="dxa"/>
            <w:right w:w="108" w:type="dxa"/>
          </w:tblCellMar>
        </w:tblPrEx>
        <w:tc>
          <w:tcPr>
            <w:tcW w:w="186" w:type="pct"/>
            <w:noWrap w:val="0"/>
            <w:vAlign w:val="top"/>
          </w:tcPr>
          <w:p w14:paraId="7E35D1A9">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w:p>
        </w:tc>
        <w:tc>
          <w:tcPr>
            <w:tcW w:w="4626" w:type="pct"/>
            <w:noWrap w:val="0"/>
            <w:vAlign w:val="top"/>
          </w:tcPr>
          <w:p w14:paraId="101FEFCD">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m:oMathPara>
              <m:oMath>
                <m:r>
                  <m:rPr>
                    <m:nor/>
                  </m:rPr>
                  <w:rPr>
                    <w:rFonts w:hint="default" w:ascii="Times New Roman" w:hAnsi="Times New Roman" w:cs="Times New Roman"/>
                    <w:i/>
                    <w:snapToGrid/>
                    <w:color w:val="auto"/>
                    <w:spacing w:val="0"/>
                    <w:w w:val="100"/>
                    <w:kern w:val="2"/>
                    <w:position w:val="0"/>
                    <w:sz w:val="21"/>
                    <w:highlight w:val="none"/>
                    <w:u w:val="none"/>
                    <w:shd w:val="clear" w:fill="auto"/>
                  </w:rPr>
                  <m:t>Q</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sSub>
                  <m:sSubPr>
                    <m:ctrlPr>
                      <w:rPr>
                        <w:rFonts w:hint="default" w:ascii="Cambria Math" w:hAnsi="Cambria Math" w:cs="Times New Roman"/>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i/>
                        <w:snapToGrid/>
                        <w:color w:val="auto"/>
                        <w:spacing w:val="0"/>
                        <w:w w:val="100"/>
                        <w:kern w:val="2"/>
                        <w:position w:val="0"/>
                        <w:sz w:val="21"/>
                        <w:highlight w:val="none"/>
                        <w:u w:val="none"/>
                        <w:shd w:val="clear" w:fill="auto"/>
                      </w:rPr>
                      <m:t>φ</m:t>
                    </m:r>
                    <m:ctrlPr>
                      <w:rPr>
                        <w:rFonts w:hint="default" w:ascii="Cambria Math" w:hAnsi="Cambria Math" w:cs="Times New Roman"/>
                        <w:snapToGrid/>
                        <w:color w:val="auto"/>
                        <w:spacing w:val="0"/>
                        <w:w w:val="100"/>
                        <w:kern w:val="2"/>
                        <w:position w:val="0"/>
                        <w:sz w:val="21"/>
                        <w:highlight w:val="none"/>
                        <w:u w:val="none"/>
                        <w:shd w:val="clear" w:fill="auto"/>
                      </w:rPr>
                    </m:ctrlPr>
                  </m:e>
                  <m:sub>
                    <m:r>
                      <m:rPr>
                        <m:nor/>
                      </m:rPr>
                      <w:rPr>
                        <w:rFonts w:hint="default" w:ascii="Times New Roman" w:hAnsi="Times New Roman" w:cs="Times New Roman"/>
                        <w:i/>
                        <w:snapToGrid/>
                        <w:color w:val="auto"/>
                        <w:spacing w:val="0"/>
                        <w:w w:val="100"/>
                        <w:kern w:val="2"/>
                        <w:position w:val="0"/>
                        <w:sz w:val="21"/>
                        <w:highlight w:val="none"/>
                        <w:u w:val="none"/>
                        <w:shd w:val="clear" w:fill="auto"/>
                      </w:rPr>
                      <m:t>m</m:t>
                    </m:r>
                    <m:ctrlPr>
                      <w:rPr>
                        <w:rFonts w:hint="default" w:ascii="Cambria Math" w:hAnsi="Cambria Math" w:cs="Times New Roman"/>
                        <w:snapToGrid/>
                        <w:color w:val="auto"/>
                        <w:spacing w:val="0"/>
                        <w:w w:val="100"/>
                        <w:kern w:val="2"/>
                        <w:position w:val="0"/>
                        <w:sz w:val="21"/>
                        <w:highlight w:val="none"/>
                        <w:u w:val="none"/>
                        <w:shd w:val="clear" w:fill="auto"/>
                      </w:rPr>
                    </m:ctrlPr>
                  </m:sub>
                </m:sSub>
                <m:sSub>
                  <m:sSubPr>
                    <m:ctrlPr>
                      <w:rPr>
                        <w:rFonts w:hint="default" w:ascii="Cambria Math" w:hAnsi="Cambria Math" w:cs="Times New Roman"/>
                        <w:i/>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i/>
                        <w:snapToGrid/>
                        <w:color w:val="auto"/>
                        <w:spacing w:val="0"/>
                        <w:w w:val="100"/>
                        <w:kern w:val="2"/>
                        <w:position w:val="0"/>
                        <w:sz w:val="21"/>
                        <w:highlight w:val="none"/>
                        <w:u w:val="none"/>
                        <w:shd w:val="clear" w:fill="auto"/>
                      </w:rPr>
                      <m:t>B</m:t>
                    </m:r>
                    <m:ctrlPr>
                      <w:rPr>
                        <w:rFonts w:hint="default" w:ascii="Cambria Math" w:hAnsi="Cambria Math" w:cs="Times New Roman"/>
                        <w:i/>
                        <w:snapToGrid/>
                        <w:color w:val="auto"/>
                        <w:spacing w:val="0"/>
                        <w:w w:val="100"/>
                        <w:kern w:val="2"/>
                        <w:position w:val="0"/>
                        <w:sz w:val="21"/>
                        <w:highlight w:val="none"/>
                        <w:u w:val="none"/>
                        <w:shd w:val="clear" w:fill="auto"/>
                      </w:rPr>
                    </m:ctrlPr>
                  </m:e>
                  <m:sub>
                    <m:r>
                      <m:rPr/>
                      <w:rPr>
                        <w:rFonts w:hint="default" w:ascii="Cambria Math" w:hAnsi="Cambria Math" w:eastAsia="宋体" w:cs="Times New Roman"/>
                        <w:snapToGrid/>
                        <w:color w:val="auto"/>
                        <w:spacing w:val="0"/>
                        <w:w w:val="100"/>
                        <w:kern w:val="2"/>
                        <w:position w:val="0"/>
                        <w:sz w:val="21"/>
                        <w:highlight w:val="none"/>
                        <w:u w:val="none"/>
                        <w:shd w:val="clear" w:fill="auto"/>
                        <w:lang w:val="en-US" w:eastAsia="zh-CN"/>
                      </w:rPr>
                      <m:t>2</m:t>
                    </m:r>
                    <m:ctrlPr>
                      <w:rPr>
                        <w:rFonts w:hint="default" w:ascii="Cambria Math" w:hAnsi="Cambria Math" w:cs="Times New Roman"/>
                        <w:i/>
                        <w:snapToGrid/>
                        <w:color w:val="auto"/>
                        <w:spacing w:val="0"/>
                        <w:w w:val="100"/>
                        <w:kern w:val="2"/>
                        <w:position w:val="0"/>
                        <w:sz w:val="21"/>
                        <w:highlight w:val="none"/>
                        <w:u w:val="none"/>
                        <w:shd w:val="clear" w:fill="auto"/>
                      </w:rPr>
                    </m:ctrlPr>
                  </m:sub>
                </m:sSub>
                <m:sSub>
                  <m:sSubPr>
                    <m:ctrlPr>
                      <w:rPr>
                        <w:rFonts w:hint="default" w:ascii="Cambria Math" w:hAnsi="Cambria Math" w:cs="Times New Roman"/>
                        <w:snapToGrid/>
                        <w:color w:val="auto"/>
                        <w:spacing w:val="0"/>
                        <w:w w:val="100"/>
                        <w:kern w:val="2"/>
                        <w:position w:val="0"/>
                        <w:sz w:val="21"/>
                        <w:highlight w:val="none"/>
                        <w:u w:val="none"/>
                        <w:shd w:val="clear" w:fill="auto"/>
                      </w:rPr>
                    </m:ctrlPr>
                  </m:sSubPr>
                  <m:e>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h</m:t>
                    </m:r>
                    <m:ctrlPr>
                      <w:rPr>
                        <w:rFonts w:hint="default" w:ascii="Cambria Math" w:hAnsi="Cambria Math" w:cs="Times New Roman"/>
                        <w:snapToGrid/>
                        <w:color w:val="auto"/>
                        <w:spacing w:val="0"/>
                        <w:w w:val="100"/>
                        <w:kern w:val="2"/>
                        <w:position w:val="0"/>
                        <w:sz w:val="21"/>
                        <w:highlight w:val="none"/>
                        <w:u w:val="none"/>
                        <w:shd w:val="clear" w:fill="auto"/>
                      </w:rPr>
                    </m:ctrlPr>
                  </m:e>
                  <m:sub>
                    <m:r>
                      <m:rPr>
                        <m:nor/>
                      </m:rPr>
                      <w:rPr>
                        <w:rFonts w:hint="default" w:ascii="Times New Roman" w:hAnsi="Times New Roman" w:cs="Times New Roman"/>
                        <w:i/>
                        <w:snapToGrid/>
                        <w:color w:val="auto"/>
                        <w:spacing w:val="0"/>
                        <w:w w:val="100"/>
                        <w:kern w:val="2"/>
                        <w:position w:val="0"/>
                        <w:sz w:val="21"/>
                        <w:highlight w:val="none"/>
                        <w:u w:val="none"/>
                        <w:shd w:val="clear" w:fill="auto"/>
                      </w:rPr>
                      <m:t>s</m:t>
                    </m:r>
                    <m:ctrlPr>
                      <w:rPr>
                        <w:rFonts w:hint="default" w:ascii="Cambria Math" w:hAnsi="Cambria Math" w:cs="Times New Roman"/>
                        <w:snapToGrid/>
                        <w:color w:val="auto"/>
                        <w:spacing w:val="0"/>
                        <w:w w:val="100"/>
                        <w:kern w:val="2"/>
                        <w:position w:val="0"/>
                        <w:sz w:val="21"/>
                        <w:highlight w:val="none"/>
                        <w:u w:val="none"/>
                        <w:shd w:val="clear" w:fill="auto"/>
                      </w:rPr>
                    </m:ctrlPr>
                  </m:sub>
                </m:sSub>
                <m:rad>
                  <m:radPr>
                    <m:degHide m:val="1"/>
                    <m:ctrlPr>
                      <w:rPr>
                        <w:rFonts w:hint="default" w:ascii="Cambria Math" w:hAnsi="Cambria Math" w:cs="Times New Roman"/>
                        <w:i/>
                        <w:snapToGrid/>
                        <w:color w:val="auto"/>
                        <w:spacing w:val="0"/>
                        <w:w w:val="100"/>
                        <w:kern w:val="2"/>
                        <w:position w:val="0"/>
                        <w:sz w:val="21"/>
                        <w:highlight w:val="none"/>
                        <w:u w:val="none"/>
                        <w:shd w:val="clear" w:fill="auto"/>
                      </w:rPr>
                    </m:ctrlPr>
                  </m:radPr>
                  <m:deg>
                    <m:ctrlPr>
                      <w:rPr>
                        <w:rFonts w:hint="default" w:ascii="Cambria Math" w:hAnsi="Cambria Math" w:cs="Times New Roman"/>
                        <w:snapToGrid/>
                        <w:color w:val="auto"/>
                        <w:spacing w:val="0"/>
                        <w:w w:val="100"/>
                        <w:kern w:val="2"/>
                        <w:position w:val="0"/>
                        <w:sz w:val="21"/>
                        <w:highlight w:val="none"/>
                        <w:u w:val="none"/>
                        <w:shd w:val="clear" w:fill="auto"/>
                      </w:rPr>
                    </m:ctrlPr>
                  </m:deg>
                  <m:e>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2</m:t>
                    </m:r>
                    <m:r>
                      <m:rPr>
                        <m:nor/>
                      </m:rPr>
                      <w:rPr>
                        <w:rFonts w:hint="default" w:ascii="Times New Roman" w:hAnsi="Times New Roman" w:cs="Times New Roman"/>
                        <w:i/>
                        <w:snapToGrid/>
                        <w:color w:val="auto"/>
                        <w:spacing w:val="0"/>
                        <w:w w:val="100"/>
                        <w:kern w:val="2"/>
                        <w:position w:val="0"/>
                        <w:sz w:val="21"/>
                        <w:highlight w:val="none"/>
                        <w:u w:val="none"/>
                        <w:shd w:val="clear" w:fill="auto"/>
                      </w:rPr>
                      <m:t>g</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sSub>
                      <m:sSubPr>
                        <m:ctrlPr>
                          <w:rPr>
                            <w:rFonts w:hint="default" w:ascii="Cambria Math" w:hAnsi="Cambria Math" w:cs="Times New Roman"/>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i/>
                            <w:snapToGrid/>
                            <w:color w:val="auto"/>
                            <w:spacing w:val="0"/>
                            <w:w w:val="100"/>
                            <w:kern w:val="2"/>
                            <w:position w:val="0"/>
                            <w:sz w:val="21"/>
                            <w:highlight w:val="none"/>
                            <w:u w:val="none"/>
                            <w:shd w:val="clear" w:fill="auto"/>
                          </w:rPr>
                          <m:t>Z</m:t>
                        </m:r>
                        <m:ctrlPr>
                          <w:rPr>
                            <w:rFonts w:hint="default" w:ascii="Cambria Math" w:hAnsi="Cambria Math" w:cs="Times New Roman"/>
                            <w:snapToGrid/>
                            <w:color w:val="auto"/>
                            <w:spacing w:val="0"/>
                            <w:w w:val="100"/>
                            <w:kern w:val="2"/>
                            <w:position w:val="0"/>
                            <w:sz w:val="21"/>
                            <w:highlight w:val="none"/>
                            <w:u w:val="none"/>
                            <w:shd w:val="clear" w:fill="auto"/>
                          </w:rPr>
                        </m:ctrlPr>
                      </m:e>
                      <m:sub>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1</m:t>
                        </m:r>
                        <m:ctrlPr>
                          <w:rPr>
                            <w:rFonts w:hint="default" w:ascii="Cambria Math" w:hAnsi="Cambria Math" w:cs="Times New Roman"/>
                            <w:snapToGrid/>
                            <w:color w:val="auto"/>
                            <w:spacing w:val="0"/>
                            <w:w w:val="100"/>
                            <w:kern w:val="2"/>
                            <w:position w:val="0"/>
                            <w:sz w:val="21"/>
                            <w:highlight w:val="none"/>
                            <w:u w:val="none"/>
                            <w:shd w:val="clear" w:fill="auto"/>
                          </w:rPr>
                        </m:ctrlPr>
                      </m:sub>
                    </m:sSub>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sSub>
                      <m:sSubPr>
                        <m:ctrlPr>
                          <w:rPr>
                            <w:rFonts w:hint="default" w:ascii="Cambria Math" w:hAnsi="Cambria Math" w:cs="Times New Roman"/>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i/>
                            <w:snapToGrid/>
                            <w:color w:val="auto"/>
                            <w:spacing w:val="0"/>
                            <w:w w:val="100"/>
                            <w:kern w:val="2"/>
                            <w:position w:val="0"/>
                            <w:sz w:val="21"/>
                            <w:highlight w:val="none"/>
                            <w:u w:val="none"/>
                            <w:shd w:val="clear" w:fill="auto"/>
                          </w:rPr>
                          <m:t>Z</m:t>
                        </m:r>
                        <m:ctrlPr>
                          <w:rPr>
                            <w:rFonts w:hint="default" w:ascii="Cambria Math" w:hAnsi="Cambria Math" w:cs="Times New Roman"/>
                            <w:snapToGrid/>
                            <w:color w:val="auto"/>
                            <w:spacing w:val="0"/>
                            <w:w w:val="100"/>
                            <w:kern w:val="2"/>
                            <w:position w:val="0"/>
                            <w:sz w:val="21"/>
                            <w:highlight w:val="none"/>
                            <w:u w:val="none"/>
                            <w:shd w:val="clear" w:fill="auto"/>
                          </w:rPr>
                        </m:ctrlPr>
                      </m:e>
                      <m:sub>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2</m:t>
                        </m:r>
                        <m:ctrlPr>
                          <w:rPr>
                            <w:rFonts w:hint="default" w:ascii="Cambria Math" w:hAnsi="Cambria Math" w:cs="Times New Roman"/>
                            <w:snapToGrid/>
                            <w:color w:val="auto"/>
                            <w:spacing w:val="0"/>
                            <w:w w:val="100"/>
                            <w:kern w:val="2"/>
                            <w:position w:val="0"/>
                            <w:sz w:val="21"/>
                            <w:highlight w:val="none"/>
                            <w:u w:val="none"/>
                            <w:shd w:val="clear" w:fill="auto"/>
                          </w:rPr>
                        </m:ctrlPr>
                      </m:sub>
                    </m:sSub>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ctrlPr>
                      <w:rPr>
                        <w:rFonts w:hint="default" w:ascii="Cambria Math" w:hAnsi="Cambria Math" w:cs="Times New Roman"/>
                        <w:snapToGrid/>
                        <w:color w:val="auto"/>
                        <w:spacing w:val="0"/>
                        <w:w w:val="100"/>
                        <w:kern w:val="2"/>
                        <w:position w:val="0"/>
                        <w:sz w:val="21"/>
                        <w:highlight w:val="none"/>
                        <w:u w:val="none"/>
                        <w:shd w:val="clear" w:fill="auto"/>
                      </w:rPr>
                    </m:ctrlPr>
                  </m:e>
                </m:rad>
              </m:oMath>
            </m:oMathPara>
          </w:p>
        </w:tc>
        <w:tc>
          <w:tcPr>
            <w:tcW w:w="186" w:type="pct"/>
            <w:noWrap w:val="0"/>
            <w:vAlign w:val="center"/>
          </w:tcPr>
          <w:p w14:paraId="4829CAF5">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eastAsia="宋体" w:cs="Times New Roman"/>
                <w:snapToGrid/>
                <w:color w:val="auto"/>
                <w:spacing w:val="0"/>
                <w:w w:val="100"/>
                <w:kern w:val="2"/>
                <w:position w:val="0"/>
                <w:szCs w:val="28"/>
                <w:highlight w:val="none"/>
                <w:u w:val="none"/>
                <w:shd w:val="clear" w:fill="auto"/>
              </w:rPr>
            </w:pPr>
            <w:r>
              <w:rPr>
                <w:rFonts w:hint="default" w:ascii="Times New Roman" w:hAnsi="Times New Roman" w:eastAsia="宋体" w:cs="Times New Roman"/>
                <w:snapToGrid/>
                <w:color w:val="auto"/>
                <w:spacing w:val="0"/>
                <w:w w:val="100"/>
                <w:kern w:val="2"/>
                <w:position w:val="0"/>
                <w:szCs w:val="28"/>
                <w:highlight w:val="none"/>
                <w:u w:val="none"/>
                <w:shd w:val="clear" w:fill="auto"/>
              </w:rPr>
              <w:t>（</w:t>
            </w:r>
            <w:r>
              <w:rPr>
                <w:rFonts w:hint="eastAsia" w:ascii="Times New Roman" w:hAnsi="Times New Roman" w:eastAsia="宋体" w:cs="Times New Roman"/>
                <w:snapToGrid/>
                <w:color w:val="auto"/>
                <w:spacing w:val="0"/>
                <w:w w:val="100"/>
                <w:kern w:val="2"/>
                <w:position w:val="0"/>
                <w:szCs w:val="28"/>
                <w:highlight w:val="none"/>
                <w:u w:val="none"/>
                <w:shd w:val="clear" w:fill="auto"/>
                <w:lang w:val="en-US" w:eastAsia="zh-CN"/>
              </w:rPr>
              <w:t>6</w:t>
            </w:r>
            <w:r>
              <w:rPr>
                <w:rFonts w:hint="default" w:ascii="Times New Roman" w:hAnsi="Times New Roman" w:eastAsia="宋体" w:cs="Times New Roman"/>
                <w:snapToGrid/>
                <w:color w:val="auto"/>
                <w:spacing w:val="0"/>
                <w:w w:val="100"/>
                <w:kern w:val="2"/>
                <w:position w:val="0"/>
                <w:szCs w:val="28"/>
                <w:highlight w:val="none"/>
                <w:u w:val="none"/>
                <w:shd w:val="clear" w:fill="auto"/>
              </w:rPr>
              <w:t>）</w:t>
            </w:r>
          </w:p>
        </w:tc>
      </w:tr>
    </w:tbl>
    <w:p w14:paraId="2F3258DC">
      <w:pPr>
        <w:keepNext w:val="0"/>
        <w:keepLines w:val="0"/>
        <w:pageBreakBefore w:val="0"/>
        <w:widowControl w:val="0"/>
        <w:kinsoku/>
        <w:overflowPunct/>
        <w:topLinePunct w:val="0"/>
        <w:autoSpaceDE/>
        <w:autoSpaceDN/>
        <w:bidi w:val="0"/>
        <w:adjustRightInd/>
        <w:snapToGrid/>
        <w:spacing w:line="240" w:lineRule="auto"/>
        <w:ind w:left="0" w:leftChars="0" w:right="0" w:rightChars="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式中</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B</w:t>
      </w:r>
      <w:r>
        <w:rPr>
          <w:rFonts w:hint="eastAsia" w:ascii="Times New Roman" w:hAnsi="Times New Roman" w:eastAsia="宋体" w:cs="Times New Roman"/>
          <w:i w:val="0"/>
          <w:iCs w:val="0"/>
          <w:snapToGrid/>
          <w:color w:val="auto"/>
          <w:spacing w:val="0"/>
          <w:w w:val="100"/>
          <w:kern w:val="2"/>
          <w:position w:val="0"/>
          <w:sz w:val="21"/>
          <w:szCs w:val="21"/>
          <w:highlight w:val="none"/>
          <w:u w:val="none"/>
          <w:shd w:val="clear" w:fill="auto"/>
          <w:vertAlign w:val="subscript"/>
          <w:lang w:val="en-US" w:eastAsia="zh-CN"/>
        </w:rPr>
        <w:t>2</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为堰宽（m）；</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Z</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bscript"/>
          <w:lang w:val="en-US" w:eastAsia="zh-CN"/>
        </w:rPr>
        <w:t>1</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为堰上水位（m）</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Z</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bscript"/>
          <w:lang w:val="en-US" w:eastAsia="zh-CN"/>
        </w:rPr>
        <w:t>2</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为堰下水位（m）；</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H</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bscript"/>
          <w:lang w:val="en-US" w:eastAsia="zh-CN"/>
        </w:rPr>
        <w:t>0</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Z</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bscript"/>
          <w:lang w:val="en-US" w:eastAsia="zh-CN"/>
        </w:rPr>
        <w:t>1</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Z</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bscript"/>
          <w:lang w:val="en-US" w:eastAsia="zh-CN"/>
        </w:rPr>
        <w:t>d</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h</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bscript"/>
          <w:lang w:val="en-US" w:eastAsia="zh-CN"/>
        </w:rPr>
        <w:t>s</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Z</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bscript"/>
          <w:lang w:val="en-US" w:eastAsia="zh-CN"/>
        </w:rPr>
        <w:t>2</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Z</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bscript"/>
          <w:lang w:val="en-US" w:eastAsia="zh-CN"/>
        </w:rPr>
        <w:t>d</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Z</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bscript"/>
          <w:lang w:val="en-US" w:eastAsia="zh-CN"/>
        </w:rPr>
        <w:t>d</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为堰顶高程（m）；</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m</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为自由出流系数；</w:t>
      </w:r>
      <m:oMath>
        <m:sSub>
          <m:sSubPr>
            <m:ctrlPr>
              <w:rPr>
                <w:rFonts w:hint="default" w:ascii="Cambria Math" w:hAnsi="Cambria Math" w:cs="Times New Roman"/>
                <w:snapToGrid/>
                <w:color w:val="auto"/>
                <w:spacing w:val="0"/>
                <w:w w:val="100"/>
                <w:kern w:val="2"/>
                <w:position w:val="0"/>
                <w:sz w:val="21"/>
                <w:highlight w:val="none"/>
                <w:u w:val="none"/>
                <w:shd w:val="clear" w:fill="auto"/>
              </w:rPr>
            </m:ctrlPr>
          </m:sSubPr>
          <m:e>
            <m:r>
              <m:rPr>
                <m:nor/>
              </m:rPr>
              <w:rPr>
                <w:rFonts w:hint="default" w:ascii="Times New Roman" w:hAnsi="Times New Roman" w:cs="Times New Roman"/>
                <w:i/>
                <w:snapToGrid/>
                <w:color w:val="auto"/>
                <w:spacing w:val="0"/>
                <w:w w:val="100"/>
                <w:kern w:val="2"/>
                <w:position w:val="0"/>
                <w:sz w:val="21"/>
                <w:highlight w:val="none"/>
                <w:u w:val="none"/>
                <w:shd w:val="clear" w:fill="auto"/>
              </w:rPr>
              <m:t>φ</m:t>
            </m:r>
            <m:ctrlPr>
              <w:rPr>
                <w:rFonts w:hint="default" w:ascii="Cambria Math" w:hAnsi="Cambria Math" w:cs="Times New Roman"/>
                <w:snapToGrid/>
                <w:color w:val="auto"/>
                <w:spacing w:val="0"/>
                <w:w w:val="100"/>
                <w:kern w:val="2"/>
                <w:position w:val="0"/>
                <w:sz w:val="21"/>
                <w:highlight w:val="none"/>
                <w:u w:val="none"/>
                <w:shd w:val="clear" w:fill="auto"/>
              </w:rPr>
            </m:ctrlPr>
          </m:e>
          <m:sub>
            <m:r>
              <m:rPr>
                <m:nor/>
              </m:rPr>
              <w:rPr>
                <w:rFonts w:hint="default" w:ascii="Times New Roman" w:hAnsi="Times New Roman" w:cs="Times New Roman"/>
                <w:i/>
                <w:snapToGrid/>
                <w:color w:val="auto"/>
                <w:spacing w:val="0"/>
                <w:w w:val="100"/>
                <w:kern w:val="2"/>
                <w:position w:val="0"/>
                <w:sz w:val="21"/>
                <w:highlight w:val="none"/>
                <w:u w:val="none"/>
                <w:shd w:val="clear" w:fill="auto"/>
              </w:rPr>
              <m:t>m</m:t>
            </m:r>
            <m:ctrlPr>
              <w:rPr>
                <w:rFonts w:hint="default" w:ascii="Cambria Math" w:hAnsi="Cambria Math" w:cs="Times New Roman"/>
                <w:snapToGrid/>
                <w:color w:val="auto"/>
                <w:spacing w:val="0"/>
                <w:w w:val="100"/>
                <w:kern w:val="2"/>
                <w:position w:val="0"/>
                <w:sz w:val="21"/>
                <w:highlight w:val="none"/>
                <w:u w:val="none"/>
                <w:shd w:val="clear" w:fill="auto"/>
              </w:rPr>
            </m:ctrlPr>
          </m:sub>
        </m:sSub>
      </m:oMath>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为淹没出流系数。</w:t>
      </w:r>
    </w:p>
    <w:p w14:paraId="395F0421">
      <w:pPr>
        <w:keepNext w:val="0"/>
        <w:keepLines w:val="0"/>
        <w:pageBreakBefore w:val="0"/>
        <w:widowControl w:val="0"/>
        <w:kinsoku/>
        <w:overflowPunct/>
        <w:topLinePunct w:val="0"/>
        <w:autoSpaceDE/>
        <w:autoSpaceDN/>
        <w:bidi w:val="0"/>
        <w:adjustRightInd/>
        <w:snapToGrid/>
        <w:spacing w:line="240" w:lineRule="auto"/>
        <w:ind w:left="0" w:leftChars="0" w:right="0" w:rightChars="0" w:firstLine="560" w:firstLineChars="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根据收集到的水利工程控制运行方式资料及调研了解的实际调度运行情况，拟定控制建筑物的运行调度方式。根据拟定的运行调度方式，编写控制条件逻辑语句，用以模拟工程的实际运行调度过程。</w:t>
      </w:r>
    </w:p>
    <w:p w14:paraId="310D1808">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水质模型采用一维对流扩散方程模拟溶解氧、BOD、COD、氨氮、总磷、总氮等水质指标的输移转化过程。</w:t>
      </w:r>
    </w:p>
    <w:tbl>
      <w:tblPr>
        <w:tblStyle w:val="9"/>
        <w:tblW w:w="4999" w:type="pct"/>
        <w:tblInd w:w="0" w:type="dxa"/>
        <w:tblLayout w:type="autofit"/>
        <w:tblCellMar>
          <w:top w:w="0" w:type="dxa"/>
          <w:left w:w="108" w:type="dxa"/>
          <w:bottom w:w="0" w:type="dxa"/>
          <w:right w:w="108" w:type="dxa"/>
        </w:tblCellMar>
      </w:tblPr>
      <w:tblGrid>
        <w:gridCol w:w="222"/>
        <w:gridCol w:w="7556"/>
        <w:gridCol w:w="742"/>
      </w:tblGrid>
      <w:tr w14:paraId="45B4F83F">
        <w:tblPrEx>
          <w:tblCellMar>
            <w:top w:w="0" w:type="dxa"/>
            <w:left w:w="108" w:type="dxa"/>
            <w:bottom w:w="0" w:type="dxa"/>
            <w:right w:w="108" w:type="dxa"/>
          </w:tblCellMar>
        </w:tblPrEx>
        <w:tc>
          <w:tcPr>
            <w:tcW w:w="186" w:type="pct"/>
            <w:noWrap w:val="0"/>
            <w:vAlign w:val="top"/>
          </w:tcPr>
          <w:p w14:paraId="3CE7911E">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w:p>
        </w:tc>
        <w:tc>
          <w:tcPr>
            <w:tcW w:w="4626" w:type="pct"/>
            <w:noWrap w:val="0"/>
            <w:vAlign w:val="top"/>
          </w:tcPr>
          <w:p w14:paraId="2378A67C">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m:oMathPara>
              <m:oMath>
                <m:f>
                  <m:fPr>
                    <m:ctrlPr>
                      <w:rPr>
                        <w:rFonts w:hint="default" w:ascii="Cambria Math" w:hAnsi="Cambria Math" w:cs="Times New Roman"/>
                        <w:i/>
                        <w:snapToGrid/>
                        <w:color w:val="auto"/>
                        <w:spacing w:val="0"/>
                        <w:w w:val="100"/>
                        <w:kern w:val="2"/>
                        <w:position w:val="0"/>
                        <w:sz w:val="21"/>
                        <w:highlight w:val="none"/>
                        <w:u w:val="none"/>
                        <w:shd w:val="clear" w:fill="auto"/>
                      </w:rPr>
                    </m:ctrlPr>
                  </m:fPr>
                  <m:num>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AC</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ctrlPr>
                      <w:rPr>
                        <w:rFonts w:hint="default" w:ascii="Cambria Math" w:hAnsi="Cambria Math" w:cs="Times New Roman"/>
                        <w:snapToGrid/>
                        <w:color w:val="auto"/>
                        <w:spacing w:val="0"/>
                        <w:w w:val="100"/>
                        <w:kern w:val="2"/>
                        <w:position w:val="0"/>
                        <w:sz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t</m:t>
                    </m:r>
                    <m:ctrlPr>
                      <w:rPr>
                        <w:rFonts w:hint="default" w:ascii="Cambria Math" w:hAnsi="Cambria Math" w:cs="Times New Roman"/>
                        <w:snapToGrid/>
                        <w:color w:val="auto"/>
                        <w:spacing w:val="0"/>
                        <w:w w:val="100"/>
                        <w:kern w:val="2"/>
                        <w:position w:val="0"/>
                        <w:sz w:val="21"/>
                        <w:highlight w:val="none"/>
                        <w:u w:val="none"/>
                        <w:shd w:val="clear" w:fill="auto"/>
                      </w:rPr>
                    </m:ctrlPr>
                  </m:den>
                </m:f>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f>
                  <m:fPr>
                    <m:ctrlPr>
                      <w:rPr>
                        <w:rFonts w:hint="default" w:ascii="Cambria Math" w:hAnsi="Cambria Math" w:cs="Times New Roman"/>
                        <w:i/>
                        <w:snapToGrid/>
                        <w:color w:val="auto"/>
                        <w:spacing w:val="0"/>
                        <w:w w:val="100"/>
                        <w:kern w:val="2"/>
                        <w:position w:val="0"/>
                        <w:sz w:val="21"/>
                        <w:highlight w:val="none"/>
                        <w:u w:val="none"/>
                        <w:shd w:val="clear" w:fill="auto"/>
                      </w:rPr>
                    </m:ctrlPr>
                  </m:fPr>
                  <m:num>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QC</m:t>
                    </m:r>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ctrlPr>
                      <w:rPr>
                        <w:rFonts w:hint="default" w:ascii="Cambria Math" w:hAnsi="Cambria Math" w:cs="Times New Roman"/>
                        <w:snapToGrid/>
                        <w:color w:val="auto"/>
                        <w:spacing w:val="0"/>
                        <w:w w:val="100"/>
                        <w:kern w:val="2"/>
                        <w:position w:val="0"/>
                        <w:sz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x</m:t>
                    </m:r>
                    <m:ctrlPr>
                      <w:rPr>
                        <w:rFonts w:hint="default" w:ascii="Cambria Math" w:hAnsi="Cambria Math" w:cs="Times New Roman"/>
                        <w:snapToGrid/>
                        <w:color w:val="auto"/>
                        <w:spacing w:val="0"/>
                        <w:w w:val="100"/>
                        <w:kern w:val="2"/>
                        <w:position w:val="0"/>
                        <w:sz w:val="21"/>
                        <w:highlight w:val="none"/>
                        <w:u w:val="none"/>
                        <w:shd w:val="clear" w:fill="auto"/>
                      </w:rPr>
                    </m:ctrlPr>
                  </m:den>
                </m:f>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f>
                  <m:fPr>
                    <m:ctrlPr>
                      <w:rPr>
                        <w:rFonts w:hint="default" w:ascii="Cambria Math" w:hAnsi="Cambria Math" w:cs="Times New Roman"/>
                        <w:i/>
                        <w:snapToGrid/>
                        <w:color w:val="auto"/>
                        <w:spacing w:val="0"/>
                        <w:w w:val="100"/>
                        <w:kern w:val="2"/>
                        <w:position w:val="0"/>
                        <w:sz w:val="21"/>
                        <w:highlight w:val="none"/>
                        <w:u w:val="none"/>
                        <w:shd w:val="clear" w:fill="auto"/>
                      </w:rPr>
                    </m:ctrlPr>
                  </m:fPr>
                  <m:num>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ctrlPr>
                      <w:rPr>
                        <w:rFonts w:hint="default" w:ascii="Cambria Math" w:hAnsi="Cambria Math" w:cs="Times New Roman"/>
                        <w:snapToGrid/>
                        <w:color w:val="auto"/>
                        <w:spacing w:val="0"/>
                        <w:w w:val="100"/>
                        <w:kern w:val="2"/>
                        <w:position w:val="0"/>
                        <w:sz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x</m:t>
                    </m:r>
                    <m:ctrlPr>
                      <w:rPr>
                        <w:rFonts w:hint="default" w:ascii="Cambria Math" w:hAnsi="Cambria Math" w:cs="Times New Roman"/>
                        <w:snapToGrid/>
                        <w:color w:val="auto"/>
                        <w:spacing w:val="0"/>
                        <w:w w:val="100"/>
                        <w:kern w:val="2"/>
                        <w:position w:val="0"/>
                        <w:sz w:val="21"/>
                        <w:highlight w:val="none"/>
                        <w:u w:val="none"/>
                        <w:shd w:val="clear" w:fill="auto"/>
                      </w:rPr>
                    </m:ctrlPr>
                  </m:den>
                </m:f>
                <m:d>
                  <m:dPr>
                    <m:ctrlPr>
                      <w:rPr>
                        <w:rFonts w:hint="default" w:ascii="Cambria Math" w:hAnsi="Cambria Math" w:cs="Times New Roman"/>
                        <w:i/>
                        <w:snapToGrid/>
                        <w:color w:val="auto"/>
                        <w:spacing w:val="0"/>
                        <w:w w:val="100"/>
                        <w:kern w:val="2"/>
                        <w:position w:val="0"/>
                        <w:sz w:val="21"/>
                        <w:highlight w:val="none"/>
                        <w:u w:val="none"/>
                        <w:shd w:val="clear" w:fill="auto"/>
                      </w:rPr>
                    </m:ctrlPr>
                  </m:dPr>
                  <m:e>
                    <m:r>
                      <m:rPr>
                        <m:nor/>
                      </m:rPr>
                      <w:rPr>
                        <w:rFonts w:hint="default" w:ascii="Times New Roman" w:hAnsi="Times New Roman" w:cs="Times New Roman"/>
                        <w:i/>
                        <w:snapToGrid/>
                        <w:color w:val="auto"/>
                        <w:spacing w:val="0"/>
                        <w:w w:val="100"/>
                        <w:kern w:val="2"/>
                        <w:position w:val="0"/>
                        <w:sz w:val="21"/>
                        <w:highlight w:val="none"/>
                        <w:u w:val="none"/>
                        <w:shd w:val="clear" w:fill="auto"/>
                      </w:rPr>
                      <m:t>AD</m:t>
                    </m:r>
                    <m:f>
                      <m:fPr>
                        <m:ctrlPr>
                          <w:rPr>
                            <w:rFonts w:hint="default" w:ascii="Cambria Math" w:hAnsi="Cambria Math" w:cs="Times New Roman"/>
                            <w:i/>
                            <w:snapToGrid/>
                            <w:color w:val="auto"/>
                            <w:spacing w:val="0"/>
                            <w:w w:val="100"/>
                            <w:kern w:val="2"/>
                            <w:position w:val="0"/>
                            <w:sz w:val="21"/>
                            <w:highlight w:val="none"/>
                            <w:u w:val="none"/>
                            <w:shd w:val="clear" w:fill="auto"/>
                          </w:rPr>
                        </m:ctrlPr>
                      </m:fPr>
                      <m:num>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C</m:t>
                        </m:r>
                        <m:ctrlPr>
                          <w:rPr>
                            <w:rFonts w:hint="default" w:ascii="Cambria Math" w:hAnsi="Cambria Math" w:cs="Times New Roman"/>
                            <w:snapToGrid/>
                            <w:color w:val="auto"/>
                            <w:spacing w:val="0"/>
                            <w:w w:val="100"/>
                            <w:kern w:val="2"/>
                            <w:position w:val="0"/>
                            <w:sz w:val="21"/>
                            <w:highlight w:val="none"/>
                            <w:u w:val="none"/>
                            <w:shd w:val="clear" w:fill="auto"/>
                          </w:rPr>
                        </m:ctrlPr>
                      </m:num>
                      <m:den>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x</m:t>
                        </m:r>
                        <m:ctrlPr>
                          <w:rPr>
                            <w:rFonts w:hint="default" w:ascii="Cambria Math" w:hAnsi="Cambria Math" w:cs="Times New Roman"/>
                            <w:snapToGrid/>
                            <w:color w:val="auto"/>
                            <w:spacing w:val="0"/>
                            <w:w w:val="100"/>
                            <w:kern w:val="2"/>
                            <w:position w:val="0"/>
                            <w:sz w:val="21"/>
                            <w:highlight w:val="none"/>
                            <w:u w:val="none"/>
                            <w:shd w:val="clear" w:fill="auto"/>
                          </w:rPr>
                        </m:ctrlPr>
                      </m:den>
                    </m:f>
                    <m:ctrlPr>
                      <w:rPr>
                        <w:rFonts w:hint="default" w:ascii="Cambria Math" w:hAnsi="Cambria Math" w:cs="Times New Roman"/>
                        <w:i/>
                        <w:snapToGrid/>
                        <w:color w:val="auto"/>
                        <w:spacing w:val="0"/>
                        <w:w w:val="100"/>
                        <w:kern w:val="2"/>
                        <w:position w:val="0"/>
                        <w:sz w:val="21"/>
                        <w:highlight w:val="none"/>
                        <w:u w:val="none"/>
                        <w:shd w:val="clear" w:fill="auto"/>
                      </w:rPr>
                    </m:ctrlPr>
                  </m:e>
                </m:d>
                <m:r>
                  <m:rPr>
                    <m:nor/>
                    <m:sty m:val="p"/>
                  </m:rPr>
                  <w:rPr>
                    <w:rFonts w:hint="default" w:ascii="Times New Roman" w:hAnsi="Times New Roman" w:cs="Times New Roman"/>
                    <w:b w:val="0"/>
                    <w:i w:val="0"/>
                    <w:snapToGrid/>
                    <w:color w:val="auto"/>
                    <w:spacing w:val="0"/>
                    <w:w w:val="100"/>
                    <w:kern w:val="2"/>
                    <w:position w:val="0"/>
                    <w:sz w:val="21"/>
                    <w:highlight w:val="none"/>
                    <w:u w:val="none"/>
                    <w:shd w:val="clear" w:fill="auto"/>
                  </w:rPr>
                  <m:t>+</m:t>
                </m:r>
                <m:r>
                  <m:rPr>
                    <m:nor/>
                  </m:rPr>
                  <w:rPr>
                    <w:rFonts w:hint="default" w:ascii="Times New Roman" w:hAnsi="Times New Roman" w:cs="Times New Roman"/>
                    <w:i/>
                    <w:snapToGrid/>
                    <w:color w:val="auto"/>
                    <w:spacing w:val="0"/>
                    <w:w w:val="100"/>
                    <w:kern w:val="2"/>
                    <w:position w:val="0"/>
                    <w:sz w:val="21"/>
                    <w:highlight w:val="none"/>
                    <w:u w:val="none"/>
                    <w:shd w:val="clear" w:fill="auto"/>
                  </w:rPr>
                  <m:t>AS</m:t>
                </m:r>
              </m:oMath>
            </m:oMathPara>
          </w:p>
        </w:tc>
        <w:tc>
          <w:tcPr>
            <w:tcW w:w="186" w:type="pct"/>
            <w:noWrap w:val="0"/>
            <w:vAlign w:val="center"/>
          </w:tcPr>
          <w:p w14:paraId="2220C09D">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eastAsia="宋体" w:cs="Times New Roman"/>
                <w:snapToGrid/>
                <w:color w:val="auto"/>
                <w:spacing w:val="0"/>
                <w:w w:val="100"/>
                <w:kern w:val="2"/>
                <w:position w:val="0"/>
                <w:szCs w:val="28"/>
                <w:highlight w:val="none"/>
                <w:u w:val="none"/>
                <w:shd w:val="clear" w:fill="auto"/>
              </w:rPr>
            </w:pPr>
            <w:r>
              <w:rPr>
                <w:rFonts w:hint="default" w:ascii="Times New Roman" w:hAnsi="Times New Roman" w:eastAsia="宋体" w:cs="Times New Roman"/>
                <w:snapToGrid/>
                <w:color w:val="auto"/>
                <w:spacing w:val="0"/>
                <w:w w:val="100"/>
                <w:kern w:val="2"/>
                <w:position w:val="0"/>
                <w:szCs w:val="28"/>
                <w:highlight w:val="none"/>
                <w:u w:val="none"/>
                <w:shd w:val="clear" w:fill="auto"/>
              </w:rPr>
              <w:t>（</w:t>
            </w:r>
            <w:r>
              <w:rPr>
                <w:rFonts w:hint="eastAsia" w:ascii="Times New Roman" w:hAnsi="Times New Roman" w:eastAsia="宋体" w:cs="Times New Roman"/>
                <w:snapToGrid/>
                <w:color w:val="auto"/>
                <w:spacing w:val="0"/>
                <w:w w:val="100"/>
                <w:kern w:val="2"/>
                <w:position w:val="0"/>
                <w:szCs w:val="28"/>
                <w:highlight w:val="none"/>
                <w:u w:val="none"/>
                <w:shd w:val="clear" w:fill="auto"/>
                <w:lang w:val="en-US" w:eastAsia="zh-CN"/>
              </w:rPr>
              <w:t>7</w:t>
            </w:r>
            <w:r>
              <w:rPr>
                <w:rFonts w:hint="default" w:ascii="Times New Roman" w:hAnsi="Times New Roman" w:eastAsia="宋体" w:cs="Times New Roman"/>
                <w:snapToGrid/>
                <w:color w:val="auto"/>
                <w:spacing w:val="0"/>
                <w:w w:val="100"/>
                <w:kern w:val="2"/>
                <w:position w:val="0"/>
                <w:szCs w:val="28"/>
                <w:highlight w:val="none"/>
                <w:u w:val="none"/>
                <w:shd w:val="clear" w:fill="auto"/>
              </w:rPr>
              <w:t>）</w:t>
            </w:r>
          </w:p>
        </w:tc>
      </w:tr>
    </w:tbl>
    <w:p w14:paraId="22FD831F">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jc w:val="both"/>
        <w:textAlignment w:val="baseline"/>
        <w:rPr>
          <w:rFonts w:hint="default"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式中，</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C</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为污染物断面平均浓度</w:t>
      </w:r>
      <w:r>
        <w:rPr>
          <w:rFonts w:hint="eastAsia" w:eastAsia="宋体" w:cs="Times New Roman"/>
          <w:snapToGrid/>
          <w:color w:val="auto"/>
          <w:spacing w:val="0"/>
          <w:w w:val="100"/>
          <w:kern w:val="2"/>
          <w:position w:val="0"/>
          <w:sz w:val="21"/>
          <w:szCs w:val="21"/>
          <w:highlight w:val="none"/>
          <w:u w:val="none"/>
          <w:shd w:val="clear" w:fill="auto"/>
          <w:lang w:val="en-US" w:eastAsia="zh-CN"/>
        </w:rPr>
        <w:t>（kg/m</w:t>
      </w:r>
      <w:r>
        <w:rPr>
          <w:rFonts w:hint="eastAsia"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D</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为纵向扩散系数；</w:t>
      </w:r>
      <w:r>
        <w:rPr>
          <w:rFonts w:hint="default" w:ascii="Times New Roman" w:hAnsi="Times New Roman" w:eastAsia="宋体" w:cs="Times New Roman"/>
          <w:i/>
          <w:iCs/>
          <w:snapToGrid/>
          <w:color w:val="auto"/>
          <w:spacing w:val="0"/>
          <w:w w:val="100"/>
          <w:kern w:val="2"/>
          <w:position w:val="0"/>
          <w:sz w:val="21"/>
          <w:szCs w:val="21"/>
          <w:highlight w:val="none"/>
          <w:u w:val="none"/>
          <w:shd w:val="clear" w:fill="auto"/>
          <w:lang w:val="en-US" w:eastAsia="zh-CN"/>
        </w:rPr>
        <w:t>S</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为源汇项</w:t>
      </w:r>
      <w:r>
        <w:rPr>
          <w:rFonts w:hint="eastAsia" w:eastAsia="宋体" w:cs="Times New Roman"/>
          <w:snapToGrid/>
          <w:color w:val="auto"/>
          <w:spacing w:val="0"/>
          <w:w w:val="100"/>
          <w:kern w:val="2"/>
          <w:position w:val="0"/>
          <w:sz w:val="21"/>
          <w:szCs w:val="21"/>
          <w:highlight w:val="none"/>
          <w:u w:val="none"/>
          <w:shd w:val="clear" w:fill="auto"/>
          <w:lang w:val="en-US" w:eastAsia="zh-CN"/>
        </w:rPr>
        <w:t>（kg/(m</w:t>
      </w:r>
      <w:r>
        <w:rPr>
          <w:rFonts w:hint="eastAsia"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eastAsia" w:eastAsia="宋体" w:cs="Times New Roman"/>
          <w:snapToGrid/>
          <w:color w:val="auto"/>
          <w:spacing w:val="0"/>
          <w:w w:val="100"/>
          <w:kern w:val="2"/>
          <w:position w:val="0"/>
          <w:sz w:val="21"/>
          <w:szCs w:val="21"/>
          <w:highlight w:val="none"/>
          <w:u w:val="none"/>
          <w:shd w:val="clear" w:fill="auto"/>
          <w:lang w:val="en-US" w:eastAsia="zh-CN"/>
        </w:rPr>
        <w:t>·s)）。</w:t>
      </w:r>
    </w:p>
    <w:p w14:paraId="1E595BC4">
      <w:pPr>
        <w:keepNext w:val="0"/>
        <w:keepLines w:val="0"/>
        <w:pageBreakBefore w:val="0"/>
        <w:widowControl w:val="0"/>
        <w:kinsoku/>
        <w:wordWrap/>
        <w:overflowPunct/>
        <w:topLinePunct w:val="0"/>
        <w:autoSpaceDE/>
        <w:autoSpaceDN/>
        <w:bidi w:val="0"/>
        <w:adjustRightInd/>
        <w:snapToGrid/>
        <w:ind w:left="0" w:leftChars="0" w:right="0" w:rightChars="0" w:firstLine="56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最终，</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研究区域范围内模型共概化河道620条（段），总长4371.8km，河道断面4019个，概化闸泵工程（含船闸）140座（见图2）。</w:t>
      </w:r>
    </w:p>
    <w:p w14:paraId="4304CCA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宋体" w:cs="Times New Roman"/>
          <w:snapToGrid/>
          <w:color w:val="auto"/>
          <w:spacing w:val="0"/>
          <w:w w:val="100"/>
          <w:kern w:val="2"/>
          <w:position w:val="0"/>
          <w:sz w:val="24"/>
          <w:szCs w:val="24"/>
          <w:highlight w:val="none"/>
          <w:u w:val="none"/>
          <w:shd w:val="clear" w:fill="auto"/>
        </w:rPr>
      </w:pPr>
      <w:r>
        <w:drawing>
          <wp:inline distT="0" distB="0" distL="114300" distR="114300">
            <wp:extent cx="3543935" cy="4900930"/>
            <wp:effectExtent l="0" t="0" r="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
                    <a:stretch>
                      <a:fillRect/>
                    </a:stretch>
                  </pic:blipFill>
                  <pic:spPr>
                    <a:xfrm>
                      <a:off x="0" y="0"/>
                      <a:ext cx="3543935" cy="4900930"/>
                    </a:xfrm>
                    <a:prstGeom prst="rect">
                      <a:avLst/>
                    </a:prstGeom>
                    <a:noFill/>
                    <a:ln>
                      <a:noFill/>
                    </a:ln>
                  </pic:spPr>
                </pic:pic>
              </a:graphicData>
            </a:graphic>
          </wp:inline>
        </w:drawing>
      </w:r>
    </w:p>
    <w:p w14:paraId="2364FB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图2  研究区域周边河网工程概化示意</w:t>
      </w:r>
    </w:p>
    <w:p w14:paraId="7EBAB9C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Fig.</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2</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Schematic diagram of generalized river network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projects</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a</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round study area</w:t>
      </w:r>
    </w:p>
    <w:p w14:paraId="25823936">
      <w:pPr>
        <w:keepNext w:val="0"/>
        <w:keepLines w:val="0"/>
        <w:pageBreakBefore w:val="0"/>
        <w:widowControl w:val="0"/>
        <w:kinsoku/>
        <w:wordWrap/>
        <w:overflowPunct/>
        <w:topLinePunct w:val="0"/>
        <w:autoSpaceDE/>
        <w:autoSpaceDN/>
        <w:bidi w:val="0"/>
        <w:adjustRightInd/>
        <w:snapToGrid/>
        <w:ind w:left="0" w:leftChars="0" w:right="0" w:rightChars="0" w:firstLine="56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p>
    <w:p w14:paraId="2D5E8E0A">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textAlignment w:val="baseline"/>
        <w:outlineLvl w:val="2"/>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2.</w:t>
      </w:r>
      <w:r>
        <w:rPr>
          <w:rFonts w:hint="eastAsia" w:eastAsia="黑体" w:cs="Times New Roman"/>
          <w:snapToGrid/>
          <w:color w:val="auto"/>
          <w:spacing w:val="0"/>
          <w:w w:val="100"/>
          <w:kern w:val="2"/>
          <w:position w:val="0"/>
          <w:sz w:val="21"/>
          <w:szCs w:val="21"/>
          <w:highlight w:val="none"/>
          <w:u w:val="none"/>
          <w:shd w:val="clear" w:fill="auto"/>
          <w:lang w:val="en-US" w:eastAsia="zh-CN"/>
        </w:rPr>
        <w:t>3</w:t>
      </w: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 xml:space="preserve"> 模型准确性分析</w:t>
      </w:r>
    </w:p>
    <w:p w14:paraId="289B9213">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rPr>
        <w:t>太湖流域平原河网水量水质数学模型</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经过几十年的开发与完善，其可靠性已在</w:t>
      </w:r>
      <w:r>
        <w:rPr>
          <w:rFonts w:hint="default" w:ascii="Times New Roman" w:hAnsi="Times New Roman" w:cs="Times New Roman" w:eastAsiaTheme="minorEastAsia"/>
          <w:snapToGrid/>
          <w:color w:val="auto"/>
          <w:spacing w:val="0"/>
          <w:w w:val="100"/>
          <w:kern w:val="2"/>
          <w:position w:val="0"/>
          <w:sz w:val="21"/>
          <w:szCs w:val="21"/>
          <w:highlight w:val="none"/>
          <w:u w:val="none"/>
          <w:shd w:val="clear" w:fill="auto"/>
        </w:rPr>
        <w:t>《太湖流域防洪规划</w:t>
      </w:r>
      <w:r>
        <w:rPr>
          <w:rFonts w:hint="default"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t>修编</w:t>
      </w:r>
      <w:r>
        <w:rPr>
          <w:rFonts w:hint="default" w:ascii="Times New Roman" w:hAnsi="Times New Roman" w:cs="Times New Roman" w:eastAsiaTheme="minorEastAsia"/>
          <w:snapToGrid/>
          <w:color w:val="auto"/>
          <w:spacing w:val="0"/>
          <w:w w:val="100"/>
          <w:kern w:val="2"/>
          <w:position w:val="0"/>
          <w:sz w:val="21"/>
          <w:szCs w:val="21"/>
          <w:highlight w:val="none"/>
          <w:u w:val="none"/>
          <w:shd w:val="clear" w:fill="auto"/>
        </w:rPr>
        <w:t>》等流域</w:t>
      </w:r>
      <w:r>
        <w:rPr>
          <w:rFonts w:hint="default" w:ascii="Times New Roman" w:hAnsi="Times New Roman" w:cs="Times New Roman"/>
          <w:snapToGrid/>
          <w:color w:val="auto"/>
          <w:spacing w:val="0"/>
          <w:w w:val="100"/>
          <w:kern w:val="2"/>
          <w:position w:val="0"/>
          <w:sz w:val="21"/>
          <w:szCs w:val="21"/>
          <w:highlight w:val="none"/>
          <w:u w:val="none"/>
          <w:shd w:val="clear" w:fill="auto"/>
          <w:lang w:val="en-US" w:eastAsia="zh-CN"/>
        </w:rPr>
        <w:t>重大</w:t>
      </w:r>
      <w:r>
        <w:rPr>
          <w:rFonts w:hint="default" w:ascii="Times New Roman" w:hAnsi="Times New Roman" w:cs="Times New Roman" w:eastAsiaTheme="minorEastAsia"/>
          <w:snapToGrid/>
          <w:color w:val="auto"/>
          <w:spacing w:val="0"/>
          <w:w w:val="100"/>
          <w:kern w:val="2"/>
          <w:position w:val="0"/>
          <w:sz w:val="21"/>
          <w:szCs w:val="21"/>
          <w:highlight w:val="none"/>
          <w:u w:val="none"/>
          <w:shd w:val="clear" w:fill="auto"/>
        </w:rPr>
        <w:t>规划编制中得到</w:t>
      </w:r>
      <w:r>
        <w:rPr>
          <w:rFonts w:hint="default" w:ascii="Times New Roman" w:hAnsi="Times New Roman" w:cs="Times New Roman" w:eastAsiaTheme="minorEastAsia"/>
          <w:snapToGrid/>
          <w:color w:val="auto"/>
          <w:spacing w:val="0"/>
          <w:w w:val="100"/>
          <w:kern w:val="2"/>
          <w:position w:val="0"/>
          <w:sz w:val="21"/>
          <w:szCs w:val="21"/>
          <w:highlight w:val="none"/>
          <w:u w:val="none"/>
          <w:shd w:val="clear" w:fill="auto"/>
          <w:lang w:val="en-US" w:eastAsia="zh-CN"/>
        </w:rPr>
        <w:t>证明，其</w:t>
      </w:r>
      <w:r>
        <w:rPr>
          <w:rFonts w:hint="default" w:ascii="Times New Roman" w:hAnsi="Times New Roman" w:cs="Times New Roman"/>
          <w:snapToGrid/>
          <w:color w:val="auto"/>
          <w:spacing w:val="0"/>
          <w:w w:val="100"/>
          <w:kern w:val="2"/>
          <w:position w:val="0"/>
          <w:sz w:val="21"/>
          <w:szCs w:val="21"/>
          <w:highlight w:val="none"/>
          <w:u w:val="none"/>
          <w:shd w:val="clear" w:fill="auto"/>
          <w:lang w:val="en-US" w:eastAsia="zh-CN"/>
        </w:rPr>
        <w:t>率定、验证等参见徐天奕等</w:t>
      </w:r>
      <w:r>
        <w:rPr>
          <w:rFonts w:hint="default" w:ascii="Times New Roman" w:hAnsi="Times New Roman" w:eastAsia="Times New Roman"/>
          <w:color w:val="auto"/>
          <w:sz w:val="21"/>
          <w:szCs w:val="21"/>
          <w:highlight w:val="none"/>
          <w:u w:val="none"/>
          <w:shd w:val="clear" w:fill="auto"/>
          <w:vertAlign w:val="superscript"/>
        </w:rPr>
        <w:t>[31]</w:t>
      </w:r>
      <w:r>
        <w:rPr>
          <w:rFonts w:hint="default" w:ascii="Times New Roman" w:hAnsi="Times New Roman" w:cs="Times New Roman"/>
          <w:snapToGrid/>
          <w:color w:val="auto"/>
          <w:spacing w:val="0"/>
          <w:w w:val="100"/>
          <w:kern w:val="2"/>
          <w:position w:val="0"/>
          <w:sz w:val="21"/>
          <w:szCs w:val="21"/>
          <w:highlight w:val="none"/>
          <w:u w:val="none"/>
          <w:shd w:val="clear" w:fill="auto"/>
          <w:lang w:val="en-US" w:eastAsia="zh-CN"/>
        </w:rPr>
        <w:t>、刘克强等</w:t>
      </w:r>
      <w:r>
        <w:rPr>
          <w:rFonts w:hint="default" w:ascii="Times New Roman" w:hAnsi="Times New Roman" w:eastAsia="Times New Roman"/>
          <w:color w:val="auto"/>
          <w:sz w:val="21"/>
          <w:szCs w:val="21"/>
          <w:highlight w:val="none"/>
          <w:u w:val="none"/>
          <w:shd w:val="clear" w:fill="auto"/>
          <w:vertAlign w:val="superscript"/>
        </w:rPr>
        <w:t>[32]</w:t>
      </w:r>
      <w:r>
        <w:rPr>
          <w:rFonts w:hint="default" w:ascii="Times New Roman" w:hAnsi="Times New Roman" w:cs="Times New Roman"/>
          <w:snapToGrid/>
          <w:color w:val="auto"/>
          <w:spacing w:val="0"/>
          <w:w w:val="100"/>
          <w:kern w:val="2"/>
          <w:position w:val="0"/>
          <w:sz w:val="21"/>
          <w:szCs w:val="21"/>
          <w:highlight w:val="none"/>
          <w:u w:val="none"/>
          <w:shd w:val="clear" w:fill="auto"/>
          <w:lang w:val="en-US" w:eastAsia="zh-CN"/>
        </w:rPr>
        <w:t>的相关研究。</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为保证本细化模型的模拟精度，进一步采用2022年新孟河抗旱调水期间实测水位、流量、水质数据对模型的水动力模型和水质模型进行</w:t>
      </w:r>
      <w:r>
        <w:rPr>
          <w:rFonts w:hint="eastAsia" w:eastAsia="宋体" w:cs="Times New Roman"/>
          <w:snapToGrid/>
          <w:color w:val="auto"/>
          <w:spacing w:val="0"/>
          <w:w w:val="100"/>
          <w:kern w:val="2"/>
          <w:position w:val="0"/>
          <w:sz w:val="21"/>
          <w:szCs w:val="21"/>
          <w:highlight w:val="none"/>
          <w:u w:val="none"/>
          <w:shd w:val="clear" w:fill="auto"/>
          <w:lang w:val="en-US" w:eastAsia="zh-CN"/>
        </w:rPr>
        <w:t>验证</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。2022年抗旱调水从10月11日开始至12月16日试运行结束，分为三个阶段：调水初期的10月20日</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22日，第二阶段10月23日</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28日，第三阶段10月29日</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12月16日。模型中采用实测降雨时间序列，其中新孟河界牌、新沟河江边枢纽均采用实测流量时间序列作为入流边界，研究区域其他工程采用调水期间实际调度工况；</w:t>
      </w:r>
      <w:r>
        <w:rPr>
          <w:rFonts w:hint="eastAsia" w:eastAsia="宋体" w:cs="Times New Roman"/>
          <w:snapToGrid/>
          <w:color w:val="auto"/>
          <w:spacing w:val="0"/>
          <w:w w:val="100"/>
          <w:kern w:val="2"/>
          <w:position w:val="0"/>
          <w:sz w:val="21"/>
          <w:szCs w:val="21"/>
          <w:highlight w:val="none"/>
          <w:u w:val="none"/>
          <w:shd w:val="clear" w:fill="auto"/>
          <w:lang w:val="en-US" w:eastAsia="zh-CN"/>
        </w:rPr>
        <w:t>模型整体</w:t>
      </w:r>
      <w:r>
        <w:rPr>
          <w:rFonts w:hint="eastAsia" w:eastAsia="宋体"/>
          <w:snapToGrid/>
          <w:color w:val="auto"/>
          <w:kern w:val="2"/>
          <w:sz w:val="21"/>
          <w:szCs w:val="21"/>
          <w:highlight w:val="none"/>
          <w:u w:val="none"/>
          <w:shd w:val="clear" w:fill="auto"/>
          <w:lang w:eastAsia="zh-CN"/>
        </w:rPr>
        <w:t>共有201个水质边界条件，</w:t>
      </w:r>
      <w:r>
        <w:rPr>
          <w:rFonts w:hint="eastAsia" w:eastAsia="宋体"/>
          <w:snapToGrid/>
          <w:color w:val="auto"/>
          <w:kern w:val="2"/>
          <w:sz w:val="21"/>
          <w:szCs w:val="21"/>
          <w:highlight w:val="none"/>
          <w:u w:val="none"/>
          <w:shd w:val="clear" w:fill="auto"/>
          <w:lang w:val="en-US" w:eastAsia="zh-CN"/>
        </w:rPr>
        <w:t>主要分为</w:t>
      </w:r>
      <w:r>
        <w:rPr>
          <w:rFonts w:hint="eastAsia" w:eastAsia="宋体"/>
          <w:snapToGrid/>
          <w:color w:val="auto"/>
          <w:kern w:val="2"/>
          <w:sz w:val="21"/>
          <w:szCs w:val="21"/>
          <w:highlight w:val="none"/>
          <w:u w:val="none"/>
          <w:shd w:val="clear" w:fill="auto"/>
          <w:lang w:eastAsia="zh-CN"/>
        </w:rPr>
        <w:t>西部山丘区入流、沿长江和沿钱塘江河道口门</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研究区域范围山丘区水质边界</w:t>
      </w:r>
      <w:r>
        <w:rPr>
          <w:rFonts w:hint="eastAsia" w:eastAsia="宋体" w:cs="Times New Roman"/>
          <w:snapToGrid/>
          <w:color w:val="auto"/>
          <w:spacing w:val="0"/>
          <w:w w:val="100"/>
          <w:kern w:val="2"/>
          <w:position w:val="0"/>
          <w:sz w:val="21"/>
          <w:szCs w:val="21"/>
          <w:highlight w:val="none"/>
          <w:u w:val="none"/>
          <w:shd w:val="clear" w:fill="auto"/>
          <w:lang w:val="en-US" w:eastAsia="zh-CN"/>
        </w:rPr>
        <w:t>包括</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埝坡桥、下坝船闸、莲花荡、横山水库等代表断面逐日监测数据；沿江河道口门水质边界</w:t>
      </w:r>
      <w:r>
        <w:rPr>
          <w:rFonts w:hint="eastAsia" w:eastAsia="宋体" w:cs="Times New Roman"/>
          <w:snapToGrid/>
          <w:color w:val="auto"/>
          <w:spacing w:val="0"/>
          <w:w w:val="100"/>
          <w:kern w:val="2"/>
          <w:position w:val="0"/>
          <w:sz w:val="21"/>
          <w:szCs w:val="21"/>
          <w:highlight w:val="none"/>
          <w:u w:val="none"/>
          <w:shd w:val="clear" w:fill="auto"/>
          <w:lang w:val="en-US" w:eastAsia="zh-CN"/>
        </w:rPr>
        <w:t>包括</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谏壁闸下、魏村闸、九号桥站等代表断面逐日监测数据。上述水质边界指标包括溶解氧（DO）、五日生化需氧量（BOD5）、化学需氧量（COD）、总磷（TP）、总氮（TN）和氨氮（NH</w:t>
      </w:r>
      <w:r>
        <w:rPr>
          <w:rFonts w:hint="eastAsia" w:eastAsia="宋体" w:cs="Times New Roman"/>
          <w:snapToGrid/>
          <w:color w:val="auto"/>
          <w:spacing w:val="0"/>
          <w:w w:val="100"/>
          <w:kern w:val="2"/>
          <w:position w:val="0"/>
          <w:sz w:val="21"/>
          <w:szCs w:val="21"/>
          <w:highlight w:val="none"/>
          <w:u w:val="none"/>
          <w:shd w:val="clear" w:fill="auto"/>
          <w:vertAlign w:val="subscript"/>
          <w:lang w:val="en-US" w:eastAsia="zh-CN"/>
        </w:rPr>
        <w:t>3</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N）6项。对于缺少实测资料的模型边界，则根据水系连通关系和空间邻近原则，采用相邻同类型断面监测数据作为替代边界。</w:t>
      </w:r>
    </w:p>
    <w:p w14:paraId="496DDF52">
      <w:pPr>
        <w:tabs>
          <w:tab w:val="center" w:pos="4253"/>
          <w:tab w:val="right" w:pos="8505"/>
        </w:tabs>
        <w:spacing w:line="300" w:lineRule="auto"/>
        <w:ind w:firstLine="420" w:firstLineChars="200"/>
        <w:jc w:val="both"/>
        <w:rPr>
          <w:rFonts w:hint="eastAsia"/>
          <w:color w:val="auto"/>
          <w:sz w:val="21"/>
          <w:szCs w:val="21"/>
          <w:highlight w:val="none"/>
          <w:u w:val="none"/>
          <w:shd w:val="clear" w:fill="auto"/>
        </w:rPr>
      </w:pPr>
      <w:r>
        <w:rPr>
          <w:rFonts w:hint="default" w:eastAsia="宋体"/>
          <w:snapToGrid/>
          <w:color w:val="auto"/>
          <w:kern w:val="2"/>
          <w:sz w:val="21"/>
          <w:szCs w:val="21"/>
          <w:highlight w:val="none"/>
          <w:u w:val="none"/>
          <w:shd w:val="clear" w:fill="auto"/>
          <w:lang w:eastAsia="zh-CN"/>
        </w:rPr>
        <w:t>水动力过程验证方面，选取常州（三）、漕桥、坊前、洛社等代表站点开展水位过程对比，选取红湖大桥、漕桥、黄埝桥</w:t>
      </w:r>
      <w:r>
        <w:rPr>
          <w:rFonts w:hint="eastAsia" w:eastAsia="宋体"/>
          <w:snapToGrid/>
          <w:color w:val="auto"/>
          <w:kern w:val="2"/>
          <w:sz w:val="21"/>
          <w:szCs w:val="21"/>
          <w:highlight w:val="none"/>
          <w:u w:val="none"/>
          <w:shd w:val="clear" w:fill="auto"/>
          <w:lang w:eastAsia="zh-CN"/>
        </w:rPr>
        <w:t>、</w:t>
      </w:r>
      <w:r>
        <w:rPr>
          <w:rFonts w:hint="eastAsia" w:eastAsia="宋体"/>
          <w:snapToGrid/>
          <w:color w:val="auto"/>
          <w:kern w:val="2"/>
          <w:sz w:val="21"/>
          <w:szCs w:val="21"/>
          <w:highlight w:val="none"/>
          <w:u w:val="none"/>
          <w:shd w:val="clear" w:fill="auto"/>
          <w:lang w:val="en-US" w:eastAsia="zh-CN"/>
        </w:rPr>
        <w:t>新孟河北干河东</w:t>
      </w:r>
      <w:r>
        <w:rPr>
          <w:rFonts w:hint="default" w:eastAsia="宋体"/>
          <w:snapToGrid/>
          <w:color w:val="auto"/>
          <w:kern w:val="2"/>
          <w:sz w:val="21"/>
          <w:szCs w:val="21"/>
          <w:highlight w:val="none"/>
          <w:u w:val="none"/>
          <w:shd w:val="clear" w:fill="auto"/>
          <w:lang w:eastAsia="zh-CN"/>
        </w:rPr>
        <w:t>等典型断面开展流量过程对比。</w:t>
      </w:r>
      <w:r>
        <w:rPr>
          <w:rFonts w:hint="eastAsia" w:eastAsia="宋体"/>
          <w:snapToGrid/>
          <w:color w:val="auto"/>
          <w:kern w:val="2"/>
          <w:sz w:val="21"/>
          <w:szCs w:val="21"/>
          <w:highlight w:val="none"/>
          <w:u w:val="none"/>
          <w:shd w:val="clear" w:fill="auto"/>
          <w:lang w:val="en-US" w:eastAsia="zh-CN"/>
        </w:rPr>
        <w:t>同时，</w:t>
      </w:r>
      <w:r>
        <w:rPr>
          <w:rFonts w:hint="eastAsia" w:ascii="Times New Roman" w:hAnsi="Times New Roman" w:cs="Times New Roman"/>
          <w:color w:val="auto"/>
          <w:highlight w:val="none"/>
          <w:u w:val="none"/>
          <w:shd w:val="clear" w:fill="auto"/>
        </w:rPr>
        <w:t>采用</w:t>
      </w:r>
      <w:r>
        <w:rPr>
          <w:rFonts w:hint="eastAsia" w:ascii="Times New Roman" w:hAnsi="Times New Roman" w:cs="Times New Roman"/>
          <w:color w:val="auto"/>
          <w:sz w:val="21"/>
          <w:szCs w:val="21"/>
          <w:highlight w:val="none"/>
          <w:u w:val="none"/>
          <w:shd w:val="clear" w:fill="auto"/>
        </w:rPr>
        <w:t>平均</w:t>
      </w:r>
      <w:r>
        <w:rPr>
          <w:rFonts w:hint="eastAsia" w:ascii="Times New Roman" w:hAnsi="Times New Roman" w:eastAsia="宋体" w:cs="Times New Roman"/>
          <w:color w:val="auto"/>
          <w:sz w:val="21"/>
          <w:szCs w:val="21"/>
          <w:highlight w:val="none"/>
          <w:u w:val="none"/>
          <w:shd w:val="clear" w:fill="auto"/>
          <w:lang w:val="en-US" w:eastAsia="zh-CN"/>
        </w:rPr>
        <w:t>绝对</w:t>
      </w:r>
      <w:r>
        <w:rPr>
          <w:rFonts w:hint="eastAsia" w:ascii="Times New Roman" w:hAnsi="Times New Roman" w:cs="Times New Roman"/>
          <w:color w:val="auto"/>
          <w:sz w:val="21"/>
          <w:szCs w:val="21"/>
          <w:highlight w:val="none"/>
          <w:u w:val="none"/>
          <w:shd w:val="clear" w:fill="auto"/>
        </w:rPr>
        <w:t>误差</w:t>
      </w:r>
      <w:r>
        <w:rPr>
          <w:rFonts w:hint="eastAsia" w:ascii="Times New Roman" w:hAnsi="Times New Roman" w:eastAsia="宋体" w:cs="Times New Roman"/>
          <w:color w:val="auto"/>
          <w:sz w:val="21"/>
          <w:szCs w:val="21"/>
          <w:highlight w:val="none"/>
          <w:u w:val="none"/>
          <w:shd w:val="clear" w:fill="auto"/>
          <w:lang w:eastAsia="zh-CN"/>
        </w:rPr>
        <w:t>（</w:t>
      </w:r>
      <w:r>
        <w:rPr>
          <w:rFonts w:hint="eastAsia" w:ascii="Times New Roman" w:hAnsi="Times New Roman" w:eastAsia="宋体" w:cs="Times New Roman"/>
          <w:i/>
          <w:iCs/>
          <w:color w:val="auto"/>
          <w:sz w:val="21"/>
          <w:szCs w:val="21"/>
          <w:highlight w:val="none"/>
          <w:u w:val="none"/>
          <w:shd w:val="clear" w:fill="auto"/>
          <w:lang w:val="en-US" w:eastAsia="zh-CN"/>
        </w:rPr>
        <w:t>MAE</w:t>
      </w:r>
      <w:r>
        <w:rPr>
          <w:rFonts w:hint="eastAsia" w:ascii="Times New Roman" w:hAnsi="Times New Roman" w:eastAsia="宋体" w:cs="Times New Roman"/>
          <w:color w:val="auto"/>
          <w:sz w:val="21"/>
          <w:szCs w:val="21"/>
          <w:highlight w:val="none"/>
          <w:u w:val="none"/>
          <w:shd w:val="clear" w:fill="auto"/>
          <w:lang w:eastAsia="zh-CN"/>
        </w:rPr>
        <w:t>）</w:t>
      </w:r>
      <w:r>
        <w:rPr>
          <w:rFonts w:hint="eastAsia" w:ascii="Times New Roman" w:hAnsi="Times New Roman" w:cs="Times New Roman"/>
          <w:color w:val="auto"/>
          <w:sz w:val="21"/>
          <w:szCs w:val="21"/>
          <w:highlight w:val="none"/>
          <w:u w:val="none"/>
          <w:shd w:val="clear" w:fill="auto"/>
        </w:rPr>
        <w:t>、均方根误差（</w:t>
      </w:r>
      <w:r>
        <w:rPr>
          <w:rFonts w:hint="eastAsia" w:ascii="Times New Roman" w:hAnsi="Times New Roman" w:cs="Times New Roman"/>
          <w:i/>
          <w:iCs/>
          <w:color w:val="auto"/>
          <w:sz w:val="21"/>
          <w:szCs w:val="21"/>
          <w:highlight w:val="none"/>
          <w:u w:val="none"/>
          <w:shd w:val="clear" w:fill="auto"/>
        </w:rPr>
        <w:t>RMSE</w:t>
      </w:r>
      <w:r>
        <w:rPr>
          <w:rFonts w:hint="default" w:ascii="Times New Roman" w:hAnsi="Times New Roman" w:cs="Times New Roman"/>
          <w:color w:val="auto"/>
          <w:sz w:val="21"/>
          <w:szCs w:val="21"/>
          <w:highlight w:val="none"/>
          <w:u w:val="none"/>
          <w:shd w:val="clear" w:fill="auto"/>
        </w:rPr>
        <w:t>）</w:t>
      </w:r>
      <w:r>
        <w:rPr>
          <w:rFonts w:hint="eastAsia" w:ascii="Times New Roman" w:hAnsi="Times New Roman" w:eastAsia="宋体" w:cs="Times New Roman"/>
          <w:color w:val="auto"/>
          <w:sz w:val="21"/>
          <w:szCs w:val="21"/>
          <w:highlight w:val="none"/>
          <w:u w:val="none"/>
          <w:shd w:val="clear" w:fill="auto"/>
          <w:lang w:eastAsia="zh-CN"/>
        </w:rPr>
        <w:t>、</w:t>
      </w:r>
      <w:r>
        <w:rPr>
          <w:rFonts w:hint="default" w:ascii="Times New Roman" w:hAnsi="Times New Roman" w:eastAsia="宋体" w:cs="Times New Roman"/>
          <w:color w:val="auto"/>
          <w:sz w:val="21"/>
          <w:szCs w:val="21"/>
          <w:highlight w:val="none"/>
          <w:u w:val="none"/>
          <w:shd w:val="clear" w:fill="auto"/>
          <w:lang w:val="en-US" w:eastAsia="zh-CN"/>
        </w:rPr>
        <w:t>相关系数（</w:t>
      </w:r>
      <w:r>
        <w:rPr>
          <w:rFonts w:hint="default" w:ascii="Times New Roman" w:hAnsi="Times New Roman" w:eastAsia="宋体" w:cs="Times New Roman"/>
          <w:i/>
          <w:iCs/>
          <w:color w:val="auto"/>
          <w:sz w:val="21"/>
          <w:szCs w:val="21"/>
          <w:highlight w:val="none"/>
          <w:u w:val="none"/>
          <w:shd w:val="clear" w:fill="auto"/>
          <w:lang w:val="en-US" w:eastAsia="zh-CN"/>
        </w:rPr>
        <w:t>R</w:t>
      </w:r>
      <w:r>
        <w:rPr>
          <w:rFonts w:hint="default" w:ascii="Times New Roman" w:hAnsi="Times New Roman" w:eastAsia="宋体" w:cs="Times New Roman"/>
          <w:color w:val="auto"/>
          <w:sz w:val="21"/>
          <w:szCs w:val="21"/>
          <w:highlight w:val="none"/>
          <w:u w:val="none"/>
          <w:shd w:val="clear" w:fill="auto"/>
          <w:lang w:val="en-US" w:eastAsia="zh-CN"/>
        </w:rPr>
        <w:t>）</w:t>
      </w:r>
      <w:r>
        <w:rPr>
          <w:rFonts w:hint="eastAsia" w:ascii="Times New Roman" w:hAnsi="Times New Roman" w:eastAsia="宋体" w:cs="Times New Roman"/>
          <w:color w:val="auto"/>
          <w:sz w:val="21"/>
          <w:szCs w:val="21"/>
          <w:highlight w:val="none"/>
          <w:u w:val="none"/>
          <w:shd w:val="clear" w:fill="auto"/>
          <w:lang w:val="en-US" w:eastAsia="zh-CN"/>
        </w:rPr>
        <w:t>等指标对水位、流量模拟效果进行定量评价，</w:t>
      </w:r>
      <w:r>
        <w:rPr>
          <w:rFonts w:hint="default" w:ascii="Times New Roman" w:hAnsi="Times New Roman" w:cs="Times New Roman"/>
          <w:color w:val="auto"/>
          <w:sz w:val="21"/>
          <w:szCs w:val="21"/>
          <w:highlight w:val="none"/>
          <w:u w:val="none"/>
          <w:shd w:val="clear" w:fill="auto"/>
        </w:rPr>
        <w:t>计算公式如下</w:t>
      </w:r>
    </w:p>
    <w:tbl>
      <w:tblPr>
        <w:tblStyle w:val="9"/>
        <w:tblW w:w="4998" w:type="pct"/>
        <w:tblInd w:w="0" w:type="dxa"/>
        <w:tblLayout w:type="autofit"/>
        <w:tblCellMar>
          <w:top w:w="0" w:type="dxa"/>
          <w:left w:w="108" w:type="dxa"/>
          <w:bottom w:w="0" w:type="dxa"/>
          <w:right w:w="108" w:type="dxa"/>
        </w:tblCellMar>
      </w:tblPr>
      <w:tblGrid>
        <w:gridCol w:w="222"/>
        <w:gridCol w:w="7451"/>
        <w:gridCol w:w="846"/>
      </w:tblGrid>
      <w:tr w14:paraId="2165CE61">
        <w:tblPrEx>
          <w:tblCellMar>
            <w:top w:w="0" w:type="dxa"/>
            <w:left w:w="108" w:type="dxa"/>
            <w:bottom w:w="0" w:type="dxa"/>
            <w:right w:w="108" w:type="dxa"/>
          </w:tblCellMar>
        </w:tblPrEx>
        <w:tc>
          <w:tcPr>
            <w:tcW w:w="130" w:type="pct"/>
            <w:noWrap w:val="0"/>
            <w:vAlign w:val="top"/>
          </w:tcPr>
          <w:p w14:paraId="1D24E119">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w:p>
        </w:tc>
        <w:tc>
          <w:tcPr>
            <w:tcW w:w="4434" w:type="pct"/>
            <w:noWrap w:val="0"/>
            <w:vAlign w:val="top"/>
          </w:tcPr>
          <w:p w14:paraId="0732DC9C">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m:oMathPara>
              <m:oMath>
                <m:r>
                  <m:rPr/>
                  <w:rPr>
                    <w:rFonts w:hint="default" w:ascii="Cambria Math" w:hAnsi="Cambria Math" w:eastAsia="宋体"/>
                    <w:color w:val="auto"/>
                    <w:sz w:val="21"/>
                    <w:szCs w:val="21"/>
                    <w:highlight w:val="none"/>
                    <w:u w:val="none"/>
                    <w:shd w:val="clear" w:fill="auto"/>
                    <w:lang w:val="en-US" w:eastAsia="zh-CN"/>
                  </w:rPr>
                  <m:t>MAE</m:t>
                </m:r>
                <m:r>
                  <m:rPr>
                    <m:sty m:val="p"/>
                  </m:rPr>
                  <w:rPr>
                    <w:rFonts w:hint="eastAsia" w:ascii="Cambria Math" w:hAnsi="Cambria Math" w:cs="MS Mincho"/>
                    <w:color w:val="auto"/>
                    <w:sz w:val="21"/>
                    <w:szCs w:val="21"/>
                    <w:highlight w:val="none"/>
                    <w:u w:val="none"/>
                    <w:shd w:val="clear" w:fill="auto"/>
                  </w:rPr>
                  <m:t>=</m:t>
                </m:r>
                <m:f>
                  <m:fPr>
                    <m:ctrlPr>
                      <w:rPr>
                        <w:rFonts w:ascii="Cambria Math" w:hAnsi="Cambria Math" w:eastAsia="MS Mincho" w:cs="MS Mincho"/>
                        <w:color w:val="auto"/>
                        <w:sz w:val="21"/>
                        <w:szCs w:val="21"/>
                        <w:highlight w:val="none"/>
                        <w:u w:val="none"/>
                        <w:shd w:val="clear" w:fill="auto"/>
                      </w:rPr>
                    </m:ctrlPr>
                  </m:fPr>
                  <m:num>
                    <m:r>
                      <m:rPr/>
                      <w:rPr>
                        <w:rFonts w:ascii="Cambria Math" w:hAnsi="Cambria Math" w:eastAsia="MS Mincho" w:cs="MS Mincho"/>
                        <w:color w:val="auto"/>
                        <w:sz w:val="21"/>
                        <w:szCs w:val="21"/>
                        <w:highlight w:val="none"/>
                        <w:u w:val="none"/>
                        <w:shd w:val="clear" w:fill="auto"/>
                      </w:rPr>
                      <m:t>1</m:t>
                    </m:r>
                    <m:ctrlPr>
                      <w:rPr>
                        <w:rFonts w:ascii="Cambria Math" w:hAnsi="Cambria Math" w:eastAsia="MS Mincho" w:cs="MS Mincho"/>
                        <w:color w:val="auto"/>
                        <w:sz w:val="21"/>
                        <w:szCs w:val="21"/>
                        <w:highlight w:val="none"/>
                        <w:u w:val="none"/>
                        <w:shd w:val="clear" w:fill="auto"/>
                      </w:rPr>
                    </m:ctrlPr>
                  </m:num>
                  <m:den>
                    <m:r>
                      <m:rPr/>
                      <w:rPr>
                        <w:rFonts w:ascii="Cambria Math" w:hAnsi="Cambria Math" w:eastAsia="MS Mincho" w:cs="MS Mincho"/>
                        <w:color w:val="auto"/>
                        <w:sz w:val="21"/>
                        <w:szCs w:val="21"/>
                        <w:highlight w:val="none"/>
                        <w:u w:val="none"/>
                        <w:shd w:val="clear" w:fill="auto"/>
                      </w:rPr>
                      <m:t>N</m:t>
                    </m:r>
                    <m:ctrlPr>
                      <w:rPr>
                        <w:rFonts w:ascii="Cambria Math" w:hAnsi="Cambria Math" w:eastAsia="MS Mincho" w:cs="MS Mincho"/>
                        <w:color w:val="auto"/>
                        <w:sz w:val="21"/>
                        <w:szCs w:val="21"/>
                        <w:highlight w:val="none"/>
                        <w:u w:val="none"/>
                        <w:shd w:val="clear" w:fill="auto"/>
                      </w:rPr>
                    </m:ctrlPr>
                  </m:den>
                </m:f>
                <m:nary>
                  <m:naryPr>
                    <m:chr m:val="∑"/>
                    <m:limLoc m:val="undOvr"/>
                    <m:ctrlPr>
                      <w:rPr>
                        <w:rFonts w:ascii="Cambria Math" w:hAnsi="Cambria Math" w:eastAsia="MS Mincho" w:cs="MS Mincho"/>
                        <w:i/>
                        <w:color w:val="auto"/>
                        <w:sz w:val="21"/>
                        <w:szCs w:val="21"/>
                        <w:highlight w:val="none"/>
                        <w:u w:val="none"/>
                        <w:shd w:val="clear" w:fill="auto"/>
                      </w:rPr>
                    </m:ctrlPr>
                  </m:naryPr>
                  <m:sub>
                    <m:r>
                      <m:rPr/>
                      <w:rPr>
                        <w:rFonts w:ascii="Cambria Math" w:hAnsi="Cambria Math" w:eastAsia="MS Mincho" w:cs="MS Mincho"/>
                        <w:color w:val="auto"/>
                        <w:sz w:val="21"/>
                        <w:szCs w:val="21"/>
                        <w:highlight w:val="none"/>
                        <w:u w:val="none"/>
                        <w:shd w:val="clear" w:fill="auto"/>
                      </w:rPr>
                      <m:t>1</m:t>
                    </m:r>
                    <m:ctrlPr>
                      <w:rPr>
                        <w:rFonts w:ascii="Cambria Math" w:hAnsi="Cambria Math" w:eastAsia="MS Mincho" w:cs="MS Mincho"/>
                        <w:i/>
                        <w:color w:val="auto"/>
                        <w:sz w:val="21"/>
                        <w:szCs w:val="21"/>
                        <w:highlight w:val="none"/>
                        <w:u w:val="none"/>
                        <w:shd w:val="clear" w:fill="auto"/>
                      </w:rPr>
                    </m:ctrlPr>
                  </m:sub>
                  <m:sup>
                    <m:r>
                      <m:rPr/>
                      <w:rPr>
                        <w:rFonts w:ascii="Cambria Math" w:hAnsi="Cambria Math" w:eastAsia="MS Mincho" w:cs="MS Mincho"/>
                        <w:color w:val="auto"/>
                        <w:sz w:val="21"/>
                        <w:szCs w:val="21"/>
                        <w:highlight w:val="none"/>
                        <w:u w:val="none"/>
                        <w:shd w:val="clear" w:fill="auto"/>
                      </w:rPr>
                      <m:t>N</m:t>
                    </m:r>
                    <m:ctrlPr>
                      <w:rPr>
                        <w:rFonts w:ascii="Cambria Math" w:hAnsi="Cambria Math" w:eastAsia="MS Mincho" w:cs="MS Mincho"/>
                        <w:i/>
                        <w:color w:val="auto"/>
                        <w:sz w:val="21"/>
                        <w:szCs w:val="21"/>
                        <w:highlight w:val="none"/>
                        <w:u w:val="none"/>
                        <w:shd w:val="clear" w:fill="auto"/>
                      </w:rPr>
                    </m:ctrlPr>
                  </m:sup>
                  <m:e>
                    <m:sSub>
                      <m:sSubPr>
                        <m:ctrlPr>
                          <w:rPr>
                            <w:rFonts w:ascii="Cambria Math" w:hAnsi="Cambria Math" w:eastAsia="MS Mincho" w:cs="MS Mincho"/>
                            <w:i/>
                            <w:color w:val="auto"/>
                            <w:sz w:val="21"/>
                            <w:szCs w:val="21"/>
                            <w:highlight w:val="none"/>
                            <w:u w:val="none"/>
                            <w:shd w:val="clear" w:fill="auto"/>
                          </w:rPr>
                        </m:ctrlPr>
                      </m:sSubPr>
                      <m:e>
                        <m:r>
                          <m:rPr/>
                          <w:rPr>
                            <w:rFonts w:hint="eastAsia" w:ascii="Cambria Math" w:hAnsi="Cambria Math" w:cs="MS Mincho"/>
                            <w:color w:val="auto"/>
                            <w:sz w:val="21"/>
                            <w:szCs w:val="21"/>
                            <w:highlight w:val="none"/>
                            <w:u w:val="none"/>
                            <w:shd w:val="clear" w:fill="auto"/>
                          </w:rPr>
                          <m:t>|</m:t>
                        </m:r>
                        <m:r>
                          <m:rPr/>
                          <w:rPr>
                            <w:rFonts w:ascii="Cambria Math" w:hAnsi="Cambria Math" w:eastAsia="MS Mincho" w:cs="MS Mincho"/>
                            <w:color w:val="auto"/>
                            <w:sz w:val="21"/>
                            <w:szCs w:val="21"/>
                            <w:highlight w:val="none"/>
                            <w:u w:val="none"/>
                            <w:shd w:val="clear" w:fill="auto"/>
                          </w:rPr>
                          <m:t>X</m:t>
                        </m:r>
                        <m:ctrlPr>
                          <w:rPr>
                            <w:rFonts w:ascii="Cambria Math" w:hAnsi="Cambria Math" w:eastAsia="MS Mincho" w:cs="MS Mincho"/>
                            <w:i/>
                            <w:color w:val="auto"/>
                            <w:sz w:val="21"/>
                            <w:szCs w:val="21"/>
                            <w:highlight w:val="none"/>
                            <w:u w:val="none"/>
                            <w:shd w:val="clear" w:fill="auto"/>
                          </w:rPr>
                        </m:ctrlPr>
                      </m:e>
                      <m:sub>
                        <m:r>
                          <m:rPr/>
                          <w:rPr>
                            <w:rFonts w:ascii="Cambria Math" w:hAnsi="Cambria Math" w:eastAsia="宋体" w:cs="宋体"/>
                            <w:color w:val="auto"/>
                            <w:sz w:val="21"/>
                            <w:szCs w:val="21"/>
                            <w:highlight w:val="none"/>
                            <w:u w:val="none"/>
                            <w:shd w:val="clear" w:fill="auto"/>
                          </w:rPr>
                          <m:t>i</m:t>
                        </m:r>
                        <m:ctrlPr>
                          <w:rPr>
                            <w:rFonts w:ascii="Cambria Math" w:hAnsi="Cambria Math" w:eastAsia="MS Mincho" w:cs="MS Mincho"/>
                            <w:i/>
                            <w:color w:val="auto"/>
                            <w:sz w:val="21"/>
                            <w:szCs w:val="21"/>
                            <w:highlight w:val="none"/>
                            <w:u w:val="none"/>
                            <w:shd w:val="clear" w:fill="auto"/>
                          </w:rPr>
                        </m:ctrlPr>
                      </m:sub>
                    </m:sSub>
                    <m:r>
                      <m:rPr/>
                      <w:rPr>
                        <w:rFonts w:hint="eastAsia" w:ascii="Times New Roman" w:hAnsi="Times New Roman" w:eastAsia="MS Mincho" w:cs="MS Mincho"/>
                        <w:color w:val="auto"/>
                        <w:sz w:val="21"/>
                        <w:szCs w:val="21"/>
                        <w:highlight w:val="none"/>
                        <w:u w:val="none"/>
                        <w:shd w:val="clear" w:fill="auto"/>
                      </w:rPr>
                      <m:t>−</m:t>
                    </m:r>
                    <m:sSub>
                      <m:sSubPr>
                        <m:ctrlPr>
                          <w:rPr>
                            <w:rFonts w:ascii="Cambria Math" w:hAnsi="Cambria Math" w:eastAsia="MS Mincho" w:cs="MS Mincho"/>
                            <w:i/>
                            <w:color w:val="auto"/>
                            <w:sz w:val="21"/>
                            <w:szCs w:val="21"/>
                            <w:highlight w:val="none"/>
                            <w:u w:val="none"/>
                            <w:shd w:val="clear" w:fill="auto"/>
                          </w:rPr>
                        </m:ctrlPr>
                      </m:sSubPr>
                      <m:e>
                        <m:r>
                          <m:rPr/>
                          <w:rPr>
                            <w:rFonts w:hint="default" w:ascii="Cambria Math" w:hAnsi="Cambria Math" w:eastAsia="宋体" w:cs="MS Mincho"/>
                            <w:color w:val="auto"/>
                            <w:sz w:val="21"/>
                            <w:szCs w:val="21"/>
                            <w:highlight w:val="none"/>
                            <w:u w:val="none"/>
                            <w:shd w:val="clear" w:fill="auto"/>
                            <w:lang w:val="en-US" w:eastAsia="zh-CN"/>
                          </w:rPr>
                          <m:t>Y</m:t>
                        </m:r>
                        <m:ctrlPr>
                          <w:rPr>
                            <w:rFonts w:ascii="Cambria Math" w:hAnsi="Cambria Math" w:eastAsia="MS Mincho" w:cs="MS Mincho"/>
                            <w:i/>
                            <w:color w:val="auto"/>
                            <w:sz w:val="21"/>
                            <w:szCs w:val="21"/>
                            <w:highlight w:val="none"/>
                            <w:u w:val="none"/>
                            <w:shd w:val="clear" w:fill="auto"/>
                          </w:rPr>
                        </m:ctrlPr>
                      </m:e>
                      <m:sub>
                        <m:r>
                          <m:rPr/>
                          <w:rPr>
                            <w:rFonts w:ascii="Cambria Math" w:hAnsi="Cambria Math" w:eastAsia="MS Mincho" w:cs="MS Mincho"/>
                            <w:color w:val="auto"/>
                            <w:sz w:val="21"/>
                            <w:szCs w:val="21"/>
                            <w:highlight w:val="none"/>
                            <w:u w:val="none"/>
                            <w:shd w:val="clear" w:fill="auto"/>
                          </w:rPr>
                          <m:t>i</m:t>
                        </m:r>
                        <m:ctrlPr>
                          <w:rPr>
                            <w:rFonts w:ascii="Cambria Math" w:hAnsi="Cambria Math" w:eastAsia="MS Mincho" w:cs="MS Mincho"/>
                            <w:i/>
                            <w:color w:val="auto"/>
                            <w:sz w:val="21"/>
                            <w:szCs w:val="21"/>
                            <w:highlight w:val="none"/>
                            <w:u w:val="none"/>
                            <w:shd w:val="clear" w:fill="auto"/>
                          </w:rPr>
                        </m:ctrlPr>
                      </m:sub>
                    </m:sSub>
                    <m:r>
                      <m:rPr/>
                      <w:rPr>
                        <w:rFonts w:hint="eastAsia" w:ascii="Cambria Math" w:hAnsi="Cambria Math" w:cs="MS Mincho"/>
                        <w:color w:val="auto"/>
                        <w:sz w:val="21"/>
                        <w:szCs w:val="21"/>
                        <w:highlight w:val="none"/>
                        <w:u w:val="none"/>
                        <w:shd w:val="clear" w:fill="auto"/>
                      </w:rPr>
                      <m:t>|</m:t>
                    </m:r>
                    <m:ctrlPr>
                      <w:rPr>
                        <w:rFonts w:ascii="Cambria Math" w:hAnsi="Cambria Math" w:eastAsia="MS Mincho" w:cs="MS Mincho"/>
                        <w:i/>
                        <w:color w:val="auto"/>
                        <w:sz w:val="21"/>
                        <w:szCs w:val="21"/>
                        <w:highlight w:val="none"/>
                        <w:u w:val="none"/>
                        <w:shd w:val="clear" w:fill="auto"/>
                      </w:rPr>
                    </m:ctrlPr>
                  </m:e>
                </m:nary>
              </m:oMath>
            </m:oMathPara>
          </w:p>
        </w:tc>
        <w:tc>
          <w:tcPr>
            <w:tcW w:w="435" w:type="pct"/>
            <w:noWrap w:val="0"/>
            <w:vAlign w:val="center"/>
          </w:tcPr>
          <w:p w14:paraId="3FC37287">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eastAsia="宋体" w:cs="Times New Roman"/>
                <w:snapToGrid/>
                <w:color w:val="auto"/>
                <w:spacing w:val="0"/>
                <w:w w:val="100"/>
                <w:kern w:val="2"/>
                <w:position w:val="0"/>
                <w:szCs w:val="28"/>
                <w:highlight w:val="none"/>
                <w:u w:val="none"/>
                <w:shd w:val="clear" w:fill="auto"/>
              </w:rPr>
            </w:pPr>
            <w:r>
              <w:rPr>
                <w:rFonts w:hint="default" w:ascii="Times New Roman" w:hAnsi="Times New Roman" w:eastAsia="宋体" w:cs="Times New Roman"/>
                <w:snapToGrid/>
                <w:color w:val="auto"/>
                <w:spacing w:val="0"/>
                <w:w w:val="100"/>
                <w:kern w:val="2"/>
                <w:position w:val="0"/>
                <w:szCs w:val="28"/>
                <w:highlight w:val="none"/>
                <w:u w:val="none"/>
                <w:shd w:val="clear" w:fill="auto"/>
              </w:rPr>
              <w:t>（</w:t>
            </w:r>
            <w:r>
              <w:rPr>
                <w:rFonts w:hint="eastAsia" w:ascii="Times New Roman" w:hAnsi="Times New Roman" w:eastAsia="宋体" w:cs="Times New Roman"/>
                <w:snapToGrid/>
                <w:color w:val="auto"/>
                <w:spacing w:val="0"/>
                <w:w w:val="100"/>
                <w:kern w:val="2"/>
                <w:position w:val="0"/>
                <w:szCs w:val="28"/>
                <w:highlight w:val="none"/>
                <w:u w:val="none"/>
                <w:shd w:val="clear" w:fill="auto"/>
                <w:lang w:val="en-US" w:eastAsia="zh-CN"/>
              </w:rPr>
              <w:t>8</w:t>
            </w:r>
            <w:r>
              <w:rPr>
                <w:rFonts w:hint="default" w:ascii="Times New Roman" w:hAnsi="Times New Roman" w:eastAsia="宋体" w:cs="Times New Roman"/>
                <w:snapToGrid/>
                <w:color w:val="auto"/>
                <w:spacing w:val="0"/>
                <w:w w:val="100"/>
                <w:kern w:val="2"/>
                <w:position w:val="0"/>
                <w:szCs w:val="28"/>
                <w:highlight w:val="none"/>
                <w:u w:val="none"/>
                <w:shd w:val="clear" w:fill="auto"/>
              </w:rPr>
              <w:t>）</w:t>
            </w:r>
          </w:p>
        </w:tc>
      </w:tr>
      <w:tr w14:paraId="595DC39C">
        <w:tblPrEx>
          <w:tblCellMar>
            <w:top w:w="0" w:type="dxa"/>
            <w:left w:w="108" w:type="dxa"/>
            <w:bottom w:w="0" w:type="dxa"/>
            <w:right w:w="108" w:type="dxa"/>
          </w:tblCellMar>
        </w:tblPrEx>
        <w:tc>
          <w:tcPr>
            <w:tcW w:w="130" w:type="pct"/>
            <w:noWrap w:val="0"/>
            <w:vAlign w:val="top"/>
          </w:tcPr>
          <w:p w14:paraId="1E1AFDE8">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w:p>
        </w:tc>
        <w:tc>
          <w:tcPr>
            <w:tcW w:w="4434" w:type="pct"/>
            <w:noWrap w:val="0"/>
            <w:vAlign w:val="top"/>
          </w:tcPr>
          <w:p w14:paraId="4FE2CD96">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m:oMathPara>
              <m:oMath>
                <m:r>
                  <m:rPr/>
                  <w:rPr>
                    <w:rFonts w:hint="default" w:ascii="Cambria Math" w:hAnsi="Cambria Math"/>
                    <w:color w:val="auto"/>
                    <w:sz w:val="21"/>
                    <w:szCs w:val="21"/>
                    <w:highlight w:val="none"/>
                    <w:u w:val="none"/>
                    <w:shd w:val="clear" w:fill="auto"/>
                  </w:rPr>
                  <m:t>RMSE</m:t>
                </m:r>
                <m:r>
                  <m:rPr>
                    <m:sty m:val="p"/>
                  </m:rPr>
                  <w:rPr>
                    <w:rFonts w:ascii="Cambria Math" w:hAnsi="Cambria Math"/>
                    <w:color w:val="auto"/>
                    <w:sz w:val="21"/>
                    <w:szCs w:val="21"/>
                    <w:highlight w:val="none"/>
                    <w:u w:val="none"/>
                    <w:shd w:val="clear" w:fill="auto"/>
                  </w:rPr>
                  <m:t>=</m:t>
                </m:r>
                <m:rad>
                  <m:radPr>
                    <m:degHide m:val="1"/>
                    <m:ctrlPr>
                      <w:rPr>
                        <w:rFonts w:ascii="Cambria Math" w:hAnsi="Cambria Math"/>
                        <w:color w:val="auto"/>
                        <w:sz w:val="21"/>
                        <w:szCs w:val="21"/>
                        <w:highlight w:val="none"/>
                        <w:u w:val="none"/>
                        <w:shd w:val="clear" w:fill="auto"/>
                      </w:rPr>
                    </m:ctrlPr>
                  </m:radPr>
                  <m:deg>
                    <m:ctrlPr>
                      <w:rPr>
                        <w:rFonts w:ascii="Cambria Math" w:hAnsi="Cambria Math"/>
                        <w:color w:val="auto"/>
                        <w:sz w:val="21"/>
                        <w:szCs w:val="21"/>
                        <w:highlight w:val="none"/>
                        <w:u w:val="none"/>
                        <w:shd w:val="clear" w:fill="auto"/>
                      </w:rPr>
                    </m:ctrlPr>
                  </m:deg>
                  <m:e>
                    <m:f>
                      <m:fPr>
                        <m:ctrlPr>
                          <w:rPr>
                            <w:rFonts w:ascii="Cambria Math" w:hAnsi="Cambria Math"/>
                            <w:i/>
                            <w:color w:val="auto"/>
                            <w:sz w:val="21"/>
                            <w:szCs w:val="21"/>
                            <w:highlight w:val="none"/>
                            <w:u w:val="none"/>
                            <w:shd w:val="clear" w:fill="auto"/>
                          </w:rPr>
                        </m:ctrlPr>
                      </m:fPr>
                      <m:num>
                        <m:nary>
                          <m:naryPr>
                            <m:chr m:val="∑"/>
                            <m:limLoc m:val="undOvr"/>
                            <m:ctrlPr>
                              <w:rPr>
                                <w:rFonts w:ascii="Cambria Math" w:hAnsi="Cambria Math"/>
                                <w:i/>
                                <w:color w:val="auto"/>
                                <w:sz w:val="21"/>
                                <w:szCs w:val="21"/>
                                <w:highlight w:val="none"/>
                                <w:u w:val="none"/>
                                <w:shd w:val="clear" w:fill="auto"/>
                              </w:rPr>
                            </m:ctrlPr>
                          </m:naryPr>
                          <m:sub>
                            <m:r>
                              <m:rPr/>
                              <w:rPr>
                                <w:rFonts w:ascii="Cambria Math" w:hAnsi="Cambria Math"/>
                                <w:color w:val="auto"/>
                                <w:sz w:val="21"/>
                                <w:szCs w:val="21"/>
                                <w:highlight w:val="none"/>
                                <w:u w:val="none"/>
                                <w:shd w:val="clear" w:fill="auto"/>
                              </w:rPr>
                              <m:t>1</m:t>
                            </m:r>
                            <m:ctrlPr>
                              <w:rPr>
                                <w:rFonts w:ascii="Cambria Math" w:hAnsi="Cambria Math"/>
                                <w:i/>
                                <w:color w:val="auto"/>
                                <w:sz w:val="21"/>
                                <w:szCs w:val="21"/>
                                <w:highlight w:val="none"/>
                                <w:u w:val="none"/>
                                <w:shd w:val="clear" w:fill="auto"/>
                              </w:rPr>
                            </m:ctrlPr>
                          </m:sub>
                          <m:sup>
                            <m:r>
                              <m:rPr/>
                              <w:rPr>
                                <w:rFonts w:ascii="Cambria Math" w:hAnsi="Cambria Math"/>
                                <w:color w:val="auto"/>
                                <w:sz w:val="21"/>
                                <w:szCs w:val="21"/>
                                <w:highlight w:val="none"/>
                                <w:u w:val="none"/>
                                <w:shd w:val="clear" w:fill="auto"/>
                              </w:rPr>
                              <m:t>N</m:t>
                            </m:r>
                            <m:ctrlPr>
                              <w:rPr>
                                <w:rFonts w:ascii="Cambria Math" w:hAnsi="Cambria Math"/>
                                <w:i/>
                                <w:color w:val="auto"/>
                                <w:sz w:val="21"/>
                                <w:szCs w:val="21"/>
                                <w:highlight w:val="none"/>
                                <w:u w:val="none"/>
                                <w:shd w:val="clear" w:fill="auto"/>
                              </w:rPr>
                            </m:ctrlPr>
                          </m:sup>
                          <m:e>
                            <m:sSup>
                              <m:sSupPr>
                                <m:ctrlPr>
                                  <w:rPr>
                                    <w:rFonts w:ascii="Cambria Math" w:hAnsi="Cambria Math"/>
                                    <w:i/>
                                    <w:color w:val="auto"/>
                                    <w:sz w:val="21"/>
                                    <w:szCs w:val="21"/>
                                    <w:highlight w:val="none"/>
                                    <w:u w:val="none"/>
                                    <w:shd w:val="clear" w:fill="auto"/>
                                  </w:rPr>
                                </m:ctrlPr>
                              </m:sSupPr>
                              <m:e>
                                <m:r>
                                  <m:rPr/>
                                  <w:rPr>
                                    <w:rFonts w:ascii="Cambria Math" w:hAnsi="Cambria Math"/>
                                    <w:color w:val="auto"/>
                                    <w:sz w:val="21"/>
                                    <w:szCs w:val="21"/>
                                    <w:highlight w:val="none"/>
                                    <w:u w:val="none"/>
                                    <w:shd w:val="clear" w:fill="auto"/>
                                  </w:rPr>
                                  <m:t>(</m:t>
                                </m:r>
                                <m:sSub>
                                  <m:sSubPr>
                                    <m:ctrlPr>
                                      <w:rPr>
                                        <w:rFonts w:ascii="Cambria Math" w:hAnsi="Cambria Math" w:eastAsia="MS Mincho" w:cs="MS Mincho"/>
                                        <w:i/>
                                        <w:color w:val="auto"/>
                                        <w:sz w:val="21"/>
                                        <w:szCs w:val="21"/>
                                        <w:highlight w:val="none"/>
                                        <w:u w:val="none"/>
                                        <w:shd w:val="clear" w:fill="auto"/>
                                      </w:rPr>
                                    </m:ctrlPr>
                                  </m:sSubPr>
                                  <m:e>
                                    <m:r>
                                      <m:rPr/>
                                      <w:rPr>
                                        <w:rFonts w:ascii="Cambria Math" w:hAnsi="Cambria Math" w:eastAsia="MS Mincho" w:cs="MS Mincho"/>
                                        <w:color w:val="auto"/>
                                        <w:sz w:val="21"/>
                                        <w:szCs w:val="21"/>
                                        <w:highlight w:val="none"/>
                                        <w:u w:val="none"/>
                                        <w:shd w:val="clear" w:fill="auto"/>
                                      </w:rPr>
                                      <m:t>X</m:t>
                                    </m:r>
                                    <m:ctrlPr>
                                      <w:rPr>
                                        <w:rFonts w:ascii="Cambria Math" w:hAnsi="Cambria Math" w:eastAsia="MS Mincho" w:cs="MS Mincho"/>
                                        <w:i/>
                                        <w:color w:val="auto"/>
                                        <w:sz w:val="21"/>
                                        <w:szCs w:val="21"/>
                                        <w:highlight w:val="none"/>
                                        <w:u w:val="none"/>
                                        <w:shd w:val="clear" w:fill="auto"/>
                                      </w:rPr>
                                    </m:ctrlPr>
                                  </m:e>
                                  <m:sub>
                                    <m:r>
                                      <m:rPr/>
                                      <w:rPr>
                                        <w:rFonts w:ascii="Cambria Math" w:hAnsi="Cambria Math" w:eastAsia="宋体" w:cs="宋体"/>
                                        <w:color w:val="auto"/>
                                        <w:sz w:val="21"/>
                                        <w:szCs w:val="21"/>
                                        <w:highlight w:val="none"/>
                                        <w:u w:val="none"/>
                                        <w:shd w:val="clear" w:fill="auto"/>
                                      </w:rPr>
                                      <m:t>i</m:t>
                                    </m:r>
                                    <m:ctrlPr>
                                      <w:rPr>
                                        <w:rFonts w:ascii="Cambria Math" w:hAnsi="Cambria Math" w:eastAsia="MS Mincho" w:cs="MS Mincho"/>
                                        <w:i/>
                                        <w:color w:val="auto"/>
                                        <w:sz w:val="21"/>
                                        <w:szCs w:val="21"/>
                                        <w:highlight w:val="none"/>
                                        <w:u w:val="none"/>
                                        <w:shd w:val="clear" w:fill="auto"/>
                                      </w:rPr>
                                    </m:ctrlPr>
                                  </m:sub>
                                </m:sSub>
                                <m:r>
                                  <m:rPr/>
                                  <w:rPr>
                                    <w:rFonts w:ascii="Cambria Math" w:hAnsi="Cambria Math"/>
                                    <w:color w:val="auto"/>
                                    <w:sz w:val="21"/>
                                    <w:szCs w:val="21"/>
                                    <w:highlight w:val="none"/>
                                    <w:u w:val="none"/>
                                    <w:shd w:val="clear" w:fill="auto"/>
                                  </w:rPr>
                                  <m:t>−</m:t>
                                </m:r>
                                <m:sSub>
                                  <m:sSubPr>
                                    <m:ctrlPr>
                                      <w:rPr>
                                        <w:rFonts w:ascii="Cambria Math" w:hAnsi="Cambria Math" w:eastAsia="MS Mincho" w:cs="MS Mincho"/>
                                        <w:i/>
                                        <w:color w:val="auto"/>
                                        <w:sz w:val="21"/>
                                        <w:szCs w:val="21"/>
                                        <w:highlight w:val="none"/>
                                        <w:u w:val="none"/>
                                        <w:shd w:val="clear" w:fill="auto"/>
                                      </w:rPr>
                                    </m:ctrlPr>
                                  </m:sSubPr>
                                  <m:e>
                                    <m:r>
                                      <m:rPr/>
                                      <w:rPr>
                                        <w:rFonts w:hint="default" w:ascii="Cambria Math" w:hAnsi="Cambria Math" w:eastAsia="宋体" w:cs="MS Mincho"/>
                                        <w:color w:val="auto"/>
                                        <w:sz w:val="21"/>
                                        <w:szCs w:val="21"/>
                                        <w:highlight w:val="none"/>
                                        <w:u w:val="none"/>
                                        <w:shd w:val="clear" w:fill="auto"/>
                                        <w:lang w:val="en-US" w:eastAsia="zh-CN"/>
                                      </w:rPr>
                                      <m:t>Y</m:t>
                                    </m:r>
                                    <m:ctrlPr>
                                      <w:rPr>
                                        <w:rFonts w:ascii="Cambria Math" w:hAnsi="Cambria Math" w:eastAsia="MS Mincho" w:cs="MS Mincho"/>
                                        <w:i/>
                                        <w:color w:val="auto"/>
                                        <w:sz w:val="21"/>
                                        <w:szCs w:val="21"/>
                                        <w:highlight w:val="none"/>
                                        <w:u w:val="none"/>
                                        <w:shd w:val="clear" w:fill="auto"/>
                                      </w:rPr>
                                    </m:ctrlPr>
                                  </m:e>
                                  <m:sub>
                                    <m:r>
                                      <m:rPr/>
                                      <w:rPr>
                                        <w:rFonts w:ascii="Cambria Math" w:hAnsi="Cambria Math" w:eastAsia="MS Mincho" w:cs="MS Mincho"/>
                                        <w:color w:val="auto"/>
                                        <w:sz w:val="21"/>
                                        <w:szCs w:val="21"/>
                                        <w:highlight w:val="none"/>
                                        <w:u w:val="none"/>
                                        <w:shd w:val="clear" w:fill="auto"/>
                                      </w:rPr>
                                      <m:t>i</m:t>
                                    </m:r>
                                    <m:ctrlPr>
                                      <w:rPr>
                                        <w:rFonts w:ascii="Cambria Math" w:hAnsi="Cambria Math" w:eastAsia="MS Mincho" w:cs="MS Mincho"/>
                                        <w:i/>
                                        <w:color w:val="auto"/>
                                        <w:sz w:val="21"/>
                                        <w:szCs w:val="21"/>
                                        <w:highlight w:val="none"/>
                                        <w:u w:val="none"/>
                                        <w:shd w:val="clear" w:fill="auto"/>
                                      </w:rPr>
                                    </m:ctrlPr>
                                  </m:sub>
                                </m:sSub>
                                <m:r>
                                  <m:rPr/>
                                  <w:rPr>
                                    <w:rFonts w:ascii="Cambria Math" w:hAnsi="Cambria Math"/>
                                    <w:color w:val="auto"/>
                                    <w:sz w:val="21"/>
                                    <w:szCs w:val="21"/>
                                    <w:highlight w:val="none"/>
                                    <w:u w:val="none"/>
                                    <w:shd w:val="clear" w:fill="auto"/>
                                  </w:rPr>
                                  <m:t>)</m:t>
                                </m:r>
                                <m:ctrlPr>
                                  <w:rPr>
                                    <w:rFonts w:ascii="Cambria Math" w:hAnsi="Cambria Math"/>
                                    <w:i/>
                                    <w:color w:val="auto"/>
                                    <w:sz w:val="21"/>
                                    <w:szCs w:val="21"/>
                                    <w:highlight w:val="none"/>
                                    <w:u w:val="none"/>
                                    <w:shd w:val="clear" w:fill="auto"/>
                                  </w:rPr>
                                </m:ctrlPr>
                              </m:e>
                              <m:sup>
                                <m:r>
                                  <m:rPr/>
                                  <w:rPr>
                                    <w:rFonts w:ascii="Cambria Math" w:hAnsi="Cambria Math"/>
                                    <w:color w:val="auto"/>
                                    <w:sz w:val="21"/>
                                    <w:szCs w:val="21"/>
                                    <w:highlight w:val="none"/>
                                    <w:u w:val="none"/>
                                    <w:shd w:val="clear" w:fill="auto"/>
                                  </w:rPr>
                                  <m:t>2</m:t>
                                </m:r>
                                <m:ctrlPr>
                                  <w:rPr>
                                    <w:rFonts w:ascii="Cambria Math" w:hAnsi="Cambria Math"/>
                                    <w:i/>
                                    <w:color w:val="auto"/>
                                    <w:sz w:val="21"/>
                                    <w:szCs w:val="21"/>
                                    <w:highlight w:val="none"/>
                                    <w:u w:val="none"/>
                                    <w:shd w:val="clear" w:fill="auto"/>
                                  </w:rPr>
                                </m:ctrlPr>
                              </m:sup>
                            </m:sSup>
                            <m:ctrlPr>
                              <w:rPr>
                                <w:rFonts w:ascii="Cambria Math" w:hAnsi="Cambria Math"/>
                                <w:i/>
                                <w:color w:val="auto"/>
                                <w:sz w:val="21"/>
                                <w:szCs w:val="21"/>
                                <w:highlight w:val="none"/>
                                <w:u w:val="none"/>
                                <w:shd w:val="clear" w:fill="auto"/>
                              </w:rPr>
                            </m:ctrlPr>
                          </m:e>
                        </m:nary>
                        <m:ctrlPr>
                          <w:rPr>
                            <w:rFonts w:ascii="Cambria Math" w:hAnsi="Cambria Math"/>
                            <w:i/>
                            <w:color w:val="auto"/>
                            <w:sz w:val="21"/>
                            <w:szCs w:val="21"/>
                            <w:highlight w:val="none"/>
                            <w:u w:val="none"/>
                            <w:shd w:val="clear" w:fill="auto"/>
                          </w:rPr>
                        </m:ctrlPr>
                      </m:num>
                      <m:den>
                        <m:r>
                          <m:rPr/>
                          <w:rPr>
                            <w:rFonts w:ascii="Cambria Math" w:hAnsi="Cambria Math"/>
                            <w:color w:val="auto"/>
                            <w:sz w:val="21"/>
                            <w:szCs w:val="21"/>
                            <w:highlight w:val="none"/>
                            <w:u w:val="none"/>
                            <w:shd w:val="clear" w:fill="auto"/>
                          </w:rPr>
                          <m:t>N</m:t>
                        </m:r>
                        <m:ctrlPr>
                          <w:rPr>
                            <w:rFonts w:ascii="Cambria Math" w:hAnsi="Cambria Math"/>
                            <w:i/>
                            <w:color w:val="auto"/>
                            <w:sz w:val="21"/>
                            <w:szCs w:val="21"/>
                            <w:highlight w:val="none"/>
                            <w:u w:val="none"/>
                            <w:shd w:val="clear" w:fill="auto"/>
                          </w:rPr>
                        </m:ctrlPr>
                      </m:den>
                    </m:f>
                    <m:ctrlPr>
                      <w:rPr>
                        <w:rFonts w:ascii="Cambria Math" w:hAnsi="Cambria Math"/>
                        <w:color w:val="auto"/>
                        <w:sz w:val="21"/>
                        <w:szCs w:val="21"/>
                        <w:highlight w:val="none"/>
                        <w:u w:val="none"/>
                        <w:shd w:val="clear" w:fill="auto"/>
                      </w:rPr>
                    </m:ctrlPr>
                  </m:e>
                </m:rad>
              </m:oMath>
            </m:oMathPara>
          </w:p>
        </w:tc>
        <w:tc>
          <w:tcPr>
            <w:tcW w:w="435" w:type="pct"/>
            <w:noWrap w:val="0"/>
            <w:vAlign w:val="center"/>
          </w:tcPr>
          <w:p w14:paraId="48A5D169">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eastAsia="宋体" w:cs="Times New Roman"/>
                <w:snapToGrid/>
                <w:color w:val="auto"/>
                <w:spacing w:val="0"/>
                <w:w w:val="100"/>
                <w:kern w:val="2"/>
                <w:position w:val="0"/>
                <w:szCs w:val="28"/>
                <w:highlight w:val="none"/>
                <w:u w:val="none"/>
                <w:shd w:val="clear" w:fill="auto"/>
              </w:rPr>
            </w:pPr>
            <w:r>
              <w:rPr>
                <w:rFonts w:hint="default" w:ascii="Times New Roman" w:hAnsi="Times New Roman" w:eastAsia="宋体" w:cs="Times New Roman"/>
                <w:snapToGrid/>
                <w:color w:val="auto"/>
                <w:spacing w:val="0"/>
                <w:w w:val="100"/>
                <w:kern w:val="2"/>
                <w:position w:val="0"/>
                <w:szCs w:val="28"/>
                <w:highlight w:val="none"/>
                <w:u w:val="none"/>
                <w:shd w:val="clear" w:fill="auto"/>
              </w:rPr>
              <w:t>（</w:t>
            </w:r>
            <w:r>
              <w:rPr>
                <w:rFonts w:hint="eastAsia" w:ascii="Times New Roman" w:hAnsi="Times New Roman" w:eastAsia="宋体" w:cs="Times New Roman"/>
                <w:snapToGrid/>
                <w:color w:val="auto"/>
                <w:spacing w:val="0"/>
                <w:w w:val="100"/>
                <w:kern w:val="2"/>
                <w:position w:val="0"/>
                <w:szCs w:val="28"/>
                <w:highlight w:val="none"/>
                <w:u w:val="none"/>
                <w:shd w:val="clear" w:fill="auto"/>
                <w:lang w:val="en-US" w:eastAsia="zh-CN"/>
              </w:rPr>
              <w:t>9</w:t>
            </w:r>
            <w:r>
              <w:rPr>
                <w:rFonts w:hint="default" w:ascii="Times New Roman" w:hAnsi="Times New Roman" w:eastAsia="宋体" w:cs="Times New Roman"/>
                <w:snapToGrid/>
                <w:color w:val="auto"/>
                <w:spacing w:val="0"/>
                <w:w w:val="100"/>
                <w:kern w:val="2"/>
                <w:position w:val="0"/>
                <w:szCs w:val="28"/>
                <w:highlight w:val="none"/>
                <w:u w:val="none"/>
                <w:shd w:val="clear" w:fill="auto"/>
              </w:rPr>
              <w:t>）</w:t>
            </w:r>
          </w:p>
        </w:tc>
      </w:tr>
      <w:tr w14:paraId="5421C7D1">
        <w:tblPrEx>
          <w:tblCellMar>
            <w:top w:w="0" w:type="dxa"/>
            <w:left w:w="108" w:type="dxa"/>
            <w:bottom w:w="0" w:type="dxa"/>
            <w:right w:w="108" w:type="dxa"/>
          </w:tblCellMar>
        </w:tblPrEx>
        <w:tc>
          <w:tcPr>
            <w:tcW w:w="130" w:type="pct"/>
            <w:noWrap w:val="0"/>
            <w:vAlign w:val="top"/>
          </w:tcPr>
          <w:p w14:paraId="7DDDF2E9">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w:p>
        </w:tc>
        <w:tc>
          <w:tcPr>
            <w:tcW w:w="4434" w:type="pct"/>
            <w:noWrap w:val="0"/>
            <w:vAlign w:val="top"/>
          </w:tcPr>
          <w:p w14:paraId="4BD52ADE">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cs="Times New Roman"/>
                <w:snapToGrid/>
                <w:color w:val="auto"/>
                <w:spacing w:val="0"/>
                <w:w w:val="100"/>
                <w:kern w:val="2"/>
                <w:position w:val="0"/>
                <w:szCs w:val="28"/>
                <w:highlight w:val="none"/>
                <w:u w:val="none"/>
                <w:shd w:val="clear" w:fill="auto"/>
              </w:rPr>
            </w:pPr>
            <m:oMathPara>
              <m:oMath>
                <m:r>
                  <m:rPr/>
                  <w:rPr>
                    <w:rFonts w:hint="default" w:ascii="Cambria Math" w:hAnsi="Cambria Math"/>
                    <w:color w:val="auto"/>
                    <w:sz w:val="21"/>
                    <w:highlight w:val="none"/>
                    <w:u w:val="none"/>
                    <w:shd w:val="clear" w:fill="auto"/>
                  </w:rPr>
                  <m:t>R=</m:t>
                </m:r>
                <m:f>
                  <m:fPr>
                    <m:ctrlPr>
                      <w:rPr>
                        <w:rFonts w:hint="default" w:ascii="Cambria Math" w:hAnsi="Cambria Math"/>
                        <w:color w:val="auto"/>
                        <w:sz w:val="21"/>
                        <w:highlight w:val="none"/>
                        <w:u w:val="none"/>
                        <w:shd w:val="clear" w:fill="auto"/>
                      </w:rPr>
                    </m:ctrlPr>
                  </m:fPr>
                  <m:num>
                    <m:nary>
                      <m:naryPr>
                        <m:chr m:val="∑"/>
                        <m:limLoc m:val="subSup"/>
                        <m:ctrlPr>
                          <w:rPr>
                            <w:rFonts w:hint="default" w:ascii="Cambria Math" w:hAnsi="Cambria Math"/>
                            <w:color w:val="auto"/>
                            <w:sz w:val="21"/>
                            <w:highlight w:val="none"/>
                            <w:u w:val="none"/>
                            <w:shd w:val="clear" w:fill="auto"/>
                          </w:rPr>
                        </m:ctrlPr>
                      </m:naryPr>
                      <m:sub>
                        <m:r>
                          <m:rPr/>
                          <w:rPr>
                            <w:rFonts w:hint="default" w:ascii="Cambria Math" w:hAnsi="Cambria Math"/>
                            <w:color w:val="auto"/>
                            <w:sz w:val="21"/>
                            <w:highlight w:val="none"/>
                            <w:u w:val="none"/>
                            <w:shd w:val="clear" w:fill="auto"/>
                          </w:rPr>
                          <m:t>i=1</m:t>
                        </m:r>
                        <m:ctrlPr>
                          <w:rPr>
                            <w:rFonts w:ascii="Cambria Math" w:hAnsi="Cambria Math"/>
                            <w:color w:val="auto"/>
                            <w:sz w:val="21"/>
                            <w:highlight w:val="none"/>
                            <w:u w:val="none"/>
                            <w:shd w:val="clear" w:fill="auto"/>
                          </w:rPr>
                        </m:ctrlPr>
                      </m:sub>
                      <m:sup>
                        <m:r>
                          <m:rPr/>
                          <w:rPr>
                            <w:rFonts w:hint="default" w:ascii="Cambria Math" w:hAnsi="Cambria Math"/>
                            <w:color w:val="auto"/>
                            <w:sz w:val="21"/>
                            <w:highlight w:val="none"/>
                            <w:u w:val="none"/>
                            <w:shd w:val="clear" w:fill="auto"/>
                          </w:rPr>
                          <m:t>n</m:t>
                        </m:r>
                        <m:ctrlPr>
                          <w:rPr>
                            <w:rFonts w:ascii="Cambria Math" w:hAnsi="Cambria Math"/>
                            <w:color w:val="auto"/>
                            <w:sz w:val="21"/>
                            <w:highlight w:val="none"/>
                            <w:u w:val="none"/>
                            <w:shd w:val="clear" w:fill="auto"/>
                          </w:rPr>
                        </m:ctrlPr>
                      </m:sup>
                      <m:e>
                        <m:d>
                          <m:dPr>
                            <m:ctrlPr>
                              <w:rPr>
                                <w:rFonts w:hint="default" w:ascii="Cambria Math" w:hAnsi="Cambria Math"/>
                                <w:color w:val="auto"/>
                                <w:sz w:val="21"/>
                                <w:highlight w:val="none"/>
                                <w:u w:val="none"/>
                                <w:shd w:val="clear" w:fill="auto"/>
                              </w:rPr>
                            </m:ctrlPr>
                          </m:dPr>
                          <m:e>
                            <m:sSub>
                              <m:sSubPr>
                                <m:ctrlPr>
                                  <w:rPr>
                                    <w:rFonts w:hint="default" w:ascii="Cambria Math" w:hAnsi="Cambria Math"/>
                                    <w:color w:val="auto"/>
                                    <w:sz w:val="21"/>
                                    <w:highlight w:val="none"/>
                                    <w:u w:val="none"/>
                                    <w:shd w:val="clear" w:fill="auto"/>
                                  </w:rPr>
                                </m:ctrlPr>
                              </m:sSubPr>
                              <m:e>
                                <m:r>
                                  <m:rPr/>
                                  <w:rPr>
                                    <w:rFonts w:hint="default" w:ascii="Cambria Math" w:hAnsi="Cambria Math"/>
                                    <w:color w:val="auto"/>
                                    <w:sz w:val="21"/>
                                    <w:highlight w:val="none"/>
                                    <w:u w:val="none"/>
                                    <w:shd w:val="clear" w:fill="auto"/>
                                  </w:rPr>
                                  <m:t>X</m:t>
                                </m:r>
                                <m:ctrlPr>
                                  <w:rPr>
                                    <w:rFonts w:ascii="Cambria Math" w:hAnsi="Cambria Math"/>
                                    <w:color w:val="auto"/>
                                    <w:sz w:val="21"/>
                                    <w:highlight w:val="none"/>
                                    <w:u w:val="none"/>
                                    <w:shd w:val="clear" w:fill="auto"/>
                                  </w:rPr>
                                </m:ctrlPr>
                              </m:e>
                              <m:sub>
                                <m:r>
                                  <m:rPr/>
                                  <w:rPr>
                                    <w:rFonts w:hint="default" w:ascii="Cambria Math" w:hAnsi="Cambria Math"/>
                                    <w:color w:val="auto"/>
                                    <w:sz w:val="21"/>
                                    <w:highlight w:val="none"/>
                                    <w:u w:val="none"/>
                                    <w:shd w:val="clear" w:fill="auto"/>
                                  </w:rPr>
                                  <m:t>i</m:t>
                                </m:r>
                                <m:ctrlPr>
                                  <w:rPr>
                                    <w:rFonts w:ascii="Cambria Math" w:hAnsi="Cambria Math"/>
                                    <w:color w:val="auto"/>
                                    <w:sz w:val="21"/>
                                    <w:highlight w:val="none"/>
                                    <w:u w:val="none"/>
                                    <w:shd w:val="clear" w:fill="auto"/>
                                  </w:rPr>
                                </m:ctrlPr>
                              </m:sub>
                            </m:sSub>
                            <m:r>
                              <m:rPr/>
                              <w:rPr>
                                <w:rFonts w:hint="default" w:ascii="Cambria Math" w:hAnsi="Cambria Math"/>
                                <w:color w:val="auto"/>
                                <w:sz w:val="21"/>
                                <w:highlight w:val="none"/>
                                <w:u w:val="none"/>
                                <w:shd w:val="clear" w:fill="auto"/>
                              </w:rPr>
                              <m:t>−</m:t>
                            </m:r>
                            <m:acc>
                              <m:accPr>
                                <m:chr m:val="̄"/>
                                <m:ctrlPr>
                                  <w:rPr>
                                    <w:rFonts w:hint="default" w:ascii="Cambria Math" w:hAnsi="Cambria Math"/>
                                    <w:color w:val="auto"/>
                                    <w:sz w:val="21"/>
                                    <w:highlight w:val="none"/>
                                    <w:u w:val="none"/>
                                    <w:shd w:val="clear" w:fill="auto"/>
                                  </w:rPr>
                                </m:ctrlPr>
                              </m:accPr>
                              <m:e>
                                <m:r>
                                  <m:rPr/>
                                  <w:rPr>
                                    <w:rFonts w:hint="default" w:ascii="Cambria Math" w:hAnsi="Cambria Math"/>
                                    <w:color w:val="auto"/>
                                    <w:sz w:val="21"/>
                                    <w:highlight w:val="none"/>
                                    <w:u w:val="none"/>
                                    <w:shd w:val="clear" w:fill="auto"/>
                                  </w:rPr>
                                  <m:t>X</m:t>
                                </m:r>
                                <m:ctrlPr>
                                  <w:rPr>
                                    <w:rFonts w:ascii="Cambria Math" w:hAnsi="Cambria Math"/>
                                    <w:color w:val="auto"/>
                                    <w:sz w:val="21"/>
                                    <w:highlight w:val="none"/>
                                    <w:u w:val="none"/>
                                    <w:shd w:val="clear" w:fill="auto"/>
                                  </w:rPr>
                                </m:ctrlPr>
                              </m:e>
                            </m:acc>
                            <m:ctrlPr>
                              <w:rPr>
                                <w:rFonts w:hint="default" w:ascii="Cambria Math" w:hAnsi="Cambria Math"/>
                                <w:color w:val="auto"/>
                                <w:sz w:val="21"/>
                                <w:highlight w:val="none"/>
                                <w:u w:val="none"/>
                                <w:shd w:val="clear" w:fill="auto"/>
                              </w:rPr>
                            </m:ctrlPr>
                          </m:e>
                        </m:d>
                        <m:ctrlPr>
                          <w:rPr>
                            <w:rFonts w:hint="default" w:ascii="Cambria Math" w:hAnsi="Cambria Math"/>
                            <w:color w:val="auto"/>
                            <w:sz w:val="21"/>
                            <w:highlight w:val="none"/>
                            <w:u w:val="none"/>
                            <w:shd w:val="clear" w:fill="auto"/>
                          </w:rPr>
                        </m:ctrlPr>
                      </m:e>
                    </m:nary>
                    <m:d>
                      <m:dPr>
                        <m:ctrlPr>
                          <w:rPr>
                            <w:rFonts w:hint="default" w:ascii="Cambria Math" w:hAnsi="Cambria Math"/>
                            <w:color w:val="auto"/>
                            <w:sz w:val="21"/>
                            <w:highlight w:val="none"/>
                            <w:u w:val="none"/>
                            <w:shd w:val="clear" w:fill="auto"/>
                          </w:rPr>
                        </m:ctrlPr>
                      </m:dPr>
                      <m:e>
                        <m:sSub>
                          <m:sSubPr>
                            <m:ctrlPr>
                              <w:rPr>
                                <w:rFonts w:hint="default" w:ascii="Cambria Math" w:hAnsi="Cambria Math"/>
                                <w:color w:val="auto"/>
                                <w:sz w:val="21"/>
                                <w:highlight w:val="none"/>
                                <w:u w:val="none"/>
                                <w:shd w:val="clear" w:fill="auto"/>
                              </w:rPr>
                            </m:ctrlPr>
                          </m:sSubPr>
                          <m:e>
                            <m:r>
                              <m:rPr/>
                              <w:rPr>
                                <w:rFonts w:hint="default" w:ascii="Cambria Math" w:hAnsi="Cambria Math"/>
                                <w:color w:val="auto"/>
                                <w:sz w:val="21"/>
                                <w:highlight w:val="none"/>
                                <w:u w:val="none"/>
                                <w:shd w:val="clear" w:fill="auto"/>
                              </w:rPr>
                              <m:t>Y</m:t>
                            </m:r>
                            <m:ctrlPr>
                              <w:rPr>
                                <w:rFonts w:hint="default" w:ascii="Cambria Math" w:hAnsi="Cambria Math"/>
                                <w:color w:val="auto"/>
                                <w:sz w:val="21"/>
                                <w:highlight w:val="none"/>
                                <w:u w:val="none"/>
                                <w:shd w:val="clear" w:fill="auto"/>
                              </w:rPr>
                            </m:ctrlPr>
                          </m:e>
                          <m:sub>
                            <m:r>
                              <m:rPr/>
                              <w:rPr>
                                <w:rFonts w:hint="default" w:ascii="Cambria Math" w:hAnsi="Cambria Math"/>
                                <w:color w:val="auto"/>
                                <w:sz w:val="21"/>
                                <w:highlight w:val="none"/>
                                <w:u w:val="none"/>
                                <w:shd w:val="clear" w:fill="auto"/>
                              </w:rPr>
                              <m:t>i</m:t>
                            </m:r>
                            <m:ctrlPr>
                              <w:rPr>
                                <w:rFonts w:hint="default" w:ascii="Cambria Math" w:hAnsi="Cambria Math"/>
                                <w:color w:val="auto"/>
                                <w:sz w:val="21"/>
                                <w:highlight w:val="none"/>
                                <w:u w:val="none"/>
                                <w:shd w:val="clear" w:fill="auto"/>
                              </w:rPr>
                            </m:ctrlPr>
                          </m:sub>
                        </m:sSub>
                        <m:r>
                          <m:rPr/>
                          <w:rPr>
                            <w:rFonts w:hint="default" w:ascii="Cambria Math" w:hAnsi="Cambria Math"/>
                            <w:color w:val="auto"/>
                            <w:sz w:val="21"/>
                            <w:highlight w:val="none"/>
                            <w:u w:val="none"/>
                            <w:shd w:val="clear" w:fill="auto"/>
                          </w:rPr>
                          <m:t>−</m:t>
                        </m:r>
                        <m:acc>
                          <m:accPr>
                            <m:chr m:val="̄"/>
                            <m:ctrlPr>
                              <w:rPr>
                                <w:rFonts w:hint="default" w:ascii="Cambria Math" w:hAnsi="Cambria Math"/>
                                <w:color w:val="auto"/>
                                <w:sz w:val="21"/>
                                <w:highlight w:val="none"/>
                                <w:u w:val="none"/>
                                <w:shd w:val="clear" w:fill="auto"/>
                              </w:rPr>
                            </m:ctrlPr>
                          </m:accPr>
                          <m:e>
                            <m:r>
                              <m:rPr/>
                              <w:rPr>
                                <w:rFonts w:hint="default" w:ascii="Cambria Math" w:hAnsi="Cambria Math"/>
                                <w:color w:val="auto"/>
                                <w:sz w:val="21"/>
                                <w:highlight w:val="none"/>
                                <w:u w:val="none"/>
                                <w:shd w:val="clear" w:fill="auto"/>
                              </w:rPr>
                              <m:t>Y</m:t>
                            </m:r>
                            <m:ctrlPr>
                              <w:rPr>
                                <w:rFonts w:hint="default" w:ascii="Cambria Math" w:hAnsi="Cambria Math"/>
                                <w:color w:val="auto"/>
                                <w:sz w:val="21"/>
                                <w:highlight w:val="none"/>
                                <w:u w:val="none"/>
                                <w:shd w:val="clear" w:fill="auto"/>
                              </w:rPr>
                            </m:ctrlPr>
                          </m:e>
                        </m:acc>
                        <m:ctrlPr>
                          <w:rPr>
                            <w:rFonts w:hint="default" w:ascii="Cambria Math" w:hAnsi="Cambria Math"/>
                            <w:color w:val="auto"/>
                            <w:sz w:val="21"/>
                            <w:highlight w:val="none"/>
                            <w:u w:val="none"/>
                            <w:shd w:val="clear" w:fill="auto"/>
                          </w:rPr>
                        </m:ctrlPr>
                      </m:e>
                    </m:d>
                    <m:ctrlPr>
                      <w:rPr>
                        <w:rFonts w:hint="default" w:ascii="Cambria Math" w:hAnsi="Cambria Math"/>
                        <w:color w:val="auto"/>
                        <w:sz w:val="21"/>
                        <w:highlight w:val="none"/>
                        <w:u w:val="none"/>
                        <w:shd w:val="clear" w:fill="auto"/>
                      </w:rPr>
                    </m:ctrlPr>
                  </m:num>
                  <m:den>
                    <m:rad>
                      <m:radPr>
                        <m:degHide m:val="1"/>
                        <m:ctrlPr>
                          <w:rPr>
                            <w:rFonts w:hint="default" w:ascii="Cambria Math" w:hAnsi="Cambria Math"/>
                            <w:color w:val="auto"/>
                            <w:sz w:val="21"/>
                            <w:highlight w:val="none"/>
                            <w:u w:val="none"/>
                            <w:shd w:val="clear" w:fill="auto"/>
                          </w:rPr>
                        </m:ctrlPr>
                      </m:radPr>
                      <m:deg>
                        <m:ctrlPr>
                          <w:rPr>
                            <w:rFonts w:hint="default" w:ascii="Cambria Math" w:hAnsi="Cambria Math"/>
                            <w:color w:val="auto"/>
                            <w:sz w:val="21"/>
                            <w:highlight w:val="none"/>
                            <w:u w:val="none"/>
                            <w:shd w:val="clear" w:fill="auto"/>
                          </w:rPr>
                        </m:ctrlPr>
                      </m:deg>
                      <m:e>
                        <m:nary>
                          <m:naryPr>
                            <m:chr m:val="∑"/>
                            <m:limLoc m:val="subSup"/>
                            <m:ctrlPr>
                              <w:rPr>
                                <w:rFonts w:hint="default" w:ascii="Cambria Math" w:hAnsi="Cambria Math"/>
                                <w:color w:val="auto"/>
                                <w:sz w:val="21"/>
                                <w:highlight w:val="none"/>
                                <w:u w:val="none"/>
                                <w:shd w:val="clear" w:fill="auto"/>
                              </w:rPr>
                            </m:ctrlPr>
                          </m:naryPr>
                          <m:sub>
                            <m:r>
                              <m:rPr/>
                              <w:rPr>
                                <w:rFonts w:hint="default" w:ascii="Cambria Math" w:hAnsi="Cambria Math"/>
                                <w:color w:val="auto"/>
                                <w:sz w:val="21"/>
                                <w:highlight w:val="none"/>
                                <w:u w:val="none"/>
                                <w:shd w:val="clear" w:fill="auto"/>
                              </w:rPr>
                              <m:t>i=1</m:t>
                            </m:r>
                            <m:ctrlPr>
                              <w:rPr>
                                <w:rFonts w:hint="default" w:ascii="Cambria Math" w:hAnsi="Cambria Math"/>
                                <w:color w:val="auto"/>
                                <w:sz w:val="21"/>
                                <w:highlight w:val="none"/>
                                <w:u w:val="none"/>
                                <w:shd w:val="clear" w:fill="auto"/>
                              </w:rPr>
                            </m:ctrlPr>
                          </m:sub>
                          <m:sup>
                            <m:r>
                              <m:rPr/>
                              <w:rPr>
                                <w:rFonts w:hint="default" w:ascii="Cambria Math" w:hAnsi="Cambria Math"/>
                                <w:color w:val="auto"/>
                                <w:sz w:val="21"/>
                                <w:highlight w:val="none"/>
                                <w:u w:val="none"/>
                                <w:shd w:val="clear" w:fill="auto"/>
                              </w:rPr>
                              <m:t>n</m:t>
                            </m:r>
                            <m:ctrlPr>
                              <w:rPr>
                                <w:rFonts w:hint="default" w:ascii="Cambria Math" w:hAnsi="Cambria Math"/>
                                <w:color w:val="auto"/>
                                <w:sz w:val="21"/>
                                <w:highlight w:val="none"/>
                                <w:u w:val="none"/>
                                <w:shd w:val="clear" w:fill="auto"/>
                              </w:rPr>
                            </m:ctrlPr>
                          </m:sup>
                          <m:e>
                            <m:sSup>
                              <m:sSupPr>
                                <m:ctrlPr>
                                  <w:rPr>
                                    <w:rFonts w:hint="default" w:ascii="Cambria Math" w:hAnsi="Cambria Math"/>
                                    <w:color w:val="auto"/>
                                    <w:sz w:val="21"/>
                                    <w:highlight w:val="none"/>
                                    <w:u w:val="none"/>
                                    <w:shd w:val="clear" w:fill="auto"/>
                                  </w:rPr>
                                </m:ctrlPr>
                              </m:sSupPr>
                              <m:e>
                                <m:d>
                                  <m:dPr>
                                    <m:ctrlPr>
                                      <w:rPr>
                                        <w:rFonts w:hint="default" w:ascii="Cambria Math" w:hAnsi="Cambria Math"/>
                                        <w:color w:val="auto"/>
                                        <w:sz w:val="21"/>
                                        <w:highlight w:val="none"/>
                                        <w:u w:val="none"/>
                                        <w:shd w:val="clear" w:fill="auto"/>
                                      </w:rPr>
                                    </m:ctrlPr>
                                  </m:dPr>
                                  <m:e>
                                    <m:sSub>
                                      <m:sSubPr>
                                        <m:ctrlPr>
                                          <w:rPr>
                                            <w:rFonts w:hint="default" w:ascii="Cambria Math" w:hAnsi="Cambria Math"/>
                                            <w:color w:val="auto"/>
                                            <w:sz w:val="21"/>
                                            <w:highlight w:val="none"/>
                                            <w:u w:val="none"/>
                                            <w:shd w:val="clear" w:fill="auto"/>
                                          </w:rPr>
                                        </m:ctrlPr>
                                      </m:sSubPr>
                                      <m:e>
                                        <m:r>
                                          <m:rPr/>
                                          <w:rPr>
                                            <w:rFonts w:hint="default" w:ascii="Cambria Math" w:hAnsi="Cambria Math"/>
                                            <w:color w:val="auto"/>
                                            <w:sz w:val="21"/>
                                            <w:highlight w:val="none"/>
                                            <w:u w:val="none"/>
                                            <w:shd w:val="clear" w:fill="auto"/>
                                          </w:rPr>
                                          <m:t>X</m:t>
                                        </m:r>
                                        <m:ctrlPr>
                                          <w:rPr>
                                            <w:rFonts w:ascii="Cambria Math" w:hAnsi="Cambria Math"/>
                                            <w:color w:val="auto"/>
                                            <w:sz w:val="21"/>
                                            <w:highlight w:val="none"/>
                                            <w:u w:val="none"/>
                                            <w:shd w:val="clear" w:fill="auto"/>
                                          </w:rPr>
                                        </m:ctrlPr>
                                      </m:e>
                                      <m:sub>
                                        <m:r>
                                          <m:rPr/>
                                          <w:rPr>
                                            <w:rFonts w:hint="default" w:ascii="Cambria Math" w:hAnsi="Cambria Math"/>
                                            <w:color w:val="auto"/>
                                            <w:sz w:val="21"/>
                                            <w:highlight w:val="none"/>
                                            <w:u w:val="none"/>
                                            <w:shd w:val="clear" w:fill="auto"/>
                                          </w:rPr>
                                          <m:t>i</m:t>
                                        </m:r>
                                        <m:ctrlPr>
                                          <w:rPr>
                                            <w:rFonts w:ascii="Cambria Math" w:hAnsi="Cambria Math"/>
                                            <w:color w:val="auto"/>
                                            <w:sz w:val="21"/>
                                            <w:highlight w:val="none"/>
                                            <w:u w:val="none"/>
                                            <w:shd w:val="clear" w:fill="auto"/>
                                          </w:rPr>
                                        </m:ctrlPr>
                                      </m:sub>
                                    </m:sSub>
                                    <m:r>
                                      <m:rPr/>
                                      <w:rPr>
                                        <w:rFonts w:hint="default" w:ascii="Cambria Math" w:hAnsi="Cambria Math"/>
                                        <w:color w:val="auto"/>
                                        <w:sz w:val="21"/>
                                        <w:highlight w:val="none"/>
                                        <w:u w:val="none"/>
                                        <w:shd w:val="clear" w:fill="auto"/>
                                      </w:rPr>
                                      <m:t>−</m:t>
                                    </m:r>
                                    <m:acc>
                                      <m:accPr>
                                        <m:chr m:val="̄"/>
                                        <m:ctrlPr>
                                          <w:rPr>
                                            <w:rFonts w:hint="default" w:ascii="Cambria Math" w:hAnsi="Cambria Math"/>
                                            <w:color w:val="auto"/>
                                            <w:sz w:val="21"/>
                                            <w:highlight w:val="none"/>
                                            <w:u w:val="none"/>
                                            <w:shd w:val="clear" w:fill="auto"/>
                                          </w:rPr>
                                        </m:ctrlPr>
                                      </m:accPr>
                                      <m:e>
                                        <m:r>
                                          <m:rPr/>
                                          <w:rPr>
                                            <w:rFonts w:hint="default" w:ascii="Cambria Math" w:hAnsi="Cambria Math"/>
                                            <w:color w:val="auto"/>
                                            <w:sz w:val="21"/>
                                            <w:highlight w:val="none"/>
                                            <w:u w:val="none"/>
                                            <w:shd w:val="clear" w:fill="auto"/>
                                          </w:rPr>
                                          <m:t>X</m:t>
                                        </m:r>
                                        <m:ctrlPr>
                                          <w:rPr>
                                            <w:rFonts w:ascii="Cambria Math" w:hAnsi="Cambria Math"/>
                                            <w:color w:val="auto"/>
                                            <w:sz w:val="21"/>
                                            <w:highlight w:val="none"/>
                                            <w:u w:val="none"/>
                                            <w:shd w:val="clear" w:fill="auto"/>
                                          </w:rPr>
                                        </m:ctrlPr>
                                      </m:e>
                                    </m:acc>
                                    <m:ctrlPr>
                                      <w:rPr>
                                        <w:rFonts w:hint="default" w:ascii="Cambria Math" w:hAnsi="Cambria Math"/>
                                        <w:color w:val="auto"/>
                                        <w:sz w:val="21"/>
                                        <w:highlight w:val="none"/>
                                        <w:u w:val="none"/>
                                        <w:shd w:val="clear" w:fill="auto"/>
                                      </w:rPr>
                                    </m:ctrlPr>
                                  </m:e>
                                </m:d>
                                <m:ctrlPr>
                                  <w:rPr>
                                    <w:rFonts w:hint="default" w:ascii="Cambria Math" w:hAnsi="Cambria Math"/>
                                    <w:color w:val="auto"/>
                                    <w:sz w:val="21"/>
                                    <w:highlight w:val="none"/>
                                    <w:u w:val="none"/>
                                    <w:shd w:val="clear" w:fill="auto"/>
                                  </w:rPr>
                                </m:ctrlPr>
                              </m:e>
                              <m:sup>
                                <m:r>
                                  <m:rPr/>
                                  <w:rPr>
                                    <w:rFonts w:hint="default" w:ascii="Cambria Math" w:hAnsi="Cambria Math"/>
                                    <w:color w:val="auto"/>
                                    <w:sz w:val="21"/>
                                    <w:highlight w:val="none"/>
                                    <w:u w:val="none"/>
                                    <w:shd w:val="clear" w:fill="auto"/>
                                  </w:rPr>
                                  <m:t>2</m:t>
                                </m:r>
                                <m:ctrlPr>
                                  <w:rPr>
                                    <w:rFonts w:hint="default" w:ascii="Cambria Math" w:hAnsi="Cambria Math"/>
                                    <w:color w:val="auto"/>
                                    <w:sz w:val="21"/>
                                    <w:highlight w:val="none"/>
                                    <w:u w:val="none"/>
                                    <w:shd w:val="clear" w:fill="auto"/>
                                  </w:rPr>
                                </m:ctrlPr>
                              </m:sup>
                            </m:sSup>
                            <m:ctrlPr>
                              <w:rPr>
                                <w:rFonts w:hint="default" w:ascii="Cambria Math" w:hAnsi="Cambria Math"/>
                                <w:color w:val="auto"/>
                                <w:sz w:val="21"/>
                                <w:highlight w:val="none"/>
                                <w:u w:val="none"/>
                                <w:shd w:val="clear" w:fill="auto"/>
                              </w:rPr>
                            </m:ctrlPr>
                          </m:e>
                        </m:nary>
                        <m:nary>
                          <m:naryPr>
                            <m:chr m:val="∑"/>
                            <m:limLoc m:val="subSup"/>
                            <m:ctrlPr>
                              <w:rPr>
                                <w:rFonts w:hint="default" w:ascii="Cambria Math" w:hAnsi="Cambria Math"/>
                                <w:color w:val="auto"/>
                                <w:sz w:val="21"/>
                                <w:highlight w:val="none"/>
                                <w:u w:val="none"/>
                                <w:shd w:val="clear" w:fill="auto"/>
                              </w:rPr>
                            </m:ctrlPr>
                          </m:naryPr>
                          <m:sub>
                            <m:r>
                              <m:rPr/>
                              <w:rPr>
                                <w:rFonts w:hint="default" w:ascii="Cambria Math" w:hAnsi="Cambria Math"/>
                                <w:color w:val="auto"/>
                                <w:sz w:val="21"/>
                                <w:highlight w:val="none"/>
                                <w:u w:val="none"/>
                                <w:shd w:val="clear" w:fill="auto"/>
                              </w:rPr>
                              <m:t>i=1</m:t>
                            </m:r>
                            <m:ctrlPr>
                              <w:rPr>
                                <w:rFonts w:hint="default" w:ascii="Cambria Math" w:hAnsi="Cambria Math"/>
                                <w:color w:val="auto"/>
                                <w:sz w:val="21"/>
                                <w:highlight w:val="none"/>
                                <w:u w:val="none"/>
                                <w:shd w:val="clear" w:fill="auto"/>
                              </w:rPr>
                            </m:ctrlPr>
                          </m:sub>
                          <m:sup>
                            <m:r>
                              <m:rPr/>
                              <w:rPr>
                                <w:rFonts w:hint="default" w:ascii="Cambria Math" w:hAnsi="Cambria Math"/>
                                <w:color w:val="auto"/>
                                <w:sz w:val="21"/>
                                <w:highlight w:val="none"/>
                                <w:u w:val="none"/>
                                <w:shd w:val="clear" w:fill="auto"/>
                              </w:rPr>
                              <m:t>n</m:t>
                            </m:r>
                            <m:ctrlPr>
                              <w:rPr>
                                <w:rFonts w:hint="default" w:ascii="Cambria Math" w:hAnsi="Cambria Math"/>
                                <w:color w:val="auto"/>
                                <w:sz w:val="21"/>
                                <w:highlight w:val="none"/>
                                <w:u w:val="none"/>
                                <w:shd w:val="clear" w:fill="auto"/>
                              </w:rPr>
                            </m:ctrlPr>
                          </m:sup>
                          <m:e>
                            <m:sSup>
                              <m:sSupPr>
                                <m:ctrlPr>
                                  <w:rPr>
                                    <w:rFonts w:hint="default" w:ascii="Cambria Math" w:hAnsi="Cambria Math"/>
                                    <w:color w:val="auto"/>
                                    <w:sz w:val="21"/>
                                    <w:highlight w:val="none"/>
                                    <w:u w:val="none"/>
                                    <w:shd w:val="clear" w:fill="auto"/>
                                  </w:rPr>
                                </m:ctrlPr>
                              </m:sSupPr>
                              <m:e>
                                <m:d>
                                  <m:dPr>
                                    <m:ctrlPr>
                                      <w:rPr>
                                        <w:rFonts w:hint="default" w:ascii="Cambria Math" w:hAnsi="Cambria Math"/>
                                        <w:color w:val="auto"/>
                                        <w:sz w:val="21"/>
                                        <w:highlight w:val="none"/>
                                        <w:u w:val="none"/>
                                        <w:shd w:val="clear" w:fill="auto"/>
                                      </w:rPr>
                                    </m:ctrlPr>
                                  </m:dPr>
                                  <m:e>
                                    <m:sSub>
                                      <m:sSubPr>
                                        <m:ctrlPr>
                                          <w:rPr>
                                            <w:rFonts w:hint="default" w:ascii="Cambria Math" w:hAnsi="Cambria Math"/>
                                            <w:color w:val="auto"/>
                                            <w:sz w:val="21"/>
                                            <w:highlight w:val="none"/>
                                            <w:u w:val="none"/>
                                            <w:shd w:val="clear" w:fill="auto"/>
                                          </w:rPr>
                                        </m:ctrlPr>
                                      </m:sSubPr>
                                      <m:e>
                                        <m:r>
                                          <m:rPr/>
                                          <w:rPr>
                                            <w:rFonts w:hint="default" w:ascii="Cambria Math" w:hAnsi="Cambria Math"/>
                                            <w:color w:val="auto"/>
                                            <w:sz w:val="21"/>
                                            <w:highlight w:val="none"/>
                                            <w:u w:val="none"/>
                                            <w:shd w:val="clear" w:fill="auto"/>
                                          </w:rPr>
                                          <m:t>Y</m:t>
                                        </m:r>
                                        <m:ctrlPr>
                                          <w:rPr>
                                            <w:rFonts w:ascii="Cambria Math" w:hAnsi="Cambria Math"/>
                                            <w:color w:val="auto"/>
                                            <w:sz w:val="21"/>
                                            <w:highlight w:val="none"/>
                                            <w:u w:val="none"/>
                                            <w:shd w:val="clear" w:fill="auto"/>
                                          </w:rPr>
                                        </m:ctrlPr>
                                      </m:e>
                                      <m:sub>
                                        <m:r>
                                          <m:rPr/>
                                          <w:rPr>
                                            <w:rFonts w:hint="default" w:ascii="Cambria Math" w:hAnsi="Cambria Math"/>
                                            <w:color w:val="auto"/>
                                            <w:sz w:val="21"/>
                                            <w:highlight w:val="none"/>
                                            <w:u w:val="none"/>
                                            <w:shd w:val="clear" w:fill="auto"/>
                                          </w:rPr>
                                          <m:t>i</m:t>
                                        </m:r>
                                        <m:ctrlPr>
                                          <w:rPr>
                                            <w:rFonts w:ascii="Cambria Math" w:hAnsi="Cambria Math"/>
                                            <w:color w:val="auto"/>
                                            <w:sz w:val="21"/>
                                            <w:highlight w:val="none"/>
                                            <w:u w:val="none"/>
                                            <w:shd w:val="clear" w:fill="auto"/>
                                          </w:rPr>
                                        </m:ctrlPr>
                                      </m:sub>
                                    </m:sSub>
                                    <m:r>
                                      <m:rPr/>
                                      <w:rPr>
                                        <w:rFonts w:hint="default" w:ascii="Cambria Math" w:hAnsi="Cambria Math"/>
                                        <w:color w:val="auto"/>
                                        <w:sz w:val="21"/>
                                        <w:highlight w:val="none"/>
                                        <w:u w:val="none"/>
                                        <w:shd w:val="clear" w:fill="auto"/>
                                      </w:rPr>
                                      <m:t>−</m:t>
                                    </m:r>
                                    <m:acc>
                                      <m:accPr>
                                        <m:chr m:val="̄"/>
                                        <m:ctrlPr>
                                          <w:rPr>
                                            <w:rFonts w:hint="default" w:ascii="Cambria Math" w:hAnsi="Cambria Math"/>
                                            <w:color w:val="auto"/>
                                            <w:sz w:val="21"/>
                                            <w:highlight w:val="none"/>
                                            <w:u w:val="none"/>
                                            <w:shd w:val="clear" w:fill="auto"/>
                                          </w:rPr>
                                        </m:ctrlPr>
                                      </m:accPr>
                                      <m:e>
                                        <m:r>
                                          <m:rPr/>
                                          <w:rPr>
                                            <w:rFonts w:hint="default" w:ascii="Cambria Math" w:hAnsi="Cambria Math"/>
                                            <w:color w:val="auto"/>
                                            <w:sz w:val="21"/>
                                            <w:highlight w:val="none"/>
                                            <w:u w:val="none"/>
                                            <w:shd w:val="clear" w:fill="auto"/>
                                          </w:rPr>
                                          <m:t>Y</m:t>
                                        </m:r>
                                        <m:ctrlPr>
                                          <w:rPr>
                                            <w:rFonts w:ascii="Cambria Math" w:hAnsi="Cambria Math"/>
                                            <w:color w:val="auto"/>
                                            <w:sz w:val="21"/>
                                            <w:highlight w:val="none"/>
                                            <w:u w:val="none"/>
                                            <w:shd w:val="clear" w:fill="auto"/>
                                          </w:rPr>
                                        </m:ctrlPr>
                                      </m:e>
                                    </m:acc>
                                    <m:ctrlPr>
                                      <w:rPr>
                                        <w:rFonts w:hint="default" w:ascii="Cambria Math" w:hAnsi="Cambria Math"/>
                                        <w:color w:val="auto"/>
                                        <w:sz w:val="21"/>
                                        <w:highlight w:val="none"/>
                                        <w:u w:val="none"/>
                                        <w:shd w:val="clear" w:fill="auto"/>
                                      </w:rPr>
                                    </m:ctrlPr>
                                  </m:e>
                                </m:d>
                                <m:ctrlPr>
                                  <w:rPr>
                                    <w:rFonts w:hint="default" w:ascii="Cambria Math" w:hAnsi="Cambria Math"/>
                                    <w:color w:val="auto"/>
                                    <w:sz w:val="21"/>
                                    <w:highlight w:val="none"/>
                                    <w:u w:val="none"/>
                                    <w:shd w:val="clear" w:fill="auto"/>
                                  </w:rPr>
                                </m:ctrlPr>
                              </m:e>
                              <m:sup>
                                <m:r>
                                  <m:rPr/>
                                  <w:rPr>
                                    <w:rFonts w:hint="default" w:ascii="Cambria Math" w:hAnsi="Cambria Math"/>
                                    <w:color w:val="auto"/>
                                    <w:sz w:val="21"/>
                                    <w:highlight w:val="none"/>
                                    <w:u w:val="none"/>
                                    <w:shd w:val="clear" w:fill="auto"/>
                                  </w:rPr>
                                  <m:t>2</m:t>
                                </m:r>
                                <m:ctrlPr>
                                  <w:rPr>
                                    <w:rFonts w:hint="default" w:ascii="Cambria Math" w:hAnsi="Cambria Math"/>
                                    <w:color w:val="auto"/>
                                    <w:sz w:val="21"/>
                                    <w:highlight w:val="none"/>
                                    <w:u w:val="none"/>
                                    <w:shd w:val="clear" w:fill="auto"/>
                                  </w:rPr>
                                </m:ctrlPr>
                              </m:sup>
                            </m:sSup>
                            <m:ctrlPr>
                              <w:rPr>
                                <w:rFonts w:hint="default" w:ascii="Cambria Math" w:hAnsi="Cambria Math"/>
                                <w:color w:val="auto"/>
                                <w:sz w:val="21"/>
                                <w:highlight w:val="none"/>
                                <w:u w:val="none"/>
                                <w:shd w:val="clear" w:fill="auto"/>
                              </w:rPr>
                            </m:ctrlPr>
                          </m:e>
                        </m:nary>
                        <m:ctrlPr>
                          <w:rPr>
                            <w:rFonts w:hint="default" w:ascii="Cambria Math" w:hAnsi="Cambria Math"/>
                            <w:color w:val="auto"/>
                            <w:sz w:val="21"/>
                            <w:highlight w:val="none"/>
                            <w:u w:val="none"/>
                            <w:shd w:val="clear" w:fill="auto"/>
                          </w:rPr>
                        </m:ctrlPr>
                      </m:e>
                    </m:rad>
                    <m:ctrlPr>
                      <w:rPr>
                        <w:rFonts w:hint="default" w:ascii="Cambria Math" w:hAnsi="Cambria Math"/>
                        <w:color w:val="auto"/>
                        <w:sz w:val="21"/>
                        <w:highlight w:val="none"/>
                        <w:u w:val="none"/>
                        <w:shd w:val="clear" w:fill="auto"/>
                      </w:rPr>
                    </m:ctrlPr>
                  </m:den>
                </m:f>
              </m:oMath>
            </m:oMathPara>
          </w:p>
        </w:tc>
        <w:tc>
          <w:tcPr>
            <w:tcW w:w="435" w:type="pct"/>
            <w:noWrap w:val="0"/>
            <w:vAlign w:val="center"/>
          </w:tcPr>
          <w:p w14:paraId="3C98974D">
            <w:pPr>
              <w:keepNext w:val="0"/>
              <w:keepLines w:val="0"/>
              <w:pageBreakBefore w:val="0"/>
              <w:overflowPunct/>
              <w:topLinePunct w:val="0"/>
              <w:bidi w:val="0"/>
              <w:adjustRightInd/>
              <w:snapToGrid/>
              <w:spacing w:line="240" w:lineRule="auto"/>
              <w:ind w:left="0" w:leftChars="0" w:right="0" w:rightChars="0" w:firstLine="0" w:firstLineChars="0"/>
              <w:jc w:val="right"/>
              <w:rPr>
                <w:rFonts w:hint="default" w:ascii="Times New Roman" w:hAnsi="Times New Roman" w:eastAsia="宋体" w:cs="Times New Roman"/>
                <w:snapToGrid/>
                <w:color w:val="auto"/>
                <w:spacing w:val="0"/>
                <w:w w:val="100"/>
                <w:kern w:val="2"/>
                <w:position w:val="0"/>
                <w:szCs w:val="28"/>
                <w:highlight w:val="none"/>
                <w:u w:val="none"/>
                <w:shd w:val="clear" w:fill="auto"/>
              </w:rPr>
            </w:pPr>
            <w:r>
              <w:rPr>
                <w:rFonts w:hint="default" w:ascii="Times New Roman" w:hAnsi="Times New Roman" w:eastAsia="宋体" w:cs="Times New Roman"/>
                <w:snapToGrid/>
                <w:color w:val="auto"/>
                <w:spacing w:val="0"/>
                <w:w w:val="100"/>
                <w:kern w:val="2"/>
                <w:position w:val="0"/>
                <w:szCs w:val="28"/>
                <w:highlight w:val="none"/>
                <w:u w:val="none"/>
                <w:shd w:val="clear" w:fill="auto"/>
              </w:rPr>
              <w:t>（</w:t>
            </w:r>
            <w:r>
              <w:rPr>
                <w:rFonts w:hint="eastAsia" w:ascii="Times New Roman" w:hAnsi="Times New Roman" w:eastAsia="宋体" w:cs="Times New Roman"/>
                <w:snapToGrid/>
                <w:color w:val="auto"/>
                <w:spacing w:val="0"/>
                <w:w w:val="100"/>
                <w:kern w:val="2"/>
                <w:position w:val="0"/>
                <w:szCs w:val="28"/>
                <w:highlight w:val="none"/>
                <w:u w:val="none"/>
                <w:shd w:val="clear" w:fill="auto"/>
                <w:lang w:val="en-US" w:eastAsia="zh-CN"/>
              </w:rPr>
              <w:t>10</w:t>
            </w:r>
            <w:r>
              <w:rPr>
                <w:rFonts w:hint="default" w:ascii="Times New Roman" w:hAnsi="Times New Roman" w:eastAsia="宋体" w:cs="Times New Roman"/>
                <w:snapToGrid/>
                <w:color w:val="auto"/>
                <w:spacing w:val="0"/>
                <w:w w:val="100"/>
                <w:kern w:val="2"/>
                <w:position w:val="0"/>
                <w:szCs w:val="28"/>
                <w:highlight w:val="none"/>
                <w:u w:val="none"/>
                <w:shd w:val="clear" w:fill="auto"/>
              </w:rPr>
              <w:t>）</w:t>
            </w:r>
          </w:p>
        </w:tc>
      </w:tr>
    </w:tbl>
    <w:p w14:paraId="4CA09048">
      <w:pPr>
        <w:keepNext w:val="0"/>
        <w:keepLines w:val="0"/>
        <w:pageBreakBefore w:val="0"/>
        <w:widowControl/>
        <w:tabs>
          <w:tab w:val="center" w:pos="4253"/>
          <w:tab w:val="right" w:pos="8505"/>
        </w:tabs>
        <w:kinsoku/>
        <w:wordWrap w:val="0"/>
        <w:overflowPunct/>
        <w:topLinePunct w:val="0"/>
        <w:autoSpaceDE w:val="0"/>
        <w:autoSpaceDN w:val="0"/>
        <w:bidi w:val="0"/>
        <w:adjustRightInd w:val="0"/>
        <w:snapToGrid w:val="0"/>
        <w:spacing w:line="300" w:lineRule="auto"/>
        <w:jc w:val="both"/>
        <w:textAlignment w:val="baseline"/>
        <w:rPr>
          <w:color w:val="auto"/>
          <w:sz w:val="21"/>
          <w:szCs w:val="21"/>
          <w:highlight w:val="none"/>
          <w:u w:val="none"/>
          <w:shd w:val="clear" w:fill="auto"/>
        </w:rPr>
      </w:pPr>
      <w:r>
        <w:rPr>
          <w:color w:val="auto"/>
          <w:sz w:val="21"/>
          <w:szCs w:val="21"/>
          <w:highlight w:val="none"/>
          <w:u w:val="none"/>
          <w:shd w:val="clear" w:fill="auto"/>
        </w:rPr>
        <w:t>式中</w:t>
      </w:r>
      <w:r>
        <w:rPr>
          <w:rFonts w:hint="eastAsia" w:eastAsia="宋体"/>
          <w:color w:val="auto"/>
          <w:sz w:val="21"/>
          <w:szCs w:val="21"/>
          <w:highlight w:val="none"/>
          <w:u w:val="none"/>
          <w:shd w:val="clear" w:fill="auto"/>
          <w:lang w:eastAsia="zh-CN"/>
        </w:rPr>
        <w:t>，</w:t>
      </w:r>
      <m:oMath>
        <m:sSub>
          <m:sSubPr>
            <m:ctrlPr>
              <w:rPr>
                <w:rFonts w:ascii="Cambria Math" w:hAnsi="Cambria Math" w:eastAsia="MS Mincho" w:cs="MS Mincho"/>
                <w:i/>
                <w:color w:val="auto"/>
                <w:sz w:val="21"/>
                <w:szCs w:val="21"/>
                <w:highlight w:val="none"/>
                <w:u w:val="none"/>
                <w:shd w:val="clear" w:fill="auto"/>
              </w:rPr>
            </m:ctrlPr>
          </m:sSubPr>
          <m:e>
            <m:r>
              <m:rPr/>
              <w:rPr>
                <w:rFonts w:ascii="Cambria Math" w:hAnsi="Cambria Math" w:eastAsia="MS Mincho" w:cs="MS Mincho"/>
                <w:color w:val="auto"/>
                <w:sz w:val="21"/>
                <w:szCs w:val="21"/>
                <w:highlight w:val="none"/>
                <w:u w:val="none"/>
                <w:shd w:val="clear" w:fill="auto"/>
              </w:rPr>
              <m:t>X</m:t>
            </m:r>
            <m:ctrlPr>
              <w:rPr>
                <w:rFonts w:ascii="Cambria Math" w:hAnsi="Cambria Math" w:eastAsia="MS Mincho" w:cs="MS Mincho"/>
                <w:i/>
                <w:color w:val="auto"/>
                <w:sz w:val="21"/>
                <w:szCs w:val="21"/>
                <w:highlight w:val="none"/>
                <w:u w:val="none"/>
                <w:shd w:val="clear" w:fill="auto"/>
              </w:rPr>
            </m:ctrlPr>
          </m:e>
          <m:sub>
            <m:r>
              <m:rPr/>
              <w:rPr>
                <w:rFonts w:ascii="Cambria Math" w:hAnsi="Cambria Math" w:eastAsia="宋体" w:cs="宋体"/>
                <w:color w:val="auto"/>
                <w:sz w:val="21"/>
                <w:szCs w:val="21"/>
                <w:highlight w:val="none"/>
                <w:u w:val="none"/>
                <w:shd w:val="clear" w:fill="auto"/>
              </w:rPr>
              <m:t>i</m:t>
            </m:r>
            <m:ctrlPr>
              <w:rPr>
                <w:rFonts w:ascii="Cambria Math" w:hAnsi="Cambria Math" w:eastAsia="MS Mincho" w:cs="MS Mincho"/>
                <w:i/>
                <w:color w:val="auto"/>
                <w:sz w:val="21"/>
                <w:szCs w:val="21"/>
                <w:highlight w:val="none"/>
                <w:u w:val="none"/>
                <w:shd w:val="clear" w:fill="auto"/>
              </w:rPr>
            </m:ctrlPr>
          </m:sub>
        </m:sSub>
      </m:oMath>
      <w:r>
        <w:rPr>
          <w:color w:val="auto"/>
          <w:sz w:val="21"/>
          <w:szCs w:val="21"/>
          <w:highlight w:val="none"/>
          <w:u w:val="none"/>
          <w:shd w:val="clear" w:fill="auto"/>
        </w:rPr>
        <w:t>为实测值</w:t>
      </w:r>
      <w:r>
        <w:rPr>
          <w:rFonts w:hint="eastAsia" w:eastAsia="宋体"/>
          <w:color w:val="auto"/>
          <w:sz w:val="21"/>
          <w:szCs w:val="21"/>
          <w:highlight w:val="none"/>
          <w:u w:val="none"/>
          <w:shd w:val="clear" w:fill="auto"/>
          <w:lang w:eastAsia="zh-CN"/>
        </w:rPr>
        <w:t>；</w:t>
      </w:r>
      <m:oMath>
        <m:sSub>
          <m:sSubPr>
            <m:ctrlPr>
              <w:rPr>
                <w:rFonts w:ascii="Cambria Math" w:hAnsi="Cambria Math" w:eastAsia="MS Mincho" w:cs="MS Mincho"/>
                <w:i/>
                <w:color w:val="auto"/>
                <w:sz w:val="21"/>
                <w:szCs w:val="21"/>
                <w:highlight w:val="none"/>
                <w:u w:val="none"/>
                <w:shd w:val="clear" w:fill="auto"/>
              </w:rPr>
            </m:ctrlPr>
          </m:sSubPr>
          <m:e>
            <m:r>
              <m:rPr/>
              <w:rPr>
                <w:rFonts w:hint="default" w:ascii="Cambria Math" w:hAnsi="Cambria Math" w:eastAsia="宋体" w:cs="MS Mincho"/>
                <w:color w:val="auto"/>
                <w:sz w:val="21"/>
                <w:szCs w:val="21"/>
                <w:highlight w:val="none"/>
                <w:u w:val="none"/>
                <w:shd w:val="clear" w:fill="auto"/>
                <w:lang w:eastAsia="zh-CN"/>
              </w:rPr>
              <m:t>Y</m:t>
            </m:r>
            <m:ctrlPr>
              <w:rPr>
                <w:rFonts w:ascii="Cambria Math" w:hAnsi="Cambria Math" w:eastAsia="MS Mincho" w:cs="MS Mincho"/>
                <w:i/>
                <w:color w:val="auto"/>
                <w:sz w:val="21"/>
                <w:szCs w:val="21"/>
                <w:highlight w:val="none"/>
                <w:u w:val="none"/>
                <w:shd w:val="clear" w:fill="auto"/>
              </w:rPr>
            </m:ctrlPr>
          </m:e>
          <m:sub>
            <m:r>
              <m:rPr/>
              <w:rPr>
                <w:rFonts w:ascii="Cambria Math" w:hAnsi="Cambria Math" w:eastAsia="MS Mincho" w:cs="MS Mincho"/>
                <w:color w:val="auto"/>
                <w:sz w:val="21"/>
                <w:szCs w:val="21"/>
                <w:highlight w:val="none"/>
                <w:u w:val="none"/>
                <w:shd w:val="clear" w:fill="auto"/>
              </w:rPr>
              <m:t>i</m:t>
            </m:r>
            <m:ctrlPr>
              <w:rPr>
                <w:rFonts w:ascii="Cambria Math" w:hAnsi="Cambria Math" w:eastAsia="MS Mincho" w:cs="MS Mincho"/>
                <w:i/>
                <w:color w:val="auto"/>
                <w:sz w:val="21"/>
                <w:szCs w:val="21"/>
                <w:highlight w:val="none"/>
                <w:u w:val="none"/>
                <w:shd w:val="clear" w:fill="auto"/>
              </w:rPr>
            </m:ctrlPr>
          </m:sub>
        </m:sSub>
      </m:oMath>
      <w:r>
        <w:rPr>
          <w:color w:val="auto"/>
          <w:sz w:val="21"/>
          <w:szCs w:val="21"/>
          <w:highlight w:val="none"/>
          <w:u w:val="none"/>
          <w:shd w:val="clear" w:fill="auto"/>
        </w:rPr>
        <w:t>为计算值</w:t>
      </w:r>
      <w:r>
        <w:rPr>
          <w:rFonts w:hint="eastAsia"/>
          <w:color w:val="auto"/>
          <w:sz w:val="21"/>
          <w:szCs w:val="21"/>
          <w:highlight w:val="none"/>
          <w:u w:val="none"/>
          <w:shd w:val="clear" w:fill="auto"/>
          <w:lang w:eastAsia="zh-CN"/>
        </w:rPr>
        <w:t>；</w:t>
      </w:r>
      <m:oMath>
        <m:acc>
          <m:accPr>
            <m:chr m:val="̄"/>
            <m:ctrlPr>
              <w:rPr>
                <w:rFonts w:hint="default" w:ascii="Cambria Math" w:hAnsi="Cambria Math"/>
                <w:color w:val="auto"/>
                <w:sz w:val="21"/>
                <w:highlight w:val="none"/>
                <w:u w:val="none"/>
                <w:shd w:val="clear" w:fill="auto"/>
              </w:rPr>
            </m:ctrlPr>
          </m:accPr>
          <m:e>
            <m:r>
              <m:rPr/>
              <w:rPr>
                <w:rFonts w:hint="default" w:ascii="Cambria Math" w:hAnsi="Cambria Math"/>
                <w:color w:val="auto"/>
                <w:sz w:val="21"/>
                <w:highlight w:val="none"/>
                <w:u w:val="none"/>
                <w:shd w:val="clear" w:fill="auto"/>
              </w:rPr>
              <m:t>X</m:t>
            </m:r>
            <m:ctrlPr>
              <w:rPr>
                <w:rFonts w:ascii="Cambria Math" w:hAnsi="Cambria Math"/>
                <w:color w:val="auto"/>
                <w:sz w:val="21"/>
                <w:highlight w:val="none"/>
                <w:u w:val="none"/>
                <w:shd w:val="clear" w:fill="auto"/>
              </w:rPr>
            </m:ctrlPr>
          </m:e>
        </m:acc>
      </m:oMath>
      <w:r>
        <w:rPr>
          <w:rFonts w:hint="eastAsia" w:hAnsi="Cambria Math" w:eastAsia="宋体"/>
          <w:i w:val="0"/>
          <w:color w:val="auto"/>
          <w:sz w:val="21"/>
          <w:highlight w:val="none"/>
          <w:u w:val="none"/>
          <w:shd w:val="clear" w:fill="auto"/>
          <w:lang w:val="en-US" w:eastAsia="zh-CN"/>
        </w:rPr>
        <w:t>和</w:t>
      </w:r>
      <m:oMath>
        <m:acc>
          <m:accPr>
            <m:chr m:val="̄"/>
            <m:ctrlPr>
              <w:rPr>
                <w:rFonts w:hint="default" w:ascii="Cambria Math" w:hAnsi="Cambria Math"/>
                <w:color w:val="auto"/>
                <w:sz w:val="21"/>
                <w:highlight w:val="none"/>
                <w:u w:val="none"/>
                <w:shd w:val="clear" w:fill="auto"/>
              </w:rPr>
            </m:ctrlPr>
          </m:accPr>
          <m:e>
            <m:r>
              <m:rPr/>
              <w:rPr>
                <w:rFonts w:hint="default" w:ascii="Cambria Math" w:hAnsi="Cambria Math"/>
                <w:color w:val="auto"/>
                <w:sz w:val="21"/>
                <w:highlight w:val="none"/>
                <w:u w:val="none"/>
                <w:shd w:val="clear" w:fill="auto"/>
              </w:rPr>
              <m:t>Y</m:t>
            </m:r>
            <m:ctrlPr>
              <w:rPr>
                <w:rFonts w:ascii="Cambria Math" w:hAnsi="Cambria Math"/>
                <w:color w:val="auto"/>
                <w:sz w:val="21"/>
                <w:highlight w:val="none"/>
                <w:u w:val="none"/>
                <w:shd w:val="clear" w:fill="auto"/>
              </w:rPr>
            </m:ctrlPr>
          </m:e>
        </m:acc>
      </m:oMath>
      <w:r>
        <w:rPr>
          <w:rFonts w:hint="eastAsia" w:hAnsi="Cambria Math" w:eastAsia="宋体"/>
          <w:i w:val="0"/>
          <w:color w:val="auto"/>
          <w:sz w:val="21"/>
          <w:highlight w:val="none"/>
          <w:u w:val="none"/>
          <w:shd w:val="clear" w:fill="auto"/>
          <w:lang w:val="en-US" w:eastAsia="zh-CN"/>
        </w:rPr>
        <w:t>分别</w:t>
      </w:r>
      <w:r>
        <w:rPr>
          <w:color w:val="auto"/>
          <w:sz w:val="21"/>
          <w:szCs w:val="21"/>
          <w:highlight w:val="none"/>
          <w:u w:val="none"/>
          <w:shd w:val="clear" w:fill="auto"/>
        </w:rPr>
        <w:t>为实测值</w:t>
      </w:r>
      <w:r>
        <w:rPr>
          <w:rFonts w:hint="eastAsia" w:eastAsia="宋体"/>
          <w:color w:val="auto"/>
          <w:sz w:val="21"/>
          <w:szCs w:val="21"/>
          <w:highlight w:val="none"/>
          <w:u w:val="none"/>
          <w:shd w:val="clear" w:fill="auto"/>
          <w:lang w:val="en-US" w:eastAsia="zh-CN"/>
        </w:rPr>
        <w:t>和计算值的平均值</w:t>
      </w:r>
      <w:r>
        <w:rPr>
          <w:rFonts w:hint="eastAsia" w:eastAsia="宋体"/>
          <w:color w:val="auto"/>
          <w:sz w:val="21"/>
          <w:szCs w:val="21"/>
          <w:highlight w:val="none"/>
          <w:u w:val="none"/>
          <w:shd w:val="clear" w:fill="auto"/>
          <w:lang w:eastAsia="zh-CN"/>
        </w:rPr>
        <w:t>；</w:t>
      </w:r>
      <w:r>
        <w:rPr>
          <w:rFonts w:hint="eastAsia" w:ascii="Times New Roman" w:hAnsi="Times New Roman" w:cs="Times New Roman"/>
          <w:i/>
          <w:color w:val="auto"/>
          <w:sz w:val="21"/>
          <w:szCs w:val="21"/>
          <w:highlight w:val="none"/>
          <w:u w:val="none"/>
          <w:shd w:val="clear" w:fill="auto"/>
        </w:rPr>
        <w:t>N</w:t>
      </w:r>
      <w:r>
        <w:rPr>
          <w:rFonts w:hint="eastAsia"/>
          <w:color w:val="auto"/>
          <w:sz w:val="21"/>
          <w:szCs w:val="21"/>
          <w:highlight w:val="none"/>
          <w:u w:val="none"/>
          <w:shd w:val="clear" w:fill="auto"/>
        </w:rPr>
        <w:t>为</w:t>
      </w:r>
      <w:r>
        <w:rPr>
          <w:rFonts w:hint="eastAsia" w:eastAsia="宋体"/>
          <w:color w:val="auto"/>
          <w:sz w:val="21"/>
          <w:szCs w:val="21"/>
          <w:highlight w:val="none"/>
          <w:u w:val="none"/>
          <w:shd w:val="clear" w:fill="auto"/>
          <w:lang w:val="en-US" w:eastAsia="zh-CN"/>
        </w:rPr>
        <w:t>有效样本</w:t>
      </w:r>
      <w:r>
        <w:rPr>
          <w:rFonts w:hint="eastAsia"/>
          <w:color w:val="auto"/>
          <w:sz w:val="21"/>
          <w:szCs w:val="21"/>
          <w:highlight w:val="none"/>
          <w:u w:val="none"/>
          <w:shd w:val="clear" w:fill="auto"/>
        </w:rPr>
        <w:t>数。</w:t>
      </w:r>
    </w:p>
    <w:p w14:paraId="61DD8E84">
      <w:pPr>
        <w:tabs>
          <w:tab w:val="center" w:pos="4253"/>
          <w:tab w:val="right" w:pos="8505"/>
        </w:tabs>
        <w:spacing w:line="300" w:lineRule="auto"/>
        <w:ind w:firstLine="420" w:firstLineChars="200"/>
        <w:jc w:val="both"/>
        <w:rPr>
          <w:rFonts w:ascii="Times New Roman" w:hAnsi="Times New Roman" w:eastAsia="宋体" w:cs="Times New Roman"/>
          <w:snapToGrid/>
          <w:color w:val="auto"/>
          <w:kern w:val="2"/>
          <w:highlight w:val="none"/>
          <w:u w:val="none"/>
          <w:shd w:val="clear" w:fill="auto"/>
          <w:lang w:eastAsia="zh-CN"/>
        </w:rPr>
      </w:pPr>
      <w:r>
        <w:rPr>
          <w:rFonts w:hint="default" w:ascii="Times New Roman" w:hAnsi="Times New Roman" w:eastAsia="宋体" w:cs="Times New Roman"/>
          <w:snapToGrid/>
          <w:color w:val="auto"/>
          <w:kern w:val="2"/>
          <w:sz w:val="21"/>
          <w:szCs w:val="21"/>
          <w:highlight w:val="none"/>
          <w:u w:val="none"/>
          <w:shd w:val="clear" w:fill="auto"/>
          <w:lang w:eastAsia="zh-CN"/>
        </w:rPr>
        <w:t>水位验证结果表明</w:t>
      </w:r>
      <w:r>
        <w:rPr>
          <w:rFonts w:hint="eastAsia" w:ascii="Times New Roman" w:hAnsi="Times New Roman" w:eastAsia="宋体" w:cs="Times New Roman"/>
          <w:snapToGrid/>
          <w:color w:val="auto"/>
          <w:kern w:val="2"/>
          <w:sz w:val="21"/>
          <w:szCs w:val="21"/>
          <w:highlight w:val="none"/>
          <w:u w:val="none"/>
          <w:shd w:val="clear" w:fill="auto"/>
          <w:lang w:eastAsia="zh-CN"/>
        </w:rPr>
        <w:t>（</w:t>
      </w:r>
      <w:r>
        <w:rPr>
          <w:rFonts w:hint="eastAsia" w:ascii="Times New Roman" w:hAnsi="Times New Roman" w:eastAsia="宋体" w:cs="Times New Roman"/>
          <w:snapToGrid/>
          <w:color w:val="auto"/>
          <w:kern w:val="2"/>
          <w:sz w:val="21"/>
          <w:szCs w:val="21"/>
          <w:highlight w:val="none"/>
          <w:u w:val="none"/>
          <w:shd w:val="clear" w:fill="auto"/>
          <w:lang w:val="en-US" w:eastAsia="zh-CN"/>
        </w:rPr>
        <w:t>见图3</w:t>
      </w:r>
      <w:r>
        <w:rPr>
          <w:rFonts w:hint="eastAsia" w:ascii="Times New Roman" w:hAnsi="Times New Roman" w:eastAsia="宋体" w:cs="Times New Roman"/>
          <w:snapToGrid/>
          <w:color w:val="auto"/>
          <w:kern w:val="2"/>
          <w:sz w:val="21"/>
          <w:szCs w:val="21"/>
          <w:highlight w:val="none"/>
          <w:u w:val="none"/>
          <w:shd w:val="clear" w:fill="auto"/>
          <w:lang w:eastAsia="zh-CN"/>
        </w:rPr>
        <w:t>）</w:t>
      </w:r>
      <w:r>
        <w:rPr>
          <w:rFonts w:hint="default" w:ascii="Times New Roman" w:hAnsi="Times New Roman" w:eastAsia="宋体" w:cs="Times New Roman"/>
          <w:snapToGrid/>
          <w:color w:val="auto"/>
          <w:kern w:val="2"/>
          <w:sz w:val="21"/>
          <w:szCs w:val="21"/>
          <w:highlight w:val="none"/>
          <w:u w:val="none"/>
          <w:shd w:val="clear" w:fill="auto"/>
          <w:lang w:eastAsia="zh-CN"/>
        </w:rPr>
        <w:t>，各代表站点计算水位与实测水位过程总体吻合，能够较好反映调水期间水位涨落趋势和阶段性变化特征。各站点水位</w:t>
      </w:r>
      <w:r>
        <w:rPr>
          <w:rFonts w:hint="default" w:ascii="Times New Roman" w:hAnsi="Times New Roman" w:eastAsia="宋体" w:cs="Times New Roman"/>
          <w:i/>
          <w:iCs/>
          <w:snapToGrid/>
          <w:color w:val="auto"/>
          <w:kern w:val="2"/>
          <w:sz w:val="21"/>
          <w:szCs w:val="21"/>
          <w:highlight w:val="none"/>
          <w:u w:val="none"/>
          <w:shd w:val="clear" w:fill="auto"/>
          <w:lang w:eastAsia="zh-CN"/>
        </w:rPr>
        <w:t>MAE</w:t>
      </w:r>
      <w:r>
        <w:rPr>
          <w:rFonts w:hint="default" w:ascii="Times New Roman" w:hAnsi="Times New Roman" w:eastAsia="宋体" w:cs="Times New Roman"/>
          <w:snapToGrid/>
          <w:color w:val="auto"/>
          <w:kern w:val="2"/>
          <w:sz w:val="21"/>
          <w:szCs w:val="21"/>
          <w:highlight w:val="none"/>
          <w:u w:val="none"/>
          <w:shd w:val="clear" w:fill="auto"/>
          <w:lang w:val="en-US" w:eastAsia="zh-CN"/>
        </w:rPr>
        <w:t>约</w:t>
      </w:r>
      <w:r>
        <w:rPr>
          <w:rFonts w:hint="default" w:ascii="Times New Roman" w:hAnsi="Times New Roman" w:eastAsia="宋体" w:cs="Times New Roman"/>
          <w:snapToGrid/>
          <w:color w:val="auto"/>
          <w:kern w:val="2"/>
          <w:sz w:val="21"/>
          <w:szCs w:val="21"/>
          <w:highlight w:val="none"/>
          <w:u w:val="none"/>
          <w:shd w:val="clear" w:fill="auto"/>
          <w:lang w:eastAsia="zh-CN"/>
        </w:rPr>
        <w:t>为0.013</w:t>
      </w:r>
      <w:r>
        <w:rPr>
          <w:rFonts w:hint="eastAsia" w:ascii="Times New Roman" w:hAnsi="Times New Roman" w:eastAsia="宋体" w:cs="Times New Roman"/>
          <w:snapToGrid/>
          <w:color w:val="auto"/>
          <w:kern w:val="2"/>
          <w:sz w:val="21"/>
          <w:szCs w:val="21"/>
          <w:highlight w:val="none"/>
          <w:u w:val="none"/>
          <w:shd w:val="clear" w:fill="auto"/>
          <w:lang w:eastAsia="zh-CN"/>
        </w:rPr>
        <w:t>~</w:t>
      </w:r>
      <w:r>
        <w:rPr>
          <w:rFonts w:hint="default" w:ascii="Times New Roman" w:hAnsi="Times New Roman" w:eastAsia="宋体" w:cs="Times New Roman"/>
          <w:snapToGrid/>
          <w:color w:val="auto"/>
          <w:kern w:val="2"/>
          <w:sz w:val="21"/>
          <w:szCs w:val="21"/>
          <w:highlight w:val="none"/>
          <w:u w:val="none"/>
          <w:shd w:val="clear" w:fill="auto"/>
          <w:lang w:eastAsia="zh-CN"/>
        </w:rPr>
        <w:t>0.033m，</w:t>
      </w:r>
      <w:r>
        <w:rPr>
          <w:rFonts w:hint="default" w:ascii="Times New Roman" w:hAnsi="Times New Roman" w:eastAsia="宋体" w:cs="Times New Roman"/>
          <w:i/>
          <w:iCs/>
          <w:snapToGrid/>
          <w:color w:val="auto"/>
          <w:kern w:val="2"/>
          <w:sz w:val="21"/>
          <w:szCs w:val="21"/>
          <w:highlight w:val="none"/>
          <w:u w:val="none"/>
          <w:shd w:val="clear" w:fill="auto"/>
          <w:lang w:eastAsia="zh-CN"/>
        </w:rPr>
        <w:t>RMSE</w:t>
      </w:r>
      <w:r>
        <w:rPr>
          <w:rFonts w:hint="default" w:ascii="Times New Roman" w:hAnsi="Times New Roman" w:eastAsia="宋体" w:cs="Times New Roman"/>
          <w:snapToGrid/>
          <w:color w:val="auto"/>
          <w:kern w:val="2"/>
          <w:sz w:val="21"/>
          <w:szCs w:val="21"/>
          <w:highlight w:val="none"/>
          <w:u w:val="none"/>
          <w:shd w:val="clear" w:fill="auto"/>
          <w:lang w:val="en-US" w:eastAsia="zh-CN"/>
        </w:rPr>
        <w:t>约</w:t>
      </w:r>
      <w:r>
        <w:rPr>
          <w:rFonts w:hint="default" w:ascii="Times New Roman" w:hAnsi="Times New Roman" w:eastAsia="宋体" w:cs="Times New Roman"/>
          <w:snapToGrid/>
          <w:color w:val="auto"/>
          <w:kern w:val="2"/>
          <w:sz w:val="21"/>
          <w:szCs w:val="21"/>
          <w:highlight w:val="none"/>
          <w:u w:val="none"/>
          <w:shd w:val="clear" w:fill="auto"/>
          <w:lang w:eastAsia="zh-CN"/>
        </w:rPr>
        <w:t>为0.017</w:t>
      </w:r>
      <w:r>
        <w:rPr>
          <w:rFonts w:hint="eastAsia" w:ascii="Times New Roman" w:hAnsi="Times New Roman" w:eastAsia="宋体" w:cs="Times New Roman"/>
          <w:snapToGrid/>
          <w:color w:val="auto"/>
          <w:kern w:val="2"/>
          <w:sz w:val="21"/>
          <w:szCs w:val="21"/>
          <w:highlight w:val="none"/>
          <w:u w:val="none"/>
          <w:shd w:val="clear" w:fill="auto"/>
          <w:lang w:eastAsia="zh-CN"/>
        </w:rPr>
        <w:t>~</w:t>
      </w:r>
      <w:r>
        <w:rPr>
          <w:rFonts w:hint="default" w:ascii="Times New Roman" w:hAnsi="Times New Roman" w:eastAsia="宋体" w:cs="Times New Roman"/>
          <w:snapToGrid/>
          <w:color w:val="auto"/>
          <w:kern w:val="2"/>
          <w:sz w:val="21"/>
          <w:szCs w:val="21"/>
          <w:highlight w:val="none"/>
          <w:u w:val="none"/>
          <w:shd w:val="clear" w:fill="auto"/>
          <w:lang w:eastAsia="zh-CN"/>
        </w:rPr>
        <w:t>0.041m，相关系数</w:t>
      </w:r>
      <w:r>
        <w:rPr>
          <w:rFonts w:hint="default" w:ascii="Times New Roman" w:hAnsi="Times New Roman" w:eastAsia="宋体" w:cs="Times New Roman"/>
          <w:i/>
          <w:iCs/>
          <w:snapToGrid/>
          <w:color w:val="auto"/>
          <w:kern w:val="2"/>
          <w:sz w:val="21"/>
          <w:szCs w:val="21"/>
          <w:highlight w:val="none"/>
          <w:u w:val="none"/>
          <w:shd w:val="clear" w:fill="auto"/>
          <w:lang w:eastAsia="zh-CN"/>
        </w:rPr>
        <w:t>R</w:t>
      </w:r>
      <w:r>
        <w:rPr>
          <w:rFonts w:hint="default" w:ascii="Times New Roman" w:hAnsi="Times New Roman" w:eastAsia="宋体" w:cs="Times New Roman"/>
          <w:snapToGrid/>
          <w:color w:val="auto"/>
          <w:kern w:val="2"/>
          <w:sz w:val="21"/>
          <w:szCs w:val="21"/>
          <w:highlight w:val="none"/>
          <w:u w:val="none"/>
          <w:shd w:val="clear" w:fill="auto"/>
          <w:lang w:val="en-US" w:eastAsia="zh-CN"/>
        </w:rPr>
        <w:t>约</w:t>
      </w:r>
      <w:r>
        <w:rPr>
          <w:rFonts w:hint="default" w:ascii="Times New Roman" w:hAnsi="Times New Roman" w:eastAsia="宋体" w:cs="Times New Roman"/>
          <w:snapToGrid/>
          <w:color w:val="auto"/>
          <w:kern w:val="2"/>
          <w:sz w:val="21"/>
          <w:szCs w:val="21"/>
          <w:highlight w:val="none"/>
          <w:u w:val="none"/>
          <w:shd w:val="clear" w:fill="auto"/>
          <w:lang w:eastAsia="zh-CN"/>
        </w:rPr>
        <w:t>为0.893</w:t>
      </w:r>
      <w:r>
        <w:rPr>
          <w:rFonts w:hint="eastAsia" w:ascii="Times New Roman" w:hAnsi="Times New Roman" w:eastAsia="宋体" w:cs="Times New Roman"/>
          <w:snapToGrid/>
          <w:color w:val="auto"/>
          <w:kern w:val="2"/>
          <w:sz w:val="21"/>
          <w:szCs w:val="21"/>
          <w:highlight w:val="none"/>
          <w:u w:val="none"/>
          <w:shd w:val="clear" w:fill="auto"/>
          <w:lang w:eastAsia="zh-CN"/>
        </w:rPr>
        <w:t>~</w:t>
      </w:r>
      <w:r>
        <w:rPr>
          <w:rFonts w:hint="default" w:ascii="Times New Roman" w:hAnsi="Times New Roman" w:eastAsia="宋体" w:cs="Times New Roman"/>
          <w:snapToGrid/>
          <w:color w:val="auto"/>
          <w:kern w:val="2"/>
          <w:sz w:val="21"/>
          <w:szCs w:val="21"/>
          <w:highlight w:val="none"/>
          <w:u w:val="none"/>
          <w:shd w:val="clear" w:fill="auto"/>
          <w:lang w:eastAsia="zh-CN"/>
        </w:rPr>
        <w:t>0.965，说明模型对研究区域水位过程具有较好的模拟能力。</w:t>
      </w:r>
    </w:p>
    <w:p w14:paraId="1200612D">
      <w:pPr>
        <w:keepNext w:val="0"/>
        <w:keepLines w:val="0"/>
        <w:pageBreakBefore w:val="0"/>
        <w:overflowPunct/>
        <w:topLinePunct w:val="0"/>
        <w:bidi w:val="0"/>
        <w:adjustRightInd/>
        <w:snapToGrid/>
        <w:spacing w:line="240" w:lineRule="auto"/>
        <w:ind w:left="0" w:leftChars="0" w:right="0" w:rightChars="0"/>
        <w:jc w:val="center"/>
        <w:rPr>
          <w:rFonts w:hint="eastAsia" w:eastAsia="宋体"/>
          <w:color w:val="auto"/>
          <w:highlight w:val="none"/>
          <w:u w:val="none"/>
          <w:shd w:val="clear" w:fill="auto"/>
          <w:lang w:eastAsia="zh-CN"/>
        </w:rPr>
      </w:pPr>
      <w:r>
        <w:rPr>
          <w:rFonts w:hint="eastAsia" w:eastAsia="宋体"/>
          <w:color w:val="auto"/>
          <w:highlight w:val="none"/>
          <w:u w:val="none"/>
          <w:shd w:val="clear" w:fill="auto"/>
          <w:lang w:eastAsia="zh-CN"/>
        </w:rPr>
        <w:drawing>
          <wp:inline distT="0" distB="0" distL="114300" distR="114300">
            <wp:extent cx="5269865" cy="3635375"/>
            <wp:effectExtent l="0" t="0" r="3175" b="6985"/>
            <wp:docPr id="5" name="图片 5" descr="水位对比_多站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水位对比_多站点"/>
                    <pic:cNvPicPr>
                      <a:picLocks noChangeAspect="1"/>
                    </pic:cNvPicPr>
                  </pic:nvPicPr>
                  <pic:blipFill>
                    <a:blip r:embed="rId12"/>
                    <a:stretch>
                      <a:fillRect/>
                    </a:stretch>
                  </pic:blipFill>
                  <pic:spPr>
                    <a:xfrm>
                      <a:off x="0" y="0"/>
                      <a:ext cx="5269865" cy="3635375"/>
                    </a:xfrm>
                    <a:prstGeom prst="rect">
                      <a:avLst/>
                    </a:prstGeom>
                  </pic:spPr>
                </pic:pic>
              </a:graphicData>
            </a:graphic>
          </wp:inline>
        </w:drawing>
      </w:r>
    </w:p>
    <w:p w14:paraId="6FEF8E1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图</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3</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 xml:space="preserve">  代表站点计算与实测水位对比</w:t>
      </w:r>
    </w:p>
    <w:p w14:paraId="15B9E3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Fig.3 Comparison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between</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calculated and measured water level</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s</w:t>
      </w:r>
      <w:r>
        <w:rPr>
          <w:rFonts w:hint="default" w:ascii="Times New Roman" w:hAnsi="Times New Roman" w:eastAsia="黑体" w:cs="Times New Roman"/>
          <w:snapToGrid/>
          <w:color w:val="auto"/>
          <w:kern w:val="2"/>
          <w:sz w:val="18"/>
          <w:szCs w:val="18"/>
          <w:highlight w:val="none"/>
          <w:u w:val="none"/>
          <w:shd w:val="clear" w:fill="auto"/>
          <w:lang w:eastAsia="zh-CN"/>
        </w:rPr>
        <w:t xml:space="preserve"> at representative stations</w:t>
      </w:r>
    </w:p>
    <w:p w14:paraId="66C3C005">
      <w:pPr>
        <w:keepNext w:val="0"/>
        <w:keepLines w:val="0"/>
        <w:pageBreakBefore w:val="0"/>
        <w:widowControl/>
        <w:tabs>
          <w:tab w:val="center" w:pos="4253"/>
          <w:tab w:val="right" w:pos="8505"/>
        </w:tabs>
        <w:kinsoku/>
        <w:wordWrap/>
        <w:overflowPunct/>
        <w:topLinePunct w:val="0"/>
        <w:autoSpaceDE/>
        <w:autoSpaceDN/>
        <w:bidi w:val="0"/>
        <w:adjustRightInd/>
        <w:snapToGrid/>
        <w:spacing w:line="300" w:lineRule="auto"/>
        <w:ind w:left="0" w:leftChars="0" w:right="0" w:rightChars="0" w:firstLine="420" w:firstLineChars="200"/>
        <w:jc w:val="both"/>
        <w:textAlignment w:val="auto"/>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kern w:val="2"/>
          <w:sz w:val="21"/>
          <w:szCs w:val="21"/>
          <w:highlight w:val="none"/>
          <w:u w:val="none"/>
          <w:shd w:val="clear" w:fill="auto"/>
          <w:lang w:eastAsia="zh-CN"/>
        </w:rPr>
        <w:t>流量验证结果表明</w:t>
      </w:r>
      <w:r>
        <w:rPr>
          <w:rFonts w:hint="eastAsia" w:ascii="Times New Roman" w:hAnsi="Times New Roman" w:eastAsia="宋体" w:cs="Times New Roman"/>
          <w:snapToGrid/>
          <w:color w:val="auto"/>
          <w:kern w:val="2"/>
          <w:sz w:val="21"/>
          <w:szCs w:val="21"/>
          <w:highlight w:val="none"/>
          <w:u w:val="none"/>
          <w:shd w:val="clear" w:fill="auto"/>
          <w:lang w:eastAsia="zh-CN"/>
        </w:rPr>
        <w:t>（</w:t>
      </w:r>
      <w:r>
        <w:rPr>
          <w:rFonts w:hint="eastAsia" w:ascii="Times New Roman" w:hAnsi="Times New Roman" w:eastAsia="宋体" w:cs="Times New Roman"/>
          <w:snapToGrid/>
          <w:color w:val="auto"/>
          <w:kern w:val="2"/>
          <w:sz w:val="21"/>
          <w:szCs w:val="21"/>
          <w:highlight w:val="none"/>
          <w:u w:val="none"/>
          <w:shd w:val="clear" w:fill="auto"/>
          <w:lang w:val="en-US" w:eastAsia="zh-CN"/>
        </w:rPr>
        <w:t>见图4</w:t>
      </w:r>
      <w:r>
        <w:rPr>
          <w:rFonts w:hint="eastAsia" w:ascii="Times New Roman" w:hAnsi="Times New Roman" w:eastAsia="宋体" w:cs="Times New Roman"/>
          <w:snapToGrid/>
          <w:color w:val="auto"/>
          <w:kern w:val="2"/>
          <w:sz w:val="21"/>
          <w:szCs w:val="21"/>
          <w:highlight w:val="none"/>
          <w:u w:val="none"/>
          <w:shd w:val="clear" w:fill="auto"/>
          <w:lang w:eastAsia="zh-CN"/>
        </w:rPr>
        <w:t>）</w:t>
      </w:r>
      <w:r>
        <w:rPr>
          <w:rFonts w:hint="default" w:ascii="Times New Roman" w:hAnsi="Times New Roman" w:eastAsia="宋体" w:cs="Times New Roman"/>
          <w:snapToGrid/>
          <w:color w:val="auto"/>
          <w:kern w:val="2"/>
          <w:sz w:val="21"/>
          <w:szCs w:val="21"/>
          <w:highlight w:val="none"/>
          <w:u w:val="none"/>
          <w:shd w:val="clear" w:fill="auto"/>
          <w:lang w:eastAsia="zh-CN"/>
        </w:rPr>
        <w:t>，典型断面计算流量与实测流量</w:t>
      </w:r>
      <w:r>
        <w:rPr>
          <w:rFonts w:hint="eastAsia" w:ascii="Times New Roman" w:hAnsi="Times New Roman" w:eastAsia="宋体" w:cs="Times New Roman"/>
          <w:snapToGrid/>
          <w:color w:val="auto"/>
          <w:kern w:val="2"/>
          <w:sz w:val="21"/>
          <w:szCs w:val="21"/>
          <w:highlight w:val="none"/>
          <w:u w:val="none"/>
          <w:shd w:val="clear" w:fill="auto"/>
          <w:lang w:val="en-US" w:eastAsia="zh-CN"/>
        </w:rPr>
        <w:t>过程也总体吻合</w:t>
      </w:r>
      <w:r>
        <w:rPr>
          <w:rFonts w:hint="eastAsia" w:ascii="Times New Roman" w:hAnsi="Times New Roman" w:eastAsia="宋体" w:cs="Times New Roman"/>
          <w:snapToGrid/>
          <w:color w:val="auto"/>
          <w:kern w:val="2"/>
          <w:sz w:val="21"/>
          <w:szCs w:val="21"/>
          <w:highlight w:val="none"/>
          <w:u w:val="none"/>
          <w:shd w:val="clear" w:fill="auto"/>
          <w:lang w:eastAsia="zh-CN"/>
        </w:rPr>
        <w:t>，</w:t>
      </w:r>
      <w:r>
        <w:rPr>
          <w:rFonts w:hint="eastAsia" w:ascii="Times New Roman" w:hAnsi="Times New Roman" w:eastAsia="宋体" w:cs="Times New Roman"/>
          <w:snapToGrid/>
          <w:color w:val="auto"/>
          <w:kern w:val="2"/>
          <w:sz w:val="21"/>
          <w:szCs w:val="21"/>
          <w:highlight w:val="none"/>
          <w:u w:val="none"/>
          <w:shd w:val="clear" w:fill="auto"/>
          <w:lang w:val="en-US" w:eastAsia="zh-CN"/>
        </w:rPr>
        <w:t>相关系数均接近0.8，</w:t>
      </w:r>
      <w:r>
        <w:rPr>
          <w:rFonts w:hint="eastAsia" w:ascii="Times New Roman" w:hAnsi="Times New Roman" w:eastAsia="宋体" w:cs="Times New Roman"/>
          <w:snapToGrid/>
          <w:color w:val="auto"/>
          <w:kern w:val="2"/>
          <w:highlight w:val="none"/>
          <w:u w:val="none"/>
          <w:shd w:val="clear" w:fill="auto"/>
          <w:lang w:eastAsia="zh-CN"/>
        </w:rPr>
        <w:t>红湖大桥断面受太滆运河倒流、顶托及闸泵短时调度影响较强，流量过程波动较复杂，但计算结果仍能反映其主要变化趋势和倒流特征。综合来看，模型能够满足本文对工程调度条件下河网水动力响应分析的精度要求。</w:t>
      </w:r>
    </w:p>
    <w:p w14:paraId="1911270F">
      <w:pPr>
        <w:ind w:left="-840" w:leftChars="-400" w:right="-840" w:rightChars="-400"/>
        <w:jc w:val="center"/>
        <w:rPr>
          <w:rFonts w:hint="eastAsia" w:eastAsia="宋体"/>
          <w:color w:val="auto"/>
          <w:highlight w:val="none"/>
          <w:u w:val="none"/>
          <w:shd w:val="clear" w:fill="auto"/>
          <w:lang w:val="en-US" w:eastAsia="zh-CN"/>
        </w:rPr>
      </w:pPr>
      <w:r>
        <w:rPr>
          <w:rFonts w:hint="eastAsia" w:eastAsia="宋体"/>
          <w:color w:val="auto"/>
          <w:highlight w:val="none"/>
          <w:u w:val="none"/>
          <w:shd w:val="clear" w:fill="auto"/>
          <w:lang w:val="en-US" w:eastAsia="zh-CN"/>
        </w:rPr>
        <w:drawing>
          <wp:inline distT="0" distB="0" distL="114300" distR="114300">
            <wp:extent cx="5271770" cy="3615055"/>
            <wp:effectExtent l="0" t="0" r="1270" b="12065"/>
            <wp:docPr id="6" name="图片 6" descr="流量对比_多断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流量对比_多断面"/>
                    <pic:cNvPicPr>
                      <a:picLocks noChangeAspect="1"/>
                    </pic:cNvPicPr>
                  </pic:nvPicPr>
                  <pic:blipFill>
                    <a:blip r:embed="rId13"/>
                    <a:stretch>
                      <a:fillRect/>
                    </a:stretch>
                  </pic:blipFill>
                  <pic:spPr>
                    <a:xfrm>
                      <a:off x="0" y="0"/>
                      <a:ext cx="5271770" cy="3615055"/>
                    </a:xfrm>
                    <a:prstGeom prst="rect">
                      <a:avLst/>
                    </a:prstGeom>
                  </pic:spPr>
                </pic:pic>
              </a:graphicData>
            </a:graphic>
          </wp:inline>
        </w:drawing>
      </w:r>
    </w:p>
    <w:p w14:paraId="72D6BCD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图</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4</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 xml:space="preserve">  </w:t>
      </w:r>
      <w:r>
        <w:rPr>
          <w:rFonts w:hint="default" w:ascii="Times New Roman" w:hAnsi="Times New Roman" w:eastAsia="黑体" w:cs="Times New Roman"/>
          <w:snapToGrid/>
          <w:color w:val="auto"/>
          <w:kern w:val="2"/>
          <w:sz w:val="18"/>
          <w:szCs w:val="18"/>
          <w:highlight w:val="none"/>
          <w:u w:val="none"/>
          <w:shd w:val="clear" w:fill="auto"/>
          <w:lang w:val="zh-CN" w:eastAsia="zh-CN"/>
        </w:rPr>
        <w:t>典型断面</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计算与实测</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流量</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对比</w:t>
      </w:r>
    </w:p>
    <w:p w14:paraId="3FE352F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Fig.</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4</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Comparison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between</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calculated and measured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discharges</w:t>
      </w:r>
      <w:r>
        <w:rPr>
          <w:rFonts w:hint="eastAsia" w:ascii="Times New Roman" w:hAnsi="Times New Roman" w:eastAsia="黑体" w:cs="Times New Roman"/>
          <w:snapToGrid/>
          <w:color w:val="auto"/>
          <w:kern w:val="2"/>
          <w:sz w:val="18"/>
          <w:szCs w:val="18"/>
          <w:highlight w:val="none"/>
          <w:u w:val="none"/>
          <w:shd w:val="clear" w:fill="auto"/>
          <w:lang w:eastAsia="zh-CN"/>
        </w:rPr>
        <w:t xml:space="preserve"> at typical cross-sections</w:t>
      </w:r>
    </w:p>
    <w:p w14:paraId="2715AFFB">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水质验证根据实测资料</w:t>
      </w:r>
      <w:r>
        <w:rPr>
          <w:rFonts w:hint="eastAsia" w:eastAsia="宋体" w:cs="Times New Roman"/>
          <w:snapToGrid/>
          <w:color w:val="auto"/>
          <w:spacing w:val="0"/>
          <w:w w:val="100"/>
          <w:kern w:val="2"/>
          <w:position w:val="0"/>
          <w:sz w:val="21"/>
          <w:szCs w:val="21"/>
          <w:highlight w:val="none"/>
          <w:u w:val="none"/>
          <w:shd w:val="clear" w:fill="auto"/>
          <w:lang w:val="en-US" w:eastAsia="zh-CN"/>
        </w:rPr>
        <w:t>收集</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情况和调度过程，</w:t>
      </w:r>
      <w:r>
        <w:rPr>
          <w:rFonts w:hint="eastAsia" w:eastAsia="宋体" w:cs="Times New Roman"/>
          <w:snapToGrid/>
          <w:color w:val="auto"/>
          <w:spacing w:val="0"/>
          <w:w w:val="100"/>
          <w:kern w:val="2"/>
          <w:position w:val="0"/>
          <w:sz w:val="21"/>
          <w:szCs w:val="21"/>
          <w:highlight w:val="none"/>
          <w:u w:val="none"/>
          <w:shd w:val="clear" w:fill="auto"/>
          <w:lang w:val="en-US" w:eastAsia="zh-CN"/>
        </w:rPr>
        <w:t>选取奔牛枢纽、北干河、太滆运河、漕桥河、武南河西河桥断面，</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将调水前期（</w:t>
      </w:r>
      <w:r>
        <w:rPr>
          <w:rFonts w:hint="default" w:eastAsia="宋体"/>
          <w:snapToGrid/>
          <w:color w:val="auto"/>
          <w:kern w:val="2"/>
          <w:sz w:val="21"/>
          <w:szCs w:val="21"/>
          <w:highlight w:val="none"/>
          <w:u w:val="none"/>
          <w:shd w:val="clear" w:fill="auto"/>
          <w:lang w:eastAsia="zh-CN"/>
        </w:rPr>
        <w:t>第一、二阶段</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）和稳定运行期（</w:t>
      </w:r>
      <w:r>
        <w:rPr>
          <w:rFonts w:hint="default" w:eastAsia="宋体"/>
          <w:snapToGrid/>
          <w:color w:val="auto"/>
          <w:kern w:val="2"/>
          <w:sz w:val="21"/>
          <w:szCs w:val="21"/>
          <w:highlight w:val="none"/>
          <w:u w:val="none"/>
          <w:shd w:val="clear" w:fill="auto"/>
          <w:lang w:eastAsia="zh-CN"/>
        </w:rPr>
        <w:t>第三阶段</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）作为两个代表阶段进行</w:t>
      </w:r>
      <w:r>
        <w:rPr>
          <w:rFonts w:hint="eastAsia" w:eastAsia="宋体" w:cs="Times New Roman"/>
          <w:snapToGrid/>
          <w:color w:val="auto"/>
          <w:spacing w:val="0"/>
          <w:w w:val="100"/>
          <w:kern w:val="2"/>
          <w:position w:val="0"/>
          <w:sz w:val="21"/>
          <w:szCs w:val="21"/>
          <w:highlight w:val="none"/>
          <w:u w:val="none"/>
          <w:shd w:val="clear" w:fill="auto"/>
          <w:lang w:val="en-US" w:eastAsia="zh-CN"/>
        </w:rPr>
        <w:t>水质</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对比。</w:t>
      </w:r>
      <w:r>
        <w:rPr>
          <w:rFonts w:hint="eastAsia" w:eastAsia="宋体" w:cs="Times New Roman"/>
          <w:snapToGrid/>
          <w:color w:val="auto"/>
          <w:spacing w:val="0"/>
          <w:w w:val="100"/>
          <w:kern w:val="2"/>
          <w:position w:val="0"/>
          <w:sz w:val="21"/>
          <w:szCs w:val="21"/>
          <w:highlight w:val="none"/>
          <w:u w:val="none"/>
          <w:shd w:val="clear" w:fill="auto"/>
          <w:lang w:val="en-US" w:eastAsia="zh-CN"/>
        </w:rPr>
        <w:t>结果</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表明，研究区域内代表断面氨氮、总磷误差</w:t>
      </w:r>
      <w:r>
        <w:rPr>
          <w:rFonts w:hint="eastAsia" w:eastAsia="宋体" w:cs="Times New Roman"/>
          <w:snapToGrid/>
          <w:color w:val="auto"/>
          <w:spacing w:val="0"/>
          <w:w w:val="100"/>
          <w:kern w:val="2"/>
          <w:position w:val="0"/>
          <w:sz w:val="21"/>
          <w:szCs w:val="21"/>
          <w:highlight w:val="none"/>
          <w:u w:val="none"/>
          <w:shd w:val="clear" w:fill="auto"/>
          <w:lang w:val="en-US" w:eastAsia="zh-CN"/>
        </w:rPr>
        <w:t>多数</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处于可接受范围，部分断面、阶段的误差超过30%，总体能够反映水质变化趋势（见表</w:t>
      </w:r>
      <w:r>
        <w:rPr>
          <w:rFonts w:hint="eastAsia" w:eastAsia="宋体" w:cs="Times New Roman"/>
          <w:snapToGrid/>
          <w:color w:val="auto"/>
          <w:spacing w:val="0"/>
          <w:w w:val="100"/>
          <w:kern w:val="2"/>
          <w:position w:val="0"/>
          <w:sz w:val="21"/>
          <w:szCs w:val="21"/>
          <w:highlight w:val="none"/>
          <w:u w:val="none"/>
          <w:shd w:val="clear" w:fill="auto"/>
          <w:lang w:val="en-US" w:eastAsia="zh-CN"/>
        </w:rPr>
        <w:t>1</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p>
    <w:p w14:paraId="4EE2F23A">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综上所述，该模型能够较准确地模拟研究区域河网水动力与水质特征，可以较准确地反映工程调度对河网水动力、水环境的影响。</w:t>
      </w:r>
    </w:p>
    <w:p w14:paraId="042D327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表</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1</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 xml:space="preserve">  2022年</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10－12月</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调水期间水质</w:t>
      </w:r>
    </w:p>
    <w:p w14:paraId="6DD779F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Table 1</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Water quality during water diversion period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from October to December</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2022</w:t>
      </w:r>
    </w:p>
    <w:tbl>
      <w:tblPr>
        <w:tblStyle w:val="9"/>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1153"/>
        <w:gridCol w:w="552"/>
        <w:gridCol w:w="552"/>
        <w:gridCol w:w="742"/>
        <w:gridCol w:w="553"/>
        <w:gridCol w:w="553"/>
        <w:gridCol w:w="690"/>
        <w:gridCol w:w="553"/>
        <w:gridCol w:w="553"/>
        <w:gridCol w:w="743"/>
        <w:gridCol w:w="553"/>
        <w:gridCol w:w="553"/>
        <w:gridCol w:w="743"/>
      </w:tblGrid>
      <w:tr w14:paraId="2920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blHeader/>
          <w:jc w:val="center"/>
        </w:trPr>
        <w:tc>
          <w:tcPr>
            <w:tcW w:w="1153" w:type="dxa"/>
            <w:vMerge w:val="restart"/>
            <w:tcBorders>
              <w:left w:val="nil"/>
            </w:tcBorders>
            <w:shd w:val="clear" w:color="auto" w:fill="auto"/>
            <w:vAlign w:val="center"/>
          </w:tcPr>
          <w:p w14:paraId="2A4EBE99">
            <w:pPr>
              <w:pStyle w:val="4"/>
              <w:widowControl/>
              <w:tabs>
                <w:tab w:val="left" w:pos="8530"/>
              </w:tabs>
              <w:adjustRightInd/>
              <w:snapToGrid/>
              <w:jc w:val="center"/>
              <w:rPr>
                <w:rFonts w:eastAsia="宋体"/>
                <w:b w:val="0"/>
                <w:snapToGrid/>
                <w:color w:val="auto"/>
                <w:kern w:val="2"/>
                <w:sz w:val="16"/>
                <w:szCs w:val="16"/>
                <w:highlight w:val="none"/>
                <w:u w:val="none"/>
                <w:shd w:val="clear" w:fill="auto"/>
                <w:lang w:eastAsia="zh-CN" w:bidi="ar"/>
              </w:rPr>
            </w:pPr>
            <w:r>
              <w:rPr>
                <w:rFonts w:hint="default" w:eastAsia="宋体"/>
                <w:b w:val="0"/>
                <w:snapToGrid/>
                <w:color w:val="auto"/>
                <w:kern w:val="2"/>
                <w:sz w:val="16"/>
                <w:szCs w:val="16"/>
                <w:highlight w:val="none"/>
                <w:u w:val="none"/>
                <w:shd w:val="clear" w:fill="auto"/>
                <w:lang w:eastAsia="zh-CN" w:bidi="ar"/>
              </w:rPr>
              <w:t>断面</w:t>
            </w:r>
          </w:p>
        </w:tc>
        <w:tc>
          <w:tcPr>
            <w:tcW w:w="1846" w:type="dxa"/>
            <w:gridSpan w:val="3"/>
            <w:shd w:val="clear" w:color="auto" w:fill="auto"/>
            <w:vAlign w:val="center"/>
          </w:tcPr>
          <w:p w14:paraId="1AAD37AA">
            <w:pPr>
              <w:pStyle w:val="4"/>
              <w:widowControl/>
              <w:tabs>
                <w:tab w:val="left" w:pos="8530"/>
              </w:tabs>
              <w:adjustRightInd/>
              <w:snapToGrid/>
              <w:jc w:val="center"/>
              <w:rPr>
                <w:rFonts w:hint="default" w:eastAsia="宋体"/>
                <w:b w:val="0"/>
                <w:bCs w:val="0"/>
                <w:snapToGrid/>
                <w:color w:val="auto"/>
                <w:kern w:val="2"/>
                <w:sz w:val="16"/>
                <w:szCs w:val="16"/>
                <w:highlight w:val="none"/>
                <w:u w:val="none"/>
                <w:shd w:val="clear" w:fill="auto"/>
                <w:lang w:eastAsia="zh-CN" w:bidi="ar"/>
              </w:rPr>
            </w:pPr>
            <w:r>
              <w:rPr>
                <w:rFonts w:hint="default" w:eastAsia="宋体"/>
                <w:b w:val="0"/>
                <w:snapToGrid/>
                <w:color w:val="auto"/>
                <w:kern w:val="2"/>
                <w:sz w:val="16"/>
                <w:szCs w:val="16"/>
                <w:highlight w:val="none"/>
                <w:u w:val="none"/>
                <w:shd w:val="clear" w:fill="auto"/>
                <w:lang w:eastAsia="zh-CN" w:bidi="ar"/>
              </w:rPr>
              <w:t>第一、二阶段</w:t>
            </w:r>
            <w:r>
              <w:rPr>
                <w:rFonts w:hint="default" w:eastAsia="宋体"/>
                <w:b w:val="0"/>
                <w:bCs w:val="0"/>
                <w:snapToGrid/>
                <w:color w:val="auto"/>
                <w:kern w:val="2"/>
                <w:sz w:val="16"/>
                <w:szCs w:val="16"/>
                <w:highlight w:val="none"/>
                <w:u w:val="none"/>
                <w:shd w:val="clear" w:fill="auto"/>
                <w:lang w:eastAsia="zh-CN" w:bidi="ar"/>
              </w:rPr>
              <w:t>总磷</w:t>
            </w:r>
          </w:p>
          <w:p w14:paraId="0FF3D5A1">
            <w:pPr>
              <w:pStyle w:val="4"/>
              <w:widowControl/>
              <w:tabs>
                <w:tab w:val="left" w:pos="8530"/>
              </w:tabs>
              <w:adjustRightInd/>
              <w:snapToGrid/>
              <w:jc w:val="center"/>
              <w:rPr>
                <w:rFonts w:eastAsia="宋体"/>
                <w:b w:val="0"/>
                <w:snapToGrid/>
                <w:color w:val="auto"/>
                <w:kern w:val="2"/>
                <w:sz w:val="16"/>
                <w:szCs w:val="16"/>
                <w:highlight w:val="none"/>
                <w:u w:val="none"/>
                <w:shd w:val="clear" w:fill="auto"/>
                <w:lang w:eastAsia="zh-CN" w:bidi="ar"/>
              </w:rPr>
            </w:pPr>
            <w:r>
              <w:rPr>
                <w:rFonts w:hint="eastAsia" w:eastAsia="宋体"/>
                <w:b w:val="0"/>
                <w:bCs w:val="0"/>
                <w:snapToGrid/>
                <w:color w:val="auto"/>
                <w:kern w:val="2"/>
                <w:sz w:val="16"/>
                <w:szCs w:val="16"/>
                <w:highlight w:val="none"/>
                <w:u w:val="none"/>
                <w:shd w:val="clear" w:fill="auto"/>
                <w:lang w:val="en-US" w:eastAsia="zh-CN" w:bidi="ar"/>
              </w:rPr>
              <w:t>/</w:t>
            </w:r>
            <w:r>
              <w:rPr>
                <w:rFonts w:hint="default" w:eastAsia="宋体"/>
                <w:b w:val="0"/>
                <w:bCs w:val="0"/>
                <w:snapToGrid/>
                <w:color w:val="auto"/>
                <w:kern w:val="2"/>
                <w:sz w:val="16"/>
                <w:szCs w:val="16"/>
                <w:highlight w:val="none"/>
                <w:u w:val="none"/>
                <w:shd w:val="clear" w:fill="auto"/>
                <w:lang w:eastAsia="zh-CN" w:bidi="ar"/>
              </w:rPr>
              <w:t>mg</w:t>
            </w:r>
            <w:r>
              <w:rPr>
                <w:rFonts w:hint="default" w:ascii="Times New Roman" w:hAnsi="Times New Roman" w:eastAsia="宋体" w:cs="Times New Roman"/>
                <w:b w:val="0"/>
                <w:bCs w:val="0"/>
                <w:snapToGrid/>
                <w:color w:val="auto"/>
                <w:kern w:val="2"/>
                <w:sz w:val="16"/>
                <w:szCs w:val="16"/>
                <w:highlight w:val="none"/>
                <w:u w:val="none"/>
                <w:shd w:val="clear" w:fill="auto"/>
                <w:lang w:eastAsia="zh-CN" w:bidi="ar"/>
              </w:rPr>
              <w:t>·</w:t>
            </w:r>
            <w:r>
              <w:rPr>
                <w:rFonts w:hint="default" w:eastAsia="宋体"/>
                <w:b w:val="0"/>
                <w:bCs w:val="0"/>
                <w:snapToGrid/>
                <w:color w:val="auto"/>
                <w:kern w:val="2"/>
                <w:sz w:val="16"/>
                <w:szCs w:val="16"/>
                <w:highlight w:val="none"/>
                <w:u w:val="none"/>
                <w:shd w:val="clear" w:fill="auto"/>
                <w:lang w:eastAsia="zh-CN" w:bidi="ar"/>
              </w:rPr>
              <w:t>L</w:t>
            </w:r>
            <w:r>
              <w:rPr>
                <w:rFonts w:hint="eastAsia" w:eastAsia="宋体"/>
                <w:b w:val="0"/>
                <w:bCs w:val="0"/>
                <w:snapToGrid/>
                <w:color w:val="auto"/>
                <w:kern w:val="2"/>
                <w:sz w:val="16"/>
                <w:szCs w:val="16"/>
                <w:highlight w:val="none"/>
                <w:u w:val="none"/>
                <w:shd w:val="clear" w:fill="auto"/>
                <w:vertAlign w:val="superscript"/>
                <w:lang w:val="en-US" w:eastAsia="zh-CN" w:bidi="ar"/>
              </w:rPr>
              <w:t>-1</w:t>
            </w:r>
          </w:p>
        </w:tc>
        <w:tc>
          <w:tcPr>
            <w:tcW w:w="1796" w:type="dxa"/>
            <w:gridSpan w:val="3"/>
            <w:shd w:val="clear" w:color="auto" w:fill="auto"/>
            <w:vAlign w:val="center"/>
          </w:tcPr>
          <w:p w14:paraId="2A4C46B3">
            <w:pPr>
              <w:pStyle w:val="4"/>
              <w:widowControl/>
              <w:tabs>
                <w:tab w:val="left" w:pos="8530"/>
              </w:tabs>
              <w:adjustRightInd/>
              <w:snapToGrid/>
              <w:jc w:val="center"/>
              <w:rPr>
                <w:rFonts w:hint="default" w:eastAsia="宋体"/>
                <w:b w:val="0"/>
                <w:bCs w:val="0"/>
                <w:snapToGrid/>
                <w:color w:val="auto"/>
                <w:kern w:val="2"/>
                <w:sz w:val="16"/>
                <w:szCs w:val="16"/>
                <w:highlight w:val="none"/>
                <w:u w:val="none"/>
                <w:shd w:val="clear" w:fill="auto"/>
                <w:lang w:eastAsia="zh-CN" w:bidi="ar"/>
              </w:rPr>
            </w:pPr>
            <w:r>
              <w:rPr>
                <w:rFonts w:hint="default" w:eastAsia="宋体"/>
                <w:b w:val="0"/>
                <w:snapToGrid/>
                <w:color w:val="auto"/>
                <w:kern w:val="2"/>
                <w:sz w:val="16"/>
                <w:szCs w:val="16"/>
                <w:highlight w:val="none"/>
                <w:u w:val="none"/>
                <w:shd w:val="clear" w:fill="auto"/>
                <w:lang w:eastAsia="zh-CN" w:bidi="ar"/>
              </w:rPr>
              <w:t>第三阶段</w:t>
            </w:r>
            <w:r>
              <w:rPr>
                <w:rFonts w:hint="default" w:eastAsia="宋体"/>
                <w:b w:val="0"/>
                <w:bCs w:val="0"/>
                <w:snapToGrid/>
                <w:color w:val="auto"/>
                <w:kern w:val="2"/>
                <w:sz w:val="16"/>
                <w:szCs w:val="16"/>
                <w:highlight w:val="none"/>
                <w:u w:val="none"/>
                <w:shd w:val="clear" w:fill="auto"/>
                <w:lang w:eastAsia="zh-CN" w:bidi="ar"/>
              </w:rPr>
              <w:t>总磷</w:t>
            </w:r>
          </w:p>
          <w:p w14:paraId="7AD0325B">
            <w:pPr>
              <w:pStyle w:val="4"/>
              <w:widowControl/>
              <w:tabs>
                <w:tab w:val="left" w:pos="8530"/>
              </w:tabs>
              <w:adjustRightInd/>
              <w:snapToGrid/>
              <w:jc w:val="center"/>
              <w:rPr>
                <w:rFonts w:eastAsia="宋体"/>
                <w:b w:val="0"/>
                <w:snapToGrid/>
                <w:color w:val="auto"/>
                <w:kern w:val="2"/>
                <w:sz w:val="16"/>
                <w:szCs w:val="16"/>
                <w:highlight w:val="none"/>
                <w:u w:val="none"/>
                <w:shd w:val="clear" w:fill="auto"/>
                <w:lang w:eastAsia="zh-CN" w:bidi="ar"/>
              </w:rPr>
            </w:pPr>
            <w:r>
              <w:rPr>
                <w:rFonts w:hint="default" w:ascii="宋体" w:eastAsia="宋体"/>
                <w:snapToGrid/>
                <w:color w:val="auto"/>
                <w:kern w:val="2"/>
                <w:sz w:val="16"/>
                <w:szCs w:val="16"/>
                <w:shd w:val="clear" w:fill="auto"/>
                <w:lang w:eastAsia="zh-CN" w:bidi="ar"/>
              </w:rPr>
              <w:t>/</w:t>
            </w:r>
            <w:r>
              <w:rPr>
                <w:rFonts w:hint="default" w:eastAsia="宋体"/>
                <w:snapToGrid/>
                <w:color w:val="auto"/>
                <w:kern w:val="2"/>
                <w:sz w:val="16"/>
                <w:szCs w:val="16"/>
                <w:shd w:val="clear" w:fill="auto"/>
                <w:lang w:eastAsia="zh-CN" w:bidi="ar"/>
              </w:rPr>
              <w:t>mg</w:t>
            </w:r>
            <w:r>
              <w:rPr>
                <w:rFonts w:hint="default" w:ascii="Times New Roman" w:hAnsi="Times New Roman" w:eastAsia="宋体" w:cs="Times New Roman"/>
                <w:snapToGrid/>
                <w:color w:val="auto"/>
                <w:kern w:val="2"/>
                <w:sz w:val="16"/>
                <w:szCs w:val="16"/>
                <w:shd w:val="clear" w:fill="auto"/>
                <w:lang w:eastAsia="zh-CN" w:bidi="ar"/>
              </w:rPr>
              <w:t>·</w:t>
            </w:r>
            <w:r>
              <w:rPr>
                <w:rFonts w:hint="default" w:eastAsia="宋体"/>
                <w:snapToGrid/>
                <w:color w:val="auto"/>
                <w:kern w:val="2"/>
                <w:sz w:val="16"/>
                <w:szCs w:val="16"/>
                <w:shd w:val="clear" w:fill="auto"/>
                <w:lang w:eastAsia="zh-CN" w:bidi="ar"/>
              </w:rPr>
              <w:t>L</w:t>
            </w:r>
            <w:r>
              <w:rPr>
                <w:rFonts w:hint="default" w:ascii="宋体" w:eastAsia="宋体"/>
                <w:snapToGrid/>
                <w:color w:val="auto"/>
                <w:kern w:val="2"/>
                <w:sz w:val="16"/>
                <w:szCs w:val="16"/>
                <w:shd w:val="clear" w:fill="auto"/>
                <w:vertAlign w:val="superscript"/>
                <w:lang w:eastAsia="zh-CN" w:bidi="ar"/>
              </w:rPr>
              <w:t>-1</w:t>
            </w:r>
          </w:p>
        </w:tc>
        <w:tc>
          <w:tcPr>
            <w:tcW w:w="1849" w:type="dxa"/>
            <w:gridSpan w:val="3"/>
            <w:shd w:val="clear" w:color="auto" w:fill="auto"/>
            <w:vAlign w:val="center"/>
          </w:tcPr>
          <w:p w14:paraId="2419A861">
            <w:pPr>
              <w:pStyle w:val="4"/>
              <w:widowControl/>
              <w:tabs>
                <w:tab w:val="left" w:pos="8530"/>
              </w:tabs>
              <w:adjustRightInd/>
              <w:snapToGrid/>
              <w:jc w:val="center"/>
              <w:rPr>
                <w:rFonts w:hint="default" w:eastAsia="宋体"/>
                <w:b w:val="0"/>
                <w:bCs w:val="0"/>
                <w:snapToGrid/>
                <w:color w:val="auto"/>
                <w:kern w:val="2"/>
                <w:sz w:val="16"/>
                <w:szCs w:val="16"/>
                <w:highlight w:val="none"/>
                <w:u w:val="none"/>
                <w:shd w:val="clear" w:fill="auto"/>
                <w:lang w:eastAsia="zh-CN" w:bidi="ar"/>
              </w:rPr>
            </w:pPr>
            <w:r>
              <w:rPr>
                <w:rFonts w:hint="default" w:eastAsia="宋体"/>
                <w:b w:val="0"/>
                <w:snapToGrid/>
                <w:color w:val="auto"/>
                <w:kern w:val="2"/>
                <w:sz w:val="16"/>
                <w:szCs w:val="16"/>
                <w:highlight w:val="none"/>
                <w:u w:val="none"/>
                <w:shd w:val="clear" w:fill="auto"/>
                <w:lang w:eastAsia="zh-CN" w:bidi="ar"/>
              </w:rPr>
              <w:t>第一、二阶段</w:t>
            </w:r>
            <w:r>
              <w:rPr>
                <w:rFonts w:hint="default" w:eastAsia="宋体"/>
                <w:b w:val="0"/>
                <w:bCs w:val="0"/>
                <w:snapToGrid/>
                <w:color w:val="auto"/>
                <w:kern w:val="2"/>
                <w:sz w:val="16"/>
                <w:szCs w:val="16"/>
                <w:highlight w:val="none"/>
                <w:u w:val="none"/>
                <w:shd w:val="clear" w:fill="auto"/>
                <w:lang w:eastAsia="zh-CN" w:bidi="ar"/>
              </w:rPr>
              <w:t>氨氮</w:t>
            </w:r>
          </w:p>
          <w:p w14:paraId="5597CDF9">
            <w:pPr>
              <w:pStyle w:val="4"/>
              <w:widowControl/>
              <w:tabs>
                <w:tab w:val="left" w:pos="8530"/>
              </w:tabs>
              <w:adjustRightInd/>
              <w:snapToGrid/>
              <w:jc w:val="center"/>
              <w:rPr>
                <w:rFonts w:eastAsia="宋体"/>
                <w:b w:val="0"/>
                <w:snapToGrid/>
                <w:color w:val="auto"/>
                <w:kern w:val="2"/>
                <w:sz w:val="16"/>
                <w:szCs w:val="16"/>
                <w:highlight w:val="none"/>
                <w:u w:val="none"/>
                <w:shd w:val="clear" w:fill="auto"/>
                <w:lang w:eastAsia="zh-CN" w:bidi="ar"/>
              </w:rPr>
            </w:pPr>
            <w:r>
              <w:rPr>
                <w:rFonts w:hint="eastAsia" w:eastAsia="宋体"/>
                <w:b w:val="0"/>
                <w:bCs w:val="0"/>
                <w:snapToGrid/>
                <w:color w:val="auto"/>
                <w:kern w:val="2"/>
                <w:sz w:val="16"/>
                <w:szCs w:val="16"/>
                <w:highlight w:val="none"/>
                <w:u w:val="none"/>
                <w:shd w:val="clear" w:fill="auto"/>
                <w:lang w:val="en-US" w:eastAsia="zh-CN" w:bidi="ar"/>
              </w:rPr>
              <w:t>/</w:t>
            </w:r>
            <w:r>
              <w:rPr>
                <w:rFonts w:hint="default" w:ascii="宋体" w:eastAsia="宋体"/>
                <w:snapToGrid/>
                <w:color w:val="auto"/>
                <w:kern w:val="2"/>
                <w:sz w:val="16"/>
                <w:szCs w:val="16"/>
                <w:shd w:val="clear" w:fill="auto"/>
                <w:lang w:eastAsia="zh-CN" w:bidi="ar"/>
              </w:rPr>
              <w:t>/</w:t>
            </w:r>
            <w:r>
              <w:rPr>
                <w:rFonts w:hint="default" w:eastAsia="宋体"/>
                <w:snapToGrid/>
                <w:color w:val="auto"/>
                <w:kern w:val="2"/>
                <w:sz w:val="16"/>
                <w:szCs w:val="16"/>
                <w:shd w:val="clear" w:fill="auto"/>
                <w:lang w:eastAsia="zh-CN" w:bidi="ar"/>
              </w:rPr>
              <w:t>mg</w:t>
            </w:r>
            <w:r>
              <w:rPr>
                <w:rFonts w:hint="default" w:ascii="Times New Roman" w:hAnsi="Times New Roman" w:eastAsia="宋体" w:cs="Times New Roman"/>
                <w:snapToGrid/>
                <w:color w:val="auto"/>
                <w:kern w:val="2"/>
                <w:sz w:val="16"/>
                <w:szCs w:val="16"/>
                <w:shd w:val="clear" w:fill="auto"/>
                <w:lang w:eastAsia="zh-CN" w:bidi="ar"/>
              </w:rPr>
              <w:t>·</w:t>
            </w:r>
            <w:r>
              <w:rPr>
                <w:rFonts w:hint="default" w:eastAsia="宋体"/>
                <w:snapToGrid/>
                <w:color w:val="auto"/>
                <w:kern w:val="2"/>
                <w:sz w:val="16"/>
                <w:szCs w:val="16"/>
                <w:shd w:val="clear" w:fill="auto"/>
                <w:lang w:eastAsia="zh-CN" w:bidi="ar"/>
              </w:rPr>
              <w:t>L</w:t>
            </w:r>
            <w:r>
              <w:rPr>
                <w:rFonts w:hint="default" w:ascii="宋体" w:eastAsia="宋体"/>
                <w:snapToGrid/>
                <w:color w:val="auto"/>
                <w:kern w:val="2"/>
                <w:sz w:val="16"/>
                <w:szCs w:val="16"/>
                <w:shd w:val="clear" w:fill="auto"/>
                <w:vertAlign w:val="superscript"/>
                <w:lang w:eastAsia="zh-CN" w:bidi="ar"/>
              </w:rPr>
              <w:t>-1</w:t>
            </w:r>
          </w:p>
        </w:tc>
        <w:tc>
          <w:tcPr>
            <w:tcW w:w="1849" w:type="dxa"/>
            <w:gridSpan w:val="3"/>
            <w:tcBorders>
              <w:right w:val="nil"/>
            </w:tcBorders>
            <w:shd w:val="clear" w:color="auto" w:fill="auto"/>
            <w:vAlign w:val="center"/>
          </w:tcPr>
          <w:p w14:paraId="099373E0">
            <w:pPr>
              <w:pStyle w:val="4"/>
              <w:widowControl/>
              <w:tabs>
                <w:tab w:val="left" w:pos="8530"/>
              </w:tabs>
              <w:adjustRightInd/>
              <w:snapToGrid/>
              <w:jc w:val="center"/>
              <w:rPr>
                <w:rFonts w:hint="default" w:eastAsia="宋体"/>
                <w:b w:val="0"/>
                <w:bCs w:val="0"/>
                <w:snapToGrid/>
                <w:color w:val="auto"/>
                <w:kern w:val="2"/>
                <w:sz w:val="16"/>
                <w:szCs w:val="16"/>
                <w:highlight w:val="none"/>
                <w:u w:val="none"/>
                <w:shd w:val="clear" w:fill="auto"/>
                <w:lang w:eastAsia="zh-CN" w:bidi="ar"/>
              </w:rPr>
            </w:pPr>
            <w:r>
              <w:rPr>
                <w:rFonts w:hint="default" w:eastAsia="宋体"/>
                <w:b w:val="0"/>
                <w:snapToGrid/>
                <w:color w:val="auto"/>
                <w:kern w:val="2"/>
                <w:sz w:val="16"/>
                <w:szCs w:val="16"/>
                <w:highlight w:val="none"/>
                <w:u w:val="none"/>
                <w:shd w:val="clear" w:fill="auto"/>
                <w:lang w:eastAsia="zh-CN" w:bidi="ar"/>
              </w:rPr>
              <w:t>第三阶段</w:t>
            </w:r>
            <w:r>
              <w:rPr>
                <w:rFonts w:hint="default" w:eastAsia="宋体"/>
                <w:b w:val="0"/>
                <w:bCs w:val="0"/>
                <w:snapToGrid/>
                <w:color w:val="auto"/>
                <w:kern w:val="2"/>
                <w:sz w:val="16"/>
                <w:szCs w:val="16"/>
                <w:highlight w:val="none"/>
                <w:u w:val="none"/>
                <w:shd w:val="clear" w:fill="auto"/>
                <w:lang w:eastAsia="zh-CN" w:bidi="ar"/>
              </w:rPr>
              <w:t>氨氮</w:t>
            </w:r>
          </w:p>
          <w:p w14:paraId="2BC469F0">
            <w:pPr>
              <w:pStyle w:val="4"/>
              <w:widowControl/>
              <w:tabs>
                <w:tab w:val="left" w:pos="8530"/>
              </w:tabs>
              <w:adjustRightInd/>
              <w:snapToGrid/>
              <w:jc w:val="both"/>
              <w:rPr>
                <w:rFonts w:eastAsia="宋体"/>
                <w:b w:val="0"/>
                <w:snapToGrid/>
                <w:color w:val="auto"/>
                <w:kern w:val="2"/>
                <w:sz w:val="16"/>
                <w:szCs w:val="16"/>
                <w:highlight w:val="none"/>
                <w:u w:val="none"/>
                <w:shd w:val="clear" w:fill="auto"/>
                <w:lang w:eastAsia="zh-CN" w:bidi="ar"/>
              </w:rPr>
            </w:pPr>
            <w:r>
              <w:rPr>
                <w:rFonts w:hint="default" w:ascii="宋体" w:eastAsia="宋体"/>
                <w:snapToGrid/>
                <w:color w:val="auto"/>
                <w:kern w:val="2"/>
                <w:sz w:val="16"/>
                <w:szCs w:val="16"/>
                <w:shd w:val="clear" w:fill="auto"/>
                <w:lang w:eastAsia="zh-CN" w:bidi="ar"/>
              </w:rPr>
              <w:t>/</w:t>
            </w:r>
            <w:r>
              <w:rPr>
                <w:rFonts w:hint="default" w:eastAsia="宋体"/>
                <w:snapToGrid/>
                <w:color w:val="auto"/>
                <w:kern w:val="2"/>
                <w:sz w:val="16"/>
                <w:szCs w:val="16"/>
                <w:shd w:val="clear" w:fill="auto"/>
                <w:lang w:eastAsia="zh-CN" w:bidi="ar"/>
              </w:rPr>
              <w:t>mg</w:t>
            </w:r>
            <w:r>
              <w:rPr>
                <w:rFonts w:hint="default" w:ascii="Times New Roman" w:hAnsi="Times New Roman" w:eastAsia="宋体" w:cs="Times New Roman"/>
                <w:snapToGrid/>
                <w:color w:val="auto"/>
                <w:kern w:val="2"/>
                <w:sz w:val="16"/>
                <w:szCs w:val="16"/>
                <w:shd w:val="clear" w:fill="auto"/>
                <w:lang w:eastAsia="zh-CN" w:bidi="ar"/>
              </w:rPr>
              <w:t>·</w:t>
            </w:r>
            <w:r>
              <w:rPr>
                <w:rFonts w:hint="default" w:eastAsia="宋体"/>
                <w:snapToGrid/>
                <w:color w:val="auto"/>
                <w:kern w:val="2"/>
                <w:sz w:val="16"/>
                <w:szCs w:val="16"/>
                <w:shd w:val="clear" w:fill="auto"/>
                <w:lang w:eastAsia="zh-CN" w:bidi="ar"/>
              </w:rPr>
              <w:t>L</w:t>
            </w:r>
            <w:r>
              <w:rPr>
                <w:rFonts w:hint="default" w:ascii="宋体" w:eastAsia="宋体"/>
                <w:snapToGrid/>
                <w:color w:val="auto"/>
                <w:kern w:val="2"/>
                <w:sz w:val="16"/>
                <w:szCs w:val="16"/>
                <w:shd w:val="clear" w:fill="auto"/>
                <w:vertAlign w:val="superscript"/>
                <w:lang w:eastAsia="zh-CN" w:bidi="ar"/>
              </w:rPr>
              <w:t>-1</w:t>
            </w:r>
          </w:p>
        </w:tc>
      </w:tr>
      <w:tr w14:paraId="72B5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blHeader/>
          <w:jc w:val="center"/>
        </w:trPr>
        <w:tc>
          <w:tcPr>
            <w:tcW w:w="1153" w:type="dxa"/>
            <w:vMerge w:val="continue"/>
            <w:tcBorders>
              <w:left w:val="nil"/>
            </w:tcBorders>
            <w:shd w:val="clear" w:color="auto" w:fill="auto"/>
            <w:vAlign w:val="center"/>
          </w:tcPr>
          <w:p w14:paraId="6E9FB254">
            <w:pPr>
              <w:pStyle w:val="4"/>
              <w:widowControl/>
              <w:tabs>
                <w:tab w:val="left" w:pos="8530"/>
              </w:tabs>
              <w:adjustRightInd/>
              <w:snapToGrid/>
              <w:jc w:val="center"/>
              <w:rPr>
                <w:rFonts w:eastAsia="宋体"/>
                <w:b w:val="0"/>
                <w:snapToGrid/>
                <w:color w:val="auto"/>
                <w:kern w:val="2"/>
                <w:sz w:val="16"/>
                <w:szCs w:val="16"/>
                <w:highlight w:val="none"/>
                <w:u w:val="none"/>
                <w:shd w:val="clear" w:fill="auto"/>
                <w:lang w:eastAsia="zh-CN" w:bidi="ar"/>
              </w:rPr>
            </w:pPr>
          </w:p>
        </w:tc>
        <w:tc>
          <w:tcPr>
            <w:tcW w:w="552" w:type="dxa"/>
            <w:shd w:val="clear" w:color="auto" w:fill="auto"/>
            <w:vAlign w:val="center"/>
          </w:tcPr>
          <w:p w14:paraId="7F892810">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实测</w:t>
            </w:r>
          </w:p>
        </w:tc>
        <w:tc>
          <w:tcPr>
            <w:tcW w:w="552" w:type="dxa"/>
            <w:shd w:val="clear" w:color="auto" w:fill="auto"/>
            <w:vAlign w:val="center"/>
          </w:tcPr>
          <w:p w14:paraId="4BD2EF37">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计算</w:t>
            </w:r>
          </w:p>
        </w:tc>
        <w:tc>
          <w:tcPr>
            <w:tcW w:w="742" w:type="dxa"/>
            <w:shd w:val="clear" w:color="auto" w:fill="auto"/>
            <w:vAlign w:val="center"/>
          </w:tcPr>
          <w:p w14:paraId="5E75BB97">
            <w:pPr>
              <w:pStyle w:val="4"/>
              <w:widowControl/>
              <w:tabs>
                <w:tab w:val="left" w:pos="8530"/>
              </w:tabs>
              <w:adjustRightInd/>
              <w:snapToGrid/>
              <w:jc w:val="center"/>
              <w:rPr>
                <w:rFonts w:hint="default"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误差</w:t>
            </w:r>
          </w:p>
          <w:p w14:paraId="762FDF21">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eastAsia" w:eastAsia="宋体"/>
                <w:b w:val="0"/>
                <w:bCs w:val="0"/>
                <w:snapToGrid/>
                <w:color w:val="auto"/>
                <w:kern w:val="2"/>
                <w:sz w:val="16"/>
                <w:szCs w:val="16"/>
                <w:highlight w:val="none"/>
                <w:u w:val="none"/>
                <w:shd w:val="clear" w:fill="auto"/>
                <w:lang w:val="en-US" w:eastAsia="zh-CN" w:bidi="ar"/>
              </w:rPr>
              <w:t>/</w:t>
            </w:r>
            <w:r>
              <w:rPr>
                <w:rFonts w:hint="default" w:eastAsia="宋体"/>
                <w:b w:val="0"/>
                <w:bCs w:val="0"/>
                <w:snapToGrid/>
                <w:color w:val="auto"/>
                <w:kern w:val="2"/>
                <w:sz w:val="16"/>
                <w:szCs w:val="16"/>
                <w:highlight w:val="none"/>
                <w:u w:val="none"/>
                <w:shd w:val="clear" w:fill="auto"/>
                <w:lang w:eastAsia="zh-CN" w:bidi="ar"/>
              </w:rPr>
              <w:t>%</w:t>
            </w:r>
          </w:p>
        </w:tc>
        <w:tc>
          <w:tcPr>
            <w:tcW w:w="553" w:type="dxa"/>
            <w:shd w:val="clear" w:color="auto" w:fill="auto"/>
            <w:vAlign w:val="center"/>
          </w:tcPr>
          <w:p w14:paraId="258FE023">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实测</w:t>
            </w:r>
          </w:p>
        </w:tc>
        <w:tc>
          <w:tcPr>
            <w:tcW w:w="553" w:type="dxa"/>
            <w:shd w:val="clear" w:color="auto" w:fill="auto"/>
            <w:vAlign w:val="center"/>
          </w:tcPr>
          <w:p w14:paraId="1B966EF7">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计算</w:t>
            </w:r>
          </w:p>
        </w:tc>
        <w:tc>
          <w:tcPr>
            <w:tcW w:w="690" w:type="dxa"/>
            <w:shd w:val="clear" w:color="auto" w:fill="auto"/>
            <w:vAlign w:val="center"/>
          </w:tcPr>
          <w:p w14:paraId="212DA315">
            <w:pPr>
              <w:pStyle w:val="4"/>
              <w:widowControl/>
              <w:tabs>
                <w:tab w:val="left" w:pos="8530"/>
              </w:tabs>
              <w:adjustRightInd/>
              <w:snapToGrid/>
              <w:jc w:val="center"/>
              <w:rPr>
                <w:rFonts w:hint="default"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误差</w:t>
            </w:r>
          </w:p>
          <w:p w14:paraId="752BC1CF">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eastAsia" w:eastAsia="宋体"/>
                <w:b w:val="0"/>
                <w:bCs w:val="0"/>
                <w:snapToGrid/>
                <w:color w:val="auto"/>
                <w:kern w:val="2"/>
                <w:sz w:val="16"/>
                <w:szCs w:val="16"/>
                <w:highlight w:val="none"/>
                <w:u w:val="none"/>
                <w:shd w:val="clear" w:fill="auto"/>
                <w:lang w:val="en-US" w:eastAsia="zh-CN" w:bidi="ar"/>
              </w:rPr>
              <w:t>/</w:t>
            </w:r>
            <w:r>
              <w:rPr>
                <w:rFonts w:hint="default" w:eastAsia="宋体"/>
                <w:b w:val="0"/>
                <w:bCs w:val="0"/>
                <w:snapToGrid/>
                <w:color w:val="auto"/>
                <w:kern w:val="2"/>
                <w:sz w:val="16"/>
                <w:szCs w:val="16"/>
                <w:highlight w:val="none"/>
                <w:u w:val="none"/>
                <w:shd w:val="clear" w:fill="auto"/>
                <w:lang w:eastAsia="zh-CN" w:bidi="ar"/>
              </w:rPr>
              <w:t>%</w:t>
            </w:r>
          </w:p>
        </w:tc>
        <w:tc>
          <w:tcPr>
            <w:tcW w:w="553" w:type="dxa"/>
            <w:shd w:val="clear" w:color="auto" w:fill="auto"/>
            <w:vAlign w:val="center"/>
          </w:tcPr>
          <w:p w14:paraId="2AB7185D">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实测</w:t>
            </w:r>
          </w:p>
        </w:tc>
        <w:tc>
          <w:tcPr>
            <w:tcW w:w="553" w:type="dxa"/>
            <w:shd w:val="clear" w:color="auto" w:fill="auto"/>
            <w:vAlign w:val="center"/>
          </w:tcPr>
          <w:p w14:paraId="4D2E6C7E">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计算</w:t>
            </w:r>
          </w:p>
        </w:tc>
        <w:tc>
          <w:tcPr>
            <w:tcW w:w="743" w:type="dxa"/>
            <w:shd w:val="clear" w:color="auto" w:fill="auto"/>
            <w:vAlign w:val="center"/>
          </w:tcPr>
          <w:p w14:paraId="1D1DDFBA">
            <w:pPr>
              <w:pStyle w:val="4"/>
              <w:widowControl/>
              <w:tabs>
                <w:tab w:val="left" w:pos="8530"/>
              </w:tabs>
              <w:adjustRightInd/>
              <w:snapToGrid/>
              <w:jc w:val="center"/>
              <w:rPr>
                <w:rFonts w:hint="default"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误差</w:t>
            </w:r>
          </w:p>
          <w:p w14:paraId="09050D45">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eastAsia" w:eastAsia="宋体"/>
                <w:b w:val="0"/>
                <w:bCs w:val="0"/>
                <w:snapToGrid/>
                <w:color w:val="auto"/>
                <w:kern w:val="2"/>
                <w:sz w:val="16"/>
                <w:szCs w:val="16"/>
                <w:highlight w:val="none"/>
                <w:u w:val="none"/>
                <w:shd w:val="clear" w:fill="auto"/>
                <w:lang w:val="en-US" w:eastAsia="zh-CN" w:bidi="ar"/>
              </w:rPr>
              <w:t>/</w:t>
            </w:r>
            <w:r>
              <w:rPr>
                <w:rFonts w:hint="default" w:eastAsia="宋体"/>
                <w:b w:val="0"/>
                <w:bCs w:val="0"/>
                <w:snapToGrid/>
                <w:color w:val="auto"/>
                <w:kern w:val="2"/>
                <w:sz w:val="16"/>
                <w:szCs w:val="16"/>
                <w:highlight w:val="none"/>
                <w:u w:val="none"/>
                <w:shd w:val="clear" w:fill="auto"/>
                <w:lang w:eastAsia="zh-CN" w:bidi="ar"/>
              </w:rPr>
              <w:t>%</w:t>
            </w:r>
          </w:p>
        </w:tc>
        <w:tc>
          <w:tcPr>
            <w:tcW w:w="553" w:type="dxa"/>
            <w:shd w:val="clear" w:color="auto" w:fill="auto"/>
            <w:vAlign w:val="center"/>
          </w:tcPr>
          <w:p w14:paraId="21DACE56">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实测</w:t>
            </w:r>
          </w:p>
        </w:tc>
        <w:tc>
          <w:tcPr>
            <w:tcW w:w="553" w:type="dxa"/>
            <w:shd w:val="clear" w:color="auto" w:fill="auto"/>
            <w:vAlign w:val="center"/>
          </w:tcPr>
          <w:p w14:paraId="622A6A8B">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计算</w:t>
            </w:r>
          </w:p>
        </w:tc>
        <w:tc>
          <w:tcPr>
            <w:tcW w:w="743" w:type="dxa"/>
            <w:tcBorders>
              <w:right w:val="nil"/>
            </w:tcBorders>
            <w:shd w:val="clear" w:color="auto" w:fill="auto"/>
            <w:vAlign w:val="center"/>
          </w:tcPr>
          <w:p w14:paraId="1933328A">
            <w:pPr>
              <w:pStyle w:val="4"/>
              <w:widowControl/>
              <w:tabs>
                <w:tab w:val="left" w:pos="8530"/>
              </w:tabs>
              <w:adjustRightInd/>
              <w:snapToGrid/>
              <w:jc w:val="center"/>
              <w:rPr>
                <w:rFonts w:hint="default" w:eastAsia="宋体"/>
                <w:b w:val="0"/>
                <w:bCs w:val="0"/>
                <w:snapToGrid/>
                <w:color w:val="auto"/>
                <w:kern w:val="2"/>
                <w:sz w:val="16"/>
                <w:szCs w:val="16"/>
                <w:highlight w:val="none"/>
                <w:u w:val="none"/>
                <w:shd w:val="clear" w:fill="auto"/>
                <w:lang w:eastAsia="zh-CN" w:bidi="ar"/>
              </w:rPr>
            </w:pPr>
            <w:r>
              <w:rPr>
                <w:rFonts w:hint="default" w:eastAsia="宋体"/>
                <w:b w:val="0"/>
                <w:bCs w:val="0"/>
                <w:snapToGrid/>
                <w:color w:val="auto"/>
                <w:kern w:val="2"/>
                <w:sz w:val="16"/>
                <w:szCs w:val="16"/>
                <w:highlight w:val="none"/>
                <w:u w:val="none"/>
                <w:shd w:val="clear" w:fill="auto"/>
                <w:lang w:eastAsia="zh-CN" w:bidi="ar"/>
              </w:rPr>
              <w:t>误差</w:t>
            </w:r>
          </w:p>
          <w:p w14:paraId="10464445">
            <w:pPr>
              <w:pStyle w:val="4"/>
              <w:widowControl/>
              <w:tabs>
                <w:tab w:val="left" w:pos="8530"/>
              </w:tabs>
              <w:adjustRightInd/>
              <w:snapToGrid/>
              <w:jc w:val="center"/>
              <w:rPr>
                <w:rFonts w:eastAsia="宋体"/>
                <w:b w:val="0"/>
                <w:bCs w:val="0"/>
                <w:snapToGrid/>
                <w:color w:val="auto"/>
                <w:kern w:val="2"/>
                <w:sz w:val="16"/>
                <w:szCs w:val="16"/>
                <w:highlight w:val="none"/>
                <w:u w:val="none"/>
                <w:shd w:val="clear" w:fill="auto"/>
                <w:lang w:eastAsia="zh-CN" w:bidi="ar"/>
              </w:rPr>
            </w:pPr>
            <w:r>
              <w:rPr>
                <w:rFonts w:hint="eastAsia" w:eastAsia="宋体"/>
                <w:b w:val="0"/>
                <w:bCs w:val="0"/>
                <w:snapToGrid/>
                <w:color w:val="auto"/>
                <w:kern w:val="2"/>
                <w:sz w:val="16"/>
                <w:szCs w:val="16"/>
                <w:highlight w:val="none"/>
                <w:u w:val="none"/>
                <w:shd w:val="clear" w:fill="auto"/>
                <w:lang w:val="en-US" w:eastAsia="zh-CN" w:bidi="ar"/>
              </w:rPr>
              <w:t>/</w:t>
            </w:r>
            <w:r>
              <w:rPr>
                <w:rFonts w:hint="default" w:eastAsia="宋体"/>
                <w:b w:val="0"/>
                <w:bCs w:val="0"/>
                <w:snapToGrid/>
                <w:color w:val="auto"/>
                <w:kern w:val="2"/>
                <w:sz w:val="16"/>
                <w:szCs w:val="16"/>
                <w:highlight w:val="none"/>
                <w:u w:val="none"/>
                <w:shd w:val="clear" w:fill="auto"/>
                <w:lang w:eastAsia="zh-CN" w:bidi="ar"/>
              </w:rPr>
              <w:t>%</w:t>
            </w:r>
          </w:p>
        </w:tc>
      </w:tr>
      <w:tr w14:paraId="0B6A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1153" w:type="dxa"/>
            <w:tcBorders>
              <w:left w:val="nil"/>
              <w:bottom w:val="nil"/>
            </w:tcBorders>
            <w:shd w:val="clear" w:color="auto" w:fill="auto"/>
            <w:vAlign w:val="center"/>
          </w:tcPr>
          <w:p w14:paraId="41F40550">
            <w:pPr>
              <w:pStyle w:val="4"/>
              <w:widowControl/>
              <w:tabs>
                <w:tab w:val="left" w:pos="8530"/>
              </w:tabs>
              <w:adjustRightInd/>
              <w:snapToGrid/>
              <w:jc w:val="center"/>
              <w:rPr>
                <w:rFonts w:eastAsia="宋体"/>
                <w:snapToGrid/>
                <w:color w:val="auto"/>
                <w:kern w:val="2"/>
                <w:sz w:val="16"/>
                <w:szCs w:val="16"/>
                <w:highlight w:val="none"/>
                <w:u w:val="none"/>
                <w:shd w:val="clear" w:fill="auto"/>
                <w:lang w:eastAsia="zh-CN" w:bidi="ar"/>
              </w:rPr>
            </w:pPr>
            <w:r>
              <w:rPr>
                <w:rFonts w:hint="default" w:eastAsia="宋体"/>
                <w:bCs w:val="0"/>
                <w:snapToGrid/>
                <w:color w:val="auto"/>
                <w:kern w:val="2"/>
                <w:sz w:val="16"/>
                <w:szCs w:val="16"/>
                <w:highlight w:val="none"/>
                <w:u w:val="none"/>
                <w:shd w:val="clear" w:fill="auto"/>
                <w:lang w:eastAsia="zh-CN" w:bidi="ar"/>
              </w:rPr>
              <w:t>奔牛枢纽</w:t>
            </w:r>
          </w:p>
        </w:tc>
        <w:tc>
          <w:tcPr>
            <w:tcW w:w="552" w:type="dxa"/>
            <w:tcBorders>
              <w:bottom w:val="nil"/>
            </w:tcBorders>
            <w:shd w:val="clear" w:color="auto" w:fill="auto"/>
            <w:vAlign w:val="center"/>
          </w:tcPr>
          <w:p w14:paraId="497CB34A">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0.066</w:t>
            </w:r>
          </w:p>
        </w:tc>
        <w:tc>
          <w:tcPr>
            <w:tcW w:w="552" w:type="dxa"/>
            <w:tcBorders>
              <w:bottom w:val="nil"/>
            </w:tcBorders>
            <w:shd w:val="clear" w:color="auto" w:fill="auto"/>
            <w:vAlign w:val="center"/>
          </w:tcPr>
          <w:p w14:paraId="4FF706EE">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0.088</w:t>
            </w:r>
          </w:p>
        </w:tc>
        <w:tc>
          <w:tcPr>
            <w:tcW w:w="742" w:type="dxa"/>
            <w:tcBorders>
              <w:bottom w:val="nil"/>
            </w:tcBorders>
            <w:shd w:val="clear" w:color="auto" w:fill="auto"/>
            <w:vAlign w:val="center"/>
          </w:tcPr>
          <w:p w14:paraId="52D1CBA0">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33.33</w:t>
            </w:r>
          </w:p>
        </w:tc>
        <w:tc>
          <w:tcPr>
            <w:tcW w:w="553" w:type="dxa"/>
            <w:tcBorders>
              <w:bottom w:val="nil"/>
            </w:tcBorders>
            <w:shd w:val="clear" w:color="auto" w:fill="auto"/>
            <w:vAlign w:val="center"/>
          </w:tcPr>
          <w:p w14:paraId="557D99EE">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0.08</w:t>
            </w:r>
            <w:r>
              <w:rPr>
                <w:rFonts w:hint="eastAsia" w:eastAsia="宋体"/>
                <w:snapToGrid/>
                <w:color w:val="auto"/>
                <w:kern w:val="2"/>
                <w:sz w:val="16"/>
                <w:szCs w:val="16"/>
                <w:highlight w:val="none"/>
                <w:u w:val="none"/>
                <w:shd w:val="clear" w:fill="auto"/>
                <w:lang w:val="en-US" w:eastAsia="zh-CN" w:bidi="ar"/>
              </w:rPr>
              <w:t>0</w:t>
            </w:r>
          </w:p>
        </w:tc>
        <w:tc>
          <w:tcPr>
            <w:tcW w:w="553" w:type="dxa"/>
            <w:tcBorders>
              <w:bottom w:val="nil"/>
            </w:tcBorders>
            <w:shd w:val="clear" w:color="auto" w:fill="auto"/>
            <w:vAlign w:val="center"/>
          </w:tcPr>
          <w:p w14:paraId="4E873360">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0.09</w:t>
            </w:r>
            <w:r>
              <w:rPr>
                <w:rFonts w:hint="eastAsia" w:eastAsia="宋体"/>
                <w:snapToGrid/>
                <w:color w:val="auto"/>
                <w:kern w:val="2"/>
                <w:sz w:val="16"/>
                <w:szCs w:val="16"/>
                <w:highlight w:val="none"/>
                <w:u w:val="none"/>
                <w:shd w:val="clear" w:fill="auto"/>
                <w:lang w:val="en-US" w:eastAsia="zh-CN" w:bidi="ar"/>
              </w:rPr>
              <w:t>0</w:t>
            </w:r>
          </w:p>
        </w:tc>
        <w:tc>
          <w:tcPr>
            <w:tcW w:w="690" w:type="dxa"/>
            <w:tcBorders>
              <w:bottom w:val="nil"/>
            </w:tcBorders>
            <w:shd w:val="clear" w:color="auto" w:fill="auto"/>
            <w:vAlign w:val="center"/>
          </w:tcPr>
          <w:p w14:paraId="33CAC3A4">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12.50</w:t>
            </w:r>
          </w:p>
        </w:tc>
        <w:tc>
          <w:tcPr>
            <w:tcW w:w="553" w:type="dxa"/>
            <w:tcBorders>
              <w:bottom w:val="nil"/>
            </w:tcBorders>
            <w:shd w:val="clear" w:color="auto" w:fill="auto"/>
            <w:vAlign w:val="center"/>
          </w:tcPr>
          <w:p w14:paraId="04C03549">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0.201</w:t>
            </w:r>
          </w:p>
        </w:tc>
        <w:tc>
          <w:tcPr>
            <w:tcW w:w="553" w:type="dxa"/>
            <w:tcBorders>
              <w:bottom w:val="nil"/>
            </w:tcBorders>
            <w:shd w:val="clear" w:color="auto" w:fill="auto"/>
            <w:vAlign w:val="center"/>
          </w:tcPr>
          <w:p w14:paraId="5CC8E8AA">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0.299</w:t>
            </w:r>
          </w:p>
        </w:tc>
        <w:tc>
          <w:tcPr>
            <w:tcW w:w="743" w:type="dxa"/>
            <w:tcBorders>
              <w:bottom w:val="nil"/>
            </w:tcBorders>
            <w:shd w:val="clear" w:color="auto" w:fill="auto"/>
            <w:vAlign w:val="center"/>
          </w:tcPr>
          <w:p w14:paraId="2292B5F9">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48.76</w:t>
            </w:r>
          </w:p>
        </w:tc>
        <w:tc>
          <w:tcPr>
            <w:tcW w:w="553" w:type="dxa"/>
            <w:tcBorders>
              <w:bottom w:val="nil"/>
            </w:tcBorders>
            <w:shd w:val="clear" w:color="auto" w:fill="auto"/>
            <w:vAlign w:val="center"/>
          </w:tcPr>
          <w:p w14:paraId="715BE0BA">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0.19</w:t>
            </w:r>
            <w:r>
              <w:rPr>
                <w:rFonts w:hint="eastAsia" w:eastAsia="宋体"/>
                <w:snapToGrid/>
                <w:color w:val="auto"/>
                <w:kern w:val="2"/>
                <w:sz w:val="16"/>
                <w:szCs w:val="16"/>
                <w:highlight w:val="none"/>
                <w:u w:val="none"/>
                <w:shd w:val="clear" w:fill="auto"/>
                <w:lang w:val="en-US" w:eastAsia="zh-CN" w:bidi="ar"/>
              </w:rPr>
              <w:t>0</w:t>
            </w:r>
          </w:p>
        </w:tc>
        <w:tc>
          <w:tcPr>
            <w:tcW w:w="553" w:type="dxa"/>
            <w:tcBorders>
              <w:bottom w:val="nil"/>
            </w:tcBorders>
            <w:shd w:val="clear" w:color="auto" w:fill="auto"/>
            <w:vAlign w:val="center"/>
          </w:tcPr>
          <w:p w14:paraId="6CC94684">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0.178</w:t>
            </w:r>
          </w:p>
        </w:tc>
        <w:tc>
          <w:tcPr>
            <w:tcW w:w="743" w:type="dxa"/>
            <w:tcBorders>
              <w:bottom w:val="nil"/>
              <w:right w:val="nil"/>
            </w:tcBorders>
            <w:shd w:val="clear" w:color="auto" w:fill="auto"/>
            <w:vAlign w:val="center"/>
          </w:tcPr>
          <w:p w14:paraId="00A3150B">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-6.3%</w:t>
            </w:r>
          </w:p>
        </w:tc>
      </w:tr>
      <w:tr w14:paraId="0E36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1153" w:type="dxa"/>
            <w:tcBorders>
              <w:top w:val="nil"/>
              <w:left w:val="nil"/>
              <w:bottom w:val="nil"/>
            </w:tcBorders>
            <w:shd w:val="clear" w:color="auto" w:fill="auto"/>
            <w:vAlign w:val="center"/>
          </w:tcPr>
          <w:p w14:paraId="1F3DA67B">
            <w:pPr>
              <w:pStyle w:val="4"/>
              <w:widowControl/>
              <w:tabs>
                <w:tab w:val="left" w:pos="8530"/>
              </w:tabs>
              <w:adjustRightInd/>
              <w:snapToGrid/>
              <w:jc w:val="center"/>
              <w:rPr>
                <w:rFonts w:eastAsia="宋体"/>
                <w:snapToGrid/>
                <w:color w:val="auto"/>
                <w:kern w:val="2"/>
                <w:sz w:val="16"/>
                <w:szCs w:val="16"/>
                <w:highlight w:val="none"/>
                <w:u w:val="none"/>
                <w:shd w:val="clear" w:fill="auto"/>
                <w:lang w:eastAsia="zh-CN" w:bidi="ar"/>
              </w:rPr>
            </w:pPr>
            <w:r>
              <w:rPr>
                <w:rFonts w:hint="default" w:eastAsia="宋体"/>
                <w:bCs w:val="0"/>
                <w:snapToGrid/>
                <w:color w:val="auto"/>
                <w:kern w:val="2"/>
                <w:sz w:val="16"/>
                <w:szCs w:val="16"/>
                <w:highlight w:val="none"/>
                <w:u w:val="none"/>
                <w:shd w:val="clear" w:fill="auto"/>
                <w:lang w:eastAsia="zh-CN" w:bidi="ar"/>
              </w:rPr>
              <w:t>北干河</w:t>
            </w:r>
          </w:p>
        </w:tc>
        <w:tc>
          <w:tcPr>
            <w:tcW w:w="552" w:type="dxa"/>
            <w:tcBorders>
              <w:top w:val="nil"/>
              <w:bottom w:val="nil"/>
            </w:tcBorders>
            <w:shd w:val="clear" w:color="auto" w:fill="auto"/>
            <w:vAlign w:val="center"/>
          </w:tcPr>
          <w:p w14:paraId="1B288627">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0.09</w:t>
            </w:r>
            <w:r>
              <w:rPr>
                <w:rFonts w:hint="eastAsia" w:eastAsia="宋体"/>
                <w:snapToGrid/>
                <w:color w:val="auto"/>
                <w:kern w:val="2"/>
                <w:sz w:val="16"/>
                <w:szCs w:val="16"/>
                <w:highlight w:val="none"/>
                <w:u w:val="none"/>
                <w:shd w:val="clear" w:fill="auto"/>
                <w:lang w:val="en-US" w:eastAsia="zh-CN" w:bidi="ar"/>
              </w:rPr>
              <w:t>0</w:t>
            </w:r>
          </w:p>
        </w:tc>
        <w:tc>
          <w:tcPr>
            <w:tcW w:w="552" w:type="dxa"/>
            <w:tcBorders>
              <w:top w:val="nil"/>
              <w:bottom w:val="nil"/>
            </w:tcBorders>
            <w:shd w:val="clear" w:color="auto" w:fill="auto"/>
            <w:vAlign w:val="center"/>
          </w:tcPr>
          <w:p w14:paraId="7CAF509B">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0.127</w:t>
            </w:r>
          </w:p>
        </w:tc>
        <w:tc>
          <w:tcPr>
            <w:tcW w:w="742" w:type="dxa"/>
            <w:tcBorders>
              <w:top w:val="nil"/>
              <w:bottom w:val="nil"/>
            </w:tcBorders>
            <w:shd w:val="clear" w:color="auto" w:fill="auto"/>
            <w:vAlign w:val="center"/>
          </w:tcPr>
          <w:p w14:paraId="6CB448F9">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41.11</w:t>
            </w:r>
          </w:p>
        </w:tc>
        <w:tc>
          <w:tcPr>
            <w:tcW w:w="553" w:type="dxa"/>
            <w:tcBorders>
              <w:top w:val="nil"/>
              <w:bottom w:val="nil"/>
            </w:tcBorders>
            <w:shd w:val="clear" w:color="auto" w:fill="auto"/>
            <w:vAlign w:val="center"/>
          </w:tcPr>
          <w:p w14:paraId="5B606806">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0.09</w:t>
            </w:r>
            <w:r>
              <w:rPr>
                <w:rFonts w:hint="eastAsia" w:eastAsia="宋体"/>
                <w:snapToGrid/>
                <w:color w:val="auto"/>
                <w:kern w:val="2"/>
                <w:sz w:val="16"/>
                <w:szCs w:val="16"/>
                <w:highlight w:val="none"/>
                <w:u w:val="none"/>
                <w:shd w:val="clear" w:fill="auto"/>
                <w:lang w:val="en-US" w:eastAsia="zh-CN" w:bidi="ar"/>
              </w:rPr>
              <w:t>0</w:t>
            </w:r>
          </w:p>
        </w:tc>
        <w:tc>
          <w:tcPr>
            <w:tcW w:w="553" w:type="dxa"/>
            <w:tcBorders>
              <w:top w:val="nil"/>
              <w:bottom w:val="nil"/>
            </w:tcBorders>
            <w:shd w:val="clear" w:color="auto" w:fill="auto"/>
            <w:vAlign w:val="center"/>
          </w:tcPr>
          <w:p w14:paraId="1C8399DB">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0.116</w:t>
            </w:r>
          </w:p>
        </w:tc>
        <w:tc>
          <w:tcPr>
            <w:tcW w:w="690" w:type="dxa"/>
            <w:tcBorders>
              <w:top w:val="nil"/>
              <w:bottom w:val="nil"/>
            </w:tcBorders>
            <w:shd w:val="clear" w:color="auto" w:fill="auto"/>
            <w:vAlign w:val="center"/>
          </w:tcPr>
          <w:p w14:paraId="7FB21AB5">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28.89</w:t>
            </w:r>
          </w:p>
        </w:tc>
        <w:tc>
          <w:tcPr>
            <w:tcW w:w="553" w:type="dxa"/>
            <w:tcBorders>
              <w:top w:val="nil"/>
              <w:bottom w:val="nil"/>
            </w:tcBorders>
            <w:shd w:val="clear" w:color="auto" w:fill="auto"/>
            <w:vAlign w:val="center"/>
          </w:tcPr>
          <w:p w14:paraId="6EB77BC6">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0.332</w:t>
            </w:r>
          </w:p>
        </w:tc>
        <w:tc>
          <w:tcPr>
            <w:tcW w:w="553" w:type="dxa"/>
            <w:tcBorders>
              <w:top w:val="nil"/>
              <w:bottom w:val="nil"/>
            </w:tcBorders>
            <w:shd w:val="clear" w:color="auto" w:fill="auto"/>
            <w:vAlign w:val="center"/>
          </w:tcPr>
          <w:p w14:paraId="10145C09">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0.401</w:t>
            </w:r>
          </w:p>
        </w:tc>
        <w:tc>
          <w:tcPr>
            <w:tcW w:w="743" w:type="dxa"/>
            <w:tcBorders>
              <w:top w:val="nil"/>
              <w:bottom w:val="nil"/>
            </w:tcBorders>
            <w:shd w:val="clear" w:color="auto" w:fill="auto"/>
            <w:vAlign w:val="center"/>
          </w:tcPr>
          <w:p w14:paraId="781B778B">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20.78</w:t>
            </w:r>
          </w:p>
        </w:tc>
        <w:tc>
          <w:tcPr>
            <w:tcW w:w="553" w:type="dxa"/>
            <w:tcBorders>
              <w:top w:val="nil"/>
              <w:bottom w:val="nil"/>
            </w:tcBorders>
            <w:shd w:val="clear" w:color="auto" w:fill="auto"/>
            <w:vAlign w:val="center"/>
          </w:tcPr>
          <w:p w14:paraId="50C60B21">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0.217</w:t>
            </w:r>
          </w:p>
        </w:tc>
        <w:tc>
          <w:tcPr>
            <w:tcW w:w="553" w:type="dxa"/>
            <w:tcBorders>
              <w:top w:val="nil"/>
              <w:bottom w:val="nil"/>
            </w:tcBorders>
            <w:shd w:val="clear" w:color="auto" w:fill="auto"/>
            <w:vAlign w:val="center"/>
          </w:tcPr>
          <w:p w14:paraId="58A5BFBD">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0.303</w:t>
            </w:r>
          </w:p>
        </w:tc>
        <w:tc>
          <w:tcPr>
            <w:tcW w:w="743" w:type="dxa"/>
            <w:tcBorders>
              <w:top w:val="nil"/>
              <w:bottom w:val="nil"/>
              <w:right w:val="nil"/>
            </w:tcBorders>
            <w:shd w:val="clear" w:color="auto" w:fill="auto"/>
            <w:vAlign w:val="center"/>
          </w:tcPr>
          <w:p w14:paraId="69B98BD3">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39.6%</w:t>
            </w:r>
          </w:p>
        </w:tc>
      </w:tr>
      <w:tr w14:paraId="2322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1153" w:type="dxa"/>
            <w:tcBorders>
              <w:top w:val="nil"/>
              <w:left w:val="nil"/>
              <w:bottom w:val="nil"/>
            </w:tcBorders>
            <w:shd w:val="clear" w:color="auto" w:fill="auto"/>
            <w:vAlign w:val="center"/>
          </w:tcPr>
          <w:p w14:paraId="4C7D73BB">
            <w:pPr>
              <w:pStyle w:val="4"/>
              <w:widowControl/>
              <w:tabs>
                <w:tab w:val="left" w:pos="8530"/>
              </w:tabs>
              <w:adjustRightInd/>
              <w:snapToGrid/>
              <w:jc w:val="center"/>
              <w:rPr>
                <w:rFonts w:eastAsia="宋体"/>
                <w:snapToGrid/>
                <w:color w:val="auto"/>
                <w:kern w:val="2"/>
                <w:sz w:val="16"/>
                <w:szCs w:val="16"/>
                <w:highlight w:val="none"/>
                <w:u w:val="none"/>
                <w:shd w:val="clear" w:fill="auto"/>
                <w:lang w:eastAsia="zh-CN" w:bidi="ar"/>
              </w:rPr>
            </w:pPr>
            <w:r>
              <w:rPr>
                <w:rFonts w:hint="default" w:eastAsia="宋体"/>
                <w:bCs w:val="0"/>
                <w:snapToGrid/>
                <w:color w:val="auto"/>
                <w:kern w:val="2"/>
                <w:sz w:val="16"/>
                <w:szCs w:val="16"/>
                <w:highlight w:val="none"/>
                <w:u w:val="none"/>
                <w:shd w:val="clear" w:fill="auto"/>
                <w:lang w:eastAsia="zh-CN" w:bidi="ar"/>
              </w:rPr>
              <w:t>太滆运河</w:t>
            </w:r>
          </w:p>
        </w:tc>
        <w:tc>
          <w:tcPr>
            <w:tcW w:w="552" w:type="dxa"/>
            <w:tcBorders>
              <w:top w:val="nil"/>
              <w:bottom w:val="nil"/>
            </w:tcBorders>
            <w:shd w:val="clear" w:color="auto" w:fill="auto"/>
            <w:vAlign w:val="center"/>
          </w:tcPr>
          <w:p w14:paraId="03CDAF2B">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0.118</w:t>
            </w:r>
          </w:p>
        </w:tc>
        <w:tc>
          <w:tcPr>
            <w:tcW w:w="552" w:type="dxa"/>
            <w:tcBorders>
              <w:top w:val="nil"/>
              <w:bottom w:val="nil"/>
            </w:tcBorders>
            <w:shd w:val="clear" w:color="auto" w:fill="auto"/>
            <w:vAlign w:val="center"/>
          </w:tcPr>
          <w:p w14:paraId="04C5BD1F">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0.145</w:t>
            </w:r>
          </w:p>
        </w:tc>
        <w:tc>
          <w:tcPr>
            <w:tcW w:w="742" w:type="dxa"/>
            <w:tcBorders>
              <w:top w:val="nil"/>
              <w:bottom w:val="nil"/>
            </w:tcBorders>
            <w:shd w:val="clear" w:color="auto" w:fill="auto"/>
            <w:vAlign w:val="center"/>
          </w:tcPr>
          <w:p w14:paraId="30F50017">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22.88</w:t>
            </w:r>
          </w:p>
        </w:tc>
        <w:tc>
          <w:tcPr>
            <w:tcW w:w="553" w:type="dxa"/>
            <w:tcBorders>
              <w:top w:val="nil"/>
              <w:bottom w:val="nil"/>
            </w:tcBorders>
            <w:shd w:val="clear" w:color="auto" w:fill="auto"/>
            <w:vAlign w:val="center"/>
          </w:tcPr>
          <w:p w14:paraId="4211442D">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0.104</w:t>
            </w:r>
          </w:p>
        </w:tc>
        <w:tc>
          <w:tcPr>
            <w:tcW w:w="553" w:type="dxa"/>
            <w:tcBorders>
              <w:top w:val="nil"/>
              <w:bottom w:val="nil"/>
            </w:tcBorders>
            <w:shd w:val="clear" w:color="auto" w:fill="auto"/>
            <w:vAlign w:val="center"/>
          </w:tcPr>
          <w:p w14:paraId="2B7159AD">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0.148</w:t>
            </w:r>
          </w:p>
        </w:tc>
        <w:tc>
          <w:tcPr>
            <w:tcW w:w="690" w:type="dxa"/>
            <w:tcBorders>
              <w:top w:val="nil"/>
              <w:bottom w:val="nil"/>
            </w:tcBorders>
            <w:shd w:val="clear" w:color="auto" w:fill="auto"/>
            <w:vAlign w:val="center"/>
          </w:tcPr>
          <w:p w14:paraId="368A07D5">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42.31</w:t>
            </w:r>
          </w:p>
        </w:tc>
        <w:tc>
          <w:tcPr>
            <w:tcW w:w="553" w:type="dxa"/>
            <w:tcBorders>
              <w:top w:val="nil"/>
              <w:bottom w:val="nil"/>
            </w:tcBorders>
            <w:shd w:val="clear" w:color="auto" w:fill="auto"/>
            <w:vAlign w:val="center"/>
          </w:tcPr>
          <w:p w14:paraId="685B42E1">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0.328</w:t>
            </w:r>
          </w:p>
        </w:tc>
        <w:tc>
          <w:tcPr>
            <w:tcW w:w="553" w:type="dxa"/>
            <w:tcBorders>
              <w:top w:val="nil"/>
              <w:bottom w:val="nil"/>
            </w:tcBorders>
            <w:shd w:val="clear" w:color="auto" w:fill="auto"/>
            <w:vAlign w:val="center"/>
          </w:tcPr>
          <w:p w14:paraId="10219D0A">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0.436</w:t>
            </w:r>
          </w:p>
        </w:tc>
        <w:tc>
          <w:tcPr>
            <w:tcW w:w="743" w:type="dxa"/>
            <w:tcBorders>
              <w:top w:val="nil"/>
              <w:bottom w:val="nil"/>
            </w:tcBorders>
            <w:shd w:val="clear" w:color="auto" w:fill="auto"/>
            <w:vAlign w:val="center"/>
          </w:tcPr>
          <w:p w14:paraId="7492404D">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32.93</w:t>
            </w:r>
          </w:p>
        </w:tc>
        <w:tc>
          <w:tcPr>
            <w:tcW w:w="553" w:type="dxa"/>
            <w:tcBorders>
              <w:top w:val="nil"/>
              <w:bottom w:val="nil"/>
            </w:tcBorders>
            <w:shd w:val="clear" w:color="auto" w:fill="auto"/>
            <w:vAlign w:val="center"/>
          </w:tcPr>
          <w:p w14:paraId="29B9C89A">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0.312</w:t>
            </w:r>
          </w:p>
        </w:tc>
        <w:tc>
          <w:tcPr>
            <w:tcW w:w="553" w:type="dxa"/>
            <w:tcBorders>
              <w:top w:val="nil"/>
              <w:bottom w:val="nil"/>
            </w:tcBorders>
            <w:shd w:val="clear" w:color="auto" w:fill="auto"/>
            <w:vAlign w:val="center"/>
          </w:tcPr>
          <w:p w14:paraId="575194E2">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0.392</w:t>
            </w:r>
          </w:p>
        </w:tc>
        <w:tc>
          <w:tcPr>
            <w:tcW w:w="743" w:type="dxa"/>
            <w:tcBorders>
              <w:top w:val="nil"/>
              <w:bottom w:val="nil"/>
              <w:right w:val="nil"/>
            </w:tcBorders>
            <w:shd w:val="clear" w:color="auto" w:fill="auto"/>
            <w:vAlign w:val="center"/>
          </w:tcPr>
          <w:p w14:paraId="6FC9933E">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25.64</w:t>
            </w:r>
          </w:p>
        </w:tc>
      </w:tr>
      <w:tr w14:paraId="4EAF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1153" w:type="dxa"/>
            <w:tcBorders>
              <w:top w:val="nil"/>
              <w:left w:val="nil"/>
              <w:bottom w:val="nil"/>
            </w:tcBorders>
            <w:shd w:val="clear" w:color="auto" w:fill="auto"/>
            <w:vAlign w:val="center"/>
          </w:tcPr>
          <w:p w14:paraId="00E16E2C">
            <w:pPr>
              <w:pStyle w:val="4"/>
              <w:widowControl/>
              <w:tabs>
                <w:tab w:val="left" w:pos="8530"/>
              </w:tabs>
              <w:adjustRightInd/>
              <w:snapToGrid/>
              <w:jc w:val="center"/>
              <w:rPr>
                <w:rFonts w:eastAsia="宋体"/>
                <w:snapToGrid/>
                <w:color w:val="auto"/>
                <w:kern w:val="2"/>
                <w:sz w:val="16"/>
                <w:szCs w:val="16"/>
                <w:highlight w:val="none"/>
                <w:u w:val="none"/>
                <w:shd w:val="clear" w:fill="auto"/>
                <w:lang w:eastAsia="zh-CN" w:bidi="ar"/>
              </w:rPr>
            </w:pPr>
            <w:r>
              <w:rPr>
                <w:rFonts w:hint="default" w:eastAsia="宋体"/>
                <w:bCs w:val="0"/>
                <w:snapToGrid/>
                <w:color w:val="auto"/>
                <w:kern w:val="2"/>
                <w:sz w:val="16"/>
                <w:szCs w:val="16"/>
                <w:highlight w:val="none"/>
                <w:u w:val="none"/>
                <w:shd w:val="clear" w:fill="auto"/>
                <w:lang w:eastAsia="zh-CN" w:bidi="ar"/>
              </w:rPr>
              <w:t>漕桥河</w:t>
            </w:r>
          </w:p>
        </w:tc>
        <w:tc>
          <w:tcPr>
            <w:tcW w:w="552" w:type="dxa"/>
            <w:tcBorders>
              <w:top w:val="nil"/>
              <w:bottom w:val="nil"/>
            </w:tcBorders>
            <w:shd w:val="clear" w:color="auto" w:fill="auto"/>
            <w:vAlign w:val="center"/>
          </w:tcPr>
          <w:p w14:paraId="634C3E3D">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0.125</w:t>
            </w:r>
          </w:p>
        </w:tc>
        <w:tc>
          <w:tcPr>
            <w:tcW w:w="552" w:type="dxa"/>
            <w:tcBorders>
              <w:top w:val="nil"/>
              <w:bottom w:val="nil"/>
            </w:tcBorders>
            <w:shd w:val="clear" w:color="auto" w:fill="auto"/>
            <w:vAlign w:val="center"/>
          </w:tcPr>
          <w:p w14:paraId="7EFC8319">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0.073</w:t>
            </w:r>
          </w:p>
        </w:tc>
        <w:tc>
          <w:tcPr>
            <w:tcW w:w="742" w:type="dxa"/>
            <w:tcBorders>
              <w:top w:val="nil"/>
              <w:bottom w:val="nil"/>
            </w:tcBorders>
            <w:shd w:val="clear" w:color="auto" w:fill="auto"/>
            <w:vAlign w:val="center"/>
          </w:tcPr>
          <w:p w14:paraId="383E52B0">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-41.60</w:t>
            </w:r>
          </w:p>
        </w:tc>
        <w:tc>
          <w:tcPr>
            <w:tcW w:w="553" w:type="dxa"/>
            <w:tcBorders>
              <w:top w:val="nil"/>
              <w:bottom w:val="nil"/>
            </w:tcBorders>
            <w:shd w:val="clear" w:color="auto" w:fill="auto"/>
            <w:vAlign w:val="center"/>
          </w:tcPr>
          <w:p w14:paraId="49F70679">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0.125</w:t>
            </w:r>
          </w:p>
        </w:tc>
        <w:tc>
          <w:tcPr>
            <w:tcW w:w="553" w:type="dxa"/>
            <w:tcBorders>
              <w:top w:val="nil"/>
              <w:bottom w:val="nil"/>
            </w:tcBorders>
            <w:shd w:val="clear" w:color="auto" w:fill="auto"/>
            <w:vAlign w:val="center"/>
          </w:tcPr>
          <w:p w14:paraId="24C03650">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0.12</w:t>
            </w:r>
            <w:r>
              <w:rPr>
                <w:rFonts w:hint="eastAsia" w:eastAsia="宋体"/>
                <w:snapToGrid/>
                <w:color w:val="auto"/>
                <w:kern w:val="2"/>
                <w:sz w:val="16"/>
                <w:szCs w:val="16"/>
                <w:highlight w:val="none"/>
                <w:u w:val="none"/>
                <w:shd w:val="clear" w:fill="auto"/>
                <w:lang w:val="en-US" w:eastAsia="zh-CN" w:bidi="ar"/>
              </w:rPr>
              <w:t>0</w:t>
            </w:r>
          </w:p>
        </w:tc>
        <w:tc>
          <w:tcPr>
            <w:tcW w:w="690" w:type="dxa"/>
            <w:tcBorders>
              <w:top w:val="nil"/>
              <w:bottom w:val="nil"/>
            </w:tcBorders>
            <w:shd w:val="clear" w:color="auto" w:fill="auto"/>
            <w:vAlign w:val="center"/>
          </w:tcPr>
          <w:p w14:paraId="7CF0532E">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-4.00</w:t>
            </w:r>
          </w:p>
        </w:tc>
        <w:tc>
          <w:tcPr>
            <w:tcW w:w="553" w:type="dxa"/>
            <w:tcBorders>
              <w:top w:val="nil"/>
              <w:bottom w:val="nil"/>
            </w:tcBorders>
            <w:shd w:val="clear" w:color="auto" w:fill="auto"/>
            <w:vAlign w:val="center"/>
          </w:tcPr>
          <w:p w14:paraId="2AB40DCA">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0.262</w:t>
            </w:r>
          </w:p>
        </w:tc>
        <w:tc>
          <w:tcPr>
            <w:tcW w:w="553" w:type="dxa"/>
            <w:tcBorders>
              <w:top w:val="nil"/>
              <w:bottom w:val="nil"/>
            </w:tcBorders>
            <w:shd w:val="clear" w:color="auto" w:fill="auto"/>
            <w:vAlign w:val="center"/>
          </w:tcPr>
          <w:p w14:paraId="5881BE72">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0.229</w:t>
            </w:r>
          </w:p>
        </w:tc>
        <w:tc>
          <w:tcPr>
            <w:tcW w:w="743" w:type="dxa"/>
            <w:tcBorders>
              <w:top w:val="nil"/>
              <w:bottom w:val="nil"/>
            </w:tcBorders>
            <w:shd w:val="clear" w:color="auto" w:fill="auto"/>
            <w:vAlign w:val="center"/>
          </w:tcPr>
          <w:p w14:paraId="047400DF">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-12.60</w:t>
            </w:r>
          </w:p>
        </w:tc>
        <w:tc>
          <w:tcPr>
            <w:tcW w:w="553" w:type="dxa"/>
            <w:tcBorders>
              <w:top w:val="nil"/>
              <w:bottom w:val="nil"/>
            </w:tcBorders>
            <w:shd w:val="clear" w:color="auto" w:fill="auto"/>
            <w:vAlign w:val="center"/>
          </w:tcPr>
          <w:p w14:paraId="71521C3D">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0.31</w:t>
            </w:r>
            <w:r>
              <w:rPr>
                <w:rFonts w:hint="eastAsia" w:eastAsia="宋体"/>
                <w:snapToGrid/>
                <w:color w:val="auto"/>
                <w:kern w:val="2"/>
                <w:sz w:val="16"/>
                <w:szCs w:val="16"/>
                <w:highlight w:val="none"/>
                <w:u w:val="none"/>
                <w:shd w:val="clear" w:fill="auto"/>
                <w:lang w:val="en-US" w:eastAsia="zh-CN" w:bidi="ar"/>
              </w:rPr>
              <w:t>0</w:t>
            </w:r>
          </w:p>
        </w:tc>
        <w:tc>
          <w:tcPr>
            <w:tcW w:w="553" w:type="dxa"/>
            <w:tcBorders>
              <w:top w:val="nil"/>
              <w:bottom w:val="nil"/>
            </w:tcBorders>
            <w:shd w:val="clear" w:color="auto" w:fill="auto"/>
            <w:vAlign w:val="center"/>
          </w:tcPr>
          <w:p w14:paraId="761236F5">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0.231</w:t>
            </w:r>
          </w:p>
        </w:tc>
        <w:tc>
          <w:tcPr>
            <w:tcW w:w="743" w:type="dxa"/>
            <w:tcBorders>
              <w:top w:val="nil"/>
              <w:bottom w:val="nil"/>
              <w:right w:val="nil"/>
            </w:tcBorders>
            <w:shd w:val="clear" w:color="auto" w:fill="auto"/>
            <w:vAlign w:val="center"/>
          </w:tcPr>
          <w:p w14:paraId="33D35D4D">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-25.48</w:t>
            </w:r>
          </w:p>
        </w:tc>
      </w:tr>
      <w:tr w14:paraId="19B9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1153" w:type="dxa"/>
            <w:tcBorders>
              <w:top w:val="nil"/>
              <w:left w:val="nil"/>
            </w:tcBorders>
            <w:shd w:val="clear" w:color="auto" w:fill="auto"/>
            <w:vAlign w:val="center"/>
          </w:tcPr>
          <w:p w14:paraId="2DED208D">
            <w:pPr>
              <w:pStyle w:val="4"/>
              <w:widowControl/>
              <w:tabs>
                <w:tab w:val="left" w:pos="8530"/>
              </w:tabs>
              <w:adjustRightInd/>
              <w:snapToGrid/>
              <w:jc w:val="center"/>
              <w:rPr>
                <w:rFonts w:eastAsia="宋体"/>
                <w:snapToGrid/>
                <w:color w:val="auto"/>
                <w:kern w:val="2"/>
                <w:sz w:val="16"/>
                <w:szCs w:val="16"/>
                <w:highlight w:val="none"/>
                <w:u w:val="none"/>
                <w:shd w:val="clear" w:fill="auto"/>
                <w:lang w:eastAsia="zh-CN" w:bidi="ar"/>
              </w:rPr>
            </w:pPr>
            <w:r>
              <w:rPr>
                <w:rFonts w:hint="default" w:eastAsia="宋体"/>
                <w:bCs w:val="0"/>
                <w:snapToGrid/>
                <w:color w:val="auto"/>
                <w:kern w:val="2"/>
                <w:sz w:val="16"/>
                <w:szCs w:val="16"/>
                <w:highlight w:val="none"/>
                <w:u w:val="none"/>
                <w:shd w:val="clear" w:fill="auto"/>
                <w:lang w:eastAsia="zh-CN" w:bidi="ar"/>
              </w:rPr>
              <w:t>武南河西河桥</w:t>
            </w:r>
          </w:p>
        </w:tc>
        <w:tc>
          <w:tcPr>
            <w:tcW w:w="552" w:type="dxa"/>
            <w:tcBorders>
              <w:top w:val="nil"/>
            </w:tcBorders>
            <w:shd w:val="clear" w:color="auto" w:fill="auto"/>
            <w:vAlign w:val="center"/>
          </w:tcPr>
          <w:p w14:paraId="7D068D6C">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0.179</w:t>
            </w:r>
          </w:p>
        </w:tc>
        <w:tc>
          <w:tcPr>
            <w:tcW w:w="552" w:type="dxa"/>
            <w:tcBorders>
              <w:top w:val="nil"/>
            </w:tcBorders>
            <w:shd w:val="clear" w:color="auto" w:fill="auto"/>
            <w:vAlign w:val="center"/>
          </w:tcPr>
          <w:p w14:paraId="7F6C5E05">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0.177</w:t>
            </w:r>
          </w:p>
        </w:tc>
        <w:tc>
          <w:tcPr>
            <w:tcW w:w="742" w:type="dxa"/>
            <w:tcBorders>
              <w:top w:val="nil"/>
            </w:tcBorders>
            <w:shd w:val="clear" w:color="auto" w:fill="auto"/>
            <w:vAlign w:val="center"/>
          </w:tcPr>
          <w:p w14:paraId="7B5FD455">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-1.12</w:t>
            </w:r>
          </w:p>
        </w:tc>
        <w:tc>
          <w:tcPr>
            <w:tcW w:w="553" w:type="dxa"/>
            <w:tcBorders>
              <w:top w:val="nil"/>
            </w:tcBorders>
            <w:shd w:val="clear" w:color="auto" w:fill="auto"/>
            <w:vAlign w:val="center"/>
          </w:tcPr>
          <w:p w14:paraId="2661BE16">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0.174</w:t>
            </w:r>
          </w:p>
        </w:tc>
        <w:tc>
          <w:tcPr>
            <w:tcW w:w="553" w:type="dxa"/>
            <w:tcBorders>
              <w:top w:val="nil"/>
            </w:tcBorders>
            <w:shd w:val="clear" w:color="auto" w:fill="auto"/>
            <w:vAlign w:val="center"/>
          </w:tcPr>
          <w:p w14:paraId="0EC6198D">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0.181</w:t>
            </w:r>
          </w:p>
        </w:tc>
        <w:tc>
          <w:tcPr>
            <w:tcW w:w="690" w:type="dxa"/>
            <w:tcBorders>
              <w:top w:val="nil"/>
            </w:tcBorders>
            <w:shd w:val="clear" w:color="auto" w:fill="auto"/>
            <w:vAlign w:val="center"/>
          </w:tcPr>
          <w:p w14:paraId="60CEFB9B">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4.02</w:t>
            </w:r>
          </w:p>
        </w:tc>
        <w:tc>
          <w:tcPr>
            <w:tcW w:w="553" w:type="dxa"/>
            <w:tcBorders>
              <w:top w:val="nil"/>
            </w:tcBorders>
            <w:shd w:val="clear" w:color="auto" w:fill="auto"/>
            <w:vAlign w:val="center"/>
          </w:tcPr>
          <w:p w14:paraId="7F974AC9">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0.9</w:t>
            </w:r>
            <w:r>
              <w:rPr>
                <w:rFonts w:hint="eastAsia" w:eastAsia="宋体"/>
                <w:snapToGrid/>
                <w:color w:val="auto"/>
                <w:kern w:val="2"/>
                <w:sz w:val="16"/>
                <w:szCs w:val="16"/>
                <w:highlight w:val="none"/>
                <w:u w:val="none"/>
                <w:shd w:val="clear" w:fill="auto"/>
                <w:lang w:val="en-US" w:eastAsia="zh-CN" w:bidi="ar"/>
              </w:rPr>
              <w:t>00</w:t>
            </w:r>
          </w:p>
        </w:tc>
        <w:tc>
          <w:tcPr>
            <w:tcW w:w="553" w:type="dxa"/>
            <w:tcBorders>
              <w:top w:val="nil"/>
            </w:tcBorders>
            <w:shd w:val="clear" w:color="auto" w:fill="auto"/>
            <w:vAlign w:val="center"/>
          </w:tcPr>
          <w:p w14:paraId="6A1D0D48">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0.6</w:t>
            </w:r>
            <w:r>
              <w:rPr>
                <w:rFonts w:hint="eastAsia" w:eastAsia="宋体"/>
                <w:snapToGrid/>
                <w:color w:val="auto"/>
                <w:kern w:val="2"/>
                <w:sz w:val="16"/>
                <w:szCs w:val="16"/>
                <w:highlight w:val="none"/>
                <w:u w:val="none"/>
                <w:shd w:val="clear" w:fill="auto"/>
                <w:lang w:val="en-US" w:eastAsia="zh-CN" w:bidi="ar"/>
              </w:rPr>
              <w:t>00</w:t>
            </w:r>
          </w:p>
        </w:tc>
        <w:tc>
          <w:tcPr>
            <w:tcW w:w="743" w:type="dxa"/>
            <w:tcBorders>
              <w:top w:val="nil"/>
            </w:tcBorders>
            <w:shd w:val="clear" w:color="auto" w:fill="auto"/>
            <w:vAlign w:val="center"/>
          </w:tcPr>
          <w:p w14:paraId="7793848E">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-33.33</w:t>
            </w:r>
          </w:p>
        </w:tc>
        <w:tc>
          <w:tcPr>
            <w:tcW w:w="553" w:type="dxa"/>
            <w:tcBorders>
              <w:top w:val="nil"/>
            </w:tcBorders>
            <w:shd w:val="clear" w:color="auto" w:fill="auto"/>
            <w:vAlign w:val="center"/>
          </w:tcPr>
          <w:p w14:paraId="71513006">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0.888</w:t>
            </w:r>
          </w:p>
        </w:tc>
        <w:tc>
          <w:tcPr>
            <w:tcW w:w="553" w:type="dxa"/>
            <w:tcBorders>
              <w:top w:val="nil"/>
            </w:tcBorders>
            <w:shd w:val="clear" w:color="auto" w:fill="auto"/>
            <w:vAlign w:val="center"/>
          </w:tcPr>
          <w:p w14:paraId="52AC3A82">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0.485</w:t>
            </w:r>
          </w:p>
        </w:tc>
        <w:tc>
          <w:tcPr>
            <w:tcW w:w="743" w:type="dxa"/>
            <w:tcBorders>
              <w:top w:val="nil"/>
              <w:right w:val="nil"/>
            </w:tcBorders>
            <w:shd w:val="clear" w:color="auto" w:fill="auto"/>
            <w:vAlign w:val="center"/>
          </w:tcPr>
          <w:p w14:paraId="344D6F75">
            <w:pPr>
              <w:pStyle w:val="4"/>
              <w:widowControl/>
              <w:tabs>
                <w:tab w:val="left" w:pos="8530"/>
              </w:tabs>
              <w:adjustRightInd/>
              <w:snapToGrid/>
              <w:jc w:val="center"/>
              <w:textAlignment w:val="baseline"/>
              <w:rPr>
                <w:rFonts w:eastAsia="宋体"/>
                <w:snapToGrid/>
                <w:color w:val="auto"/>
                <w:kern w:val="2"/>
                <w:sz w:val="16"/>
                <w:szCs w:val="16"/>
                <w:highlight w:val="none"/>
                <w:u w:val="none"/>
                <w:shd w:val="clear" w:fill="auto"/>
                <w:lang w:eastAsia="zh-CN" w:bidi="ar"/>
              </w:rPr>
            </w:pPr>
            <w:r>
              <w:rPr>
                <w:rFonts w:eastAsia="宋体"/>
                <w:snapToGrid/>
                <w:color w:val="auto"/>
                <w:kern w:val="2"/>
                <w:sz w:val="16"/>
                <w:szCs w:val="16"/>
                <w:highlight w:val="none"/>
                <w:u w:val="none"/>
                <w:shd w:val="clear" w:fill="auto"/>
                <w:lang w:eastAsia="zh-CN" w:bidi="ar"/>
              </w:rPr>
              <w:t>-45.38</w:t>
            </w:r>
          </w:p>
        </w:tc>
      </w:tr>
    </w:tbl>
    <w:p w14:paraId="0003ACA3">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00" w:firstLineChars="200"/>
        <w:jc w:val="both"/>
        <w:textAlignment w:val="baseline"/>
        <w:rPr>
          <w:rFonts w:hint="default" w:ascii="Times New Roman" w:hAnsi="Times New Roman" w:eastAsia="宋体" w:cs="Times New Roman"/>
          <w:snapToGrid/>
          <w:color w:val="auto"/>
          <w:spacing w:val="0"/>
          <w:w w:val="100"/>
          <w:kern w:val="2"/>
          <w:position w:val="0"/>
          <w:sz w:val="20"/>
          <w:szCs w:val="20"/>
          <w:highlight w:val="none"/>
          <w:u w:val="none"/>
          <w:shd w:val="clear" w:fill="auto"/>
          <w:lang w:val="en-US" w:eastAsia="zh-CN"/>
        </w:rPr>
      </w:pPr>
    </w:p>
    <w:p w14:paraId="4AE78B7D">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textAlignment w:val="baseline"/>
        <w:outlineLvl w:val="2"/>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2.</w:t>
      </w:r>
      <w:r>
        <w:rPr>
          <w:rFonts w:hint="eastAsia" w:eastAsia="黑体" w:cs="Times New Roman"/>
          <w:snapToGrid/>
          <w:color w:val="auto"/>
          <w:spacing w:val="0"/>
          <w:w w:val="100"/>
          <w:kern w:val="2"/>
          <w:position w:val="0"/>
          <w:sz w:val="21"/>
          <w:szCs w:val="21"/>
          <w:highlight w:val="none"/>
          <w:u w:val="none"/>
          <w:shd w:val="clear" w:fill="auto"/>
          <w:lang w:val="en-US" w:eastAsia="zh-CN"/>
        </w:rPr>
        <w:t>4</w:t>
      </w: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 xml:space="preserve"> 调度方案设计</w:t>
      </w:r>
    </w:p>
    <w:p w14:paraId="66485788">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研究区域工程众多，大、小河道基本均受闸泵工程控制，因此辨识关键控制节点并据此设计调度方案，是构建策略方案的基础。2022年抗旱调水初期研究区域平均水位分布</w:t>
      </w:r>
      <w:r>
        <w:rPr>
          <w:rFonts w:hint="eastAsia" w:eastAsia="宋体" w:cs="Times New Roman"/>
          <w:snapToGrid/>
          <w:color w:val="auto"/>
          <w:spacing w:val="0"/>
          <w:w w:val="100"/>
          <w:kern w:val="2"/>
          <w:position w:val="0"/>
          <w:sz w:val="21"/>
          <w:szCs w:val="21"/>
          <w:highlight w:val="none"/>
          <w:u w:val="none"/>
          <w:shd w:val="clear" w:fill="auto"/>
          <w:lang w:val="en-US" w:eastAsia="zh-CN"/>
        </w:rPr>
        <w:t>模拟结果如</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图</w:t>
      </w:r>
      <w:r>
        <w:rPr>
          <w:rFonts w:hint="eastAsia" w:eastAsia="宋体" w:cs="Times New Roman"/>
          <w:snapToGrid/>
          <w:color w:val="auto"/>
          <w:spacing w:val="0"/>
          <w:w w:val="100"/>
          <w:kern w:val="2"/>
          <w:position w:val="0"/>
          <w:sz w:val="21"/>
          <w:szCs w:val="21"/>
          <w:highlight w:val="none"/>
          <w:u w:val="none"/>
          <w:shd w:val="clear" w:fill="auto"/>
          <w:lang w:val="en-US" w:eastAsia="zh-CN"/>
        </w:rPr>
        <w:t>5所</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示。总体来看，区域水位大致呈北部高于南部、</w:t>
      </w:r>
      <w:r>
        <w:rPr>
          <w:rFonts w:hint="eastAsia" w:eastAsia="宋体" w:cs="Times New Roman"/>
          <w:snapToGrid/>
          <w:color w:val="auto"/>
          <w:spacing w:val="0"/>
          <w:w w:val="100"/>
          <w:kern w:val="2"/>
          <w:position w:val="0"/>
          <w:sz w:val="21"/>
          <w:szCs w:val="21"/>
          <w:highlight w:val="none"/>
          <w:u w:val="none"/>
          <w:shd w:val="clear" w:fill="auto"/>
          <w:lang w:val="en-US" w:eastAsia="zh-CN"/>
        </w:rPr>
        <w:t>西</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部高于</w:t>
      </w:r>
      <w:r>
        <w:rPr>
          <w:rFonts w:hint="eastAsia" w:eastAsia="宋体" w:cs="Times New Roman"/>
          <w:snapToGrid/>
          <w:color w:val="auto"/>
          <w:spacing w:val="0"/>
          <w:w w:val="100"/>
          <w:kern w:val="2"/>
          <w:position w:val="0"/>
          <w:sz w:val="21"/>
          <w:szCs w:val="21"/>
          <w:highlight w:val="none"/>
          <w:u w:val="none"/>
          <w:shd w:val="clear" w:fill="auto"/>
          <w:lang w:val="en-US" w:eastAsia="zh-CN"/>
        </w:rPr>
        <w:t>东</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部的格局，北部长江引水口门水位相对较高，滆湖</w:t>
      </w:r>
      <w:r>
        <w:rPr>
          <w:rFonts w:hint="eastAsia" w:eastAsia="宋体" w:cs="Times New Roman"/>
          <w:snapToGrid/>
          <w:color w:val="auto"/>
          <w:spacing w:val="0"/>
          <w:w w:val="100"/>
          <w:kern w:val="2"/>
          <w:position w:val="0"/>
          <w:sz w:val="21"/>
          <w:szCs w:val="21"/>
          <w:highlight w:val="none"/>
          <w:u w:val="none"/>
          <w:shd w:val="clear" w:fill="auto"/>
          <w:lang w:val="en-US" w:eastAsia="zh-CN"/>
        </w:rPr>
        <w:t>南部</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、太湖西北部入湖通道水位相对较低；苏南运河常州下游段及梅梁湖泵站、大渲河泵站附近形成相对高水位区，对锡溧漕河、太滆运河</w:t>
      </w:r>
      <w:r>
        <w:rPr>
          <w:rFonts w:hint="eastAsia" w:eastAsia="宋体" w:cs="Times New Roman"/>
          <w:snapToGrid/>
          <w:color w:val="auto"/>
          <w:spacing w:val="0"/>
          <w:w w:val="100"/>
          <w:kern w:val="2"/>
          <w:position w:val="0"/>
          <w:sz w:val="21"/>
          <w:szCs w:val="21"/>
          <w:highlight w:val="none"/>
          <w:u w:val="none"/>
          <w:shd w:val="clear" w:fill="auto"/>
          <w:lang w:val="en-US" w:eastAsia="zh-CN"/>
        </w:rPr>
        <w:t>、武南河</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水流方向具有一定</w:t>
      </w:r>
      <w:r>
        <w:rPr>
          <w:rFonts w:hint="eastAsia" w:eastAsia="宋体" w:cs="Times New Roman"/>
          <w:snapToGrid/>
          <w:color w:val="auto"/>
          <w:spacing w:val="0"/>
          <w:w w:val="100"/>
          <w:kern w:val="2"/>
          <w:position w:val="0"/>
          <w:sz w:val="21"/>
          <w:szCs w:val="21"/>
          <w:highlight w:val="none"/>
          <w:u w:val="none"/>
          <w:shd w:val="clear" w:fill="auto"/>
          <w:lang w:val="en-US" w:eastAsia="zh-CN"/>
        </w:rPr>
        <w:t>顶托</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影响。</w:t>
      </w:r>
      <w:r>
        <w:rPr>
          <w:rFonts w:hint="eastAsia" w:eastAsia="宋体" w:cs="Times New Roman"/>
          <w:snapToGrid/>
          <w:color w:val="auto"/>
          <w:spacing w:val="0"/>
          <w:w w:val="100"/>
          <w:kern w:val="2"/>
          <w:position w:val="0"/>
          <w:sz w:val="21"/>
          <w:szCs w:val="21"/>
          <w:highlight w:val="none"/>
          <w:u w:val="none"/>
          <w:shd w:val="clear" w:fill="auto"/>
          <w:lang w:val="en-US" w:eastAsia="zh-CN"/>
        </w:rPr>
        <w:t>特别是，</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武南河</w:t>
      </w:r>
      <w:r>
        <w:rPr>
          <w:rFonts w:hint="eastAsia" w:eastAsia="宋体" w:cs="Times New Roman"/>
          <w:snapToGrid/>
          <w:color w:val="auto"/>
          <w:spacing w:val="0"/>
          <w:w w:val="100"/>
          <w:kern w:val="2"/>
          <w:position w:val="0"/>
          <w:sz w:val="21"/>
          <w:szCs w:val="21"/>
          <w:highlight w:val="none"/>
          <w:u w:val="none"/>
          <w:shd w:val="clear" w:fill="auto"/>
          <w:lang w:val="en-US" w:eastAsia="zh-CN"/>
        </w:rPr>
        <w:t>常年</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水流不畅</w:t>
      </w:r>
      <w:r>
        <w:rPr>
          <w:rFonts w:hint="eastAsia" w:eastAsia="宋体" w:cs="Times New Roman"/>
          <w:snapToGrid/>
          <w:color w:val="auto"/>
          <w:spacing w:val="0"/>
          <w:w w:val="100"/>
          <w:kern w:val="2"/>
          <w:position w:val="0"/>
          <w:sz w:val="21"/>
          <w:szCs w:val="21"/>
          <w:highlight w:val="none"/>
          <w:u w:val="none"/>
          <w:shd w:val="clear" w:fill="auto"/>
          <w:lang w:val="en-US" w:eastAsia="zh-CN"/>
        </w:rPr>
        <w:t>并</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自东向西倒流、换水周期长、水体自净能力弱，因此</w:t>
      </w:r>
      <w:r>
        <w:rPr>
          <w:rFonts w:hint="eastAsia" w:eastAsia="宋体" w:cs="Times New Roman"/>
          <w:snapToGrid/>
          <w:color w:val="auto"/>
          <w:spacing w:val="0"/>
          <w:w w:val="100"/>
          <w:kern w:val="2"/>
          <w:position w:val="0"/>
          <w:sz w:val="21"/>
          <w:szCs w:val="21"/>
          <w:highlight w:val="none"/>
          <w:u w:val="none"/>
          <w:shd w:val="clear" w:fill="auto"/>
          <w:lang w:val="en-US" w:eastAsia="zh-CN"/>
        </w:rPr>
        <w:t>亟须考虑</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将武南河立交枢纽纳入协同引排调度。基于上述水位格局和工程联系，本文将新孟河界牌枢纽、奔牛枢纽、新沟河江边枢纽、武南河立交枢纽、遥观南</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北枢纽以及梅梁湖泵站、大渲河泵站作为调度方案设计的关键节点。其中，新孟河界牌枢纽和奔牛枢纽主要控制引江水向新孟河沿线及滆湖方向输移，新沟河江边枢纽</w:t>
      </w:r>
      <w:r>
        <w:rPr>
          <w:rFonts w:hint="eastAsia" w:eastAsia="宋体" w:cs="Times New Roman"/>
          <w:snapToGrid/>
          <w:color w:val="auto"/>
          <w:spacing w:val="0"/>
          <w:w w:val="100"/>
          <w:kern w:val="2"/>
          <w:position w:val="0"/>
          <w:sz w:val="21"/>
          <w:szCs w:val="21"/>
          <w:highlight w:val="none"/>
          <w:u w:val="none"/>
          <w:shd w:val="clear" w:fill="auto"/>
          <w:lang w:val="en-US" w:eastAsia="zh-CN"/>
        </w:rPr>
        <w:t>结合</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遥观南</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北枢纽承担北排出江作用，武南河立交枢纽则关系到武进城区内部河网的补水与活水效果。</w:t>
      </w:r>
    </w:p>
    <w:p w14:paraId="327BC5F3">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0" w:firstLineChars="0"/>
        <w:jc w:val="both"/>
        <w:textAlignment w:val="baseline"/>
        <w:rPr>
          <w:color w:val="auto"/>
          <w:highlight w:val="none"/>
          <w:u w:val="none"/>
          <w:shd w:val="clear" w:fill="auto"/>
        </w:rPr>
      </w:pPr>
      <w:r>
        <w:rPr>
          <w:color w:val="auto"/>
          <w:highlight w:val="none"/>
          <w:u w:val="none"/>
          <w:shd w:val="clear" w:fill="auto"/>
        </w:rPr>
        <w:drawing>
          <wp:inline distT="0" distB="0" distL="114300" distR="114300">
            <wp:extent cx="5273040" cy="3797935"/>
            <wp:effectExtent l="0" t="0" r="0" b="12065"/>
            <wp:docPr id="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
                    <pic:cNvPicPr>
                      <a:picLocks noChangeAspect="1"/>
                    </pic:cNvPicPr>
                  </pic:nvPicPr>
                  <pic:blipFill>
                    <a:blip r:embed="rId14"/>
                    <a:stretch>
                      <a:fillRect/>
                    </a:stretch>
                  </pic:blipFill>
                  <pic:spPr>
                    <a:xfrm>
                      <a:off x="0" y="0"/>
                      <a:ext cx="5273040" cy="3797935"/>
                    </a:xfrm>
                    <a:prstGeom prst="rect">
                      <a:avLst/>
                    </a:prstGeom>
                    <a:noFill/>
                    <a:ln>
                      <a:noFill/>
                    </a:ln>
                  </pic:spPr>
                </pic:pic>
              </a:graphicData>
            </a:graphic>
          </wp:inline>
        </w:drawing>
      </w:r>
    </w:p>
    <w:p w14:paraId="635D5D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图</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5</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 xml:space="preserve">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2022年</w:t>
      </w:r>
      <w:r>
        <w:rPr>
          <w:rFonts w:hint="default" w:ascii="Times New Roman" w:hAnsi="Times New Roman" w:eastAsia="黑体" w:cs="Times New Roman"/>
          <w:snapToGrid/>
          <w:color w:val="auto"/>
          <w:kern w:val="2"/>
          <w:sz w:val="18"/>
          <w:szCs w:val="18"/>
          <w:highlight w:val="none"/>
          <w:u w:val="none"/>
          <w:shd w:val="clear" w:fill="auto"/>
          <w:lang w:val="zh-CN" w:eastAsia="zh-CN"/>
        </w:rPr>
        <w:t>调水初期平均水位分布</w:t>
      </w:r>
    </w:p>
    <w:p w14:paraId="5AD993C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Fig.</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5</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D</w:t>
      </w:r>
      <w:r>
        <w:rPr>
          <w:rFonts w:hint="default" w:ascii="Times New Roman" w:hAnsi="Times New Roman" w:eastAsia="黑体" w:cs="Times New Roman"/>
          <w:snapToGrid/>
          <w:color w:val="auto"/>
          <w:kern w:val="2"/>
          <w:sz w:val="18"/>
          <w:szCs w:val="18"/>
          <w:highlight w:val="none"/>
          <w:u w:val="none"/>
          <w:shd w:val="clear" w:fill="auto"/>
          <w:lang w:eastAsia="zh-CN"/>
        </w:rPr>
        <w:t xml:space="preserve">istribution </w:t>
      </w:r>
      <w:r>
        <w:rPr>
          <w:rFonts w:hint="eastAsia" w:ascii="Times New Roman" w:hAnsi="Times New Roman" w:eastAsia="黑体" w:cs="Times New Roman"/>
          <w:snapToGrid/>
          <w:color w:val="auto"/>
          <w:kern w:val="2"/>
          <w:sz w:val="18"/>
          <w:szCs w:val="18"/>
          <w:highlight w:val="none"/>
          <w:u w:val="none"/>
          <w:shd w:val="clear" w:fill="auto"/>
          <w:lang w:val="en-US" w:eastAsia="zh-CN"/>
        </w:rPr>
        <w:t>of a</w:t>
      </w:r>
      <w:r>
        <w:rPr>
          <w:rFonts w:hint="default" w:ascii="Times New Roman" w:hAnsi="Times New Roman" w:eastAsia="黑体" w:cs="Times New Roman"/>
          <w:snapToGrid/>
          <w:color w:val="auto"/>
          <w:kern w:val="2"/>
          <w:sz w:val="18"/>
          <w:szCs w:val="18"/>
          <w:highlight w:val="none"/>
          <w:u w:val="none"/>
          <w:shd w:val="clear" w:fill="auto"/>
          <w:lang w:eastAsia="zh-CN"/>
        </w:rPr>
        <w:t>verage water level</w:t>
      </w:r>
      <w:r>
        <w:rPr>
          <w:rFonts w:hint="eastAsia" w:ascii="Times New Roman" w:hAnsi="Times New Roman" w:eastAsia="黑体" w:cs="Times New Roman"/>
          <w:snapToGrid/>
          <w:color w:val="auto"/>
          <w:kern w:val="2"/>
          <w:sz w:val="18"/>
          <w:szCs w:val="18"/>
          <w:highlight w:val="none"/>
          <w:u w:val="none"/>
          <w:shd w:val="clear" w:fill="auto"/>
          <w:lang w:val="en-US" w:eastAsia="zh-CN"/>
        </w:rPr>
        <w:t>s</w:t>
      </w:r>
      <w:r>
        <w:rPr>
          <w:rFonts w:hint="default" w:ascii="Times New Roman" w:hAnsi="Times New Roman" w:eastAsia="黑体" w:cs="Times New Roman"/>
          <w:snapToGrid/>
          <w:color w:val="auto"/>
          <w:kern w:val="2"/>
          <w:sz w:val="18"/>
          <w:szCs w:val="18"/>
          <w:highlight w:val="none"/>
          <w:u w:val="none"/>
          <w:shd w:val="clear" w:fill="auto"/>
          <w:lang w:eastAsia="zh-CN"/>
        </w:rPr>
        <w:t xml:space="preserve"> during </w:t>
      </w:r>
      <w:r>
        <w:rPr>
          <w:rFonts w:hint="eastAsia" w:ascii="Times New Roman" w:hAnsi="Times New Roman" w:eastAsia="黑体" w:cs="Times New Roman"/>
          <w:snapToGrid/>
          <w:color w:val="auto"/>
          <w:kern w:val="2"/>
          <w:sz w:val="18"/>
          <w:szCs w:val="18"/>
          <w:highlight w:val="none"/>
          <w:u w:val="none"/>
          <w:shd w:val="clear" w:fill="auto"/>
          <w:lang w:val="en-US" w:eastAsia="zh-CN"/>
        </w:rPr>
        <w:t>early water</w:t>
      </w:r>
      <w:r>
        <w:rPr>
          <w:rFonts w:hint="default" w:ascii="Times New Roman" w:hAnsi="Times New Roman" w:eastAsia="黑体" w:cs="Times New Roman"/>
          <w:snapToGrid/>
          <w:color w:val="auto"/>
          <w:kern w:val="2"/>
          <w:sz w:val="18"/>
          <w:szCs w:val="18"/>
          <w:highlight w:val="none"/>
          <w:u w:val="none"/>
          <w:shd w:val="clear" w:fill="auto"/>
          <w:lang w:eastAsia="zh-CN"/>
        </w:rPr>
        <w:t xml:space="preserve"> diversion period </w:t>
      </w:r>
      <w:r>
        <w:rPr>
          <w:rFonts w:hint="eastAsia" w:ascii="Times New Roman" w:hAnsi="Times New Roman" w:eastAsia="黑体" w:cs="Times New Roman"/>
          <w:snapToGrid/>
          <w:color w:val="auto"/>
          <w:kern w:val="2"/>
          <w:sz w:val="18"/>
          <w:szCs w:val="18"/>
          <w:highlight w:val="none"/>
          <w:u w:val="none"/>
          <w:shd w:val="clear" w:fill="auto"/>
          <w:lang w:val="en-US" w:eastAsia="zh-CN"/>
        </w:rPr>
        <w:t>in</w:t>
      </w:r>
      <w:r>
        <w:rPr>
          <w:rFonts w:hint="default" w:ascii="Times New Roman" w:hAnsi="Times New Roman" w:eastAsia="黑体" w:cs="Times New Roman"/>
          <w:snapToGrid/>
          <w:color w:val="auto"/>
          <w:kern w:val="2"/>
          <w:sz w:val="18"/>
          <w:szCs w:val="18"/>
          <w:highlight w:val="none"/>
          <w:u w:val="none"/>
          <w:shd w:val="clear" w:fill="auto"/>
          <w:lang w:eastAsia="zh-CN"/>
        </w:rPr>
        <w:t xml:space="preserve"> 2022</w:t>
      </w:r>
    </w:p>
    <w:p w14:paraId="2A803A13">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基于</w:t>
      </w:r>
      <w:r>
        <w:rPr>
          <w:rFonts w:hint="eastAsia" w:eastAsia="宋体" w:cs="Times New Roman"/>
          <w:snapToGrid/>
          <w:color w:val="auto"/>
          <w:spacing w:val="0"/>
          <w:w w:val="100"/>
          <w:kern w:val="2"/>
          <w:position w:val="0"/>
          <w:sz w:val="21"/>
          <w:szCs w:val="21"/>
          <w:highlight w:val="none"/>
          <w:u w:val="none"/>
          <w:shd w:val="clear" w:fill="auto"/>
          <w:lang w:val="en-US" w:eastAsia="zh-CN"/>
        </w:rPr>
        <w:t>水位特征以及</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流域、区域总体调度要求，针对新孟河沿线区域设计了4种调度方案（见表</w:t>
      </w:r>
      <w:r>
        <w:rPr>
          <w:rFonts w:hint="eastAsia" w:eastAsia="宋体" w:cs="Times New Roman"/>
          <w:snapToGrid/>
          <w:color w:val="auto"/>
          <w:spacing w:val="0"/>
          <w:w w:val="100"/>
          <w:kern w:val="2"/>
          <w:position w:val="0"/>
          <w:sz w:val="21"/>
          <w:szCs w:val="21"/>
          <w:highlight w:val="none"/>
          <w:u w:val="none"/>
          <w:shd w:val="clear" w:fill="auto"/>
          <w:lang w:val="en-US" w:eastAsia="zh-CN"/>
        </w:rPr>
        <w:t>2</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eastAsia" w:eastAsia="宋体" w:cs="Times New Roman"/>
          <w:snapToGrid/>
          <w:color w:val="auto"/>
          <w:spacing w:val="0"/>
          <w:w w:val="100"/>
          <w:kern w:val="2"/>
          <w:position w:val="0"/>
          <w:sz w:val="21"/>
          <w:szCs w:val="21"/>
          <w:highlight w:val="none"/>
          <w:u w:val="none"/>
          <w:shd w:val="clear" w:fill="auto"/>
          <w:lang w:val="en-US" w:eastAsia="zh-CN"/>
        </w:rPr>
        <w:t>，并在图5中展示了设计的引排方向与关键控制节点位置</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其中，方案A0为基础方案，新孟河不引水，新孟河界牌枢纽不运行，奔牛立交地涵关闭；其他沿江口门谏壁、九曲河、魏村、澡港、定波、白屈港等枢纽按照常规调度规则运行；遥观南、北枢纽关泵开闸；前黄枢纽、牛塘枢纽敞开；梅梁湖泵站、大渲河泵站合计引水30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w:t>
      </w:r>
      <w:r>
        <w:rPr>
          <w:rFonts w:hint="eastAsia" w:eastAsia="宋体" w:cs="Times New Roman"/>
          <w:snapToGrid/>
          <w:color w:val="auto"/>
          <w:spacing w:val="0"/>
          <w:w w:val="100"/>
          <w:kern w:val="2"/>
          <w:position w:val="0"/>
          <w:sz w:val="21"/>
          <w:szCs w:val="21"/>
          <w:highlight w:val="none"/>
          <w:u w:val="none"/>
          <w:shd w:val="clear" w:fill="auto"/>
          <w:lang w:val="en-US" w:eastAsia="zh-CN"/>
        </w:rPr>
        <w:t>A1、</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A2、A3方案则为在新孟河引水基础上，</w:t>
      </w:r>
      <w:r>
        <w:rPr>
          <w:rFonts w:hint="eastAsia" w:eastAsia="宋体" w:cs="Times New Roman"/>
          <w:snapToGrid/>
          <w:color w:val="auto"/>
          <w:spacing w:val="0"/>
          <w:w w:val="100"/>
          <w:kern w:val="2"/>
          <w:position w:val="0"/>
          <w:sz w:val="21"/>
          <w:szCs w:val="21"/>
          <w:highlight w:val="none"/>
          <w:u w:val="none"/>
          <w:shd w:val="clear" w:fill="auto"/>
          <w:lang w:val="en-US" w:eastAsia="zh-CN"/>
        </w:rPr>
        <w:t>结合前期现场调研、与工程管理单位沟通及专家咨询</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设置的协同调度情景。方案A1考虑新孟河界牌枢纽启用引江100m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/s，奔牛枢纽地涵开启，其余工程调度与基础方案一致。方案A2在新孟河引水基础上，启用武南河立交枢纽引水20m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/s，新沟河江边枢纽平均排水40m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/s，遥观南、北枢纽平均排水30m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/s、40m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w:t>
      </w:r>
      <w:r>
        <w:rPr>
          <w:rFonts w:hint="eastAsia" w:eastAsia="宋体" w:cs="Times New Roman"/>
          <w:snapToGrid/>
          <w:color w:val="auto"/>
          <w:spacing w:val="0"/>
          <w:w w:val="100"/>
          <w:kern w:val="2"/>
          <w:position w:val="0"/>
          <w:sz w:val="21"/>
          <w:szCs w:val="21"/>
          <w:highlight w:val="none"/>
          <w:u w:val="none"/>
          <w:shd w:val="clear" w:fill="auto"/>
          <w:lang w:val="en-US" w:eastAsia="zh-CN"/>
        </w:rPr>
        <w:t>，主要用于表征适度启用工程引滆湖水以及协同北排条件下，对区域河网动力调整的作用</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。方案A3在方案A2基础上，将新沟河排江规模由40m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/s增大到100m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/s，遥观南、北枢纽北排流量分别增至60m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/s、80m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w:t>
      </w:r>
      <w:r>
        <w:rPr>
          <w:rFonts w:hint="eastAsia" w:eastAsia="宋体" w:cs="Times New Roman"/>
          <w:snapToGrid/>
          <w:color w:val="auto"/>
          <w:spacing w:val="0"/>
          <w:w w:val="100"/>
          <w:kern w:val="2"/>
          <w:position w:val="0"/>
          <w:sz w:val="21"/>
          <w:szCs w:val="21"/>
          <w:highlight w:val="none"/>
          <w:u w:val="none"/>
          <w:shd w:val="clear" w:fill="auto"/>
          <w:lang w:val="en-US" w:eastAsia="zh-CN"/>
        </w:rPr>
        <w:t>，主要用于表征加大北排强度情景，检验进一步强化北排后对锡溧漕河倒流顶托、太滆运河上游水流状态及城区河网活水效果的影响。</w:t>
      </w:r>
    </w:p>
    <w:p w14:paraId="1F75A399">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eastAsia="宋体" w:cs="Times New Roman"/>
          <w:snapToGrid/>
          <w:color w:val="auto"/>
          <w:spacing w:val="0"/>
          <w:w w:val="100"/>
          <w:kern w:val="2"/>
          <w:position w:val="0"/>
          <w:sz w:val="21"/>
          <w:szCs w:val="21"/>
          <w:highlight w:val="none"/>
          <w:u w:val="none"/>
          <w:shd w:val="clear" w:fill="auto"/>
          <w:lang w:val="en-US" w:eastAsia="zh-CN"/>
        </w:rPr>
        <w:t>算例计算分析时间为2022年10月11日—12月16日。</w:t>
      </w:r>
    </w:p>
    <w:p w14:paraId="63B53C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表</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2</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 xml:space="preserve">  新孟河沿线水系工程调度策略方案</w:t>
      </w:r>
    </w:p>
    <w:p w14:paraId="5469BD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Table 2</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Scheduling cases</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for</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water system projects along Xinmeng River</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6" w:type="dxa"/>
          <w:left w:w="96" w:type="dxa"/>
          <w:bottom w:w="56" w:type="dxa"/>
          <w:right w:w="96" w:type="dxa"/>
        </w:tblCellMar>
      </w:tblPr>
      <w:tblGrid>
        <w:gridCol w:w="1439"/>
        <w:gridCol w:w="1234"/>
        <w:gridCol w:w="1394"/>
        <w:gridCol w:w="2161"/>
        <w:gridCol w:w="2270"/>
      </w:tblGrid>
      <w:tr w14:paraId="0ABC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847" w:type="pct"/>
            <w:vMerge w:val="restart"/>
            <w:tcBorders>
              <w:top w:val="single" w:color="auto" w:sz="4" w:space="0"/>
              <w:left w:val="nil"/>
              <w:bottom w:val="nil"/>
              <w:right w:val="single" w:color="auto" w:sz="4" w:space="0"/>
            </w:tcBorders>
            <w:vAlign w:val="center"/>
          </w:tcPr>
          <w:p w14:paraId="40A5DE9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工程</w:t>
            </w:r>
          </w:p>
        </w:tc>
        <w:tc>
          <w:tcPr>
            <w:tcW w:w="726" w:type="pct"/>
            <w:tcBorders>
              <w:top w:val="single" w:color="auto" w:sz="4" w:space="0"/>
              <w:left w:val="single" w:color="auto" w:sz="4" w:space="0"/>
              <w:bottom w:val="single" w:color="auto" w:sz="4" w:space="0"/>
              <w:right w:val="single" w:color="auto" w:sz="4" w:space="0"/>
            </w:tcBorders>
            <w:vAlign w:val="center"/>
          </w:tcPr>
          <w:p w14:paraId="664D588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方案A0</w:t>
            </w:r>
          </w:p>
        </w:tc>
        <w:tc>
          <w:tcPr>
            <w:tcW w:w="820" w:type="pct"/>
            <w:tcBorders>
              <w:top w:val="single" w:color="auto" w:sz="4" w:space="0"/>
              <w:left w:val="single" w:color="auto" w:sz="4" w:space="0"/>
              <w:bottom w:val="single" w:color="auto" w:sz="4" w:space="0"/>
              <w:right w:val="single" w:color="auto" w:sz="4" w:space="0"/>
            </w:tcBorders>
            <w:vAlign w:val="center"/>
          </w:tcPr>
          <w:p w14:paraId="779D5124">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方案A1</w:t>
            </w:r>
          </w:p>
        </w:tc>
        <w:tc>
          <w:tcPr>
            <w:tcW w:w="1271" w:type="pct"/>
            <w:tcBorders>
              <w:top w:val="single" w:color="auto" w:sz="4" w:space="0"/>
              <w:left w:val="single" w:color="auto" w:sz="4" w:space="0"/>
              <w:bottom w:val="single" w:color="auto" w:sz="4" w:space="0"/>
              <w:right w:val="single" w:color="auto" w:sz="4" w:space="0"/>
            </w:tcBorders>
            <w:vAlign w:val="center"/>
          </w:tcPr>
          <w:p w14:paraId="07EF272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方案A2</w:t>
            </w:r>
          </w:p>
        </w:tc>
        <w:tc>
          <w:tcPr>
            <w:tcW w:w="1335" w:type="pct"/>
            <w:tcBorders>
              <w:top w:val="single" w:color="auto" w:sz="4" w:space="0"/>
              <w:left w:val="single" w:color="auto" w:sz="4" w:space="0"/>
              <w:bottom w:val="single" w:color="auto" w:sz="4" w:space="0"/>
              <w:right w:val="nil"/>
            </w:tcBorders>
            <w:vAlign w:val="center"/>
          </w:tcPr>
          <w:p w14:paraId="01DE5DB5">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方案A3</w:t>
            </w:r>
          </w:p>
        </w:tc>
      </w:tr>
      <w:tr w14:paraId="5C77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847" w:type="pct"/>
            <w:vMerge w:val="continue"/>
            <w:tcBorders>
              <w:top w:val="nil"/>
              <w:left w:val="nil"/>
              <w:bottom w:val="single" w:color="auto" w:sz="4" w:space="0"/>
              <w:right w:val="single" w:color="auto" w:sz="4" w:space="0"/>
            </w:tcBorders>
            <w:vAlign w:val="center"/>
          </w:tcPr>
          <w:p w14:paraId="4EDBA46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rPr>
            </w:pPr>
          </w:p>
        </w:tc>
        <w:tc>
          <w:tcPr>
            <w:tcW w:w="726" w:type="pct"/>
            <w:tcBorders>
              <w:top w:val="single" w:color="auto" w:sz="4" w:space="0"/>
              <w:left w:val="single" w:color="auto" w:sz="4" w:space="0"/>
              <w:bottom w:val="single" w:color="auto" w:sz="4" w:space="0"/>
              <w:right w:val="single" w:color="auto" w:sz="4" w:space="0"/>
            </w:tcBorders>
            <w:vAlign w:val="center"/>
          </w:tcPr>
          <w:p w14:paraId="1F6ED02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基础方案</w:t>
            </w:r>
          </w:p>
        </w:tc>
        <w:tc>
          <w:tcPr>
            <w:tcW w:w="820" w:type="pct"/>
            <w:tcBorders>
              <w:top w:val="single" w:color="auto" w:sz="4" w:space="0"/>
              <w:left w:val="single" w:color="auto" w:sz="4" w:space="0"/>
              <w:bottom w:val="single" w:color="auto" w:sz="4" w:space="0"/>
              <w:right w:val="single" w:color="auto" w:sz="4" w:space="0"/>
            </w:tcBorders>
            <w:vAlign w:val="center"/>
          </w:tcPr>
          <w:p w14:paraId="30221C6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新孟河引水</w:t>
            </w:r>
          </w:p>
        </w:tc>
        <w:tc>
          <w:tcPr>
            <w:tcW w:w="1271" w:type="pct"/>
            <w:tcBorders>
              <w:top w:val="single" w:color="auto" w:sz="4" w:space="0"/>
              <w:left w:val="single" w:color="auto" w:sz="4" w:space="0"/>
              <w:bottom w:val="single" w:color="auto" w:sz="4" w:space="0"/>
              <w:right w:val="single" w:color="auto" w:sz="4" w:space="0"/>
            </w:tcBorders>
            <w:vAlign w:val="center"/>
          </w:tcPr>
          <w:p w14:paraId="7FFE2B1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新孟河引水、新沟河排水</w:t>
            </w:r>
          </w:p>
        </w:tc>
        <w:tc>
          <w:tcPr>
            <w:tcW w:w="1335" w:type="pct"/>
            <w:tcBorders>
              <w:top w:val="single" w:color="auto" w:sz="4" w:space="0"/>
              <w:left w:val="single" w:color="auto" w:sz="4" w:space="0"/>
              <w:bottom w:val="single" w:color="auto" w:sz="4" w:space="0"/>
              <w:right w:val="nil"/>
            </w:tcBorders>
            <w:vAlign w:val="center"/>
          </w:tcPr>
          <w:p w14:paraId="4B87C2D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新孟河引水、新沟河加大排水</w:t>
            </w:r>
          </w:p>
        </w:tc>
      </w:tr>
      <w:tr w14:paraId="341E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847" w:type="pct"/>
            <w:tcBorders>
              <w:top w:val="single" w:color="auto" w:sz="4" w:space="0"/>
              <w:left w:val="nil"/>
              <w:bottom w:val="nil"/>
              <w:right w:val="single" w:color="auto" w:sz="4" w:space="0"/>
            </w:tcBorders>
            <w:vAlign w:val="center"/>
          </w:tcPr>
          <w:p w14:paraId="7DC3B7C5">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新孟河界牌枢纽</w:t>
            </w:r>
          </w:p>
        </w:tc>
        <w:tc>
          <w:tcPr>
            <w:tcW w:w="726" w:type="pct"/>
            <w:tcBorders>
              <w:top w:val="single" w:color="auto" w:sz="4" w:space="0"/>
              <w:left w:val="single" w:color="auto" w:sz="4" w:space="0"/>
              <w:bottom w:val="nil"/>
              <w:right w:val="single" w:color="auto" w:sz="4" w:space="0"/>
            </w:tcBorders>
            <w:vAlign w:val="center"/>
          </w:tcPr>
          <w:p w14:paraId="0962EA6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不运行</w:t>
            </w:r>
          </w:p>
        </w:tc>
        <w:tc>
          <w:tcPr>
            <w:tcW w:w="820" w:type="pct"/>
            <w:tcBorders>
              <w:top w:val="single" w:color="auto" w:sz="4" w:space="0"/>
              <w:left w:val="single" w:color="auto" w:sz="4" w:space="0"/>
              <w:bottom w:val="nil"/>
              <w:right w:val="single" w:color="auto" w:sz="4" w:space="0"/>
            </w:tcBorders>
            <w:vAlign w:val="center"/>
          </w:tcPr>
          <w:p w14:paraId="4164091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引江100m</w:t>
            </w: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/s</w:t>
            </w:r>
          </w:p>
        </w:tc>
        <w:tc>
          <w:tcPr>
            <w:tcW w:w="1271" w:type="pct"/>
            <w:tcBorders>
              <w:top w:val="single" w:color="auto" w:sz="4" w:space="0"/>
              <w:left w:val="single" w:color="auto" w:sz="4" w:space="0"/>
              <w:bottom w:val="nil"/>
              <w:right w:val="single" w:color="auto" w:sz="4" w:space="0"/>
            </w:tcBorders>
            <w:vAlign w:val="center"/>
          </w:tcPr>
          <w:p w14:paraId="5A5DE1C3">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引江100m</w:t>
            </w: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/s</w:t>
            </w:r>
          </w:p>
        </w:tc>
        <w:tc>
          <w:tcPr>
            <w:tcW w:w="1335" w:type="pct"/>
            <w:tcBorders>
              <w:top w:val="single" w:color="auto" w:sz="4" w:space="0"/>
              <w:left w:val="single" w:color="auto" w:sz="4" w:space="0"/>
              <w:bottom w:val="nil"/>
              <w:right w:val="nil"/>
            </w:tcBorders>
            <w:vAlign w:val="center"/>
          </w:tcPr>
          <w:p w14:paraId="7A28348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引江100m</w:t>
            </w: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b w:val="0"/>
                <w:bCs w:val="0"/>
                <w:snapToGrid/>
                <w:color w:val="auto"/>
                <w:spacing w:val="0"/>
                <w:w w:val="100"/>
                <w:kern w:val="2"/>
                <w:position w:val="0"/>
                <w:sz w:val="16"/>
                <w:szCs w:val="16"/>
                <w:highlight w:val="none"/>
                <w:u w:val="none"/>
                <w:shd w:val="clear" w:fill="auto"/>
                <w:lang w:val="en-US" w:eastAsia="zh-CN" w:bidi="ar-SA"/>
              </w:rPr>
              <w:t>/s</w:t>
            </w:r>
          </w:p>
        </w:tc>
      </w:tr>
      <w:tr w14:paraId="50C8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847" w:type="pct"/>
            <w:tcBorders>
              <w:top w:val="nil"/>
              <w:left w:val="nil"/>
              <w:bottom w:val="nil"/>
              <w:right w:val="single" w:color="auto" w:sz="4" w:space="0"/>
            </w:tcBorders>
            <w:vAlign w:val="center"/>
          </w:tcPr>
          <w:p w14:paraId="5880F251">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遥观南枢纽、</w:t>
            </w:r>
          </w:p>
          <w:p w14:paraId="3C71E5D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北枢纽</w:t>
            </w:r>
          </w:p>
        </w:tc>
        <w:tc>
          <w:tcPr>
            <w:tcW w:w="726" w:type="pct"/>
            <w:tcBorders>
              <w:top w:val="nil"/>
              <w:left w:val="single" w:color="auto" w:sz="4" w:space="0"/>
              <w:bottom w:val="nil"/>
              <w:right w:val="single" w:color="auto" w:sz="4" w:space="0"/>
            </w:tcBorders>
            <w:vAlign w:val="center"/>
          </w:tcPr>
          <w:p w14:paraId="7B9DA57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泵站不运行，闸敞开</w:t>
            </w:r>
          </w:p>
        </w:tc>
        <w:tc>
          <w:tcPr>
            <w:tcW w:w="820" w:type="pct"/>
            <w:tcBorders>
              <w:top w:val="nil"/>
              <w:left w:val="single" w:color="auto" w:sz="4" w:space="0"/>
              <w:bottom w:val="nil"/>
              <w:right w:val="single" w:color="auto" w:sz="4" w:space="0"/>
            </w:tcBorders>
            <w:vAlign w:val="center"/>
          </w:tcPr>
          <w:p w14:paraId="50C604AA">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泵站不运行，闸敞开</w:t>
            </w:r>
          </w:p>
        </w:tc>
        <w:tc>
          <w:tcPr>
            <w:tcW w:w="1271" w:type="pct"/>
            <w:tcBorders>
              <w:top w:val="nil"/>
              <w:left w:val="single" w:color="auto" w:sz="4" w:space="0"/>
              <w:bottom w:val="nil"/>
              <w:right w:val="single" w:color="auto" w:sz="4" w:space="0"/>
            </w:tcBorders>
            <w:vAlign w:val="center"/>
          </w:tcPr>
          <w:p w14:paraId="4E0DA13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南枢纽30m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br w:type="textWrapping"/>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北枢纽40m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w:t>
            </w:r>
          </w:p>
        </w:tc>
        <w:tc>
          <w:tcPr>
            <w:tcW w:w="1335" w:type="pct"/>
            <w:tcBorders>
              <w:top w:val="nil"/>
              <w:left w:val="single" w:color="auto" w:sz="4" w:space="0"/>
              <w:bottom w:val="nil"/>
              <w:right w:val="nil"/>
            </w:tcBorders>
            <w:vAlign w:val="center"/>
          </w:tcPr>
          <w:p w14:paraId="7F75078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南枢纽60m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br w:type="textWrapping"/>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北枢纽80m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w:t>
            </w:r>
          </w:p>
        </w:tc>
      </w:tr>
      <w:tr w14:paraId="5192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847" w:type="pct"/>
            <w:tcBorders>
              <w:top w:val="nil"/>
              <w:left w:val="nil"/>
              <w:bottom w:val="nil"/>
              <w:right w:val="single" w:color="auto" w:sz="4" w:space="0"/>
            </w:tcBorders>
            <w:vAlign w:val="center"/>
          </w:tcPr>
          <w:p w14:paraId="49ADC75A">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新沟河江边枢纽</w:t>
            </w:r>
          </w:p>
        </w:tc>
        <w:tc>
          <w:tcPr>
            <w:tcW w:w="726" w:type="pct"/>
            <w:tcBorders>
              <w:top w:val="nil"/>
              <w:left w:val="single" w:color="auto" w:sz="4" w:space="0"/>
              <w:bottom w:val="nil"/>
              <w:right w:val="single" w:color="auto" w:sz="4" w:space="0"/>
            </w:tcBorders>
            <w:vAlign w:val="center"/>
          </w:tcPr>
          <w:p w14:paraId="54B2441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常规调度，</w:t>
            </w:r>
          </w:p>
          <w:p w14:paraId="352EF08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节制闸排水为主</w:t>
            </w:r>
          </w:p>
        </w:tc>
        <w:tc>
          <w:tcPr>
            <w:tcW w:w="820" w:type="pct"/>
            <w:tcBorders>
              <w:top w:val="nil"/>
              <w:left w:val="single" w:color="auto" w:sz="4" w:space="0"/>
              <w:bottom w:val="nil"/>
              <w:right w:val="single" w:color="auto" w:sz="4" w:space="0"/>
            </w:tcBorders>
            <w:vAlign w:val="center"/>
          </w:tcPr>
          <w:p w14:paraId="3AC24483">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常规调度，</w:t>
            </w:r>
          </w:p>
          <w:p w14:paraId="4243ED7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节制闸排水为主</w:t>
            </w:r>
          </w:p>
        </w:tc>
        <w:tc>
          <w:tcPr>
            <w:tcW w:w="1271" w:type="pct"/>
            <w:tcBorders>
              <w:top w:val="nil"/>
              <w:left w:val="single" w:color="auto" w:sz="4" w:space="0"/>
              <w:bottom w:val="nil"/>
              <w:right w:val="single" w:color="auto" w:sz="4" w:space="0"/>
            </w:tcBorders>
            <w:vAlign w:val="center"/>
          </w:tcPr>
          <w:p w14:paraId="08B6C1F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平均排40m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w:t>
            </w:r>
          </w:p>
        </w:tc>
        <w:tc>
          <w:tcPr>
            <w:tcW w:w="1335" w:type="pct"/>
            <w:tcBorders>
              <w:top w:val="nil"/>
              <w:left w:val="single" w:color="auto" w:sz="4" w:space="0"/>
              <w:bottom w:val="nil"/>
              <w:right w:val="nil"/>
            </w:tcBorders>
            <w:vAlign w:val="center"/>
          </w:tcPr>
          <w:p w14:paraId="44FF623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平均排100m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w:t>
            </w:r>
          </w:p>
        </w:tc>
      </w:tr>
      <w:tr w14:paraId="70C0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90" w:hRule="atLeast"/>
          <w:jc w:val="center"/>
        </w:trPr>
        <w:tc>
          <w:tcPr>
            <w:tcW w:w="847" w:type="pct"/>
            <w:vMerge w:val="restart"/>
            <w:tcBorders>
              <w:top w:val="nil"/>
              <w:left w:val="nil"/>
              <w:bottom w:val="nil"/>
              <w:right w:val="single" w:color="auto" w:sz="4" w:space="0"/>
            </w:tcBorders>
            <w:vAlign w:val="center"/>
          </w:tcPr>
          <w:p w14:paraId="67424FE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其他工程</w:t>
            </w:r>
          </w:p>
        </w:tc>
        <w:tc>
          <w:tcPr>
            <w:tcW w:w="726" w:type="pct"/>
            <w:tcBorders>
              <w:top w:val="nil"/>
              <w:left w:val="single" w:color="auto" w:sz="4" w:space="0"/>
              <w:bottom w:val="nil"/>
              <w:right w:val="single" w:color="auto" w:sz="4" w:space="0"/>
            </w:tcBorders>
            <w:vAlign w:val="center"/>
          </w:tcPr>
          <w:p w14:paraId="42D5347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梅梁湖泵站、大渲河泵站合计引水30m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w:t>
            </w:r>
          </w:p>
        </w:tc>
        <w:tc>
          <w:tcPr>
            <w:tcW w:w="820" w:type="pct"/>
            <w:tcBorders>
              <w:top w:val="nil"/>
              <w:left w:val="single" w:color="auto" w:sz="4" w:space="0"/>
              <w:bottom w:val="nil"/>
              <w:right w:val="single" w:color="auto" w:sz="4" w:space="0"/>
            </w:tcBorders>
            <w:vAlign w:val="center"/>
          </w:tcPr>
          <w:p w14:paraId="3B1E791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梅梁湖泵站、大渲河泵站合计引水30m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w:t>
            </w:r>
          </w:p>
        </w:tc>
        <w:tc>
          <w:tcPr>
            <w:tcW w:w="1271" w:type="pct"/>
            <w:tcBorders>
              <w:top w:val="nil"/>
              <w:left w:val="single" w:color="auto" w:sz="4" w:space="0"/>
              <w:bottom w:val="nil"/>
              <w:right w:val="single" w:color="auto" w:sz="4" w:space="0"/>
            </w:tcBorders>
            <w:vAlign w:val="center"/>
          </w:tcPr>
          <w:p w14:paraId="54CEB6D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梅梁湖泵站、大渲河泵站合计引水30m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/s、武南河立交枢纽20m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w:t>
            </w:r>
          </w:p>
        </w:tc>
        <w:tc>
          <w:tcPr>
            <w:tcW w:w="1335" w:type="pct"/>
            <w:tcBorders>
              <w:top w:val="nil"/>
              <w:left w:val="single" w:color="auto" w:sz="4" w:space="0"/>
              <w:bottom w:val="nil"/>
              <w:right w:val="nil"/>
            </w:tcBorders>
            <w:vAlign w:val="center"/>
          </w:tcPr>
          <w:p w14:paraId="36C9522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梅梁湖泵站、大渲河泵站合计引水30m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/s、武南河立交枢纽20m</w:t>
            </w:r>
            <w:r>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superscript"/>
                <w:lang w:val="en-US" w:eastAsia="zh-CN" w:bidi="ar-SA"/>
              </w:rPr>
              <w:t>3</w:t>
            </w: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/s</w:t>
            </w:r>
          </w:p>
        </w:tc>
      </w:tr>
      <w:tr w14:paraId="3F11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847" w:type="pct"/>
            <w:vMerge w:val="continue"/>
            <w:tcBorders>
              <w:top w:val="nil"/>
              <w:left w:val="nil"/>
              <w:bottom w:val="single" w:color="auto" w:sz="4" w:space="0"/>
              <w:right w:val="single" w:color="auto" w:sz="4" w:space="0"/>
            </w:tcBorders>
            <w:vAlign w:val="center"/>
          </w:tcPr>
          <w:p w14:paraId="20137C94">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726" w:type="pct"/>
            <w:tcBorders>
              <w:top w:val="nil"/>
              <w:left w:val="single" w:color="auto" w:sz="4" w:space="0"/>
              <w:bottom w:val="single" w:color="auto" w:sz="4" w:space="0"/>
              <w:right w:val="single" w:color="auto" w:sz="4" w:space="0"/>
            </w:tcBorders>
            <w:vAlign w:val="center"/>
          </w:tcPr>
          <w:p w14:paraId="06B73EC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西控制线沿线闸门全开</w:t>
            </w:r>
          </w:p>
        </w:tc>
        <w:tc>
          <w:tcPr>
            <w:tcW w:w="820" w:type="pct"/>
            <w:tcBorders>
              <w:top w:val="nil"/>
              <w:left w:val="single" w:color="auto" w:sz="4" w:space="0"/>
              <w:bottom w:val="single" w:color="auto" w:sz="4" w:space="0"/>
              <w:right w:val="single" w:color="auto" w:sz="4" w:space="0"/>
            </w:tcBorders>
            <w:vAlign w:val="center"/>
          </w:tcPr>
          <w:p w14:paraId="7B732F87">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西控制线沿线闸门全开</w:t>
            </w:r>
          </w:p>
        </w:tc>
        <w:tc>
          <w:tcPr>
            <w:tcW w:w="1271" w:type="pct"/>
            <w:tcBorders>
              <w:top w:val="nil"/>
              <w:left w:val="single" w:color="auto" w:sz="4" w:space="0"/>
              <w:bottom w:val="single" w:color="auto" w:sz="4" w:space="0"/>
              <w:right w:val="single" w:color="auto" w:sz="4" w:space="0"/>
            </w:tcBorders>
            <w:vAlign w:val="center"/>
          </w:tcPr>
          <w:p w14:paraId="1187B6E9">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武南河节制闸关闭，</w:t>
            </w:r>
          </w:p>
          <w:p w14:paraId="2073D91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西控制线其他节制闸全开</w:t>
            </w:r>
          </w:p>
        </w:tc>
        <w:tc>
          <w:tcPr>
            <w:tcW w:w="1335" w:type="pct"/>
            <w:tcBorders>
              <w:top w:val="nil"/>
              <w:left w:val="single" w:color="auto" w:sz="4" w:space="0"/>
              <w:bottom w:val="single" w:color="auto" w:sz="4" w:space="0"/>
              <w:right w:val="nil"/>
            </w:tcBorders>
            <w:vAlign w:val="center"/>
          </w:tcPr>
          <w:p w14:paraId="0F2A4BF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武南河节制闸关闭，</w:t>
            </w:r>
          </w:p>
          <w:p w14:paraId="3BE891A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baseline"/>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val="en-US" w:eastAsia="zh-CN" w:bidi="ar-SA"/>
              </w:rPr>
              <w:t>西控制线其他节制闸全开</w:t>
            </w:r>
          </w:p>
        </w:tc>
      </w:tr>
    </w:tbl>
    <w:p w14:paraId="4F35FF93">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00" w:firstLineChars="200"/>
        <w:jc w:val="both"/>
        <w:textAlignment w:val="baseline"/>
        <w:rPr>
          <w:rFonts w:hint="default" w:ascii="Times New Roman" w:hAnsi="Times New Roman" w:eastAsia="宋体" w:cs="Times New Roman"/>
          <w:snapToGrid/>
          <w:color w:val="auto"/>
          <w:spacing w:val="0"/>
          <w:w w:val="100"/>
          <w:kern w:val="2"/>
          <w:position w:val="0"/>
          <w:sz w:val="20"/>
          <w:szCs w:val="20"/>
          <w:highlight w:val="none"/>
          <w:u w:val="none"/>
          <w:shd w:val="clear" w:fill="auto"/>
          <w:lang w:val="en-US" w:eastAsia="zh-CN"/>
        </w:rPr>
      </w:pPr>
    </w:p>
    <w:p w14:paraId="7B0ECC7B">
      <w:pPr>
        <w:pStyle w:val="2"/>
        <w:pageBreakBefore w:val="0"/>
        <w:overflowPunct/>
        <w:topLinePunct w:val="0"/>
        <w:bidi w:val="0"/>
        <w:adjustRightInd/>
        <w:snapToGrid/>
        <w:spacing w:before="0" w:after="0" w:line="240" w:lineRule="auto"/>
        <w:ind w:left="0" w:leftChars="0" w:right="0" w:rightChars="0"/>
        <w:rPr>
          <w:rFonts w:hint="default" w:ascii="Times New Roman" w:hAnsi="Times New Roman" w:cs="Times New Roman"/>
          <w:snapToGrid/>
          <w:color w:val="auto"/>
          <w:spacing w:val="0"/>
          <w:w w:val="100"/>
          <w:kern w:val="2"/>
          <w:position w:val="0"/>
          <w:highlight w:val="none"/>
          <w:u w:val="none"/>
          <w:shd w:val="clear" w:fill="auto"/>
          <w:lang w:val="en-US" w:eastAsia="zh-CN"/>
        </w:rPr>
      </w:pPr>
      <w:r>
        <w:rPr>
          <w:rFonts w:hint="default" w:ascii="Times New Roman" w:hAnsi="Times New Roman" w:cs="Times New Roman"/>
          <w:snapToGrid/>
          <w:color w:val="auto"/>
          <w:spacing w:val="0"/>
          <w:w w:val="100"/>
          <w:kern w:val="2"/>
          <w:position w:val="0"/>
          <w:highlight w:val="none"/>
          <w:u w:val="none"/>
          <w:shd w:val="clear" w:fill="auto"/>
          <w:lang w:val="en-US" w:eastAsia="zh-CN"/>
        </w:rPr>
        <w:t>3 结果</w:t>
      </w:r>
      <w:r>
        <w:rPr>
          <w:rFonts w:hint="eastAsia" w:ascii="Times New Roman" w:hAnsi="Times New Roman" w:cs="Times New Roman"/>
          <w:snapToGrid/>
          <w:color w:val="auto"/>
          <w:spacing w:val="0"/>
          <w:w w:val="100"/>
          <w:kern w:val="2"/>
          <w:position w:val="0"/>
          <w:highlight w:val="none"/>
          <w:u w:val="none"/>
          <w:shd w:val="clear" w:fill="auto"/>
          <w:lang w:val="en-US" w:eastAsia="zh-CN"/>
        </w:rPr>
        <w:t>分析</w:t>
      </w:r>
    </w:p>
    <w:p w14:paraId="3768F864">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textAlignment w:val="baseline"/>
        <w:outlineLvl w:val="2"/>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3.1 河网水位变化</w:t>
      </w:r>
    </w:p>
    <w:p w14:paraId="4AC06793">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水位模拟结果显示，方案A1与基础方案A0相比，滆湖平均水位由3.390m升至3.439m，抬升0.049m；洮湖平均水位由3.408m升至3.483m，抬升0.075m。常州（三）站水位由3.515m升至3.561m，抬升0.046m。这表明新孟河引水对区域河网水位具有明显的抬升作用，尤其是对新孟河沿线及滆湖周边区域水位影响较为显著。</w:t>
      </w:r>
    </w:p>
    <w:p w14:paraId="608DD77B">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方案A2和方案A3中，由于启用了遥观南、北枢纽北排及新沟河江边枢纽排水，河网水位较方案A1略有下降。方案A2滆湖平均水位为3.423m，方案A3为3.411m，均低于方案A1的3.439m。这表明联合新沟河排水调度有利于维持河网水位的动态平衡。长沟河、湖塘河水位在方案A2中较方案A1有所抬升，这与武南河枢纽引水有关；永安河水位则略有下降，受遥观南枢纽北排影响。</w:t>
      </w:r>
    </w:p>
    <w:p w14:paraId="5CD488FC">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因此，从水位变幅来看，新孟河引水对滆湖、洮湖及新孟河沿线水位影响较大，各方案太湖竺山湖水位基本维持在3.197m左右，说明新孟河引水对太湖湖区水位的直接影响有限。</w:t>
      </w:r>
    </w:p>
    <w:p w14:paraId="7C2A9A19">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textAlignment w:val="baseline"/>
        <w:outlineLvl w:val="2"/>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3.2 典型断面流量变化</w:t>
      </w:r>
    </w:p>
    <w:p w14:paraId="0433F7EA">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流量模拟结果显示（见图</w:t>
      </w:r>
      <w:r>
        <w:rPr>
          <w:rFonts w:hint="eastAsia" w:eastAsia="宋体" w:cs="Times New Roman"/>
          <w:snapToGrid/>
          <w:color w:val="auto"/>
          <w:spacing w:val="0"/>
          <w:w w:val="100"/>
          <w:kern w:val="2"/>
          <w:position w:val="0"/>
          <w:sz w:val="21"/>
          <w:szCs w:val="21"/>
          <w:highlight w:val="none"/>
          <w:u w:val="none"/>
          <w:shd w:val="clear" w:fill="auto"/>
          <w:lang w:val="en-US" w:eastAsia="zh-CN"/>
        </w:rPr>
        <w:t>6，图中红色箭头指向为计算时间内平均流向</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），新孟河引水显著改变了区域河网的水量分配格局。基础方案A0中，北干河东流入滆湖的平均流量约为39.1m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/s；方案A1中，北干河东入滆湖平均流量增至67.9m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/s，较方案A0提高了73.66%。这表明新孟河引水大部分经奔牛枢纽南排，由北干河东排入滆湖。奔牛立交过水量占引水总量的90%以上，引江水主要进入滆湖。</w:t>
      </w:r>
    </w:p>
    <w:p w14:paraId="0E5C294F">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百渎口入太湖流量在方案A1中由71.7m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/s增至86.8m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/s，增幅达21.06%。漕桥河入太滆运河流量由33.6m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/s增至44.4m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/s，增幅32.10%。殷村港出滆湖流量由15.6m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/s增至18.8m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/s，增幅20.10%。这说明新孟河引水增加了入太湖水量，对于改善太湖西北部湖区水动力条件具有积极作用。</w:t>
      </w:r>
    </w:p>
    <w:p w14:paraId="037A90AB">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值得注意的是，太滆运河上游段（红湖大桥附近）水流呈倒流状态，由太滆运河倒流入滆湖。方案A0中倒流流量约为12.7m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/s，方案A1中减少至10.2m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/s，方案A2中进一步减少至6.8m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/s，方案A3中为6.0m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/s。这表明新孟河引水可在一定程度上缓解太滆运河倒流现象，但难以完全消除。</w:t>
      </w:r>
      <w:r>
        <w:rPr>
          <w:rFonts w:hint="eastAsia" w:eastAsia="宋体" w:cs="Times New Roman"/>
          <w:snapToGrid/>
          <w:color w:val="auto"/>
          <w:spacing w:val="0"/>
          <w:w w:val="100"/>
          <w:kern w:val="2"/>
          <w:position w:val="0"/>
          <w:sz w:val="21"/>
          <w:szCs w:val="21"/>
          <w:highlight w:val="none"/>
          <w:u w:val="none"/>
          <w:shd w:val="clear" w:fill="auto"/>
          <w:lang w:val="en-US" w:eastAsia="zh-CN"/>
        </w:rPr>
        <w:t>其原因是下游锡溧漕河常年倒流，对太滆运河形成顶托。</w:t>
      </w:r>
    </w:p>
    <w:p w14:paraId="4D00DFCE">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对于研究区域内部武进城区河道，方案A1中长沟河流量由3.6m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/s增至5.1m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/s，湖塘河流量由1.2m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/s增至1.5m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/s，增幅有限。方案A2中，由于武南河枢纽引水对长沟河产生顶托作用，长沟河流量降至0.4m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/s；湖塘河流量增至2.2m</w:t>
      </w:r>
      <w:r>
        <w:rPr>
          <w:rFonts w:hint="default"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/s，受遥观南枢纽北排影响。这说明尽管武南河以20m3/s的流量引滆湖水，但在遥观南枢纽的调度作用下，湖塘河</w:t>
      </w:r>
      <w:r>
        <w:rPr>
          <w:rFonts w:hint="eastAsia" w:eastAsia="宋体" w:cs="Times New Roman"/>
          <w:snapToGrid/>
          <w:color w:val="auto"/>
          <w:spacing w:val="0"/>
          <w:w w:val="100"/>
          <w:kern w:val="2"/>
          <w:position w:val="0"/>
          <w:sz w:val="21"/>
          <w:szCs w:val="21"/>
          <w:highlight w:val="none"/>
          <w:u w:val="none"/>
          <w:shd w:val="clear" w:fill="auto"/>
          <w:lang w:val="en-US" w:eastAsia="zh-CN"/>
        </w:rPr>
        <w:t>南枢纽</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与长沟河南枢纽闸门仅保持敞开而未启用泵站，仍难以实现水流自南向北自流引入城区河网，同时也未能改变锡溧漕河的南排倒流现象。方案A3中长沟河的平均流量较方案A2有所增加，但仍低于方案A0和A1，流向保持不变，湖塘河的平均流量较方案A2继续增加，但增幅有限，流向也未发生改变。因此，增大遥观南、北枢纽及新沟河江边枢纽的北排规模，亦未对研究区域城区内河道的流量分布产生显著影响。</w:t>
      </w:r>
    </w:p>
    <w:p w14:paraId="47018415">
      <w:pPr>
        <w:keepNext w:val="0"/>
        <w:keepLines w:val="0"/>
        <w:pageBreakBefore w:val="0"/>
        <w:overflowPunct/>
        <w:topLinePunct w:val="0"/>
        <w:bidi w:val="0"/>
        <w:adjustRightInd/>
        <w:snapToGrid/>
        <w:spacing w:line="240" w:lineRule="auto"/>
        <w:ind w:left="0" w:leftChars="0" w:right="0" w:rightChars="0"/>
        <w:jc w:val="center"/>
        <w:rPr>
          <w:rFonts w:hint="default" w:ascii="Times New Roman" w:hAnsi="Times New Roman" w:eastAsia="宋体" w:cs="Times New Roman"/>
          <w:snapToGrid/>
          <w:color w:val="auto"/>
          <w:spacing w:val="0"/>
          <w:w w:val="100"/>
          <w:kern w:val="2"/>
          <w:position w:val="0"/>
          <w:sz w:val="24"/>
          <w:szCs w:val="24"/>
          <w:highlight w:val="none"/>
          <w:u w:val="none"/>
          <w:shd w:val="clear" w:fill="auto"/>
        </w:rPr>
      </w:pPr>
      <w:r>
        <w:rPr>
          <w:color w:val="auto"/>
          <w:highlight w:val="none"/>
          <w:u w:val="none"/>
          <w:shd w:val="clear" w:fill="auto"/>
        </w:rPr>
        <w:drawing>
          <wp:inline distT="0" distB="0" distL="114300" distR="114300">
            <wp:extent cx="2520315" cy="2352040"/>
            <wp:effectExtent l="0" t="0" r="9525" b="1016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5"/>
                    <a:stretch>
                      <a:fillRect/>
                    </a:stretch>
                  </pic:blipFill>
                  <pic:spPr>
                    <a:xfrm>
                      <a:off x="0" y="0"/>
                      <a:ext cx="2520315" cy="2352040"/>
                    </a:xfrm>
                    <a:prstGeom prst="rect">
                      <a:avLst/>
                    </a:prstGeom>
                    <a:noFill/>
                    <a:ln>
                      <a:noFill/>
                    </a:ln>
                  </pic:spPr>
                </pic:pic>
              </a:graphicData>
            </a:graphic>
          </wp:inline>
        </w:drawing>
      </w:r>
      <w:r>
        <w:rPr>
          <w:rFonts w:hint="default" w:ascii="Times New Roman" w:hAnsi="Times New Roman" w:eastAsia="宋体" w:cs="Times New Roman"/>
          <w:snapToGrid/>
          <w:color w:val="auto"/>
          <w:spacing w:val="0"/>
          <w:w w:val="100"/>
          <w:kern w:val="2"/>
          <w:position w:val="0"/>
          <w:sz w:val="24"/>
          <w:szCs w:val="24"/>
          <w:highlight w:val="none"/>
          <w:u w:val="none"/>
          <w:shd w:val="clear" w:fill="auto"/>
          <w:lang w:val="en-US" w:eastAsia="zh-CN"/>
        </w:rPr>
        <w:t xml:space="preserve"> </w:t>
      </w:r>
      <w:r>
        <w:rPr>
          <w:color w:val="auto"/>
          <w:highlight w:val="none"/>
          <w:u w:val="none"/>
          <w:shd w:val="clear" w:fill="auto"/>
        </w:rPr>
        <w:drawing>
          <wp:inline distT="0" distB="0" distL="114300" distR="114300">
            <wp:extent cx="2520315" cy="2352040"/>
            <wp:effectExtent l="0" t="0" r="9525" b="1016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6"/>
                    <a:stretch>
                      <a:fillRect/>
                    </a:stretch>
                  </pic:blipFill>
                  <pic:spPr>
                    <a:xfrm>
                      <a:off x="0" y="0"/>
                      <a:ext cx="2520315" cy="2352040"/>
                    </a:xfrm>
                    <a:prstGeom prst="rect">
                      <a:avLst/>
                    </a:prstGeom>
                    <a:noFill/>
                    <a:ln>
                      <a:noFill/>
                    </a:ln>
                  </pic:spPr>
                </pic:pic>
              </a:graphicData>
            </a:graphic>
          </wp:inline>
        </w:drawing>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65C8D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7FA4657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（a）方案A0</w:t>
            </w:r>
          </w:p>
        </w:tc>
        <w:tc>
          <w:tcPr>
            <w:tcW w:w="4261" w:type="dxa"/>
          </w:tcPr>
          <w:p w14:paraId="75BEEBA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（b）方案A1</w:t>
            </w:r>
          </w:p>
        </w:tc>
      </w:tr>
    </w:tbl>
    <w:p w14:paraId="0F2D1922">
      <w:pPr>
        <w:keepNext w:val="0"/>
        <w:keepLines w:val="0"/>
        <w:pageBreakBefore w:val="0"/>
        <w:overflowPunct/>
        <w:topLinePunct w:val="0"/>
        <w:bidi w:val="0"/>
        <w:adjustRightInd/>
        <w:snapToGrid/>
        <w:spacing w:line="240" w:lineRule="auto"/>
        <w:ind w:left="0" w:leftChars="0" w:right="0" w:rightChars="0"/>
        <w:jc w:val="center"/>
        <w:rPr>
          <w:rFonts w:hint="default" w:ascii="Times New Roman" w:hAnsi="Times New Roman" w:eastAsia="宋体" w:cs="Times New Roman"/>
          <w:snapToGrid/>
          <w:color w:val="auto"/>
          <w:spacing w:val="0"/>
          <w:w w:val="100"/>
          <w:kern w:val="2"/>
          <w:position w:val="0"/>
          <w:sz w:val="24"/>
          <w:szCs w:val="24"/>
          <w:highlight w:val="none"/>
          <w:u w:val="none"/>
          <w:shd w:val="clear" w:fill="auto"/>
        </w:rPr>
      </w:pPr>
      <w:r>
        <w:rPr>
          <w:color w:val="auto"/>
          <w:highlight w:val="none"/>
          <w:u w:val="none"/>
          <w:shd w:val="clear" w:fill="auto"/>
        </w:rPr>
        <w:drawing>
          <wp:inline distT="0" distB="0" distL="114300" distR="114300">
            <wp:extent cx="2520315" cy="2360930"/>
            <wp:effectExtent l="0" t="0" r="9525" b="127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7"/>
                    <a:stretch>
                      <a:fillRect/>
                    </a:stretch>
                  </pic:blipFill>
                  <pic:spPr>
                    <a:xfrm>
                      <a:off x="0" y="0"/>
                      <a:ext cx="2520315" cy="2360930"/>
                    </a:xfrm>
                    <a:prstGeom prst="rect">
                      <a:avLst/>
                    </a:prstGeom>
                    <a:noFill/>
                    <a:ln>
                      <a:noFill/>
                    </a:ln>
                  </pic:spPr>
                </pic:pic>
              </a:graphicData>
            </a:graphic>
          </wp:inline>
        </w:drawing>
      </w:r>
      <w:r>
        <w:rPr>
          <w:rFonts w:hint="default" w:ascii="Times New Roman" w:hAnsi="Times New Roman" w:eastAsia="宋体" w:cs="Times New Roman"/>
          <w:snapToGrid/>
          <w:color w:val="auto"/>
          <w:spacing w:val="0"/>
          <w:w w:val="100"/>
          <w:kern w:val="2"/>
          <w:position w:val="0"/>
          <w:sz w:val="24"/>
          <w:szCs w:val="24"/>
          <w:highlight w:val="none"/>
          <w:u w:val="none"/>
          <w:shd w:val="clear" w:fill="auto"/>
          <w:lang w:val="en-US" w:eastAsia="zh-CN"/>
        </w:rPr>
        <w:t xml:space="preserve"> </w:t>
      </w:r>
      <w:r>
        <w:rPr>
          <w:color w:val="auto"/>
          <w:highlight w:val="none"/>
          <w:u w:val="none"/>
          <w:shd w:val="clear" w:fill="auto"/>
        </w:rPr>
        <w:drawing>
          <wp:inline distT="0" distB="0" distL="114300" distR="114300">
            <wp:extent cx="2520315" cy="2355215"/>
            <wp:effectExtent l="0" t="0" r="9525" b="6985"/>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18"/>
                    <a:stretch>
                      <a:fillRect/>
                    </a:stretch>
                  </pic:blipFill>
                  <pic:spPr>
                    <a:xfrm>
                      <a:off x="0" y="0"/>
                      <a:ext cx="2520315" cy="2355215"/>
                    </a:xfrm>
                    <a:prstGeom prst="rect">
                      <a:avLst/>
                    </a:prstGeom>
                    <a:noFill/>
                    <a:ln>
                      <a:noFill/>
                    </a:ln>
                  </pic:spPr>
                </pic:pic>
              </a:graphicData>
            </a:graphic>
          </wp:inline>
        </w:drawing>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119D7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40062E3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（c）方案A2</w:t>
            </w:r>
          </w:p>
        </w:tc>
        <w:tc>
          <w:tcPr>
            <w:tcW w:w="4261" w:type="dxa"/>
          </w:tcPr>
          <w:p w14:paraId="3A81B02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（d）方案A3</w:t>
            </w:r>
          </w:p>
        </w:tc>
      </w:tr>
    </w:tbl>
    <w:p w14:paraId="054A951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图</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6</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方案典型断面流量</w:t>
      </w:r>
    </w:p>
    <w:p w14:paraId="1EBBD5D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Fig.</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6</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D</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ischarge at typical cross-sections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in</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different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cases</w:t>
      </w:r>
    </w:p>
    <w:p w14:paraId="11DB409B">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textAlignment w:val="baseline"/>
        <w:outlineLvl w:val="2"/>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3.3 典型断面水质变化</w:t>
      </w:r>
    </w:p>
    <w:p w14:paraId="7C491931">
      <w:pPr>
        <w:pStyle w:val="4"/>
        <w:keepNext w:val="0"/>
        <w:keepLines w:val="0"/>
        <w:pageBreakBefore w:val="0"/>
        <w:widowControl/>
        <w:tabs>
          <w:tab w:val="left" w:pos="8530"/>
        </w:tabs>
        <w:kinsoku/>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水质模拟结果表明（各方案典型断面平均总磷、氨氮浓度较方案A0的变幅见表</w:t>
      </w:r>
      <w:r>
        <w:rPr>
          <w:rFonts w:hint="eastAsia" w:eastAsia="宋体" w:cs="Times New Roman"/>
          <w:snapToGrid/>
          <w:color w:val="auto"/>
          <w:spacing w:val="0"/>
          <w:w w:val="100"/>
          <w:kern w:val="2"/>
          <w:position w:val="0"/>
          <w:sz w:val="21"/>
          <w:szCs w:val="21"/>
          <w:highlight w:val="none"/>
          <w:u w:val="none"/>
          <w:shd w:val="clear" w:fill="auto"/>
          <w:lang w:val="en-US" w:eastAsia="zh-CN"/>
        </w:rPr>
        <w:t>3</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新孟河引水对骨干河道水质改善效果明显。方案A1中，奔牛枢纽总磷浓度由0.199mg/L降至0.090mg/L，下降54.77%；氨氮浓度由0.941mg/L降至0.173mg/L，下降81.62%。北干河总磷浓度由0.178mg/L降至0.114mg/L，下降35.96%；氨氮浓度由0.690mg/L降至0.345mg/L，下降50.00%。这表明长江优质水源的引入对新孟河沿线水质改善效果显著。</w:t>
      </w:r>
    </w:p>
    <w:p w14:paraId="46F38E49">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入太湖河道水质也得到明显改善。百渎口总磷浓度由0.201mg/L降至0.174mg/L，下降13.43%；氨氮浓度由1.111mg/L降至0.766mg/L，下降31.05%。太滆运河总磷浓度由0.173mg/L降至0.140mg/L，下降19.08%；氨氮浓度由0.722mg/L降至0.424mg/L，下降41.27%。殷村港总磷浓度下降7.41%，氨氮浓度下降20.82%。这说明新孟河引水对入太湖水质具有明显的改善作用，有利于减轻太湖西北部湖区的污染负荷。</w:t>
      </w:r>
    </w:p>
    <w:p w14:paraId="72A164CB">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方案A2和方案A3中，由于武南河枢纽引滆湖水入武南河，武南河水质显著改善。武南河立交总磷浓度由0.184mg/L降至0.115mg/L，下降37.50%；氨氮浓度由0.741mg/L降至0.255mg/L，下降65.59%。永安河武南河汇口总磷浓度下降33.01%，氨氮浓度下降63.02%。</w:t>
      </w:r>
    </w:p>
    <w:p w14:paraId="312758CC">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然而，对于武进城区其他河道，水质改善效果有限。方案A1中，长沟河南枢纽总磷浓度仅下降4.29%，氨氮浓度下降4.66%；湖塘河南枢纽总磷浓度下降0.54%，氨氮浓度下降0.74%。方案A2和方案A3中，这些河道的水质改善幅度仍然较小。这说明新孟河引水与新沟河排水联合调度对区域骨干河道水质有一定提升效果，但对部分</w:t>
      </w:r>
      <w:r>
        <w:rPr>
          <w:rFonts w:hint="eastAsia" w:eastAsia="宋体" w:cs="Times New Roman"/>
          <w:snapToGrid/>
          <w:color w:val="auto"/>
          <w:spacing w:val="0"/>
          <w:w w:val="100"/>
          <w:kern w:val="2"/>
          <w:position w:val="0"/>
          <w:sz w:val="21"/>
          <w:szCs w:val="21"/>
          <w:highlight w:val="none"/>
          <w:u w:val="none"/>
          <w:shd w:val="clear" w:fill="auto"/>
          <w:lang w:val="en-US" w:eastAsia="zh-CN"/>
        </w:rPr>
        <w:t>城区内部小</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河道的改善作用有限。其原因在于这些河道距离引水通道较远，且缺乏有效的工程调控手段，优质水源难以到达。</w:t>
      </w:r>
    </w:p>
    <w:p w14:paraId="0F0B35A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表</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3</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 xml:space="preserve">  各方案典型断面平均总磷、</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氨氮</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浓度变幅（较</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方案</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A0）</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w:t>
      </w:r>
    </w:p>
    <w:p w14:paraId="697E435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Table 3</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Variation</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ranges</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of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average</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TP and </w:t>
      </w:r>
      <w:r>
        <w:rPr>
          <w:rFonts w:hint="default" w:ascii="Times New Roman" w:hAnsi="Times New Roman" w:eastAsia="宋体" w:cs="Times New Roman"/>
          <w:snapToGrid/>
          <w:color w:val="auto"/>
          <w:spacing w:val="0"/>
          <w:w w:val="100"/>
          <w:kern w:val="2"/>
          <w:position w:val="0"/>
          <w:sz w:val="18"/>
          <w:szCs w:val="18"/>
          <w:highlight w:val="none"/>
          <w:u w:val="none"/>
          <w:shd w:val="clear" w:fill="auto"/>
          <w:lang w:val="en-US" w:eastAsia="zh-CN"/>
        </w:rPr>
        <w:t>NH</w:t>
      </w:r>
      <w:r>
        <w:rPr>
          <w:rFonts w:hint="eastAsia" w:ascii="Times New Roman" w:hAnsi="Times New Roman" w:eastAsia="宋体" w:cs="Times New Roman"/>
          <w:snapToGrid/>
          <w:color w:val="auto"/>
          <w:spacing w:val="0"/>
          <w:w w:val="100"/>
          <w:kern w:val="2"/>
          <w:position w:val="0"/>
          <w:sz w:val="18"/>
          <w:szCs w:val="18"/>
          <w:highlight w:val="none"/>
          <w:u w:val="none"/>
          <w:shd w:val="clear" w:fill="auto"/>
          <w:vertAlign w:val="subscript"/>
          <w:lang w:val="en-US" w:eastAsia="zh-CN"/>
        </w:rPr>
        <w:t>3</w:t>
      </w:r>
      <w:r>
        <w:rPr>
          <w:rFonts w:hint="eastAsia" w:eastAsia="宋体" w:cs="Times New Roman"/>
          <w:snapToGrid/>
          <w:color w:val="auto"/>
          <w:spacing w:val="0"/>
          <w:w w:val="100"/>
          <w:kern w:val="2"/>
          <w:position w:val="0"/>
          <w:sz w:val="18"/>
          <w:szCs w:val="18"/>
          <w:highlight w:val="none"/>
          <w:u w:val="none"/>
          <w:shd w:val="clear" w:fill="auto"/>
          <w:vertAlign w:val="baseline"/>
          <w:lang w:val="en-US" w:eastAsia="zh-CN"/>
        </w:rPr>
        <w:t>-</w:t>
      </w:r>
      <w:r>
        <w:rPr>
          <w:rFonts w:hint="default" w:ascii="Times New Roman" w:hAnsi="Times New Roman" w:eastAsia="宋体" w:cs="Times New Roman"/>
          <w:snapToGrid/>
          <w:color w:val="auto"/>
          <w:spacing w:val="0"/>
          <w:w w:val="100"/>
          <w:kern w:val="2"/>
          <w:position w:val="0"/>
          <w:sz w:val="18"/>
          <w:szCs w:val="18"/>
          <w:highlight w:val="none"/>
          <w:u w:val="none"/>
          <w:shd w:val="clear" w:fill="auto"/>
          <w:lang w:val="en-US" w:eastAsia="zh-CN"/>
        </w:rPr>
        <w:t>N</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concentration</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s</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at typical cross-sections in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different </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cases (relative to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c</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ase A0)</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9"/>
        <w:gridCol w:w="1376"/>
        <w:gridCol w:w="2699"/>
        <w:gridCol w:w="1181"/>
        <w:gridCol w:w="1181"/>
        <w:gridCol w:w="1181"/>
      </w:tblGrid>
      <w:tr w14:paraId="7653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1252" w:type="pct"/>
            <w:gridSpan w:val="2"/>
            <w:tcBorders>
              <w:top w:val="single" w:color="auto" w:sz="4" w:space="0"/>
              <w:left w:val="nil"/>
              <w:bottom w:val="single" w:color="auto" w:sz="4" w:space="0"/>
              <w:right w:val="single" w:color="auto" w:sz="4" w:space="0"/>
            </w:tcBorders>
            <w:shd w:val="clear" w:color="auto" w:fill="FFFFFF"/>
            <w:tcMar>
              <w:top w:w="12" w:type="dxa"/>
              <w:left w:w="12" w:type="dxa"/>
              <w:right w:w="12" w:type="dxa"/>
            </w:tcMar>
            <w:vAlign w:val="center"/>
          </w:tcPr>
          <w:p w14:paraId="1919A0E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rPr>
              <w:t>要素</w:t>
            </w:r>
          </w:p>
        </w:tc>
        <w:tc>
          <w:tcPr>
            <w:tcW w:w="1620" w:type="pct"/>
            <w:tcBorders>
              <w:top w:val="single" w:color="auto" w:sz="4" w:space="0"/>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37994EC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rPr>
              <w:t>节点/断面</w:t>
            </w:r>
          </w:p>
        </w:tc>
        <w:tc>
          <w:tcPr>
            <w:tcW w:w="709" w:type="pct"/>
            <w:tcBorders>
              <w:top w:val="single" w:color="auto" w:sz="4" w:space="0"/>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08749DF3">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lang w:bidi="ar"/>
              </w:rPr>
            </w:pPr>
            <w: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lang w:bidi="ar"/>
              </w:rPr>
              <w:t>A1</w:t>
            </w:r>
          </w:p>
        </w:tc>
        <w:tc>
          <w:tcPr>
            <w:tcW w:w="709" w:type="pct"/>
            <w:tcBorders>
              <w:top w:val="single" w:color="auto" w:sz="4" w:space="0"/>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3D36874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lang w:bidi="ar"/>
              </w:rPr>
            </w:pPr>
            <w: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lang w:bidi="ar"/>
              </w:rPr>
              <w:t>A2</w:t>
            </w:r>
          </w:p>
        </w:tc>
        <w:tc>
          <w:tcPr>
            <w:tcW w:w="709" w:type="pct"/>
            <w:tcBorders>
              <w:top w:val="single" w:color="auto" w:sz="4" w:space="0"/>
              <w:left w:val="single" w:color="auto" w:sz="4" w:space="0"/>
              <w:bottom w:val="single" w:color="auto" w:sz="4" w:space="0"/>
              <w:right w:val="nil"/>
            </w:tcBorders>
            <w:shd w:val="clear" w:color="auto" w:fill="FFFFFF"/>
            <w:tcMar>
              <w:top w:w="12" w:type="dxa"/>
              <w:left w:w="12" w:type="dxa"/>
              <w:right w:w="12" w:type="dxa"/>
            </w:tcMar>
            <w:vAlign w:val="center"/>
          </w:tcPr>
          <w:p w14:paraId="080B9AA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lang w:bidi="ar"/>
              </w:rPr>
            </w:pPr>
            <w: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lang w:bidi="ar"/>
              </w:rPr>
              <w:t>A3</w:t>
            </w:r>
          </w:p>
        </w:tc>
      </w:tr>
      <w:tr w14:paraId="192B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restart"/>
            <w:tcBorders>
              <w:top w:val="single" w:color="auto" w:sz="4" w:space="0"/>
              <w:left w:val="nil"/>
              <w:bottom w:val="nil"/>
              <w:right w:val="single" w:color="auto" w:sz="4" w:space="0"/>
            </w:tcBorders>
            <w:shd w:val="clear" w:color="auto" w:fill="FFFFFF"/>
            <w:tcMar>
              <w:top w:w="12" w:type="dxa"/>
              <w:left w:w="12" w:type="dxa"/>
              <w:right w:w="12" w:type="dxa"/>
            </w:tcMar>
            <w:vAlign w:val="center"/>
          </w:tcPr>
          <w:p w14:paraId="6C05F32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总磷</w:t>
            </w:r>
          </w:p>
        </w:tc>
        <w:tc>
          <w:tcPr>
            <w:tcW w:w="825" w:type="pct"/>
            <w:vMerge w:val="restar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5AC333E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新孟河</w:t>
            </w:r>
          </w:p>
        </w:tc>
        <w:tc>
          <w:tcPr>
            <w:tcW w:w="1620"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bottom"/>
          </w:tcPr>
          <w:p w14:paraId="40BD48C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奔牛枢纽</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5D772F44">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-54.77</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784CEEF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-54.77</w:t>
            </w:r>
          </w:p>
        </w:tc>
        <w:tc>
          <w:tcPr>
            <w:tcW w:w="709" w:type="pct"/>
            <w:tcBorders>
              <w:top w:val="single" w:color="auto" w:sz="4" w:space="0"/>
              <w:left w:val="single" w:color="auto" w:sz="4" w:space="0"/>
              <w:bottom w:val="nil"/>
              <w:right w:val="nil"/>
            </w:tcBorders>
            <w:shd w:val="clear" w:color="auto" w:fill="FFFFFF"/>
            <w:tcMar>
              <w:top w:w="12" w:type="dxa"/>
              <w:left w:w="12" w:type="dxa"/>
              <w:right w:w="12" w:type="dxa"/>
            </w:tcMar>
            <w:vAlign w:val="center"/>
          </w:tcPr>
          <w:p w14:paraId="70A80C2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-54.77</w:t>
            </w:r>
          </w:p>
        </w:tc>
      </w:tr>
      <w:tr w14:paraId="60AB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73B7886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5A74AAB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bottom"/>
          </w:tcPr>
          <w:p w14:paraId="68F90071">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北干河</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66AECD07">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-35.96</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4678039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-35.39</w:t>
            </w:r>
          </w:p>
        </w:tc>
        <w:tc>
          <w:tcPr>
            <w:tcW w:w="709" w:type="pct"/>
            <w:tcBorders>
              <w:top w:val="nil"/>
              <w:left w:val="single" w:color="auto" w:sz="4" w:space="0"/>
              <w:bottom w:val="single" w:color="auto" w:sz="4" w:space="0"/>
              <w:right w:val="nil"/>
            </w:tcBorders>
            <w:shd w:val="clear" w:color="auto" w:fill="FFFFFF"/>
            <w:tcMar>
              <w:top w:w="12" w:type="dxa"/>
              <w:left w:w="12" w:type="dxa"/>
              <w:right w:w="12" w:type="dxa"/>
            </w:tcMar>
            <w:vAlign w:val="center"/>
          </w:tcPr>
          <w:p w14:paraId="23CB9BE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-35.39</w:t>
            </w:r>
          </w:p>
        </w:tc>
      </w:tr>
      <w:tr w14:paraId="0846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798971E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restar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67C3C48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入太湖</w:t>
            </w:r>
          </w:p>
        </w:tc>
        <w:tc>
          <w:tcPr>
            <w:tcW w:w="1620"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5800465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百渎口</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65267C24">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-13.43</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657E608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-7.46</w:t>
            </w:r>
          </w:p>
        </w:tc>
        <w:tc>
          <w:tcPr>
            <w:tcW w:w="709" w:type="pct"/>
            <w:tcBorders>
              <w:top w:val="single" w:color="auto" w:sz="4" w:space="0"/>
              <w:left w:val="single" w:color="auto" w:sz="4" w:space="0"/>
              <w:bottom w:val="nil"/>
              <w:right w:val="nil"/>
            </w:tcBorders>
            <w:shd w:val="clear" w:color="auto" w:fill="FFFFFF"/>
            <w:tcMar>
              <w:top w:w="12" w:type="dxa"/>
              <w:left w:w="12" w:type="dxa"/>
              <w:right w:w="12" w:type="dxa"/>
            </w:tcMar>
            <w:vAlign w:val="center"/>
          </w:tcPr>
          <w:p w14:paraId="1B391C63">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-16.42</w:t>
            </w:r>
          </w:p>
        </w:tc>
      </w:tr>
      <w:tr w14:paraId="3ECA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0707A12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48457544">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0D97F315">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烧香港</w:t>
            </w:r>
          </w:p>
        </w:tc>
        <w:tc>
          <w:tcPr>
            <w:tcW w:w="709"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63E53EE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-4.47</w:t>
            </w:r>
          </w:p>
        </w:tc>
        <w:tc>
          <w:tcPr>
            <w:tcW w:w="709"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31DC511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-3.91</w:t>
            </w:r>
          </w:p>
        </w:tc>
        <w:tc>
          <w:tcPr>
            <w:tcW w:w="709" w:type="pct"/>
            <w:tcBorders>
              <w:top w:val="nil"/>
              <w:left w:val="single" w:color="auto" w:sz="4" w:space="0"/>
              <w:bottom w:val="nil"/>
              <w:right w:val="nil"/>
            </w:tcBorders>
            <w:shd w:val="clear" w:color="auto" w:fill="FFFFFF"/>
            <w:tcMar>
              <w:top w:w="12" w:type="dxa"/>
              <w:left w:w="12" w:type="dxa"/>
              <w:right w:w="12" w:type="dxa"/>
            </w:tcMar>
            <w:vAlign w:val="center"/>
          </w:tcPr>
          <w:p w14:paraId="2AC6369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-3.35</w:t>
            </w:r>
          </w:p>
        </w:tc>
      </w:tr>
      <w:tr w14:paraId="537C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75DAE34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247FEF5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6FF55E3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殷村港</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7065242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-7.41</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5D97110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-7.41</w:t>
            </w:r>
          </w:p>
        </w:tc>
        <w:tc>
          <w:tcPr>
            <w:tcW w:w="709" w:type="pct"/>
            <w:tcBorders>
              <w:top w:val="nil"/>
              <w:left w:val="single" w:color="auto" w:sz="4" w:space="0"/>
              <w:bottom w:val="single" w:color="auto" w:sz="4" w:space="0"/>
              <w:right w:val="nil"/>
            </w:tcBorders>
            <w:shd w:val="clear" w:color="auto" w:fill="FFFFFF"/>
            <w:tcMar>
              <w:top w:w="12" w:type="dxa"/>
              <w:left w:w="12" w:type="dxa"/>
              <w:right w:w="12" w:type="dxa"/>
            </w:tcMar>
            <w:vAlign w:val="center"/>
          </w:tcPr>
          <w:p w14:paraId="13CD7B7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-8.02</w:t>
            </w:r>
          </w:p>
        </w:tc>
      </w:tr>
      <w:tr w14:paraId="6232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3E543FE5">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restar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6DBE5CE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出滆湖</w:t>
            </w:r>
          </w:p>
        </w:tc>
        <w:tc>
          <w:tcPr>
            <w:tcW w:w="1620"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bottom"/>
          </w:tcPr>
          <w:p w14:paraId="53E7730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太滆运河</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363A0AE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-19.08</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073A471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-19.65</w:t>
            </w:r>
          </w:p>
        </w:tc>
        <w:tc>
          <w:tcPr>
            <w:tcW w:w="709" w:type="pct"/>
            <w:tcBorders>
              <w:top w:val="single" w:color="auto" w:sz="4" w:space="0"/>
              <w:left w:val="single" w:color="auto" w:sz="4" w:space="0"/>
              <w:bottom w:val="nil"/>
              <w:right w:val="nil"/>
            </w:tcBorders>
            <w:shd w:val="clear" w:color="auto" w:fill="FFFFFF"/>
            <w:tcMar>
              <w:top w:w="12" w:type="dxa"/>
              <w:left w:w="12" w:type="dxa"/>
              <w:right w:w="12" w:type="dxa"/>
            </w:tcMar>
            <w:vAlign w:val="center"/>
          </w:tcPr>
          <w:p w14:paraId="2D4069D9">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-24.86</w:t>
            </w:r>
          </w:p>
        </w:tc>
      </w:tr>
      <w:tr w14:paraId="6676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21C5768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5B805F6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bottom"/>
          </w:tcPr>
          <w:p w14:paraId="002C51A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漕桥河</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01BF508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-2.56</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7186EE9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-2.56</w:t>
            </w:r>
          </w:p>
        </w:tc>
        <w:tc>
          <w:tcPr>
            <w:tcW w:w="709" w:type="pct"/>
            <w:tcBorders>
              <w:top w:val="nil"/>
              <w:left w:val="single" w:color="auto" w:sz="4" w:space="0"/>
              <w:bottom w:val="single" w:color="auto" w:sz="4" w:space="0"/>
              <w:right w:val="nil"/>
            </w:tcBorders>
            <w:shd w:val="clear" w:color="auto" w:fill="FFFFFF"/>
            <w:tcMar>
              <w:top w:w="12" w:type="dxa"/>
              <w:left w:w="12" w:type="dxa"/>
              <w:right w:w="12" w:type="dxa"/>
            </w:tcMar>
            <w:vAlign w:val="center"/>
          </w:tcPr>
          <w:p w14:paraId="05469035">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-2.56</w:t>
            </w:r>
          </w:p>
        </w:tc>
      </w:tr>
      <w:tr w14:paraId="5CE3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416D136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tcBorders>
              <w:top w:val="single" w:color="auto" w:sz="4" w:space="0"/>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77728A1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武南河</w:t>
            </w:r>
          </w:p>
        </w:tc>
        <w:tc>
          <w:tcPr>
            <w:tcW w:w="1620" w:type="pct"/>
            <w:tcBorders>
              <w:top w:val="single" w:color="auto" w:sz="4" w:space="0"/>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7AB9CF75">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武南河立交</w:t>
            </w:r>
          </w:p>
        </w:tc>
        <w:tc>
          <w:tcPr>
            <w:tcW w:w="709" w:type="pct"/>
            <w:tcBorders>
              <w:top w:val="single" w:color="auto" w:sz="4" w:space="0"/>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2832A09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-7.61</w:t>
            </w:r>
          </w:p>
        </w:tc>
        <w:tc>
          <w:tcPr>
            <w:tcW w:w="709" w:type="pct"/>
            <w:tcBorders>
              <w:top w:val="single" w:color="auto" w:sz="4" w:space="0"/>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3E16DBAA">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-37.50</w:t>
            </w:r>
          </w:p>
        </w:tc>
        <w:tc>
          <w:tcPr>
            <w:tcW w:w="709" w:type="pct"/>
            <w:tcBorders>
              <w:top w:val="single" w:color="auto" w:sz="4" w:space="0"/>
              <w:left w:val="single" w:color="auto" w:sz="4" w:space="0"/>
              <w:bottom w:val="single" w:color="auto" w:sz="4" w:space="0"/>
              <w:right w:val="nil"/>
            </w:tcBorders>
            <w:shd w:val="clear" w:color="auto" w:fill="FFFFFF"/>
            <w:tcMar>
              <w:top w:w="12" w:type="dxa"/>
              <w:left w:w="12" w:type="dxa"/>
              <w:right w:w="12" w:type="dxa"/>
            </w:tcMar>
            <w:vAlign w:val="center"/>
          </w:tcPr>
          <w:p w14:paraId="60A849C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-37.50</w:t>
            </w:r>
          </w:p>
        </w:tc>
      </w:tr>
      <w:tr w14:paraId="51B7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7096FB07">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restar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3738342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区域河道</w:t>
            </w:r>
          </w:p>
        </w:tc>
        <w:tc>
          <w:tcPr>
            <w:tcW w:w="1620"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66F98D6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长沟河南枢纽</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716A718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-4.29</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6BC1EBC7">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-8.59</w:t>
            </w:r>
          </w:p>
        </w:tc>
        <w:tc>
          <w:tcPr>
            <w:tcW w:w="709" w:type="pct"/>
            <w:tcBorders>
              <w:top w:val="single" w:color="auto" w:sz="4" w:space="0"/>
              <w:left w:val="single" w:color="auto" w:sz="4" w:space="0"/>
              <w:bottom w:val="nil"/>
              <w:right w:val="nil"/>
            </w:tcBorders>
            <w:shd w:val="clear" w:color="auto" w:fill="FFFFFF"/>
            <w:tcMar>
              <w:top w:w="12" w:type="dxa"/>
              <w:left w:w="12" w:type="dxa"/>
              <w:right w:w="12" w:type="dxa"/>
            </w:tcMar>
            <w:vAlign w:val="center"/>
          </w:tcPr>
          <w:p w14:paraId="4E13329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-1.23</w:t>
            </w:r>
          </w:p>
        </w:tc>
      </w:tr>
      <w:tr w14:paraId="3D1A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17D997B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601666F9">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73D6FD31">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湖塘河南枢纽</w:t>
            </w:r>
          </w:p>
        </w:tc>
        <w:tc>
          <w:tcPr>
            <w:tcW w:w="709"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54DEED11">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-0.54</w:t>
            </w:r>
          </w:p>
        </w:tc>
        <w:tc>
          <w:tcPr>
            <w:tcW w:w="709"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2E98F8C9">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-4.35</w:t>
            </w:r>
          </w:p>
        </w:tc>
        <w:tc>
          <w:tcPr>
            <w:tcW w:w="709" w:type="pct"/>
            <w:tcBorders>
              <w:top w:val="nil"/>
              <w:left w:val="single" w:color="auto" w:sz="4" w:space="0"/>
              <w:bottom w:val="nil"/>
              <w:right w:val="nil"/>
            </w:tcBorders>
            <w:shd w:val="clear" w:color="auto" w:fill="FFFFFF"/>
            <w:tcMar>
              <w:top w:w="12" w:type="dxa"/>
              <w:left w:w="12" w:type="dxa"/>
              <w:right w:w="12" w:type="dxa"/>
            </w:tcMar>
            <w:vAlign w:val="center"/>
          </w:tcPr>
          <w:p w14:paraId="5923920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-4.35</w:t>
            </w:r>
          </w:p>
        </w:tc>
      </w:tr>
      <w:tr w14:paraId="4E6C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single" w:color="auto" w:sz="4" w:space="0"/>
              <w:right w:val="single" w:color="auto" w:sz="4" w:space="0"/>
            </w:tcBorders>
            <w:shd w:val="clear" w:color="auto" w:fill="FFFFFF"/>
            <w:tcMar>
              <w:top w:w="12" w:type="dxa"/>
              <w:left w:w="12" w:type="dxa"/>
              <w:right w:w="12" w:type="dxa"/>
            </w:tcMar>
            <w:vAlign w:val="center"/>
          </w:tcPr>
          <w:p w14:paraId="67A36FB9">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630CB111">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1CB85909">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永安河武南河汇口</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7B84BF95">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-3.83</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5820B46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-33.01</w:t>
            </w:r>
          </w:p>
        </w:tc>
        <w:tc>
          <w:tcPr>
            <w:tcW w:w="709" w:type="pct"/>
            <w:tcBorders>
              <w:top w:val="nil"/>
              <w:left w:val="single" w:color="auto" w:sz="4" w:space="0"/>
              <w:bottom w:val="single" w:color="auto" w:sz="4" w:space="0"/>
              <w:right w:val="nil"/>
            </w:tcBorders>
            <w:shd w:val="clear" w:color="auto" w:fill="FFFFFF"/>
            <w:tcMar>
              <w:top w:w="12" w:type="dxa"/>
              <w:left w:w="12" w:type="dxa"/>
              <w:right w:w="12" w:type="dxa"/>
            </w:tcMar>
            <w:vAlign w:val="center"/>
          </w:tcPr>
          <w:p w14:paraId="7559838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-26.79</w:t>
            </w:r>
          </w:p>
        </w:tc>
      </w:tr>
      <w:tr w14:paraId="7A13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restart"/>
            <w:tcBorders>
              <w:top w:val="single" w:color="auto" w:sz="4" w:space="0"/>
              <w:left w:val="nil"/>
              <w:bottom w:val="nil"/>
              <w:right w:val="single" w:color="auto" w:sz="4" w:space="0"/>
            </w:tcBorders>
            <w:shd w:val="clear" w:color="auto" w:fill="FFFFFF"/>
            <w:tcMar>
              <w:top w:w="12" w:type="dxa"/>
              <w:left w:w="12" w:type="dxa"/>
              <w:right w:w="12" w:type="dxa"/>
            </w:tcMar>
            <w:vAlign w:val="center"/>
          </w:tcPr>
          <w:p w14:paraId="271B08E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氨氮</w:t>
            </w:r>
          </w:p>
        </w:tc>
        <w:tc>
          <w:tcPr>
            <w:tcW w:w="825" w:type="pct"/>
            <w:vMerge w:val="restar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374697D4">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新孟河</w:t>
            </w:r>
          </w:p>
        </w:tc>
        <w:tc>
          <w:tcPr>
            <w:tcW w:w="1620"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bottom"/>
          </w:tcPr>
          <w:p w14:paraId="751E0DE1">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奔牛枢纽</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4978F6A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-81.62</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33AC5A7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-81.62</w:t>
            </w:r>
          </w:p>
        </w:tc>
        <w:tc>
          <w:tcPr>
            <w:tcW w:w="709" w:type="pct"/>
            <w:tcBorders>
              <w:top w:val="single" w:color="auto" w:sz="4" w:space="0"/>
              <w:left w:val="single" w:color="auto" w:sz="4" w:space="0"/>
              <w:bottom w:val="nil"/>
              <w:right w:val="nil"/>
            </w:tcBorders>
            <w:shd w:val="clear" w:color="auto" w:fill="FFFFFF"/>
            <w:tcMar>
              <w:top w:w="12" w:type="dxa"/>
              <w:left w:w="12" w:type="dxa"/>
              <w:right w:w="12" w:type="dxa"/>
            </w:tcMar>
            <w:vAlign w:val="center"/>
          </w:tcPr>
          <w:p w14:paraId="7DAB7A3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-81.62</w:t>
            </w:r>
          </w:p>
        </w:tc>
      </w:tr>
      <w:tr w14:paraId="6F27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2C275667">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4331645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bottom"/>
          </w:tcPr>
          <w:p w14:paraId="1755AE3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北干河</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1DCB46C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-50.00</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4AB5FD5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-50.00</w:t>
            </w:r>
          </w:p>
        </w:tc>
        <w:tc>
          <w:tcPr>
            <w:tcW w:w="709" w:type="pct"/>
            <w:tcBorders>
              <w:top w:val="nil"/>
              <w:left w:val="single" w:color="auto" w:sz="4" w:space="0"/>
              <w:bottom w:val="single" w:color="auto" w:sz="4" w:space="0"/>
              <w:right w:val="nil"/>
            </w:tcBorders>
            <w:shd w:val="clear" w:color="auto" w:fill="FFFFFF"/>
            <w:tcMar>
              <w:top w:w="12" w:type="dxa"/>
              <w:left w:w="12" w:type="dxa"/>
              <w:right w:w="12" w:type="dxa"/>
            </w:tcMar>
            <w:vAlign w:val="center"/>
          </w:tcPr>
          <w:p w14:paraId="2A96FDB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-50.00</w:t>
            </w:r>
          </w:p>
        </w:tc>
      </w:tr>
      <w:tr w14:paraId="4AAF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78FDC5A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restar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5043014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入太湖</w:t>
            </w:r>
          </w:p>
        </w:tc>
        <w:tc>
          <w:tcPr>
            <w:tcW w:w="1620"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6C30586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百渎口</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4E59A8F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-31.05</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5A5B6014">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-24.03</w:t>
            </w:r>
          </w:p>
        </w:tc>
        <w:tc>
          <w:tcPr>
            <w:tcW w:w="709" w:type="pct"/>
            <w:tcBorders>
              <w:top w:val="single" w:color="auto" w:sz="4" w:space="0"/>
              <w:left w:val="single" w:color="auto" w:sz="4" w:space="0"/>
              <w:bottom w:val="nil"/>
              <w:right w:val="nil"/>
            </w:tcBorders>
            <w:shd w:val="clear" w:color="auto" w:fill="FFFFFF"/>
            <w:tcMar>
              <w:top w:w="12" w:type="dxa"/>
              <w:left w:w="12" w:type="dxa"/>
              <w:right w:w="12" w:type="dxa"/>
            </w:tcMar>
            <w:vAlign w:val="center"/>
          </w:tcPr>
          <w:p w14:paraId="3928AA05">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-36.54</w:t>
            </w:r>
          </w:p>
        </w:tc>
      </w:tr>
      <w:tr w14:paraId="1A6A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0C30E5D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4C173EA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3467C9C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烧香港</w:t>
            </w:r>
          </w:p>
        </w:tc>
        <w:tc>
          <w:tcPr>
            <w:tcW w:w="709"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1F8283A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-14.66</w:t>
            </w:r>
          </w:p>
        </w:tc>
        <w:tc>
          <w:tcPr>
            <w:tcW w:w="709"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2326005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-13.27</w:t>
            </w:r>
          </w:p>
        </w:tc>
        <w:tc>
          <w:tcPr>
            <w:tcW w:w="709" w:type="pct"/>
            <w:tcBorders>
              <w:top w:val="nil"/>
              <w:left w:val="single" w:color="auto" w:sz="4" w:space="0"/>
              <w:bottom w:val="nil"/>
              <w:right w:val="nil"/>
            </w:tcBorders>
            <w:shd w:val="clear" w:color="auto" w:fill="FFFFFF"/>
            <w:tcMar>
              <w:top w:w="12" w:type="dxa"/>
              <w:left w:w="12" w:type="dxa"/>
              <w:right w:w="12" w:type="dxa"/>
            </w:tcMar>
            <w:vAlign w:val="center"/>
          </w:tcPr>
          <w:p w14:paraId="1C5E7BA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-12.43</w:t>
            </w:r>
          </w:p>
        </w:tc>
      </w:tr>
      <w:tr w14:paraId="6D6E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1B24717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5F365214">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00157FE7">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殷村港</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7CBFF32A">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-20.82</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7D15551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-21.84</w:t>
            </w:r>
          </w:p>
        </w:tc>
        <w:tc>
          <w:tcPr>
            <w:tcW w:w="709" w:type="pct"/>
            <w:tcBorders>
              <w:top w:val="nil"/>
              <w:left w:val="single" w:color="auto" w:sz="4" w:space="0"/>
              <w:bottom w:val="single" w:color="auto" w:sz="4" w:space="0"/>
              <w:right w:val="nil"/>
            </w:tcBorders>
            <w:shd w:val="clear" w:color="auto" w:fill="FFFFFF"/>
            <w:tcMar>
              <w:top w:w="12" w:type="dxa"/>
              <w:left w:w="12" w:type="dxa"/>
              <w:right w:w="12" w:type="dxa"/>
            </w:tcMar>
            <w:vAlign w:val="center"/>
          </w:tcPr>
          <w:p w14:paraId="58B864A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-23.38</w:t>
            </w:r>
          </w:p>
        </w:tc>
      </w:tr>
      <w:tr w14:paraId="4C65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2DEDD2FA">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restar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3DB463D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出滆湖</w:t>
            </w:r>
          </w:p>
        </w:tc>
        <w:tc>
          <w:tcPr>
            <w:tcW w:w="1620"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bottom"/>
          </w:tcPr>
          <w:p w14:paraId="5B6AED3C">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太滆运河</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7E3E8185">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-41.27</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6589AB8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-46.12</w:t>
            </w:r>
          </w:p>
        </w:tc>
        <w:tc>
          <w:tcPr>
            <w:tcW w:w="709" w:type="pct"/>
            <w:tcBorders>
              <w:top w:val="single" w:color="auto" w:sz="4" w:space="0"/>
              <w:left w:val="single" w:color="auto" w:sz="4" w:space="0"/>
              <w:bottom w:val="nil"/>
              <w:right w:val="nil"/>
            </w:tcBorders>
            <w:shd w:val="clear" w:color="auto" w:fill="FFFFFF"/>
            <w:tcMar>
              <w:top w:w="12" w:type="dxa"/>
              <w:left w:w="12" w:type="dxa"/>
              <w:right w:w="12" w:type="dxa"/>
            </w:tcMar>
            <w:vAlign w:val="center"/>
          </w:tcPr>
          <w:p w14:paraId="3F619C7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-53.19</w:t>
            </w:r>
          </w:p>
        </w:tc>
      </w:tr>
      <w:tr w14:paraId="3C68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60FF887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7606046A">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bottom"/>
          </w:tcPr>
          <w:p w14:paraId="2A936EF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漕桥河</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31A2EEB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-10.53</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0EBF5319">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-10.53</w:t>
            </w:r>
          </w:p>
        </w:tc>
        <w:tc>
          <w:tcPr>
            <w:tcW w:w="709" w:type="pct"/>
            <w:tcBorders>
              <w:top w:val="nil"/>
              <w:left w:val="single" w:color="auto" w:sz="4" w:space="0"/>
              <w:bottom w:val="single" w:color="auto" w:sz="4" w:space="0"/>
              <w:right w:val="nil"/>
            </w:tcBorders>
            <w:shd w:val="clear" w:color="auto" w:fill="FFFFFF"/>
            <w:tcMar>
              <w:top w:w="12" w:type="dxa"/>
              <w:left w:w="12" w:type="dxa"/>
              <w:right w:w="12" w:type="dxa"/>
            </w:tcMar>
            <w:vAlign w:val="center"/>
          </w:tcPr>
          <w:p w14:paraId="425BA85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-10.88</w:t>
            </w:r>
          </w:p>
        </w:tc>
      </w:tr>
      <w:tr w14:paraId="390A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7832C465">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tcBorders>
              <w:top w:val="single" w:color="auto" w:sz="4" w:space="0"/>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39A941B4">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武南河</w:t>
            </w:r>
          </w:p>
        </w:tc>
        <w:tc>
          <w:tcPr>
            <w:tcW w:w="1620" w:type="pct"/>
            <w:tcBorders>
              <w:top w:val="single" w:color="auto" w:sz="4" w:space="0"/>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5FE5C1D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武南河立交</w:t>
            </w:r>
          </w:p>
        </w:tc>
        <w:tc>
          <w:tcPr>
            <w:tcW w:w="709" w:type="pct"/>
            <w:tcBorders>
              <w:top w:val="single" w:color="auto" w:sz="4" w:space="0"/>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75A4EE4D">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-17.95</w:t>
            </w:r>
          </w:p>
        </w:tc>
        <w:tc>
          <w:tcPr>
            <w:tcW w:w="709" w:type="pct"/>
            <w:tcBorders>
              <w:top w:val="single" w:color="auto" w:sz="4" w:space="0"/>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6906D3F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-65.59</w:t>
            </w:r>
          </w:p>
        </w:tc>
        <w:tc>
          <w:tcPr>
            <w:tcW w:w="709" w:type="pct"/>
            <w:tcBorders>
              <w:top w:val="single" w:color="auto" w:sz="4" w:space="0"/>
              <w:left w:val="single" w:color="auto" w:sz="4" w:space="0"/>
              <w:bottom w:val="single" w:color="auto" w:sz="4" w:space="0"/>
              <w:right w:val="nil"/>
            </w:tcBorders>
            <w:shd w:val="clear" w:color="auto" w:fill="FFFFFF"/>
            <w:tcMar>
              <w:top w:w="12" w:type="dxa"/>
              <w:left w:w="12" w:type="dxa"/>
              <w:right w:w="12" w:type="dxa"/>
            </w:tcMar>
            <w:vAlign w:val="center"/>
          </w:tcPr>
          <w:p w14:paraId="110F313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-65.86</w:t>
            </w:r>
          </w:p>
        </w:tc>
      </w:tr>
      <w:tr w14:paraId="005E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7A2799E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restar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2DC81BD7">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区域河道</w:t>
            </w:r>
          </w:p>
        </w:tc>
        <w:tc>
          <w:tcPr>
            <w:tcW w:w="1620"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1759010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长沟河南枢纽</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7C1E2F29">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-4.66</w:t>
            </w:r>
          </w:p>
        </w:tc>
        <w:tc>
          <w:tcPr>
            <w:tcW w:w="709" w:type="pct"/>
            <w:tcBorders>
              <w:top w:val="single" w:color="auto" w:sz="4" w:space="0"/>
              <w:left w:val="single" w:color="auto" w:sz="4" w:space="0"/>
              <w:bottom w:val="nil"/>
              <w:right w:val="single" w:color="auto" w:sz="4" w:space="0"/>
            </w:tcBorders>
            <w:shd w:val="clear" w:color="auto" w:fill="FFFFFF"/>
            <w:tcMar>
              <w:top w:w="12" w:type="dxa"/>
              <w:left w:w="12" w:type="dxa"/>
              <w:right w:w="12" w:type="dxa"/>
            </w:tcMar>
            <w:vAlign w:val="center"/>
          </w:tcPr>
          <w:p w14:paraId="2F09B84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-4.85</w:t>
            </w:r>
          </w:p>
        </w:tc>
        <w:tc>
          <w:tcPr>
            <w:tcW w:w="709" w:type="pct"/>
            <w:tcBorders>
              <w:top w:val="single" w:color="auto" w:sz="4" w:space="0"/>
              <w:left w:val="single" w:color="auto" w:sz="4" w:space="0"/>
              <w:bottom w:val="nil"/>
              <w:right w:val="nil"/>
            </w:tcBorders>
            <w:shd w:val="clear" w:color="auto" w:fill="FFFFFF"/>
            <w:tcMar>
              <w:top w:w="12" w:type="dxa"/>
              <w:left w:w="12" w:type="dxa"/>
              <w:right w:w="12" w:type="dxa"/>
            </w:tcMar>
            <w:vAlign w:val="center"/>
          </w:tcPr>
          <w:p w14:paraId="7DC2256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3.36</w:t>
            </w:r>
          </w:p>
        </w:tc>
      </w:tr>
      <w:tr w14:paraId="4FDE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nil"/>
              <w:right w:val="single" w:color="auto" w:sz="4" w:space="0"/>
            </w:tcBorders>
            <w:shd w:val="clear" w:color="auto" w:fill="FFFFFF"/>
            <w:tcMar>
              <w:top w:w="12" w:type="dxa"/>
              <w:left w:w="12" w:type="dxa"/>
              <w:right w:w="12" w:type="dxa"/>
            </w:tcMar>
            <w:vAlign w:val="center"/>
          </w:tcPr>
          <w:p w14:paraId="1C900221">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7B8CFABB">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42A2B014">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湖塘河南枢纽</w:t>
            </w:r>
          </w:p>
        </w:tc>
        <w:tc>
          <w:tcPr>
            <w:tcW w:w="709"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5180B7A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-0.74</w:t>
            </w:r>
          </w:p>
        </w:tc>
        <w:tc>
          <w:tcPr>
            <w:tcW w:w="709" w:type="pct"/>
            <w:tcBorders>
              <w:top w:val="nil"/>
              <w:left w:val="single" w:color="auto" w:sz="4" w:space="0"/>
              <w:bottom w:val="nil"/>
              <w:right w:val="single" w:color="auto" w:sz="4" w:space="0"/>
            </w:tcBorders>
            <w:shd w:val="clear" w:color="auto" w:fill="FFFFFF"/>
            <w:tcMar>
              <w:top w:w="12" w:type="dxa"/>
              <w:left w:w="12" w:type="dxa"/>
              <w:right w:w="12" w:type="dxa"/>
            </w:tcMar>
            <w:vAlign w:val="center"/>
          </w:tcPr>
          <w:p w14:paraId="456AAD3F">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-1.63</w:t>
            </w:r>
          </w:p>
        </w:tc>
        <w:tc>
          <w:tcPr>
            <w:tcW w:w="709" w:type="pct"/>
            <w:tcBorders>
              <w:top w:val="nil"/>
              <w:left w:val="single" w:color="auto" w:sz="4" w:space="0"/>
              <w:bottom w:val="nil"/>
              <w:right w:val="nil"/>
            </w:tcBorders>
            <w:shd w:val="clear" w:color="auto" w:fill="FFFFFF"/>
            <w:tcMar>
              <w:top w:w="12" w:type="dxa"/>
              <w:left w:w="12" w:type="dxa"/>
              <w:right w:w="12" w:type="dxa"/>
            </w:tcMar>
            <w:vAlign w:val="center"/>
          </w:tcPr>
          <w:p w14:paraId="5FB23872">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-3.25</w:t>
            </w:r>
          </w:p>
        </w:tc>
      </w:tr>
      <w:tr w14:paraId="2994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 w:hRule="atLeast"/>
        </w:trPr>
        <w:tc>
          <w:tcPr>
            <w:tcW w:w="426" w:type="pct"/>
            <w:vMerge w:val="continue"/>
            <w:tcBorders>
              <w:top w:val="nil"/>
              <w:left w:val="nil"/>
              <w:bottom w:val="single" w:color="auto" w:sz="4" w:space="0"/>
              <w:right w:val="single" w:color="auto" w:sz="4" w:space="0"/>
            </w:tcBorders>
            <w:shd w:val="clear" w:color="auto" w:fill="FFFFFF"/>
            <w:tcMar>
              <w:top w:w="12" w:type="dxa"/>
              <w:left w:w="12" w:type="dxa"/>
              <w:right w:w="12" w:type="dxa"/>
            </w:tcMar>
            <w:vAlign w:val="center"/>
          </w:tcPr>
          <w:p w14:paraId="10A3713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825" w:type="pct"/>
            <w:vMerge w:val="continue"/>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4842190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p>
        </w:tc>
        <w:tc>
          <w:tcPr>
            <w:tcW w:w="1620"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5EEDC010">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rPr>
                <w:rFonts w:hint="default" w:ascii="Times New Roman" w:hAnsi="Times New Roman" w:eastAsia="宋体" w:cs="Times New Roman"/>
                <w:snapToGrid/>
                <w:color w:val="auto"/>
                <w:spacing w:val="0"/>
                <w:w w:val="100"/>
                <w:kern w:val="2"/>
                <w:position w:val="0"/>
                <w:sz w:val="16"/>
                <w:szCs w:val="16"/>
                <w:highlight w:val="none"/>
                <w:u w:val="none"/>
                <w:shd w:val="clear" w:fill="auto"/>
              </w:rPr>
            </w:pPr>
            <w:r>
              <w:rPr>
                <w:rFonts w:hint="default" w:ascii="Times New Roman" w:hAnsi="Times New Roman" w:eastAsia="宋体" w:cs="Times New Roman"/>
                <w:bCs/>
                <w:snapToGrid/>
                <w:color w:val="auto"/>
                <w:spacing w:val="0"/>
                <w:w w:val="100"/>
                <w:kern w:val="2"/>
                <w:position w:val="0"/>
                <w:sz w:val="16"/>
                <w:szCs w:val="16"/>
                <w:highlight w:val="none"/>
                <w:u w:val="none"/>
                <w:shd w:val="clear" w:fill="auto"/>
              </w:rPr>
              <w:t>永安河武南河汇口</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60161A4E">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-18.95</w:t>
            </w:r>
          </w:p>
        </w:tc>
        <w:tc>
          <w:tcPr>
            <w:tcW w:w="709" w:type="pct"/>
            <w:tcBorders>
              <w:top w:val="nil"/>
              <w:left w:val="single" w:color="auto" w:sz="4" w:space="0"/>
              <w:bottom w:val="single" w:color="auto" w:sz="4" w:space="0"/>
              <w:right w:val="single" w:color="auto" w:sz="4" w:space="0"/>
            </w:tcBorders>
            <w:shd w:val="clear" w:color="auto" w:fill="FFFFFF"/>
            <w:tcMar>
              <w:top w:w="12" w:type="dxa"/>
              <w:left w:w="12" w:type="dxa"/>
              <w:right w:w="12" w:type="dxa"/>
            </w:tcMar>
            <w:vAlign w:val="center"/>
          </w:tcPr>
          <w:p w14:paraId="79999CE8">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-63.02</w:t>
            </w:r>
          </w:p>
        </w:tc>
        <w:tc>
          <w:tcPr>
            <w:tcW w:w="709" w:type="pct"/>
            <w:tcBorders>
              <w:top w:val="nil"/>
              <w:left w:val="single" w:color="auto" w:sz="4" w:space="0"/>
              <w:bottom w:val="single" w:color="auto" w:sz="4" w:space="0"/>
              <w:right w:val="nil"/>
            </w:tcBorders>
            <w:shd w:val="clear" w:color="auto" w:fill="FFFFFF"/>
            <w:tcMar>
              <w:top w:w="12" w:type="dxa"/>
              <w:left w:w="12" w:type="dxa"/>
              <w:right w:w="12" w:type="dxa"/>
            </w:tcMar>
            <w:vAlign w:val="center"/>
          </w:tcPr>
          <w:p w14:paraId="5B092466">
            <w:pPr>
              <w:keepNext w:val="0"/>
              <w:keepLines w:val="0"/>
              <w:pageBreakBefore w:val="0"/>
              <w:widowControl/>
              <w:kinsoku w:val="0"/>
              <w:wordWrap/>
              <w:overflowPunct/>
              <w:topLinePunct w:val="0"/>
              <w:autoSpaceDE w:val="0"/>
              <w:autoSpaceDN w:val="0"/>
              <w:bidi w:val="0"/>
              <w:adjustRightInd/>
              <w:snapToGrid/>
              <w:spacing w:beforeAutospacing="0" w:afterAutospacing="0" w:line="240" w:lineRule="auto"/>
              <w:ind w:left="0" w:leftChars="0" w:right="0" w:rightChars="0"/>
              <w:jc w:val="center"/>
              <w:textAlignment w:val="center"/>
              <w:rPr>
                <w:rFonts w:hint="eastAsia" w:ascii="Times New Roman" w:hAnsi="Times New Roman" w:eastAsia="宋体" w:cs="Times New Roman"/>
                <w:snapToGrid/>
                <w:color w:val="auto"/>
                <w:spacing w:val="0"/>
                <w:w w:val="100"/>
                <w:kern w:val="2"/>
                <w:position w:val="0"/>
                <w:sz w:val="16"/>
                <w:szCs w:val="16"/>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16"/>
                <w:szCs w:val="16"/>
                <w:highlight w:val="none"/>
                <w:u w:val="none"/>
                <w:shd w:val="clear" w:fill="auto"/>
                <w:lang w:bidi="ar"/>
              </w:rPr>
              <w:t>-55.84</w:t>
            </w:r>
          </w:p>
        </w:tc>
      </w:tr>
    </w:tbl>
    <w:p w14:paraId="5B2A364F">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300" w:firstLineChars="200"/>
        <w:jc w:val="both"/>
        <w:textAlignment w:val="baseline"/>
        <w:rPr>
          <w:rFonts w:hint="default"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15"/>
          <w:szCs w:val="15"/>
          <w:highlight w:val="none"/>
          <w:u w:val="none"/>
          <w:shd w:val="clear" w:fill="auto"/>
          <w:lang w:val="en-US" w:eastAsia="zh-CN"/>
        </w:rPr>
        <w:t>注：表中负值为浓度下降、正值为浓度增大。</w:t>
      </w:r>
    </w:p>
    <w:p w14:paraId="3115348F">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textAlignment w:val="baseline"/>
        <w:outlineLvl w:val="2"/>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3.</w:t>
      </w:r>
      <w:r>
        <w:rPr>
          <w:rFonts w:hint="eastAsia" w:eastAsia="黑体" w:cs="Times New Roman"/>
          <w:snapToGrid/>
          <w:color w:val="auto"/>
          <w:spacing w:val="0"/>
          <w:w w:val="100"/>
          <w:kern w:val="2"/>
          <w:position w:val="0"/>
          <w:sz w:val="21"/>
          <w:szCs w:val="21"/>
          <w:highlight w:val="none"/>
          <w:u w:val="none"/>
          <w:shd w:val="clear" w:fill="auto"/>
          <w:lang w:val="en-US" w:eastAsia="zh-CN"/>
        </w:rPr>
        <w:t>4</w:t>
      </w: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 xml:space="preserve"> </w:t>
      </w:r>
      <w:r>
        <w:rPr>
          <w:rFonts w:hint="eastAsia" w:eastAsia="黑体" w:cs="Times New Roman"/>
          <w:snapToGrid/>
          <w:color w:val="auto"/>
          <w:spacing w:val="0"/>
          <w:w w:val="100"/>
          <w:kern w:val="2"/>
          <w:position w:val="0"/>
          <w:sz w:val="21"/>
          <w:szCs w:val="21"/>
          <w:highlight w:val="none"/>
          <w:u w:val="none"/>
          <w:shd w:val="clear" w:fill="auto"/>
          <w:lang w:val="en-US" w:eastAsia="zh-CN"/>
        </w:rPr>
        <w:t>典型断面能量功率变化与动力重构特征</w:t>
      </w:r>
    </w:p>
    <w:p w14:paraId="20F793D5">
      <w:pPr>
        <w:pStyle w:val="4"/>
        <w:keepNext w:val="0"/>
        <w:keepLines w:val="0"/>
        <w:pageBreakBefore w:val="0"/>
        <w:widowControl/>
        <w:tabs>
          <w:tab w:val="left" w:pos="8530"/>
        </w:tabs>
        <w:kinsoku/>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eastAsia="宋体" w:cs="Times New Roman"/>
          <w:snapToGrid/>
          <w:color w:val="auto"/>
          <w:spacing w:val="0"/>
          <w:w w:val="100"/>
          <w:kern w:val="2"/>
          <w:position w:val="0"/>
          <w:sz w:val="21"/>
          <w:szCs w:val="21"/>
          <w:highlight w:val="none"/>
          <w:u w:val="none"/>
          <w:shd w:val="clear" w:fill="auto"/>
          <w:lang w:val="en-US" w:eastAsia="zh-CN"/>
        </w:rPr>
        <w:t>前文分别从水位、流量与水质角度阐述了工程调度的河网响应结果。</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与单纯流量指标相比，功率通量能够同时反映断面流量、水位差共同作用下的</w:t>
      </w:r>
      <w:r>
        <w:rPr>
          <w:rFonts w:hint="eastAsia" w:eastAsia="宋体" w:cs="Times New Roman"/>
          <w:snapToGrid/>
          <w:color w:val="auto"/>
          <w:spacing w:val="0"/>
          <w:w w:val="100"/>
          <w:kern w:val="2"/>
          <w:position w:val="0"/>
          <w:sz w:val="21"/>
          <w:szCs w:val="21"/>
          <w:highlight w:val="none"/>
          <w:u w:val="none"/>
          <w:shd w:val="clear" w:fill="auto"/>
          <w:lang w:val="en-US" w:eastAsia="zh-CN"/>
        </w:rPr>
        <w:t>影响，采用式（1）计算了典型断面的</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功率通量</w:t>
      </w:r>
      <w:r>
        <w:rPr>
          <w:rFonts w:hint="eastAsia" w:eastAsia="宋体" w:cs="Times New Roman"/>
          <w:snapToGrid/>
          <w:color w:val="auto"/>
          <w:spacing w:val="0"/>
          <w:w w:val="100"/>
          <w:kern w:val="2"/>
          <w:position w:val="0"/>
          <w:sz w:val="21"/>
          <w:szCs w:val="21"/>
          <w:highlight w:val="none"/>
          <w:u w:val="none"/>
          <w:shd w:val="clear" w:fill="auto"/>
          <w:lang w:val="en-US" w:eastAsia="zh-CN"/>
        </w:rPr>
        <w:t>（见表4），综合分析工程调度对河网动力重构的特征。</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计算结果表明，研究区能量分布总体呈现骨干通道显著增强、</w:t>
      </w:r>
      <w:r>
        <w:rPr>
          <w:rFonts w:hint="eastAsia" w:eastAsia="宋体" w:cs="Times New Roman"/>
          <w:snapToGrid/>
          <w:color w:val="auto"/>
          <w:spacing w:val="0"/>
          <w:w w:val="100"/>
          <w:kern w:val="2"/>
          <w:position w:val="0"/>
          <w:sz w:val="21"/>
          <w:szCs w:val="21"/>
          <w:highlight w:val="none"/>
          <w:u w:val="none"/>
          <w:shd w:val="clear" w:fill="auto"/>
          <w:lang w:val="en-US" w:eastAsia="zh-CN"/>
        </w:rPr>
        <w:t>滆湖出水</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口门次之、城区内部传递受限的特征。北干河东断面功率通量由A0方案的0.078MW增至A1、A2和A3方案的0.183MW、0.188MW和0.183MW，</w:t>
      </w:r>
      <w:r>
        <w:rPr>
          <w:rFonts w:hint="eastAsia" w:eastAsia="宋体" w:cs="Times New Roman"/>
          <w:snapToGrid/>
          <w:color w:val="auto"/>
          <w:spacing w:val="0"/>
          <w:w w:val="100"/>
          <w:kern w:val="2"/>
          <w:position w:val="0"/>
          <w:sz w:val="21"/>
          <w:szCs w:val="21"/>
          <w:highlight w:val="none"/>
          <w:u w:val="none"/>
          <w:shd w:val="clear" w:fill="auto"/>
          <w:lang w:val="en-US" w:eastAsia="zh-CN"/>
        </w:rPr>
        <w:t>分别</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提高135.4%、141.2%和135.1%，增幅在各断面中最大，说明新孟河引水后新增能量首先集中于</w:t>
      </w:r>
      <w:r>
        <w:rPr>
          <w:rFonts w:hint="eastAsia" w:eastAsia="宋体" w:cs="Times New Roman"/>
          <w:snapToGrid/>
          <w:color w:val="auto"/>
          <w:spacing w:val="0"/>
          <w:w w:val="100"/>
          <w:kern w:val="2"/>
          <w:position w:val="0"/>
          <w:sz w:val="21"/>
          <w:szCs w:val="21"/>
          <w:highlight w:val="none"/>
          <w:u w:val="none"/>
          <w:shd w:val="clear" w:fill="auto"/>
          <w:lang w:val="en-US" w:eastAsia="zh-CN"/>
        </w:rPr>
        <w:t>南延段</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主输移通道。漕桥河和殷村港断面功率通量分别由0.038MW和0.029MW增至0.063MW、0.056MW、0.049MW和0.044MW、0.039MW、0.035MW，表明A1方案下滆湖出湖口门获得明显增能，A2、A3方案中则因部分动力转向武南河引水及新沟河北排体系，南部出湖口门的</w:t>
      </w:r>
      <w:r>
        <w:rPr>
          <w:rFonts w:hint="eastAsia" w:eastAsia="宋体" w:cs="Times New Roman"/>
          <w:snapToGrid/>
          <w:color w:val="auto"/>
          <w:spacing w:val="0"/>
          <w:w w:val="100"/>
          <w:kern w:val="2"/>
          <w:position w:val="0"/>
          <w:sz w:val="21"/>
          <w:szCs w:val="21"/>
          <w:highlight w:val="none"/>
          <w:u w:val="none"/>
          <w:shd w:val="clear" w:fill="auto"/>
          <w:lang w:val="en-US" w:eastAsia="zh-CN"/>
        </w:rPr>
        <w:t>能量</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相对有所回落</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该结果与流量变化规律一致。</w:t>
      </w:r>
    </w:p>
    <w:p w14:paraId="08D72C8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表</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4</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 xml:space="preserve">  各方案典型断面功率通量对比</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MW</w:t>
      </w:r>
    </w:p>
    <w:p w14:paraId="1BE4307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pP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Table 4</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Comparison of power flux at typical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cross-</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sections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in different cases             </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MW</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704"/>
        <w:gridCol w:w="1704"/>
        <w:gridCol w:w="1704"/>
        <w:gridCol w:w="1705"/>
      </w:tblGrid>
      <w:tr w14:paraId="35D2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99" w:type="pct"/>
            <w:tcBorders>
              <w:left w:val="nil"/>
            </w:tcBorders>
            <w:vAlign w:val="center"/>
          </w:tcPr>
          <w:p w14:paraId="0BB9E67E">
            <w:pPr>
              <w:widowControl w:val="0"/>
              <w:kinsoku/>
              <w:autoSpaceDE/>
              <w:autoSpaceDN/>
              <w:textAlignment w:val="auto"/>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断面</w:t>
            </w:r>
          </w:p>
        </w:tc>
        <w:tc>
          <w:tcPr>
            <w:tcW w:w="1000" w:type="pct"/>
            <w:vAlign w:val="center"/>
          </w:tcPr>
          <w:p w14:paraId="5B14F223">
            <w:pPr>
              <w:widowControl w:val="0"/>
              <w:kinsoku/>
              <w:autoSpaceDE/>
              <w:autoSpaceDN/>
              <w:textAlignment w:val="auto"/>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A0</w:t>
            </w:r>
          </w:p>
        </w:tc>
        <w:tc>
          <w:tcPr>
            <w:tcW w:w="1000" w:type="pct"/>
            <w:vAlign w:val="center"/>
          </w:tcPr>
          <w:p w14:paraId="2934DF8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lang w:bidi="ar"/>
              </w:rPr>
              <w:t>A1</w:t>
            </w:r>
          </w:p>
        </w:tc>
        <w:tc>
          <w:tcPr>
            <w:tcW w:w="1000" w:type="pct"/>
            <w:vAlign w:val="center"/>
          </w:tcPr>
          <w:p w14:paraId="29DE4D6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lang w:bidi="ar"/>
              </w:rPr>
              <w:t>A2</w:t>
            </w:r>
          </w:p>
        </w:tc>
        <w:tc>
          <w:tcPr>
            <w:tcW w:w="1000" w:type="pct"/>
            <w:tcBorders>
              <w:right w:val="nil"/>
            </w:tcBorders>
            <w:vAlign w:val="center"/>
          </w:tcPr>
          <w:p w14:paraId="34C8A05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default" w:ascii="Times New Roman" w:hAnsi="Times New Roman" w:eastAsia="宋体" w:cs="Times New Roman"/>
                <w:b w:val="0"/>
                <w:bCs/>
                <w:snapToGrid/>
                <w:color w:val="auto"/>
                <w:spacing w:val="0"/>
                <w:w w:val="100"/>
                <w:kern w:val="2"/>
                <w:position w:val="0"/>
                <w:sz w:val="16"/>
                <w:szCs w:val="16"/>
                <w:highlight w:val="none"/>
                <w:u w:val="none"/>
                <w:shd w:val="clear" w:fill="auto"/>
                <w:lang w:bidi="ar"/>
              </w:rPr>
              <w:t>A3</w:t>
            </w:r>
          </w:p>
        </w:tc>
      </w:tr>
      <w:tr w14:paraId="4916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left w:val="nil"/>
              <w:bottom w:val="nil"/>
            </w:tcBorders>
            <w:vAlign w:val="center"/>
          </w:tcPr>
          <w:p w14:paraId="7404BD28">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北干河东</w:t>
            </w:r>
          </w:p>
        </w:tc>
        <w:tc>
          <w:tcPr>
            <w:tcW w:w="1000" w:type="pct"/>
            <w:tcBorders>
              <w:bottom w:val="nil"/>
            </w:tcBorders>
            <w:vAlign w:val="center"/>
          </w:tcPr>
          <w:p w14:paraId="32F0DD21">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0.078</w:t>
            </w:r>
          </w:p>
        </w:tc>
        <w:tc>
          <w:tcPr>
            <w:tcW w:w="1000" w:type="pct"/>
            <w:tcBorders>
              <w:bottom w:val="nil"/>
            </w:tcBorders>
            <w:vAlign w:val="center"/>
          </w:tcPr>
          <w:p w14:paraId="6601F564">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0.183</w:t>
            </w:r>
          </w:p>
        </w:tc>
        <w:tc>
          <w:tcPr>
            <w:tcW w:w="1000" w:type="pct"/>
            <w:tcBorders>
              <w:bottom w:val="nil"/>
            </w:tcBorders>
            <w:vAlign w:val="center"/>
          </w:tcPr>
          <w:p w14:paraId="09EEDBFC">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0.188</w:t>
            </w:r>
          </w:p>
        </w:tc>
        <w:tc>
          <w:tcPr>
            <w:tcW w:w="1000" w:type="pct"/>
            <w:tcBorders>
              <w:bottom w:val="nil"/>
              <w:right w:val="nil"/>
            </w:tcBorders>
            <w:vAlign w:val="center"/>
          </w:tcPr>
          <w:p w14:paraId="03F37B40">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0.183</w:t>
            </w:r>
          </w:p>
        </w:tc>
      </w:tr>
      <w:tr w14:paraId="1637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top w:val="nil"/>
              <w:left w:val="nil"/>
              <w:bottom w:val="nil"/>
            </w:tcBorders>
            <w:vAlign w:val="center"/>
          </w:tcPr>
          <w:p w14:paraId="0C42E6A9">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漕桥河</w:t>
            </w:r>
          </w:p>
        </w:tc>
        <w:tc>
          <w:tcPr>
            <w:tcW w:w="1000" w:type="pct"/>
            <w:tcBorders>
              <w:top w:val="nil"/>
              <w:bottom w:val="nil"/>
            </w:tcBorders>
            <w:vAlign w:val="center"/>
          </w:tcPr>
          <w:p w14:paraId="3602ED08">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0.038</w:t>
            </w:r>
          </w:p>
        </w:tc>
        <w:tc>
          <w:tcPr>
            <w:tcW w:w="1000" w:type="pct"/>
            <w:tcBorders>
              <w:top w:val="nil"/>
              <w:bottom w:val="nil"/>
            </w:tcBorders>
            <w:vAlign w:val="center"/>
          </w:tcPr>
          <w:p w14:paraId="444557DF">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0.063</w:t>
            </w:r>
          </w:p>
        </w:tc>
        <w:tc>
          <w:tcPr>
            <w:tcW w:w="1000" w:type="pct"/>
            <w:tcBorders>
              <w:top w:val="nil"/>
              <w:bottom w:val="nil"/>
            </w:tcBorders>
            <w:vAlign w:val="center"/>
          </w:tcPr>
          <w:p w14:paraId="31869073">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0.056</w:t>
            </w:r>
          </w:p>
        </w:tc>
        <w:tc>
          <w:tcPr>
            <w:tcW w:w="1000" w:type="pct"/>
            <w:tcBorders>
              <w:top w:val="nil"/>
              <w:bottom w:val="nil"/>
              <w:right w:val="nil"/>
            </w:tcBorders>
            <w:vAlign w:val="center"/>
          </w:tcPr>
          <w:p w14:paraId="5996712D">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0.049</w:t>
            </w:r>
          </w:p>
        </w:tc>
      </w:tr>
      <w:tr w14:paraId="7005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top w:val="nil"/>
              <w:left w:val="nil"/>
              <w:bottom w:val="nil"/>
            </w:tcBorders>
            <w:vAlign w:val="center"/>
          </w:tcPr>
          <w:p w14:paraId="4E08813E">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殷村港</w:t>
            </w:r>
          </w:p>
        </w:tc>
        <w:tc>
          <w:tcPr>
            <w:tcW w:w="1000" w:type="pct"/>
            <w:tcBorders>
              <w:top w:val="nil"/>
              <w:bottom w:val="nil"/>
            </w:tcBorders>
            <w:vAlign w:val="center"/>
          </w:tcPr>
          <w:p w14:paraId="2712E767">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0.029</w:t>
            </w:r>
          </w:p>
        </w:tc>
        <w:tc>
          <w:tcPr>
            <w:tcW w:w="1000" w:type="pct"/>
            <w:tcBorders>
              <w:top w:val="nil"/>
              <w:bottom w:val="nil"/>
            </w:tcBorders>
            <w:vAlign w:val="center"/>
          </w:tcPr>
          <w:p w14:paraId="3AECFE24">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0.044</w:t>
            </w:r>
          </w:p>
        </w:tc>
        <w:tc>
          <w:tcPr>
            <w:tcW w:w="1000" w:type="pct"/>
            <w:tcBorders>
              <w:top w:val="nil"/>
              <w:bottom w:val="nil"/>
            </w:tcBorders>
            <w:vAlign w:val="center"/>
          </w:tcPr>
          <w:p w14:paraId="54A8DD1F">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0.039</w:t>
            </w:r>
          </w:p>
        </w:tc>
        <w:tc>
          <w:tcPr>
            <w:tcW w:w="1000" w:type="pct"/>
            <w:tcBorders>
              <w:top w:val="nil"/>
              <w:bottom w:val="nil"/>
              <w:right w:val="nil"/>
            </w:tcBorders>
            <w:vAlign w:val="center"/>
          </w:tcPr>
          <w:p w14:paraId="3E69F2E2">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0.035</w:t>
            </w:r>
          </w:p>
        </w:tc>
      </w:tr>
      <w:tr w14:paraId="26EB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top w:val="nil"/>
              <w:left w:val="nil"/>
              <w:bottom w:val="nil"/>
            </w:tcBorders>
            <w:vAlign w:val="center"/>
          </w:tcPr>
          <w:p w14:paraId="3914EE8D">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红湖大桥（太滆运河坊前）</w:t>
            </w:r>
          </w:p>
        </w:tc>
        <w:tc>
          <w:tcPr>
            <w:tcW w:w="1000" w:type="pct"/>
            <w:tcBorders>
              <w:top w:val="nil"/>
              <w:bottom w:val="nil"/>
            </w:tcBorders>
            <w:vAlign w:val="center"/>
          </w:tcPr>
          <w:p w14:paraId="3C393B1C">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0.024</w:t>
            </w:r>
          </w:p>
        </w:tc>
        <w:tc>
          <w:tcPr>
            <w:tcW w:w="1000" w:type="pct"/>
            <w:tcBorders>
              <w:top w:val="nil"/>
              <w:bottom w:val="nil"/>
            </w:tcBorders>
            <w:vAlign w:val="center"/>
          </w:tcPr>
          <w:p w14:paraId="3594FEBB">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0.024</w:t>
            </w:r>
          </w:p>
        </w:tc>
        <w:tc>
          <w:tcPr>
            <w:tcW w:w="1000" w:type="pct"/>
            <w:tcBorders>
              <w:top w:val="nil"/>
              <w:bottom w:val="nil"/>
            </w:tcBorders>
            <w:vAlign w:val="center"/>
          </w:tcPr>
          <w:p w14:paraId="722D6798">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0.015</w:t>
            </w:r>
          </w:p>
        </w:tc>
        <w:tc>
          <w:tcPr>
            <w:tcW w:w="1000" w:type="pct"/>
            <w:tcBorders>
              <w:top w:val="nil"/>
              <w:bottom w:val="nil"/>
              <w:right w:val="nil"/>
            </w:tcBorders>
            <w:vAlign w:val="center"/>
          </w:tcPr>
          <w:p w14:paraId="1CA38E77">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0.012</w:t>
            </w:r>
          </w:p>
        </w:tc>
      </w:tr>
      <w:tr w14:paraId="237D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top w:val="nil"/>
              <w:left w:val="nil"/>
              <w:bottom w:val="nil"/>
            </w:tcBorders>
            <w:vAlign w:val="center"/>
          </w:tcPr>
          <w:p w14:paraId="20ECCC09">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武南河立交</w:t>
            </w:r>
          </w:p>
        </w:tc>
        <w:tc>
          <w:tcPr>
            <w:tcW w:w="1000" w:type="pct"/>
            <w:tcBorders>
              <w:top w:val="nil"/>
              <w:bottom w:val="nil"/>
            </w:tcBorders>
            <w:vAlign w:val="center"/>
          </w:tcPr>
          <w:p w14:paraId="623D2A26">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w:t>
            </w:r>
          </w:p>
        </w:tc>
        <w:tc>
          <w:tcPr>
            <w:tcW w:w="1000" w:type="pct"/>
            <w:tcBorders>
              <w:top w:val="nil"/>
              <w:bottom w:val="nil"/>
            </w:tcBorders>
            <w:vAlign w:val="center"/>
          </w:tcPr>
          <w:p w14:paraId="538BC84C">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w:t>
            </w:r>
          </w:p>
        </w:tc>
        <w:tc>
          <w:tcPr>
            <w:tcW w:w="1000" w:type="pct"/>
            <w:tcBorders>
              <w:top w:val="nil"/>
              <w:bottom w:val="nil"/>
            </w:tcBorders>
            <w:vAlign w:val="center"/>
          </w:tcPr>
          <w:p w14:paraId="269F17D7">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0.073</w:t>
            </w:r>
          </w:p>
        </w:tc>
        <w:tc>
          <w:tcPr>
            <w:tcW w:w="1000" w:type="pct"/>
            <w:tcBorders>
              <w:top w:val="nil"/>
              <w:bottom w:val="nil"/>
              <w:right w:val="nil"/>
            </w:tcBorders>
            <w:vAlign w:val="center"/>
          </w:tcPr>
          <w:p w14:paraId="0327A3E0">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0.070</w:t>
            </w:r>
          </w:p>
        </w:tc>
      </w:tr>
      <w:tr w14:paraId="71E7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top w:val="nil"/>
              <w:left w:val="nil"/>
              <w:bottom w:val="nil"/>
            </w:tcBorders>
            <w:vAlign w:val="center"/>
          </w:tcPr>
          <w:p w14:paraId="7257A727">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长沟河</w:t>
            </w:r>
          </w:p>
        </w:tc>
        <w:tc>
          <w:tcPr>
            <w:tcW w:w="1000" w:type="pct"/>
            <w:tcBorders>
              <w:top w:val="nil"/>
              <w:bottom w:val="nil"/>
            </w:tcBorders>
            <w:vAlign w:val="center"/>
          </w:tcPr>
          <w:p w14:paraId="5781C93D">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0.01</w:t>
            </w:r>
          </w:p>
        </w:tc>
        <w:tc>
          <w:tcPr>
            <w:tcW w:w="1000" w:type="pct"/>
            <w:tcBorders>
              <w:top w:val="nil"/>
              <w:bottom w:val="nil"/>
            </w:tcBorders>
            <w:vAlign w:val="center"/>
          </w:tcPr>
          <w:p w14:paraId="3E904751">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0.016</w:t>
            </w:r>
          </w:p>
        </w:tc>
        <w:tc>
          <w:tcPr>
            <w:tcW w:w="1000" w:type="pct"/>
            <w:tcBorders>
              <w:top w:val="nil"/>
              <w:bottom w:val="nil"/>
            </w:tcBorders>
            <w:vAlign w:val="center"/>
          </w:tcPr>
          <w:p w14:paraId="40B969AD">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0.001</w:t>
            </w:r>
          </w:p>
        </w:tc>
        <w:tc>
          <w:tcPr>
            <w:tcW w:w="1000" w:type="pct"/>
            <w:tcBorders>
              <w:top w:val="nil"/>
              <w:bottom w:val="nil"/>
              <w:right w:val="nil"/>
            </w:tcBorders>
            <w:vAlign w:val="center"/>
          </w:tcPr>
          <w:p w14:paraId="66BCC889">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0.005</w:t>
            </w:r>
          </w:p>
        </w:tc>
      </w:tr>
      <w:tr w14:paraId="0587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top w:val="nil"/>
              <w:left w:val="nil"/>
              <w:bottom w:val="nil"/>
            </w:tcBorders>
            <w:vAlign w:val="center"/>
          </w:tcPr>
          <w:p w14:paraId="1E72D13B">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湖塘河</w:t>
            </w:r>
          </w:p>
        </w:tc>
        <w:tc>
          <w:tcPr>
            <w:tcW w:w="1000" w:type="pct"/>
            <w:tcBorders>
              <w:top w:val="nil"/>
              <w:bottom w:val="nil"/>
            </w:tcBorders>
            <w:vAlign w:val="center"/>
          </w:tcPr>
          <w:p w14:paraId="570A7BD2">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0.003</w:t>
            </w:r>
          </w:p>
        </w:tc>
        <w:tc>
          <w:tcPr>
            <w:tcW w:w="1000" w:type="pct"/>
            <w:tcBorders>
              <w:top w:val="nil"/>
              <w:bottom w:val="nil"/>
            </w:tcBorders>
            <w:vAlign w:val="center"/>
          </w:tcPr>
          <w:p w14:paraId="19652183">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0.005</w:t>
            </w:r>
          </w:p>
        </w:tc>
        <w:tc>
          <w:tcPr>
            <w:tcW w:w="1000" w:type="pct"/>
            <w:tcBorders>
              <w:top w:val="nil"/>
              <w:bottom w:val="nil"/>
            </w:tcBorders>
            <w:vAlign w:val="center"/>
          </w:tcPr>
          <w:p w14:paraId="5D100761">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0.008</w:t>
            </w:r>
          </w:p>
        </w:tc>
        <w:tc>
          <w:tcPr>
            <w:tcW w:w="1000" w:type="pct"/>
            <w:tcBorders>
              <w:top w:val="nil"/>
              <w:bottom w:val="nil"/>
              <w:right w:val="nil"/>
            </w:tcBorders>
            <w:vAlign w:val="center"/>
          </w:tcPr>
          <w:p w14:paraId="115FB25C">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0.009</w:t>
            </w:r>
          </w:p>
        </w:tc>
      </w:tr>
      <w:tr w14:paraId="170D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tcBorders>
              <w:top w:val="nil"/>
              <w:left w:val="nil"/>
            </w:tcBorders>
            <w:vAlign w:val="center"/>
          </w:tcPr>
          <w:p w14:paraId="10354559">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永安河武南河汇口</w:t>
            </w:r>
          </w:p>
        </w:tc>
        <w:tc>
          <w:tcPr>
            <w:tcW w:w="1000" w:type="pct"/>
            <w:tcBorders>
              <w:top w:val="nil"/>
            </w:tcBorders>
            <w:vAlign w:val="center"/>
          </w:tcPr>
          <w:p w14:paraId="3CBBD74E">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0.009</w:t>
            </w:r>
          </w:p>
        </w:tc>
        <w:tc>
          <w:tcPr>
            <w:tcW w:w="1000" w:type="pct"/>
            <w:tcBorders>
              <w:top w:val="nil"/>
            </w:tcBorders>
            <w:vAlign w:val="center"/>
          </w:tcPr>
          <w:p w14:paraId="78BF4FF8">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default"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0.010</w:t>
            </w:r>
          </w:p>
        </w:tc>
        <w:tc>
          <w:tcPr>
            <w:tcW w:w="1000" w:type="pct"/>
            <w:tcBorders>
              <w:top w:val="nil"/>
            </w:tcBorders>
            <w:vAlign w:val="center"/>
          </w:tcPr>
          <w:p w14:paraId="228BB46D">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0.009</w:t>
            </w:r>
          </w:p>
        </w:tc>
        <w:tc>
          <w:tcPr>
            <w:tcW w:w="1000" w:type="pct"/>
            <w:tcBorders>
              <w:top w:val="nil"/>
              <w:right w:val="nil"/>
            </w:tcBorders>
            <w:vAlign w:val="center"/>
          </w:tcPr>
          <w:p w14:paraId="2A2C956E">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right="0" w:rightChars="0"/>
              <w:jc w:val="center"/>
              <w:textAlignment w:val="baseline"/>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pPr>
            <w:r>
              <w:rPr>
                <w:rFonts w:hint="eastAsia" w:eastAsia="宋体" w:cs="Times New Roman"/>
                <w:snapToGrid/>
                <w:color w:val="auto"/>
                <w:spacing w:val="0"/>
                <w:w w:val="100"/>
                <w:kern w:val="2"/>
                <w:position w:val="0"/>
                <w:sz w:val="16"/>
                <w:szCs w:val="16"/>
                <w:highlight w:val="none"/>
                <w:u w:val="none"/>
                <w:shd w:val="clear" w:fill="auto"/>
                <w:vertAlign w:val="baseline"/>
                <w:lang w:val="en-US" w:eastAsia="zh-CN"/>
              </w:rPr>
              <w:t>0.004</w:t>
            </w:r>
          </w:p>
        </w:tc>
      </w:tr>
    </w:tbl>
    <w:p w14:paraId="628AA72D">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与上述主通道增能相对应，太滆运河上游能量逐步减弱。红湖大桥断面在A0和A1中的功率通量均约为0.024MW，而A2和A3分别较A0下降37.7%和48.2%。这说明仅实施新孟河引水时，尽管红湖大桥倒流流量由12.7m</w:t>
      </w:r>
      <w:r>
        <w:rPr>
          <w:rFonts w:hint="eastAsia"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/s减小至10.2m</w:t>
      </w:r>
      <w:r>
        <w:rPr>
          <w:rFonts w:hint="eastAsia" w:ascii="Times New Roman" w:hAnsi="Times New Roman"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/s，但由于滆湖相对百渎口的水位差同时增大，逆向能量强度并未明显下降</w:t>
      </w:r>
      <w:r>
        <w:rPr>
          <w:rFonts w:hint="eastAsia" w:eastAsia="宋体" w:cs="Times New Roman"/>
          <w:snapToGrid/>
          <w:color w:val="auto"/>
          <w:spacing w:val="0"/>
          <w:w w:val="100"/>
          <w:kern w:val="2"/>
          <w:position w:val="0"/>
          <w:sz w:val="21"/>
          <w:szCs w:val="21"/>
          <w:highlight w:val="none"/>
          <w:u w:val="none"/>
          <w:shd w:val="clear" w:fill="auto"/>
          <w:lang w:val="en-US" w:eastAsia="zh-CN"/>
        </w:rPr>
        <w:t>，说明太滆运河上游受下游顶托制约的动力格局尚未得到改善</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；直至A2和A3中武南河引水、新沟河北排等工程共同作用后，太滆运河上游顶托才得到实质性削弱</w:t>
      </w:r>
      <w:r>
        <w:rPr>
          <w:rFonts w:hint="eastAsia" w:eastAsia="宋体" w:cs="Times New Roman"/>
          <w:snapToGrid/>
          <w:color w:val="auto"/>
          <w:spacing w:val="0"/>
          <w:w w:val="100"/>
          <w:kern w:val="2"/>
          <w:position w:val="0"/>
          <w:sz w:val="21"/>
          <w:szCs w:val="21"/>
          <w:highlight w:val="none"/>
          <w:u w:val="none"/>
          <w:shd w:val="clear" w:fill="auto"/>
          <w:lang w:val="en-US" w:eastAsia="zh-CN"/>
        </w:rPr>
        <w:t>，太滆运河总磷和氨氮浓度较A0进一步下降至24.86%和53.19%</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。由此可见，能量并非由流量单独决定，而是受流量、相对水位差及断面几何条件共同控制。以武南河立交为例，A2和A3方案流量均固定为20m</w:t>
      </w:r>
      <w:r>
        <w:rPr>
          <w:rFonts w:hint="eastAsia"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/s，但其功率通量仍由0.073MW降至0.070MW；北干河东断面A2至A3流量由72.5m</w:t>
      </w:r>
      <w:r>
        <w:rPr>
          <w:rFonts w:hint="eastAsia"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/s增至73.3m</w:t>
      </w:r>
      <w:r>
        <w:rPr>
          <w:rFonts w:hint="eastAsia"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/s，而功率通量却由0.188MW微降至0.183MW，均说明相对水位势</w:t>
      </w:r>
      <w:r>
        <w:rPr>
          <w:rFonts w:hint="eastAsia" w:eastAsia="宋体" w:cs="Times New Roman"/>
          <w:snapToGrid/>
          <w:color w:val="auto"/>
          <w:spacing w:val="0"/>
          <w:w w:val="100"/>
          <w:kern w:val="2"/>
          <w:position w:val="0"/>
          <w:sz w:val="21"/>
          <w:szCs w:val="21"/>
          <w:highlight w:val="none"/>
          <w:u w:val="none"/>
          <w:shd w:val="clear" w:fill="auto"/>
          <w:lang w:val="en-US" w:eastAsia="zh-CN"/>
        </w:rPr>
        <w:t>能</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差变化足以改变断面能量水平。</w:t>
      </w:r>
    </w:p>
    <w:p w14:paraId="12A3C55E">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0" w:firstLineChars="0"/>
        <w:jc w:val="both"/>
        <w:textAlignment w:val="baseline"/>
        <w:rPr>
          <w:rFonts w:hint="eastAsia" w:eastAsia="宋体"/>
          <w:color w:val="auto"/>
          <w:highlight w:val="none"/>
          <w:u w:val="none"/>
          <w:shd w:val="clear" w:fill="auto"/>
          <w:lang w:eastAsia="zh-CN"/>
        </w:rPr>
      </w:pPr>
      <w:r>
        <w:rPr>
          <w:color w:val="auto"/>
          <w:highlight w:val="none"/>
          <w:u w:val="none"/>
          <w:shd w:val="clear" w:fill="auto"/>
        </w:rPr>
        <w:drawing>
          <wp:inline distT="0" distB="0" distL="114300" distR="114300">
            <wp:extent cx="5268595" cy="2731135"/>
            <wp:effectExtent l="0" t="0" r="0" b="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9"/>
                    <a:stretch>
                      <a:fillRect/>
                    </a:stretch>
                  </pic:blipFill>
                  <pic:spPr>
                    <a:xfrm>
                      <a:off x="0" y="0"/>
                      <a:ext cx="5268595" cy="2731135"/>
                    </a:xfrm>
                    <a:prstGeom prst="rect">
                      <a:avLst/>
                    </a:prstGeom>
                    <a:noFill/>
                    <a:ln>
                      <a:noFill/>
                    </a:ln>
                  </pic:spPr>
                </pic:pic>
              </a:graphicData>
            </a:graphic>
          </wp:inline>
        </w:drawing>
      </w:r>
    </w:p>
    <w:p w14:paraId="72BFC02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图</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7</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 xml:space="preserve">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各方案</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zh-CN" w:eastAsia="zh-CN"/>
        </w:rPr>
        <w:t>典型断面功率通量分区对比</w:t>
      </w:r>
    </w:p>
    <w:p w14:paraId="5F4C1E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pP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Fig.</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7</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 Comparison of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zoned </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power flux at typical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cross-</w:t>
      </w:r>
      <w:r>
        <w:rPr>
          <w:rFonts w:hint="default" w:ascii="Times New Roman" w:hAnsi="Times New Roman" w:eastAsia="黑体" w:cs="Times New Roman"/>
          <w:snapToGrid/>
          <w:color w:val="auto"/>
          <w:spacing w:val="0"/>
          <w:w w:val="100"/>
          <w:kern w:val="2"/>
          <w:position w:val="0"/>
          <w:sz w:val="18"/>
          <w:szCs w:val="18"/>
          <w:highlight w:val="none"/>
          <w:u w:val="none"/>
          <w:shd w:val="clear" w:fill="auto"/>
          <w:lang w:val="en-US" w:eastAsia="zh-CN"/>
        </w:rPr>
        <w:t xml:space="preserve">sections </w:t>
      </w:r>
      <w:r>
        <w:rPr>
          <w:rFonts w:hint="eastAsia" w:ascii="Times New Roman" w:hAnsi="Times New Roman" w:eastAsia="黑体" w:cs="Times New Roman"/>
          <w:snapToGrid/>
          <w:color w:val="auto"/>
          <w:spacing w:val="0"/>
          <w:w w:val="100"/>
          <w:kern w:val="2"/>
          <w:position w:val="0"/>
          <w:sz w:val="18"/>
          <w:szCs w:val="18"/>
          <w:highlight w:val="none"/>
          <w:u w:val="none"/>
          <w:shd w:val="clear" w:fill="auto"/>
          <w:lang w:val="en-US" w:eastAsia="zh-CN"/>
        </w:rPr>
        <w:t>in different cases</w:t>
      </w:r>
    </w:p>
    <w:p w14:paraId="2E9E0043">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城区内部河网对新增能量的响应则表现出明显衰减和分化。A1方案中，长沟河和湖塘河功率通量分别由0.010MW和0.003MW增至0.016MW和0.005MW，说明单纯新孟河引水对城区内部仍有一定</w:t>
      </w:r>
      <w:r>
        <w:rPr>
          <w:rFonts w:hint="eastAsia" w:eastAsia="宋体" w:cs="Times New Roman"/>
          <w:snapToGrid/>
          <w:color w:val="auto"/>
          <w:spacing w:val="0"/>
          <w:w w:val="100"/>
          <w:kern w:val="2"/>
          <w:position w:val="0"/>
          <w:sz w:val="21"/>
          <w:szCs w:val="21"/>
          <w:highlight w:val="none"/>
          <w:u w:val="none"/>
          <w:shd w:val="clear" w:fill="auto"/>
          <w:lang w:val="en-US" w:eastAsia="zh-CN"/>
        </w:rPr>
        <w:t>增能</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作用，但总体增幅有限。A2和A3方案中，武南河立交引入固定泵抽能量后，湖塘河功率通量继续升至0.008MW和0.009MW，而长沟河却降至0.001MW和0.005MW，永安河武南河汇口在A3中进一步降至0.004MW。依据典型断面功率通量大小，可将研究区划分为三级能量分区：北干河</w:t>
      </w:r>
      <w:r>
        <w:rPr>
          <w:rFonts w:hint="eastAsia" w:eastAsia="宋体" w:cs="Times New Roman"/>
          <w:snapToGrid/>
          <w:color w:val="auto"/>
          <w:spacing w:val="0"/>
          <w:w w:val="100"/>
          <w:kern w:val="2"/>
          <w:position w:val="0"/>
          <w:sz w:val="21"/>
          <w:szCs w:val="21"/>
          <w:highlight w:val="none"/>
          <w:u w:val="none"/>
          <w:shd w:val="clear" w:fill="auto"/>
          <w:lang w:val="en-US" w:eastAsia="zh-CN"/>
        </w:rPr>
        <w:t>等受新孟河工程引水直接影响区域</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为高能量区，漕桥河</w:t>
      </w:r>
      <w:r>
        <w:rPr>
          <w:rFonts w:hint="eastAsia" w:eastAsia="宋体" w:cs="Times New Roman"/>
          <w:snapToGrid/>
          <w:color w:val="auto"/>
          <w:spacing w:val="0"/>
          <w:w w:val="100"/>
          <w:kern w:val="2"/>
          <w:position w:val="0"/>
          <w:sz w:val="21"/>
          <w:szCs w:val="21"/>
          <w:highlight w:val="none"/>
          <w:u w:val="none"/>
          <w:shd w:val="clear" w:fill="auto"/>
          <w:lang w:val="en-US" w:eastAsia="zh-CN"/>
        </w:rPr>
        <w:t>、殷村港等滆湖出湖河道</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为中能量区，</w:t>
      </w:r>
      <w:r>
        <w:rPr>
          <w:rFonts w:hint="eastAsia" w:eastAsia="宋体" w:cs="Times New Roman"/>
          <w:snapToGrid/>
          <w:color w:val="auto"/>
          <w:spacing w:val="0"/>
          <w:w w:val="100"/>
          <w:kern w:val="2"/>
          <w:position w:val="0"/>
          <w:sz w:val="21"/>
          <w:szCs w:val="21"/>
          <w:highlight w:val="none"/>
          <w:u w:val="none"/>
          <w:shd w:val="clear" w:fill="auto"/>
          <w:lang w:val="en-US" w:eastAsia="zh-CN"/>
        </w:rPr>
        <w:t>长沟河、湖塘河、永安河等</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城区内部河网为弱能量区</w:t>
      </w:r>
      <w:r>
        <w:rPr>
          <w:rFonts w:hint="eastAsia" w:eastAsia="宋体" w:cs="Times New Roman"/>
          <w:snapToGrid/>
          <w:color w:val="auto"/>
          <w:spacing w:val="0"/>
          <w:w w:val="100"/>
          <w:kern w:val="2"/>
          <w:position w:val="0"/>
          <w:sz w:val="21"/>
          <w:szCs w:val="21"/>
          <w:highlight w:val="none"/>
          <w:u w:val="none"/>
          <w:shd w:val="clear" w:fill="auto"/>
          <w:lang w:val="en-US" w:eastAsia="zh-CN"/>
        </w:rPr>
        <w:t>，如图7所示</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p>
    <w:p w14:paraId="222B453F">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eastAsia="宋体" w:cs="Times New Roman"/>
          <w:snapToGrid/>
          <w:color w:val="auto"/>
          <w:spacing w:val="0"/>
          <w:w w:val="100"/>
          <w:kern w:val="2"/>
          <w:position w:val="0"/>
          <w:sz w:val="21"/>
          <w:szCs w:val="21"/>
          <w:highlight w:val="none"/>
          <w:u w:val="none"/>
          <w:shd w:val="clear" w:fill="auto"/>
          <w:lang w:val="en-US" w:eastAsia="zh-CN"/>
        </w:rPr>
        <w:t>基于式（2），</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以武南河立交为输入端、长沟河、湖塘河和永安河武南河汇口为城区传递端计算功率传递系数，</w:t>
      </w:r>
      <w:r>
        <w:rPr>
          <w:rFonts w:hint="eastAsia" w:eastAsia="宋体" w:cs="Times New Roman"/>
          <w:snapToGrid/>
          <w:color w:val="auto"/>
          <w:spacing w:val="0"/>
          <w:w w:val="100"/>
          <w:kern w:val="2"/>
          <w:position w:val="0"/>
          <w:sz w:val="21"/>
          <w:szCs w:val="21"/>
          <w:highlight w:val="none"/>
          <w:u w:val="none"/>
          <w:shd w:val="clear" w:fill="auto"/>
          <w:lang w:val="en-US" w:eastAsia="zh-CN"/>
        </w:rPr>
        <w:t>发现</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A2和A3方案的新增功率传递系数仅为6.8%和8.6%，说明</w:t>
      </w:r>
      <w:r>
        <w:rPr>
          <w:rFonts w:hint="eastAsia" w:eastAsia="宋体" w:cs="Times New Roman"/>
          <w:snapToGrid/>
          <w:color w:val="auto"/>
          <w:spacing w:val="0"/>
          <w:w w:val="100"/>
          <w:kern w:val="2"/>
          <w:position w:val="0"/>
          <w:sz w:val="21"/>
          <w:szCs w:val="21"/>
          <w:highlight w:val="none"/>
          <w:u w:val="none"/>
          <w:shd w:val="clear" w:fill="auto"/>
          <w:lang w:val="en-US" w:eastAsia="zh-CN"/>
        </w:rPr>
        <w:t>武南河枢纽</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固定泵抽输入的新增能量只有很小一部分能够继续传入城区内部主要河道，大部分仍滞留于城区边界附近或在局部河道内受顶托关系、闸门控制及分流发生快速衰减</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并未在城区内部形成连续</w:t>
      </w:r>
      <w:r>
        <w:rPr>
          <w:rFonts w:hint="eastAsia" w:eastAsia="宋体" w:cs="Times New Roman"/>
          <w:snapToGrid/>
          <w:color w:val="auto"/>
          <w:spacing w:val="0"/>
          <w:w w:val="100"/>
          <w:kern w:val="2"/>
          <w:position w:val="0"/>
          <w:sz w:val="21"/>
          <w:szCs w:val="21"/>
          <w:highlight w:val="none"/>
          <w:u w:val="none"/>
          <w:shd w:val="clear" w:fill="auto"/>
          <w:lang w:val="en-US" w:eastAsia="zh-CN"/>
        </w:rPr>
        <w:t>的传输通道</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。这一结果与前述流量和水质分析相互印证</w:t>
      </w:r>
      <w:r>
        <w:rPr>
          <w:rFonts w:hint="eastAsia" w:eastAsia="宋体" w:cs="Times New Roman"/>
          <w:snapToGrid/>
          <w:color w:val="auto"/>
          <w:spacing w:val="0"/>
          <w:w w:val="100"/>
          <w:kern w:val="2"/>
          <w:position w:val="0"/>
          <w:sz w:val="21"/>
          <w:szCs w:val="21"/>
          <w:highlight w:val="none"/>
          <w:u w:val="none"/>
          <w:shd w:val="clear" w:fill="auto"/>
          <w:lang w:val="en-US" w:eastAsia="zh-CN"/>
        </w:rPr>
        <w:t>，即</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A2、A3中武南河立交和永安河武南河汇口总磷、氨氮浓度显著下降，而长沟河、湖塘河改善相对有限，表明当前调度格局下武南河引水已能够改善近端河道动力条件，但尚不足以支撑内部形成连续、稳定的活水通道。</w:t>
      </w:r>
      <w:r>
        <w:rPr>
          <w:rFonts w:hint="eastAsia" w:eastAsia="宋体" w:cs="Times New Roman"/>
          <w:snapToGrid/>
          <w:color w:val="auto"/>
          <w:spacing w:val="0"/>
          <w:w w:val="100"/>
          <w:kern w:val="2"/>
          <w:position w:val="0"/>
          <w:sz w:val="21"/>
          <w:szCs w:val="21"/>
          <w:highlight w:val="none"/>
          <w:u w:val="none"/>
          <w:shd w:val="clear" w:fill="auto"/>
          <w:lang w:val="en-US" w:eastAsia="zh-CN"/>
        </w:rPr>
        <w:t>另一方面，</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能量减弱主要反映的是持续换水和污染物输移能力不足，而非必然导致短期平均浓度升高；若长期运行或外源负荷增加，则弱动力区更容易形成污染物滞留风险。因此，后续调度应重点通过长沟河南枢纽、湖塘河南枢纽等内部节点协同启泵或优化闸门调控，增强骨干引水通道向城区弱动力河网的连续动力传递。</w:t>
      </w:r>
    </w:p>
    <w:p w14:paraId="6803B17A">
      <w:pPr>
        <w:pStyle w:val="2"/>
        <w:adjustRightInd/>
        <w:snapToGrid/>
        <w:spacing w:before="0" w:beforeLines="0" w:after="0" w:afterLines="0" w:line="240" w:lineRule="auto"/>
        <w:rPr>
          <w:rFonts w:hint="default" w:ascii="Times New Roman" w:hAnsi="Times New Roman" w:cs="Times New Roman"/>
          <w:snapToGrid/>
          <w:color w:val="auto"/>
          <w:kern w:val="2"/>
          <w:sz w:val="28"/>
          <w:szCs w:val="44"/>
          <w:highlight w:val="none"/>
          <w:u w:val="none"/>
          <w:shd w:val="clear" w:fill="auto"/>
          <w:lang w:val="en-US" w:eastAsia="zh-CN"/>
        </w:rPr>
      </w:pPr>
      <w:r>
        <w:rPr>
          <w:rFonts w:hint="eastAsia" w:ascii="Times New Roman" w:hAnsi="Times New Roman" w:cs="Times New Roman"/>
          <w:snapToGrid/>
          <w:color w:val="auto"/>
          <w:kern w:val="2"/>
          <w:sz w:val="28"/>
          <w:szCs w:val="44"/>
          <w:highlight w:val="none"/>
          <w:u w:val="none"/>
          <w:shd w:val="clear" w:fill="auto"/>
          <w:lang w:val="en-US" w:eastAsia="zh-CN"/>
        </w:rPr>
        <w:t>4</w:t>
      </w:r>
      <w:r>
        <w:rPr>
          <w:rFonts w:hint="default" w:ascii="Times New Roman" w:hAnsi="Times New Roman" w:cs="Times New Roman"/>
          <w:snapToGrid/>
          <w:color w:val="auto"/>
          <w:kern w:val="2"/>
          <w:sz w:val="28"/>
          <w:szCs w:val="44"/>
          <w:highlight w:val="none"/>
          <w:u w:val="none"/>
          <w:shd w:val="clear" w:fill="auto"/>
          <w:lang w:eastAsia="zh-CN"/>
        </w:rPr>
        <w:t xml:space="preserve"> </w:t>
      </w:r>
      <w:r>
        <w:rPr>
          <w:rFonts w:hint="eastAsia" w:ascii="Times New Roman" w:hAnsi="Times New Roman" w:cs="Times New Roman"/>
          <w:snapToGrid/>
          <w:color w:val="auto"/>
          <w:kern w:val="2"/>
          <w:sz w:val="28"/>
          <w:szCs w:val="44"/>
          <w:highlight w:val="none"/>
          <w:u w:val="none"/>
          <w:shd w:val="clear" w:fill="auto"/>
          <w:lang w:eastAsia="zh-CN"/>
        </w:rPr>
        <w:t>结果</w:t>
      </w:r>
      <w:r>
        <w:rPr>
          <w:rFonts w:hint="eastAsia" w:ascii="Times New Roman" w:hAnsi="Times New Roman" w:cs="Times New Roman"/>
          <w:snapToGrid/>
          <w:color w:val="auto"/>
          <w:kern w:val="2"/>
          <w:sz w:val="28"/>
          <w:szCs w:val="44"/>
          <w:highlight w:val="none"/>
          <w:u w:val="none"/>
          <w:shd w:val="clear" w:fill="auto"/>
          <w:lang w:val="en-US" w:eastAsia="zh-CN"/>
        </w:rPr>
        <w:t>讨论</w:t>
      </w:r>
    </w:p>
    <w:p w14:paraId="7C4AA058">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textAlignment w:val="baseline"/>
        <w:outlineLvl w:val="2"/>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pPr>
      <w:r>
        <w:rPr>
          <w:rFonts w:hint="default" w:eastAsia="黑体" w:cs="Times New Roman"/>
          <w:snapToGrid/>
          <w:color w:val="auto"/>
          <w:spacing w:val="0"/>
          <w:w w:val="100"/>
          <w:kern w:val="2"/>
          <w:position w:val="0"/>
          <w:sz w:val="21"/>
          <w:szCs w:val="21"/>
          <w:highlight w:val="none"/>
          <w:u w:val="none"/>
          <w:shd w:val="clear" w:fill="auto"/>
          <w:lang w:val="en-US" w:eastAsia="zh-CN"/>
        </w:rPr>
        <w:t>4</w:t>
      </w: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w:t>
      </w:r>
      <w:r>
        <w:rPr>
          <w:rFonts w:hint="default" w:eastAsia="黑体" w:cs="Times New Roman"/>
          <w:snapToGrid/>
          <w:color w:val="auto"/>
          <w:spacing w:val="0"/>
          <w:w w:val="100"/>
          <w:kern w:val="2"/>
          <w:position w:val="0"/>
          <w:sz w:val="21"/>
          <w:szCs w:val="21"/>
          <w:highlight w:val="none"/>
          <w:u w:val="none"/>
          <w:shd w:val="clear" w:fill="auto"/>
          <w:lang w:val="en-US" w:eastAsia="zh-CN"/>
        </w:rPr>
        <w:t>1</w:t>
      </w: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 xml:space="preserve"> </w:t>
      </w:r>
      <w:r>
        <w:rPr>
          <w:rFonts w:hint="default" w:eastAsia="黑体"/>
          <w:snapToGrid/>
          <w:color w:val="auto"/>
          <w:kern w:val="2"/>
          <w:sz w:val="21"/>
          <w:szCs w:val="21"/>
          <w:highlight w:val="none"/>
          <w:u w:val="none"/>
          <w:shd w:val="clear" w:fill="auto"/>
          <w:lang w:val="en-US" w:eastAsia="zh-CN"/>
        </w:rPr>
        <w:t>能量功率指标</w:t>
      </w:r>
      <w:r>
        <w:rPr>
          <w:rFonts w:hint="eastAsia" w:eastAsia="黑体"/>
          <w:snapToGrid/>
          <w:color w:val="auto"/>
          <w:kern w:val="2"/>
          <w:sz w:val="21"/>
          <w:szCs w:val="21"/>
          <w:highlight w:val="none"/>
          <w:u w:val="none"/>
          <w:shd w:val="clear" w:fill="auto"/>
          <w:lang w:eastAsia="zh-CN"/>
        </w:rPr>
        <w:t>适用边界</w:t>
      </w:r>
    </w:p>
    <w:p w14:paraId="24E33712">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eastAsia="宋体"/>
          <w:snapToGrid/>
          <w:color w:val="auto"/>
          <w:kern w:val="2"/>
          <w:sz w:val="21"/>
          <w:szCs w:val="21"/>
          <w:highlight w:val="none"/>
          <w:u w:val="none"/>
          <w:shd w:val="clear" w:fill="auto"/>
          <w:lang w:val="en-US" w:eastAsia="zh-CN"/>
        </w:rPr>
      </w:pPr>
      <w:r>
        <w:rPr>
          <w:rFonts w:hint="eastAsia" w:eastAsia="宋体"/>
          <w:snapToGrid/>
          <w:color w:val="auto"/>
          <w:kern w:val="2"/>
          <w:sz w:val="21"/>
          <w:szCs w:val="21"/>
          <w:highlight w:val="none"/>
          <w:u w:val="none"/>
          <w:shd w:val="clear" w:fill="auto"/>
          <w:lang w:eastAsia="zh-CN"/>
        </w:rPr>
        <w:t>与单一流量指标相比，能量功率指标能够进一步表征断面流量与有效水头驱动之间的耦合作用。本文功率通量指标</w:t>
      </w:r>
      <w:r>
        <w:rPr>
          <w:rFonts w:hint="eastAsia" w:eastAsia="宋体"/>
          <w:snapToGrid/>
          <w:color w:val="auto"/>
          <w:kern w:val="2"/>
          <w:sz w:val="21"/>
          <w:szCs w:val="21"/>
          <w:highlight w:val="none"/>
          <w:u w:val="none"/>
          <w:shd w:val="clear" w:fill="auto"/>
          <w:lang w:val="en-US" w:eastAsia="zh-CN"/>
        </w:rPr>
        <w:t>与刘欢等</w:t>
      </w:r>
      <w:r>
        <w:rPr>
          <w:rFonts w:hint="default" w:ascii="Times New Roman" w:hAnsi="Times New Roman" w:eastAsia="Times New Roman"/>
          <w:color w:val="auto"/>
          <w:sz w:val="21"/>
          <w:szCs w:val="21"/>
          <w:highlight w:val="none"/>
          <w:u w:val="none"/>
          <w:shd w:val="clear" w:fill="auto"/>
          <w:vertAlign w:val="superscript"/>
        </w:rPr>
        <w:t>[1</w:t>
      </w:r>
      <w:r>
        <w:rPr>
          <w:rFonts w:hint="eastAsia" w:eastAsia="宋体"/>
          <w:color w:val="auto"/>
          <w:sz w:val="21"/>
          <w:szCs w:val="21"/>
          <w:highlight w:val="none"/>
          <w:u w:val="none"/>
          <w:shd w:val="clear" w:fill="auto"/>
          <w:vertAlign w:val="superscript"/>
          <w:lang w:val="en-US" w:eastAsia="zh-CN"/>
        </w:rPr>
        <w:t>3</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snapToGrid/>
          <w:color w:val="auto"/>
          <w:kern w:val="2"/>
          <w:sz w:val="21"/>
          <w:szCs w:val="21"/>
          <w:highlight w:val="none"/>
          <w:u w:val="none"/>
          <w:shd w:val="clear" w:fill="auto"/>
          <w:lang w:eastAsia="zh-CN"/>
        </w:rPr>
        <w:t>关于河口能量通量的研究在物理表征上相似，即将势能项与动能项纳入水动力过程表征</w:t>
      </w:r>
      <w:r>
        <w:rPr>
          <w:rFonts w:hint="eastAsia" w:eastAsia="宋体"/>
          <w:snapToGrid/>
          <w:color w:val="auto"/>
          <w:kern w:val="2"/>
          <w:sz w:val="21"/>
          <w:szCs w:val="21"/>
          <w:highlight w:val="none"/>
          <w:u w:val="none"/>
          <w:shd w:val="clear" w:fill="auto"/>
          <w:lang w:val="en-US" w:eastAsia="zh-CN"/>
        </w:rPr>
        <w:t>，</w:t>
      </w:r>
      <w:r>
        <w:rPr>
          <w:rFonts w:hint="eastAsia" w:eastAsia="宋体"/>
          <w:snapToGrid/>
          <w:color w:val="auto"/>
          <w:kern w:val="2"/>
          <w:sz w:val="21"/>
          <w:szCs w:val="21"/>
          <w:highlight w:val="none"/>
          <w:u w:val="none"/>
          <w:shd w:val="clear" w:fill="auto"/>
          <w:lang w:eastAsia="zh-CN"/>
        </w:rPr>
        <w:t>但二者的适用场景和分析重点有所不同，河口能量通量方法主要面向径流</w:t>
      </w:r>
      <w:r>
        <w:rPr>
          <w:rFonts w:hint="eastAsia" w:eastAsia="宋体"/>
          <w:snapToGrid/>
          <w:color w:val="auto"/>
          <w:kern w:val="2"/>
          <w:sz w:val="21"/>
          <w:szCs w:val="21"/>
          <w:highlight w:val="none"/>
          <w:u w:val="none"/>
          <w:shd w:val="clear" w:fill="auto"/>
          <w:lang w:val="en-US" w:eastAsia="zh-CN"/>
        </w:rPr>
        <w:t>-</w:t>
      </w:r>
      <w:r>
        <w:rPr>
          <w:rFonts w:hint="eastAsia" w:eastAsia="宋体"/>
          <w:snapToGrid/>
          <w:color w:val="auto"/>
          <w:kern w:val="2"/>
          <w:sz w:val="21"/>
          <w:szCs w:val="21"/>
          <w:highlight w:val="none"/>
          <w:u w:val="none"/>
          <w:shd w:val="clear" w:fill="auto"/>
          <w:lang w:eastAsia="zh-CN"/>
        </w:rPr>
        <w:t>潮汐共同作用的河口系统，重点识别能量来源、传播方向及耗散强度，判断潮汐能量与径流能量在不同河段中的相对作用；而本文研究对象为闸泵强控制、多出口、多控制节点耦合的平原河网，水流过程受工程调度、下游顶托和局部水位变化共同影响，断面流量的增减并不必然对应有效动力的同步变化，</w:t>
      </w:r>
      <w:r>
        <w:rPr>
          <w:rFonts w:hint="eastAsia" w:eastAsia="宋体"/>
          <w:snapToGrid/>
          <w:color w:val="auto"/>
          <w:kern w:val="2"/>
          <w:sz w:val="21"/>
          <w:szCs w:val="21"/>
          <w:highlight w:val="none"/>
          <w:u w:val="none"/>
          <w:shd w:val="clear" w:fill="auto"/>
          <w:lang w:val="en-US" w:eastAsia="zh-CN"/>
        </w:rPr>
        <w:t>这与WANG等</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color w:val="auto"/>
          <w:sz w:val="21"/>
          <w:szCs w:val="21"/>
          <w:highlight w:val="none"/>
          <w:u w:val="none"/>
          <w:shd w:val="clear" w:fill="auto"/>
          <w:vertAlign w:val="superscript"/>
          <w:lang w:val="en-US" w:eastAsia="zh-CN"/>
        </w:rPr>
        <w:t>28</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snapToGrid/>
          <w:color w:val="auto"/>
          <w:kern w:val="2"/>
          <w:sz w:val="21"/>
          <w:szCs w:val="21"/>
          <w:highlight w:val="none"/>
          <w:u w:val="none"/>
          <w:shd w:val="clear" w:fill="auto"/>
          <w:lang w:val="en-US" w:eastAsia="zh-CN"/>
        </w:rPr>
        <w:t>的研究结果一致，他们发现水利工程、河湖水位差和河道特性对整体河网动力学的影响权重分别为65%、21%和12.4%，其他因素贡献了1.6%的权重</w:t>
      </w:r>
      <w:r>
        <w:rPr>
          <w:rFonts w:hint="eastAsia" w:eastAsia="宋体"/>
          <w:snapToGrid/>
          <w:color w:val="auto"/>
          <w:kern w:val="2"/>
          <w:sz w:val="21"/>
          <w:szCs w:val="21"/>
          <w:highlight w:val="none"/>
          <w:u w:val="none"/>
          <w:shd w:val="clear" w:fill="auto"/>
          <w:lang w:eastAsia="zh-CN"/>
        </w:rPr>
        <w:t>。本文采用的功率通量指标综合考虑断面流量、相对水位差及过水断面条件，可在表征水量输移规模的基础上，进一步</w:t>
      </w:r>
      <w:r>
        <w:rPr>
          <w:rFonts w:hint="eastAsia" w:eastAsia="宋体"/>
          <w:snapToGrid/>
          <w:color w:val="auto"/>
          <w:kern w:val="2"/>
          <w:sz w:val="21"/>
          <w:szCs w:val="21"/>
          <w:highlight w:val="none"/>
          <w:u w:val="none"/>
          <w:shd w:val="clear" w:fill="auto"/>
          <w:lang w:val="en-US" w:eastAsia="zh-CN"/>
        </w:rPr>
        <w:t>描述</w:t>
      </w:r>
      <w:r>
        <w:rPr>
          <w:rFonts w:hint="eastAsia" w:eastAsia="宋体"/>
          <w:snapToGrid/>
          <w:color w:val="auto"/>
          <w:kern w:val="2"/>
          <w:sz w:val="21"/>
          <w:szCs w:val="21"/>
          <w:highlight w:val="none"/>
          <w:u w:val="none"/>
          <w:shd w:val="clear" w:fill="auto"/>
          <w:lang w:eastAsia="zh-CN"/>
        </w:rPr>
        <w:t>水流输移过程中的有效动力水平，为识别多闸泵联合调度下的河网动力重构过程提供</w:t>
      </w:r>
      <w:r>
        <w:rPr>
          <w:rFonts w:hint="eastAsia" w:eastAsia="宋体"/>
          <w:snapToGrid/>
          <w:color w:val="auto"/>
          <w:kern w:val="2"/>
          <w:sz w:val="21"/>
          <w:szCs w:val="21"/>
          <w:highlight w:val="none"/>
          <w:u w:val="none"/>
          <w:shd w:val="clear" w:fill="auto"/>
          <w:lang w:val="en-US" w:eastAsia="zh-CN"/>
        </w:rPr>
        <w:t>不同视角</w:t>
      </w:r>
      <w:r>
        <w:rPr>
          <w:rFonts w:hint="eastAsia" w:eastAsia="宋体"/>
          <w:snapToGrid/>
          <w:color w:val="auto"/>
          <w:kern w:val="2"/>
          <w:sz w:val="21"/>
          <w:szCs w:val="21"/>
          <w:highlight w:val="none"/>
          <w:u w:val="none"/>
          <w:shd w:val="clear" w:fill="auto"/>
          <w:lang w:eastAsia="zh-CN"/>
        </w:rPr>
        <w:t>的评价依据。</w:t>
      </w:r>
    </w:p>
    <w:p w14:paraId="552F2B71">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eastAsia="宋体"/>
          <w:snapToGrid/>
          <w:color w:val="auto"/>
          <w:kern w:val="2"/>
          <w:sz w:val="21"/>
          <w:szCs w:val="21"/>
          <w:highlight w:val="none"/>
          <w:u w:val="none"/>
          <w:shd w:val="clear" w:fill="auto"/>
          <w:lang w:val="en-US" w:eastAsia="zh-CN"/>
        </w:rPr>
      </w:pPr>
      <w:r>
        <w:rPr>
          <w:rFonts w:hint="eastAsia" w:eastAsia="宋体"/>
          <w:snapToGrid/>
          <w:color w:val="auto"/>
          <w:kern w:val="2"/>
          <w:sz w:val="21"/>
          <w:szCs w:val="21"/>
          <w:highlight w:val="none"/>
          <w:u w:val="none"/>
          <w:shd w:val="clear" w:fill="auto"/>
          <w:lang w:eastAsia="zh-CN"/>
        </w:rPr>
        <w:t>从计算结果看，功率通量能够揭示部分流量指标难以反映的动力差异。A0到A1方案中，北干河东流量由39.1m</w:t>
      </w:r>
      <w:r>
        <w:rPr>
          <w:rFonts w:hint="eastAsia" w:eastAsia="宋体"/>
          <w:snapToGrid/>
          <w:color w:val="auto"/>
          <w:kern w:val="2"/>
          <w:sz w:val="21"/>
          <w:szCs w:val="21"/>
          <w:highlight w:val="none"/>
          <w:u w:val="none"/>
          <w:shd w:val="clear" w:fill="auto"/>
          <w:vertAlign w:val="superscript"/>
          <w:lang w:eastAsia="zh-CN"/>
        </w:rPr>
        <w:t>3</w:t>
      </w:r>
      <w:r>
        <w:rPr>
          <w:rFonts w:hint="eastAsia" w:eastAsia="宋体"/>
          <w:snapToGrid/>
          <w:color w:val="auto"/>
          <w:kern w:val="2"/>
          <w:sz w:val="21"/>
          <w:szCs w:val="21"/>
          <w:highlight w:val="none"/>
          <w:u w:val="none"/>
          <w:shd w:val="clear" w:fill="auto"/>
          <w:lang w:eastAsia="zh-CN"/>
        </w:rPr>
        <w:t>/s增至67.9m</w:t>
      </w:r>
      <w:r>
        <w:rPr>
          <w:rFonts w:hint="eastAsia" w:eastAsia="宋体"/>
          <w:snapToGrid/>
          <w:color w:val="auto"/>
          <w:kern w:val="2"/>
          <w:sz w:val="21"/>
          <w:szCs w:val="21"/>
          <w:highlight w:val="none"/>
          <w:u w:val="none"/>
          <w:shd w:val="clear" w:fill="auto"/>
          <w:vertAlign w:val="superscript"/>
          <w:lang w:eastAsia="zh-CN"/>
        </w:rPr>
        <w:t>3</w:t>
      </w:r>
      <w:r>
        <w:rPr>
          <w:rFonts w:hint="eastAsia" w:eastAsia="宋体"/>
          <w:snapToGrid/>
          <w:color w:val="auto"/>
          <w:kern w:val="2"/>
          <w:sz w:val="21"/>
          <w:szCs w:val="21"/>
          <w:highlight w:val="none"/>
          <w:u w:val="none"/>
          <w:shd w:val="clear" w:fill="auto"/>
          <w:lang w:eastAsia="zh-CN"/>
        </w:rPr>
        <w:t>/s，增幅约73.7%，而功率通量由0.078MW增至0.183MW，增幅达135.4%，说明新孟河引水不仅增加了进入滆湖的水量，也明显增强了主输移通道的有效动力。红湖大桥断面则表现出另一类特征：A1方案下倒流流量较A0方案减小，但功率通量仍维持在约0.024MW，说明流量减少并不必然对应逆向功率同步降低，该断面的能量状态还受到相对水位差变化的影响。A2、A3方案中，武南河立交流量均固定为20m</w:t>
      </w:r>
      <w:r>
        <w:rPr>
          <w:rFonts w:hint="eastAsia" w:eastAsia="宋体"/>
          <w:snapToGrid/>
          <w:color w:val="auto"/>
          <w:kern w:val="2"/>
          <w:sz w:val="21"/>
          <w:szCs w:val="21"/>
          <w:highlight w:val="none"/>
          <w:u w:val="none"/>
          <w:shd w:val="clear" w:fill="auto"/>
          <w:vertAlign w:val="superscript"/>
          <w:lang w:eastAsia="zh-CN"/>
        </w:rPr>
        <w:t>3</w:t>
      </w:r>
      <w:r>
        <w:rPr>
          <w:rFonts w:hint="eastAsia" w:eastAsia="宋体"/>
          <w:snapToGrid/>
          <w:color w:val="auto"/>
          <w:kern w:val="2"/>
          <w:sz w:val="21"/>
          <w:szCs w:val="21"/>
          <w:highlight w:val="none"/>
          <w:u w:val="none"/>
          <w:shd w:val="clear" w:fill="auto"/>
          <w:lang w:eastAsia="zh-CN"/>
        </w:rPr>
        <w:t>/s，但功率通量由0.073MW降至0.070MW；北干河东断面流量由72.5m</w:t>
      </w:r>
      <w:r>
        <w:rPr>
          <w:rFonts w:hint="eastAsia" w:eastAsia="宋体"/>
          <w:snapToGrid/>
          <w:color w:val="auto"/>
          <w:kern w:val="2"/>
          <w:sz w:val="21"/>
          <w:szCs w:val="21"/>
          <w:highlight w:val="none"/>
          <w:u w:val="none"/>
          <w:shd w:val="clear" w:fill="auto"/>
          <w:vertAlign w:val="superscript"/>
          <w:lang w:eastAsia="zh-CN"/>
        </w:rPr>
        <w:t>3</w:t>
      </w:r>
      <w:r>
        <w:rPr>
          <w:rFonts w:hint="eastAsia" w:eastAsia="宋体"/>
          <w:snapToGrid/>
          <w:color w:val="auto"/>
          <w:kern w:val="2"/>
          <w:sz w:val="21"/>
          <w:szCs w:val="21"/>
          <w:highlight w:val="none"/>
          <w:u w:val="none"/>
          <w:shd w:val="clear" w:fill="auto"/>
          <w:lang w:eastAsia="zh-CN"/>
        </w:rPr>
        <w:t>/s增至73.3m</w:t>
      </w:r>
      <w:r>
        <w:rPr>
          <w:rFonts w:hint="eastAsia" w:eastAsia="宋体"/>
          <w:snapToGrid/>
          <w:color w:val="auto"/>
          <w:kern w:val="2"/>
          <w:sz w:val="21"/>
          <w:szCs w:val="21"/>
          <w:highlight w:val="none"/>
          <w:u w:val="none"/>
          <w:shd w:val="clear" w:fill="auto"/>
          <w:vertAlign w:val="superscript"/>
          <w:lang w:eastAsia="zh-CN"/>
        </w:rPr>
        <w:t>3</w:t>
      </w:r>
      <w:r>
        <w:rPr>
          <w:rFonts w:hint="eastAsia" w:eastAsia="宋体"/>
          <w:snapToGrid/>
          <w:color w:val="auto"/>
          <w:kern w:val="2"/>
          <w:sz w:val="21"/>
          <w:szCs w:val="21"/>
          <w:highlight w:val="none"/>
          <w:u w:val="none"/>
          <w:shd w:val="clear" w:fill="auto"/>
          <w:lang w:eastAsia="zh-CN"/>
        </w:rPr>
        <w:t>/s，功率通量却由0.188MW降至0.183MW。上述结果均表明，在平原河网中，流量主要反映断面水量输移规模，而功率通量能够进一步反映水量变化是否转化为有效动力增强。</w:t>
      </w:r>
    </w:p>
    <w:p w14:paraId="41370D04">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eastAsia="宋体" w:cs="Times New Roman"/>
          <w:snapToGrid/>
          <w:color w:val="auto"/>
          <w:spacing w:val="0"/>
          <w:w w:val="100"/>
          <w:kern w:val="2"/>
          <w:position w:val="0"/>
          <w:sz w:val="21"/>
          <w:szCs w:val="21"/>
          <w:highlight w:val="none"/>
          <w:u w:val="none"/>
          <w:shd w:val="clear" w:fill="auto"/>
          <w:lang w:val="en-US" w:eastAsia="zh-CN"/>
        </w:rPr>
      </w:pPr>
      <w:r>
        <w:rPr>
          <w:rFonts w:hint="eastAsia" w:eastAsia="宋体"/>
          <w:snapToGrid/>
          <w:color w:val="auto"/>
          <w:kern w:val="2"/>
          <w:sz w:val="21"/>
          <w:szCs w:val="21"/>
          <w:highlight w:val="none"/>
          <w:u w:val="none"/>
          <w:shd w:val="clear" w:fill="auto"/>
          <w:lang w:eastAsia="zh-CN"/>
        </w:rPr>
        <w:t>能量功率指标还可以为水质响应提供动力过程解释，但不能简单作为水质改善效果的替代指标。以长沟河为例，A2方案下长沟河平均流量降至0.4m</w:t>
      </w:r>
      <w:r>
        <w:rPr>
          <w:rFonts w:hint="eastAsia" w:eastAsia="宋体"/>
          <w:snapToGrid/>
          <w:color w:val="auto"/>
          <w:kern w:val="2"/>
          <w:sz w:val="21"/>
          <w:szCs w:val="21"/>
          <w:highlight w:val="none"/>
          <w:u w:val="none"/>
          <w:shd w:val="clear" w:fill="auto"/>
          <w:vertAlign w:val="superscript"/>
          <w:lang w:eastAsia="zh-CN"/>
        </w:rPr>
        <w:t>3</w:t>
      </w:r>
      <w:r>
        <w:rPr>
          <w:rFonts w:hint="eastAsia" w:eastAsia="宋体"/>
          <w:snapToGrid/>
          <w:color w:val="auto"/>
          <w:kern w:val="2"/>
          <w:sz w:val="21"/>
          <w:szCs w:val="21"/>
          <w:highlight w:val="none"/>
          <w:u w:val="none"/>
          <w:shd w:val="clear" w:fill="auto"/>
          <w:lang w:eastAsia="zh-CN"/>
        </w:rPr>
        <w:t>/s，功率通量也明显降低，表明该河段未形成持续进入城区河网的有效活水通道；但总磷、氨氮浓度并未同步升高，仅表现为改善幅度有限。这说明局部水质变化还受到上游来水浓度、局部污染输入、河道滞留、扩散掺混和转化过程等因素共同影响，</w:t>
      </w:r>
      <w:r>
        <w:rPr>
          <w:rFonts w:hint="eastAsia" w:eastAsia="宋体"/>
          <w:snapToGrid/>
          <w:color w:val="auto"/>
          <w:kern w:val="2"/>
          <w:sz w:val="21"/>
          <w:szCs w:val="21"/>
          <w:highlight w:val="none"/>
          <w:u w:val="none"/>
          <w:shd w:val="clear" w:fill="auto"/>
          <w:lang w:val="en-US" w:eastAsia="zh-CN"/>
        </w:rPr>
        <w:t>这与田雪琪等</w:t>
      </w:r>
      <w:r>
        <w:rPr>
          <w:rFonts w:hint="default" w:ascii="Times New Roman" w:hAnsi="Times New Roman" w:eastAsia="Times New Roman"/>
          <w:color w:val="auto"/>
          <w:sz w:val="21"/>
          <w:szCs w:val="21"/>
          <w:highlight w:val="none"/>
          <w:u w:val="none"/>
          <w:shd w:val="clear" w:fill="auto"/>
          <w:vertAlign w:val="superscript"/>
        </w:rPr>
        <w:t>[1</w:t>
      </w:r>
      <w:r>
        <w:rPr>
          <w:rFonts w:hint="eastAsia" w:eastAsia="宋体"/>
          <w:color w:val="auto"/>
          <w:sz w:val="21"/>
          <w:szCs w:val="21"/>
          <w:highlight w:val="none"/>
          <w:u w:val="none"/>
          <w:shd w:val="clear" w:fill="auto"/>
          <w:vertAlign w:val="superscript"/>
          <w:lang w:val="en-US" w:eastAsia="zh-CN"/>
        </w:rPr>
        <w:t>4</w:t>
      </w:r>
      <w:r>
        <w:rPr>
          <w:rFonts w:hint="default" w:ascii="Times New Roman" w:hAnsi="Times New Roman" w:eastAsia="Times New Roman"/>
          <w:color w:val="auto"/>
          <w:sz w:val="21"/>
          <w:szCs w:val="21"/>
          <w:highlight w:val="none"/>
          <w:u w:val="none"/>
          <w:shd w:val="clear" w:fill="auto"/>
          <w:vertAlign w:val="superscript"/>
        </w:rPr>
        <w:t>]</w:t>
      </w:r>
      <w:r>
        <w:rPr>
          <w:rFonts w:hint="eastAsia" w:eastAsia="宋体"/>
          <w:snapToGrid/>
          <w:color w:val="auto"/>
          <w:kern w:val="2"/>
          <w:sz w:val="21"/>
          <w:szCs w:val="21"/>
          <w:highlight w:val="none"/>
          <w:u w:val="none"/>
          <w:shd w:val="clear" w:fill="auto"/>
          <w:lang w:val="en-US" w:eastAsia="zh-CN"/>
        </w:rPr>
        <w:t>和许睿亭等</w:t>
      </w:r>
      <w:r>
        <w:rPr>
          <w:rFonts w:hint="eastAsia" w:eastAsia="宋体"/>
          <w:snapToGrid/>
          <w:color w:val="auto"/>
          <w:kern w:val="2"/>
          <w:sz w:val="21"/>
          <w:szCs w:val="21"/>
          <w:highlight w:val="none"/>
          <w:u w:val="none"/>
          <w:shd w:val="clear" w:fill="auto"/>
          <w:vertAlign w:val="superscript"/>
          <w:lang w:val="en-US" w:eastAsia="zh-CN"/>
        </w:rPr>
        <w:t>[33]</w:t>
      </w:r>
      <w:r>
        <w:rPr>
          <w:rFonts w:hint="eastAsia" w:eastAsia="宋体"/>
          <w:snapToGrid/>
          <w:color w:val="auto"/>
          <w:kern w:val="2"/>
          <w:sz w:val="21"/>
          <w:szCs w:val="21"/>
          <w:highlight w:val="none"/>
          <w:u w:val="none"/>
          <w:shd w:val="clear" w:fill="auto"/>
          <w:lang w:val="en-US" w:eastAsia="zh-CN"/>
        </w:rPr>
        <w:t>的相关研究结果一致</w:t>
      </w:r>
      <w:r>
        <w:rPr>
          <w:rFonts w:hint="eastAsia" w:eastAsia="宋体"/>
          <w:snapToGrid/>
          <w:color w:val="auto"/>
          <w:kern w:val="2"/>
          <w:sz w:val="21"/>
          <w:szCs w:val="21"/>
          <w:highlight w:val="none"/>
          <w:u w:val="none"/>
          <w:shd w:val="clear" w:fill="auto"/>
          <w:lang w:eastAsia="zh-CN"/>
        </w:rPr>
        <w:t>。换言之，水质浓度可以反映调度后的结果，而功率通量能够进一步判断这种结果是否具有稳定的水动力支撑。因此，功率通量应与流量、水位、水体交换和水质浓度联合分析，用于识别工程调度中水量输入、动力传递和水质响应之间的关系。</w:t>
      </w:r>
    </w:p>
    <w:p w14:paraId="1275C90B">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eastAsia="宋体"/>
          <w:snapToGrid/>
          <w:color w:val="auto"/>
          <w:kern w:val="2"/>
          <w:sz w:val="21"/>
          <w:szCs w:val="21"/>
          <w:highlight w:val="none"/>
          <w:u w:val="none"/>
          <w:shd w:val="clear" w:fill="auto"/>
          <w:lang w:eastAsia="zh-CN"/>
        </w:rPr>
        <w:t>总体来看，相对基准断面功率通量及新增功率传递系数的意义在于，将平原河网调度评价由单纯的水量变化分析，拓展到动力传递过程分析。该指标能够识别新增动力主要集中在哪些通道、在哪些河段发生衰减，以及哪些区域仍需依靠内部闸泵协同调控。后续应结合更多实测资料和不同水文调度情景，进一步完善适用于复杂水网系统的能量描述体系，为多闸泵工程群联合调度方案设计提供支撑。</w:t>
      </w:r>
    </w:p>
    <w:p w14:paraId="0654C887">
      <w:pPr>
        <w:pStyle w:val="4"/>
        <w:keepNext w:val="0"/>
        <w:keepLines w:val="0"/>
        <w:pageBreakBefore w:val="0"/>
        <w:widowControl/>
        <w:kinsoku w:val="0"/>
        <w:wordWrap/>
        <w:overflowPunct/>
        <w:topLinePunct w:val="0"/>
        <w:autoSpaceDE w:val="0"/>
        <w:autoSpaceDN w:val="0"/>
        <w:bidi w:val="0"/>
        <w:adjustRightInd/>
        <w:snapToGrid/>
        <w:spacing w:line="240" w:lineRule="auto"/>
        <w:ind w:left="0" w:leftChars="0" w:right="0" w:rightChars="0"/>
        <w:textAlignment w:val="baseline"/>
        <w:outlineLvl w:val="2"/>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pPr>
      <w:r>
        <w:rPr>
          <w:rFonts w:hint="default" w:eastAsia="黑体" w:cs="Times New Roman"/>
          <w:snapToGrid/>
          <w:color w:val="auto"/>
          <w:spacing w:val="0"/>
          <w:w w:val="100"/>
          <w:kern w:val="2"/>
          <w:position w:val="0"/>
          <w:sz w:val="21"/>
          <w:szCs w:val="21"/>
          <w:highlight w:val="none"/>
          <w:u w:val="none"/>
          <w:shd w:val="clear" w:fill="auto"/>
          <w:lang w:val="en-US" w:eastAsia="zh-CN"/>
        </w:rPr>
        <w:t>4</w:t>
      </w: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w:t>
      </w:r>
      <w:r>
        <w:rPr>
          <w:rFonts w:hint="eastAsia" w:eastAsia="黑体" w:cs="Times New Roman"/>
          <w:snapToGrid/>
          <w:color w:val="auto"/>
          <w:spacing w:val="0"/>
          <w:w w:val="100"/>
          <w:kern w:val="2"/>
          <w:position w:val="0"/>
          <w:sz w:val="21"/>
          <w:szCs w:val="21"/>
          <w:highlight w:val="none"/>
          <w:u w:val="none"/>
          <w:shd w:val="clear" w:fill="auto"/>
          <w:lang w:val="en-US" w:eastAsia="zh-CN"/>
        </w:rPr>
        <w:t>2</w:t>
      </w:r>
      <w:r>
        <w:rPr>
          <w:rFonts w:hint="default" w:ascii="Times New Roman" w:hAnsi="Times New Roman" w:eastAsia="黑体" w:cs="Times New Roman"/>
          <w:snapToGrid/>
          <w:color w:val="auto"/>
          <w:spacing w:val="0"/>
          <w:w w:val="100"/>
          <w:kern w:val="2"/>
          <w:position w:val="0"/>
          <w:sz w:val="21"/>
          <w:szCs w:val="21"/>
          <w:highlight w:val="none"/>
          <w:u w:val="none"/>
          <w:shd w:val="clear" w:fill="auto"/>
          <w:lang w:val="en-US" w:eastAsia="zh-CN"/>
        </w:rPr>
        <w:t xml:space="preserve"> </w:t>
      </w:r>
      <w:r>
        <w:rPr>
          <w:rFonts w:hint="default" w:eastAsia="黑体"/>
          <w:snapToGrid/>
          <w:color w:val="auto"/>
          <w:kern w:val="2"/>
          <w:sz w:val="21"/>
          <w:szCs w:val="21"/>
          <w:highlight w:val="none"/>
          <w:u w:val="none"/>
          <w:shd w:val="clear" w:fill="auto"/>
          <w:lang w:eastAsia="zh-CN"/>
        </w:rPr>
        <w:t>新孟河工程联合调度优化方向</w:t>
      </w:r>
    </w:p>
    <w:p w14:paraId="65AA01A7">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eastAsia="宋体"/>
          <w:snapToGrid/>
          <w:color w:val="auto"/>
          <w:kern w:val="2"/>
          <w:sz w:val="21"/>
          <w:szCs w:val="21"/>
          <w:highlight w:val="none"/>
          <w:u w:val="none"/>
          <w:shd w:val="clear" w:fill="auto"/>
          <w:lang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新孟河工程作为太湖流域水环境综合治理骨干项目，具有明确的引清、活水、提质作用，特别是对其沿线、滆湖周边骨干河道以及入太湖水质改善相对明显</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但其效益发挥依赖于关键节点工程的联合调度与区域内部水网的有序响应。</w:t>
      </w:r>
      <w:r>
        <w:rPr>
          <w:rFonts w:hint="default" w:eastAsia="宋体"/>
          <w:snapToGrid/>
          <w:color w:val="auto"/>
          <w:kern w:val="2"/>
          <w:sz w:val="21"/>
          <w:szCs w:val="21"/>
          <w:highlight w:val="none"/>
          <w:u w:val="none"/>
          <w:shd w:val="clear" w:fill="auto"/>
          <w:lang w:eastAsia="zh-CN"/>
        </w:rPr>
        <w:t>后续不宜简单将加大新孟河引水量或加大新沟河北排量作为唯一措施</w:t>
      </w:r>
      <w:r>
        <w:rPr>
          <w:rFonts w:hint="eastAsia" w:eastAsia="宋体"/>
          <w:snapToGrid/>
          <w:color w:val="auto"/>
          <w:kern w:val="2"/>
          <w:sz w:val="21"/>
          <w:szCs w:val="21"/>
          <w:highlight w:val="none"/>
          <w:u w:val="none"/>
          <w:shd w:val="clear" w:fill="auto"/>
          <w:lang w:eastAsia="zh-CN"/>
        </w:rPr>
        <w:t>。</w:t>
      </w:r>
      <w:r>
        <w:rPr>
          <w:rFonts w:hint="eastAsia" w:eastAsia="宋体"/>
          <w:snapToGrid/>
          <w:color w:val="auto"/>
          <w:kern w:val="2"/>
          <w:sz w:val="21"/>
          <w:szCs w:val="21"/>
          <w:highlight w:val="none"/>
          <w:u w:val="none"/>
          <w:shd w:val="clear" w:fill="auto"/>
          <w:lang w:val="en-US" w:eastAsia="zh-CN"/>
        </w:rPr>
        <w:t>武南河引水、</w:t>
      </w:r>
      <w:r>
        <w:rPr>
          <w:rFonts w:hint="default" w:eastAsia="宋体"/>
          <w:snapToGrid/>
          <w:color w:val="auto"/>
          <w:kern w:val="2"/>
          <w:sz w:val="21"/>
          <w:szCs w:val="21"/>
          <w:highlight w:val="none"/>
          <w:u w:val="none"/>
          <w:shd w:val="clear" w:fill="auto"/>
          <w:lang w:eastAsia="zh-CN"/>
        </w:rPr>
        <w:t>增加北排强度</w:t>
      </w:r>
      <w:r>
        <w:rPr>
          <w:rFonts w:hint="eastAsia" w:eastAsia="宋体"/>
          <w:snapToGrid/>
          <w:color w:val="auto"/>
          <w:kern w:val="2"/>
          <w:sz w:val="21"/>
          <w:szCs w:val="21"/>
          <w:highlight w:val="none"/>
          <w:u w:val="none"/>
          <w:shd w:val="clear" w:fill="auto"/>
          <w:lang w:val="en-US" w:eastAsia="zh-CN"/>
        </w:rPr>
        <w:t>可使</w:t>
      </w:r>
      <w:r>
        <w:rPr>
          <w:rFonts w:hint="default" w:eastAsia="宋体"/>
          <w:snapToGrid/>
          <w:color w:val="auto"/>
          <w:kern w:val="2"/>
          <w:sz w:val="21"/>
          <w:szCs w:val="21"/>
          <w:highlight w:val="none"/>
          <w:u w:val="none"/>
          <w:shd w:val="clear" w:fill="auto"/>
          <w:lang w:eastAsia="zh-CN"/>
        </w:rPr>
        <w:t>太滆运河上游倒流顶托得到</w:t>
      </w:r>
      <w:r>
        <w:rPr>
          <w:rFonts w:hint="eastAsia" w:eastAsia="宋体"/>
          <w:snapToGrid/>
          <w:color w:val="auto"/>
          <w:kern w:val="2"/>
          <w:sz w:val="21"/>
          <w:szCs w:val="21"/>
          <w:highlight w:val="none"/>
          <w:u w:val="none"/>
          <w:shd w:val="clear" w:fill="auto"/>
          <w:lang w:val="en-US" w:eastAsia="zh-CN"/>
        </w:rPr>
        <w:t>一定</w:t>
      </w:r>
      <w:r>
        <w:rPr>
          <w:rFonts w:hint="default" w:eastAsia="宋体"/>
          <w:snapToGrid/>
          <w:color w:val="auto"/>
          <w:kern w:val="2"/>
          <w:sz w:val="21"/>
          <w:szCs w:val="21"/>
          <w:highlight w:val="none"/>
          <w:u w:val="none"/>
          <w:shd w:val="clear" w:fill="auto"/>
          <w:lang w:eastAsia="zh-CN"/>
        </w:rPr>
        <w:t>削弱，但城区内部河网改善并未同步显著增强，说明外部引排强度增加到一定程度后，若内部节点未形成配套调度，新增动力仍可能主要消耗在骨干通道和区域边界附近</w:t>
      </w:r>
      <w:r>
        <w:rPr>
          <w:rFonts w:hint="eastAsia" w:eastAsia="宋体"/>
          <w:snapToGrid/>
          <w:color w:val="auto"/>
          <w:kern w:val="2"/>
          <w:sz w:val="21"/>
          <w:szCs w:val="21"/>
          <w:highlight w:val="none"/>
          <w:u w:val="none"/>
          <w:shd w:val="clear" w:fill="auto"/>
          <w:lang w:eastAsia="zh-CN"/>
        </w:rPr>
        <w:t>，</w:t>
      </w:r>
      <w:r>
        <w:rPr>
          <w:rFonts w:hint="default" w:eastAsia="宋体"/>
          <w:snapToGrid/>
          <w:color w:val="auto"/>
          <w:kern w:val="2"/>
          <w:sz w:val="21"/>
          <w:szCs w:val="21"/>
          <w:highlight w:val="none"/>
          <w:u w:val="none"/>
          <w:shd w:val="clear" w:fill="auto"/>
          <w:lang w:eastAsia="zh-CN"/>
        </w:rPr>
        <w:t>很难在弱比降、小断面、多分汊的城区河网中形成稳定</w:t>
      </w:r>
      <w:r>
        <w:rPr>
          <w:rFonts w:hint="eastAsia" w:eastAsia="宋体"/>
          <w:snapToGrid/>
          <w:color w:val="auto"/>
          <w:kern w:val="2"/>
          <w:sz w:val="21"/>
          <w:szCs w:val="21"/>
          <w:highlight w:val="none"/>
          <w:u w:val="none"/>
          <w:shd w:val="clear" w:fill="auto"/>
          <w:lang w:val="en-US" w:eastAsia="zh-CN"/>
        </w:rPr>
        <w:t>传输</w:t>
      </w:r>
      <w:r>
        <w:rPr>
          <w:rFonts w:hint="default" w:eastAsia="宋体"/>
          <w:snapToGrid/>
          <w:color w:val="auto"/>
          <w:kern w:val="2"/>
          <w:sz w:val="21"/>
          <w:szCs w:val="21"/>
          <w:highlight w:val="none"/>
          <w:u w:val="none"/>
          <w:shd w:val="clear" w:fill="auto"/>
          <w:lang w:eastAsia="zh-CN"/>
        </w:rPr>
        <w:t>。</w:t>
      </w:r>
    </w:p>
    <w:p w14:paraId="707C8F2D">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eastAsia="宋体"/>
          <w:snapToGrid/>
          <w:color w:val="auto"/>
          <w:kern w:val="2"/>
          <w:sz w:val="21"/>
          <w:szCs w:val="21"/>
          <w:highlight w:val="none"/>
          <w:u w:val="none"/>
          <w:shd w:val="clear" w:fill="auto"/>
          <w:lang w:eastAsia="zh-CN"/>
        </w:rPr>
        <w:t>因此，后续应重点研究新孟河、武南河立交、新沟河江边枢纽、遥观南</w:t>
      </w:r>
      <w:r>
        <w:rPr>
          <w:rFonts w:hint="eastAsia" w:eastAsia="宋体"/>
          <w:snapToGrid/>
          <w:color w:val="auto"/>
          <w:kern w:val="2"/>
          <w:sz w:val="21"/>
          <w:szCs w:val="21"/>
          <w:highlight w:val="none"/>
          <w:u w:val="none"/>
          <w:shd w:val="clear" w:fill="auto"/>
          <w:lang w:eastAsia="zh-CN"/>
        </w:rPr>
        <w:t>、</w:t>
      </w:r>
      <w:r>
        <w:rPr>
          <w:rFonts w:hint="default" w:eastAsia="宋体"/>
          <w:snapToGrid/>
          <w:color w:val="auto"/>
          <w:kern w:val="2"/>
          <w:sz w:val="21"/>
          <w:szCs w:val="21"/>
          <w:highlight w:val="none"/>
          <w:u w:val="none"/>
          <w:shd w:val="clear" w:fill="auto"/>
          <w:lang w:eastAsia="zh-CN"/>
        </w:rPr>
        <w:t>北枢纽、长沟河南枢纽和湖塘河南枢纽之间的联合调度关系，构建“骨干通道引排</w:t>
      </w:r>
      <w:r>
        <w:rPr>
          <w:rFonts w:hint="default" w:hAnsi="Times New Roman" w:eastAsia="宋体"/>
          <w:snapToGrid/>
          <w:color w:val="auto"/>
          <w:kern w:val="2"/>
          <w:sz w:val="21"/>
          <w:szCs w:val="21"/>
          <w:highlight w:val="none"/>
          <w:u w:val="none"/>
          <w:shd w:val="clear" w:fill="auto"/>
          <w:lang w:eastAsia="zh-CN"/>
        </w:rPr>
        <w:t>—</w:t>
      </w:r>
      <w:r>
        <w:rPr>
          <w:rFonts w:hint="default" w:eastAsia="宋体"/>
          <w:snapToGrid/>
          <w:color w:val="auto"/>
          <w:kern w:val="2"/>
          <w:sz w:val="21"/>
          <w:szCs w:val="21"/>
          <w:highlight w:val="none"/>
          <w:u w:val="none"/>
          <w:shd w:val="clear" w:fill="auto"/>
          <w:lang w:eastAsia="zh-CN"/>
        </w:rPr>
        <w:t>内部泵闸接力”的协同调度模式。对于城区关键弱动力河道，可在充分论证工程可行性和调度必要性的基础上，研究增设或优化局部控制工程的可能性，以增强内部河网促流活水能力。同时，应进一步探索新孟河工程与武澄锡虞区沿江口门、梅梁湖泵站等工程之间的跨区域联合调度机制，统筹解决城区活水不足、局部倒流顶托和入湖水质改善等问题</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p>
    <w:p w14:paraId="0F5D30B4">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p>
    <w:p w14:paraId="0A5DFE88">
      <w:pPr>
        <w:pStyle w:val="2"/>
        <w:adjustRightInd/>
        <w:snapToGrid/>
        <w:spacing w:before="0" w:beforeLines="0" w:after="0" w:afterLines="0" w:line="240" w:lineRule="auto"/>
        <w:rPr>
          <w:rFonts w:hint="default" w:ascii="Times New Roman" w:hAnsi="Times New Roman" w:cs="Times New Roman"/>
          <w:snapToGrid/>
          <w:color w:val="auto"/>
          <w:kern w:val="2"/>
          <w:sz w:val="28"/>
          <w:szCs w:val="44"/>
          <w:highlight w:val="none"/>
          <w:u w:val="none"/>
          <w:shd w:val="clear" w:fill="auto"/>
          <w:lang w:val="en-US" w:eastAsia="zh-CN"/>
        </w:rPr>
      </w:pPr>
      <w:r>
        <w:rPr>
          <w:rFonts w:hint="eastAsia" w:ascii="Times New Roman" w:hAnsi="Times New Roman" w:cs="Times New Roman"/>
          <w:snapToGrid/>
          <w:color w:val="auto"/>
          <w:kern w:val="2"/>
          <w:sz w:val="28"/>
          <w:szCs w:val="44"/>
          <w:highlight w:val="none"/>
          <w:u w:val="none"/>
          <w:shd w:val="clear" w:fill="auto"/>
          <w:lang w:val="en-US" w:eastAsia="zh-CN"/>
        </w:rPr>
        <w:t>5</w:t>
      </w:r>
      <w:r>
        <w:rPr>
          <w:rFonts w:hint="default" w:ascii="Times New Roman" w:hAnsi="Times New Roman" w:cs="Times New Roman"/>
          <w:snapToGrid/>
          <w:color w:val="auto"/>
          <w:kern w:val="2"/>
          <w:sz w:val="28"/>
          <w:szCs w:val="44"/>
          <w:highlight w:val="none"/>
          <w:u w:val="none"/>
          <w:shd w:val="clear" w:fill="auto"/>
          <w:lang w:eastAsia="zh-CN"/>
        </w:rPr>
        <w:t xml:space="preserve"> </w:t>
      </w:r>
      <w:r>
        <w:rPr>
          <w:rFonts w:hint="eastAsia" w:ascii="Times New Roman" w:hAnsi="Times New Roman" w:cs="Times New Roman"/>
          <w:snapToGrid/>
          <w:color w:val="auto"/>
          <w:kern w:val="2"/>
          <w:sz w:val="28"/>
          <w:szCs w:val="44"/>
          <w:highlight w:val="none"/>
          <w:u w:val="none"/>
          <w:shd w:val="clear" w:fill="auto"/>
          <w:lang w:val="en-US" w:eastAsia="zh-CN"/>
        </w:rPr>
        <w:t>结  论</w:t>
      </w:r>
    </w:p>
    <w:p w14:paraId="73491932">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本研究以新孟河工程沿线水系</w:t>
      </w:r>
      <w:r>
        <w:rPr>
          <w:rFonts w:hint="eastAsia" w:eastAsia="宋体" w:cs="Times New Roman"/>
          <w:snapToGrid/>
          <w:color w:val="auto"/>
          <w:spacing w:val="0"/>
          <w:w w:val="100"/>
          <w:kern w:val="2"/>
          <w:position w:val="0"/>
          <w:sz w:val="21"/>
          <w:szCs w:val="21"/>
          <w:highlight w:val="none"/>
          <w:u w:val="none"/>
          <w:shd w:val="clear" w:fill="auto"/>
          <w:lang w:val="en-US" w:eastAsia="zh-CN"/>
        </w:rPr>
        <w:t>为对象</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，基于精细化构建的水量水质耦合模型</w:t>
      </w:r>
      <w:r>
        <w:rPr>
          <w:rFonts w:hint="eastAsia" w:eastAsia="宋体" w:cs="Times New Roman"/>
          <w:snapToGrid/>
          <w:color w:val="auto"/>
          <w:spacing w:val="0"/>
          <w:w w:val="100"/>
          <w:kern w:val="2"/>
          <w:position w:val="0"/>
          <w:sz w:val="21"/>
          <w:szCs w:val="21"/>
          <w:highlight w:val="none"/>
          <w:u w:val="none"/>
          <w:shd w:val="clear" w:fill="auto"/>
          <w:lang w:val="en-US" w:eastAsia="zh-CN"/>
        </w:rPr>
        <w:t>和改进能量功率法</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，分析了多闸泵联合调度下平原河网水动力重构、能量传递及水质响应特征。</w:t>
      </w:r>
      <w:r>
        <w:rPr>
          <w:rFonts w:hint="eastAsia" w:eastAsia="宋体" w:cs="Times New Roman"/>
          <w:snapToGrid/>
          <w:color w:val="auto"/>
          <w:spacing w:val="0"/>
          <w:w w:val="100"/>
          <w:kern w:val="2"/>
          <w:position w:val="0"/>
          <w:sz w:val="21"/>
          <w:szCs w:val="21"/>
          <w:highlight w:val="none"/>
          <w:u w:val="none"/>
          <w:shd w:val="clear" w:fill="auto"/>
          <w:lang w:val="en-US" w:eastAsia="zh-CN"/>
        </w:rPr>
        <w:t>主要结论如下：</w:t>
      </w:r>
    </w:p>
    <w:p w14:paraId="11A9E114">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eastAsia="宋体" w:cs="Times New Roman"/>
          <w:snapToGrid/>
          <w:color w:val="auto"/>
          <w:spacing w:val="0"/>
          <w:w w:val="100"/>
          <w:kern w:val="2"/>
          <w:position w:val="0"/>
          <w:sz w:val="21"/>
          <w:szCs w:val="21"/>
          <w:highlight w:val="none"/>
          <w:u w:val="none"/>
          <w:shd w:val="clear" w:fill="auto"/>
          <w:lang w:val="en-US" w:eastAsia="zh-CN"/>
        </w:rPr>
        <w:t>（1）</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新孟河引水可显著抬升新孟河沿线及滆湖周边河网水位，改变区域河网水量分配格局，增加北干河入滆湖及百渎口、漕桥河、殷村港等通道出湖入太湖水量，削弱太滆运河上游顶托倒流</w:t>
      </w:r>
      <w:r>
        <w:rPr>
          <w:rFonts w:hint="eastAsia" w:eastAsia="宋体" w:cs="Times New Roman"/>
          <w:snapToGrid/>
          <w:color w:val="auto"/>
          <w:spacing w:val="0"/>
          <w:w w:val="100"/>
          <w:kern w:val="2"/>
          <w:position w:val="0"/>
          <w:sz w:val="21"/>
          <w:szCs w:val="21"/>
          <w:highlight w:val="none"/>
          <w:u w:val="none"/>
          <w:shd w:val="clear" w:fill="auto"/>
          <w:lang w:val="en-US" w:eastAsia="zh-CN"/>
        </w:rPr>
        <w:t>，</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对改善太湖西北部湖区水动力条件具有积极作用。</w:t>
      </w:r>
    </w:p>
    <w:p w14:paraId="36AFC725">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eastAsia="宋体" w:cs="Times New Roman"/>
          <w:snapToGrid/>
          <w:color w:val="auto"/>
          <w:spacing w:val="0"/>
          <w:w w:val="100"/>
          <w:kern w:val="2"/>
          <w:position w:val="0"/>
          <w:sz w:val="21"/>
          <w:szCs w:val="21"/>
          <w:highlight w:val="none"/>
          <w:u w:val="none"/>
          <w:shd w:val="clear" w:fill="auto"/>
          <w:lang w:val="en-US" w:eastAsia="zh-CN"/>
        </w:rPr>
        <w:t>（2）新孟河引水对骨干河道和入太湖河道水质改善效果明显，联合武南河引水和新沟河北排后，部分河道水质可进一步改善。新孟河主干道中，奔牛枢纽总磷和氨氮浓度分别最大下降54.77%和81.62%，北干河分别下降35.96%和50.00%；入太湖通道中，百渎口总磷和氨氮浓度分别最大下降16.42%和36.54%，太滆运河分别最大下降24.86%和53.19%。武南河补水对近端河道水质改善显著，武南河立交氨氮浓度最大下降65%以上，但长沟河、湖塘河等城区内部河道水质改善幅度总体较小。</w:t>
      </w:r>
    </w:p>
    <w:p w14:paraId="47B5BDF7">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eastAsia="宋体" w:cs="Times New Roman"/>
          <w:snapToGrid/>
          <w:color w:val="auto"/>
          <w:spacing w:val="0"/>
          <w:w w:val="100"/>
          <w:kern w:val="2"/>
          <w:position w:val="0"/>
          <w:sz w:val="21"/>
          <w:szCs w:val="21"/>
          <w:highlight w:val="none"/>
          <w:u w:val="none"/>
          <w:shd w:val="clear" w:fill="auto"/>
          <w:lang w:val="en-US" w:eastAsia="zh-CN"/>
        </w:rPr>
      </w:pPr>
      <w:r>
        <w:rPr>
          <w:rFonts w:hint="eastAsia" w:eastAsia="宋体" w:cs="Times New Roman"/>
          <w:snapToGrid/>
          <w:color w:val="auto"/>
          <w:spacing w:val="0"/>
          <w:w w:val="100"/>
          <w:kern w:val="2"/>
          <w:position w:val="0"/>
          <w:sz w:val="21"/>
          <w:szCs w:val="21"/>
          <w:highlight w:val="none"/>
          <w:u w:val="none"/>
          <w:shd w:val="clear" w:fill="auto"/>
          <w:lang w:val="en-US" w:eastAsia="zh-CN"/>
        </w:rPr>
        <w:t>（3）</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新孟河引水联合调度</w:t>
      </w:r>
      <w:r>
        <w:rPr>
          <w:rFonts w:hint="eastAsia" w:eastAsia="宋体" w:cs="Times New Roman"/>
          <w:snapToGrid/>
          <w:color w:val="auto"/>
          <w:spacing w:val="0"/>
          <w:w w:val="100"/>
          <w:kern w:val="2"/>
          <w:position w:val="0"/>
          <w:sz w:val="21"/>
          <w:szCs w:val="21"/>
          <w:highlight w:val="none"/>
          <w:u w:val="none"/>
          <w:shd w:val="clear" w:fill="auto"/>
          <w:lang w:val="en-US" w:eastAsia="zh-CN"/>
        </w:rPr>
        <w:t>重构</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河网能量，增强了骨干通道水体交换和污染物输移能力</w:t>
      </w:r>
      <w:r>
        <w:rPr>
          <w:rFonts w:hint="eastAsia" w:eastAsia="宋体" w:cs="Times New Roman"/>
          <w:snapToGrid/>
          <w:color w:val="auto"/>
          <w:spacing w:val="0"/>
          <w:w w:val="100"/>
          <w:kern w:val="2"/>
          <w:position w:val="0"/>
          <w:sz w:val="21"/>
          <w:szCs w:val="21"/>
          <w:highlight w:val="none"/>
          <w:u w:val="none"/>
          <w:shd w:val="clear" w:fill="auto"/>
          <w:lang w:val="en-US" w:eastAsia="zh-CN"/>
        </w:rPr>
        <w:t>。北干河东断面功率通量由0.078MW增至最高0.188MW，最大增幅141.2%，是新增动力最集中、响应最显著的河段；漕桥河、殷村港功率通量分别最高增至0.063MW和0.044MW，表明滆湖南部出湖口门同步获得增能。相比之下，长沟河、湖塘河、永安河等城区内部河道功率通量整体仅维持在10</w:t>
      </w:r>
      <w:r>
        <w:rPr>
          <w:rFonts w:hint="eastAsia" w:eastAsia="宋体" w:cs="Times New Roman"/>
          <w:snapToGrid/>
          <w:color w:val="auto"/>
          <w:spacing w:val="0"/>
          <w:w w:val="100"/>
          <w:kern w:val="2"/>
          <w:position w:val="0"/>
          <w:sz w:val="21"/>
          <w:szCs w:val="21"/>
          <w:highlight w:val="none"/>
          <w:u w:val="none"/>
          <w:shd w:val="clear" w:fill="auto"/>
          <w:vertAlign w:val="superscript"/>
          <w:lang w:val="en-US" w:eastAsia="zh-CN"/>
        </w:rPr>
        <w:t>-3</w:t>
      </w:r>
      <w:r>
        <w:rPr>
          <w:rFonts w:hint="eastAsia" w:eastAsia="宋体" w:cs="Times New Roman"/>
          <w:snapToGrid/>
          <w:color w:val="auto"/>
          <w:spacing w:val="0"/>
          <w:w w:val="100"/>
          <w:kern w:val="2"/>
          <w:position w:val="0"/>
          <w:sz w:val="21"/>
          <w:szCs w:val="21"/>
          <w:highlight w:val="none"/>
          <w:u w:val="none"/>
          <w:shd w:val="clear" w:fill="auto"/>
          <w:lang w:val="en-US" w:eastAsia="zh-CN"/>
        </w:rPr>
        <w:t>~10</w:t>
      </w:r>
      <w:r>
        <w:rPr>
          <w:rFonts w:hint="eastAsia" w:eastAsia="宋体" w:cs="Times New Roman"/>
          <w:snapToGrid/>
          <w:color w:val="auto"/>
          <w:spacing w:val="0"/>
          <w:w w:val="100"/>
          <w:kern w:val="2"/>
          <w:position w:val="0"/>
          <w:sz w:val="21"/>
          <w:szCs w:val="21"/>
          <w:highlight w:val="none"/>
          <w:u w:val="none"/>
          <w:shd w:val="clear" w:fill="auto"/>
          <w:vertAlign w:val="superscript"/>
          <w:lang w:val="en-US" w:eastAsia="zh-CN"/>
        </w:rPr>
        <w:t>-2</w:t>
      </w:r>
      <w:r>
        <w:rPr>
          <w:rFonts w:hint="eastAsia" w:eastAsia="宋体" w:cs="Times New Roman"/>
          <w:snapToGrid/>
          <w:color w:val="auto"/>
          <w:spacing w:val="0"/>
          <w:w w:val="100"/>
          <w:kern w:val="2"/>
          <w:position w:val="0"/>
          <w:sz w:val="21"/>
          <w:szCs w:val="21"/>
          <w:highlight w:val="none"/>
          <w:u w:val="none"/>
          <w:shd w:val="clear" w:fill="auto"/>
          <w:lang w:val="en-US" w:eastAsia="zh-CN"/>
        </w:rPr>
        <w:t>MW量级，明显低于骨干通道和出湖口门，以武南河立交为输入端计算，新增功率向城区内部河道的传递系数仅为6.8%~8.6%，说明新增动力向城区内部复杂河网传递存在明显衰减。</w:t>
      </w:r>
    </w:p>
    <w:p w14:paraId="76844BE3">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r>
        <w:rPr>
          <w:rFonts w:hint="eastAsia" w:eastAsia="宋体" w:cs="Times New Roman"/>
          <w:snapToGrid/>
          <w:color w:val="auto"/>
          <w:spacing w:val="0"/>
          <w:w w:val="100"/>
          <w:kern w:val="2"/>
          <w:position w:val="0"/>
          <w:sz w:val="21"/>
          <w:szCs w:val="21"/>
          <w:highlight w:val="none"/>
          <w:u w:val="none"/>
          <w:shd w:val="clear" w:fill="auto"/>
          <w:lang w:val="en-US" w:eastAsia="zh-CN"/>
        </w:rPr>
        <w:t>（4）新孟河工程具有明确的引清、活水和提质作用，但对城区内部弱动力河网的改善不明显，</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其主要原因在于这些河道距引水主通道较远，且内部引排工程协同不足，优质水源和新增动力均难以持续传递至</w:t>
      </w:r>
      <w:r>
        <w:rPr>
          <w:rFonts w:hint="eastAsia" w:eastAsia="宋体" w:cs="Times New Roman"/>
          <w:snapToGrid/>
          <w:color w:val="auto"/>
          <w:spacing w:val="0"/>
          <w:w w:val="100"/>
          <w:kern w:val="2"/>
          <w:position w:val="0"/>
          <w:sz w:val="21"/>
          <w:szCs w:val="21"/>
          <w:highlight w:val="none"/>
          <w:u w:val="none"/>
          <w:shd w:val="clear" w:fill="auto"/>
          <w:lang w:val="en-US" w:eastAsia="zh-CN"/>
        </w:rPr>
        <w:t>复杂河网内部小河道</w:t>
      </w:r>
      <w:r>
        <w:rPr>
          <w:rFonts w:hint="default" w:ascii="Times New Roman" w:hAnsi="Times New Roman" w:eastAsia="宋体" w:cs="Times New Roman"/>
          <w:snapToGrid/>
          <w:color w:val="auto"/>
          <w:spacing w:val="0"/>
          <w:w w:val="100"/>
          <w:kern w:val="2"/>
          <w:position w:val="0"/>
          <w:sz w:val="21"/>
          <w:szCs w:val="21"/>
          <w:highlight w:val="none"/>
          <w:u w:val="none"/>
          <w:shd w:val="clear" w:fill="auto"/>
          <w:lang w:val="en-US" w:eastAsia="zh-CN"/>
        </w:rPr>
        <w:t>。</w:t>
      </w:r>
      <w:r>
        <w:rPr>
          <w:rFonts w:hint="eastAsia" w:eastAsia="宋体" w:cs="Times New Roman"/>
          <w:snapToGrid/>
          <w:color w:val="auto"/>
          <w:spacing w:val="0"/>
          <w:w w:val="100"/>
          <w:kern w:val="2"/>
          <w:position w:val="0"/>
          <w:sz w:val="21"/>
          <w:szCs w:val="21"/>
          <w:highlight w:val="none"/>
          <w:u w:val="none"/>
          <w:shd w:val="clear" w:fill="auto"/>
          <w:lang w:val="en-US" w:eastAsia="zh-CN"/>
        </w:rPr>
        <w:t>结果</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表明平原河网水质改善不仅取决于是否引入优质水源，更取决于新增能量能否沿合理路径持续传递至弱</w:t>
      </w:r>
      <w:r>
        <w:rPr>
          <w:rFonts w:hint="eastAsia" w:eastAsia="宋体" w:cs="Times New Roman"/>
          <w:snapToGrid/>
          <w:color w:val="auto"/>
          <w:spacing w:val="0"/>
          <w:w w:val="100"/>
          <w:kern w:val="2"/>
          <w:position w:val="0"/>
          <w:sz w:val="21"/>
          <w:szCs w:val="21"/>
          <w:highlight w:val="none"/>
          <w:u w:val="none"/>
          <w:shd w:val="clear" w:fill="auto"/>
          <w:lang w:val="en-US" w:eastAsia="zh-CN"/>
        </w:rPr>
        <w:t>能量</w:t>
      </w:r>
      <w:r>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t>区。</w:t>
      </w:r>
    </w:p>
    <w:p w14:paraId="19B22FEB">
      <w:pPr>
        <w:pStyle w:val="4"/>
        <w:keepNext w:val="0"/>
        <w:keepLines w:val="0"/>
        <w:pageBreakBefore w:val="0"/>
        <w:widowControl/>
        <w:tabs>
          <w:tab w:val="left" w:pos="8530"/>
        </w:tabs>
        <w:kinsoku w:val="0"/>
        <w:wordWrap/>
        <w:overflowPunct/>
        <w:topLinePunct w:val="0"/>
        <w:autoSpaceDE w:val="0"/>
        <w:autoSpaceDN w:val="0"/>
        <w:bidi w:val="0"/>
        <w:adjustRightInd/>
        <w:snapToGrid/>
        <w:spacing w:line="240" w:lineRule="auto"/>
        <w:ind w:left="0" w:leftChars="0" w:right="0" w:rightChars="0" w:firstLine="420" w:firstLineChars="200"/>
        <w:jc w:val="both"/>
        <w:textAlignment w:val="baseline"/>
        <w:rPr>
          <w:rFonts w:hint="eastAsia" w:ascii="Times New Roman" w:hAnsi="Times New Roman" w:eastAsia="宋体" w:cs="Times New Roman"/>
          <w:snapToGrid/>
          <w:color w:val="auto"/>
          <w:spacing w:val="0"/>
          <w:w w:val="100"/>
          <w:kern w:val="2"/>
          <w:position w:val="0"/>
          <w:sz w:val="21"/>
          <w:szCs w:val="21"/>
          <w:highlight w:val="none"/>
          <w:u w:val="none"/>
          <w:shd w:val="clear" w:fill="auto"/>
          <w:lang w:val="en-US" w:eastAsia="zh-CN"/>
        </w:rPr>
      </w:pPr>
    </w:p>
    <w:p w14:paraId="1431A9A3">
      <w:pPr>
        <w:spacing w:beforeLines="0" w:afterLines="0"/>
        <w:jc w:val="left"/>
        <w:rPr>
          <w:rFonts w:hint="default" w:ascii="Times New Roman" w:hAnsi="Times New Roman" w:eastAsia="黑体" w:cs="Times New Roman"/>
          <w:b/>
          <w:bCs/>
          <w:snapToGrid/>
          <w:color w:val="auto"/>
          <w:spacing w:val="0"/>
          <w:w w:val="100"/>
          <w:kern w:val="2"/>
          <w:position w:val="0"/>
          <w:sz w:val="24"/>
          <w:szCs w:val="24"/>
          <w:highlight w:val="none"/>
          <w:u w:val="none"/>
          <w:shd w:val="clear" w:fill="auto"/>
        </w:rPr>
      </w:pPr>
      <w:r>
        <w:rPr>
          <w:rFonts w:hint="default" w:ascii="Times New Roman" w:hAnsi="Times New Roman" w:eastAsia="黑体" w:cs="Times New Roman"/>
          <w:b/>
          <w:bCs/>
          <w:snapToGrid/>
          <w:color w:val="auto"/>
          <w:spacing w:val="0"/>
          <w:w w:val="100"/>
          <w:kern w:val="2"/>
          <w:position w:val="0"/>
          <w:sz w:val="24"/>
          <w:szCs w:val="24"/>
          <w:highlight w:val="none"/>
          <w:u w:val="none"/>
          <w:shd w:val="clear" w:fill="auto"/>
        </w:rPr>
        <w:t>参考文献：</w:t>
      </w:r>
    </w:p>
    <w:p w14:paraId="4074DF6C">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[1] ZHANG H H, LIU S G, YE J C, et al. Model simulations of potential contribution of the proposed Huangpu Gate to flood control in the Lake Taihu basin of China[J]. Hydrology and Earth System Sciences, 2017, 21(10): 5339-5355. </w:t>
      </w:r>
    </w:p>
    <w:p w14:paraId="547CE178">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[2] 袁赛瑜, 陈逸鸿, 罗霄, 等. 知识数据双驱动的感潮河网水动力智能模拟方法[J]. 水科学进展, 2025(1): 28-38.</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YUAN S Y, CHEN Y H, LUO X, et al. Knowledge-and data-driven intelligent simulation method for tidal river network hydrodynamics[J]. Advances in Water Science, 2025(1): 28-38. </w:t>
      </w:r>
    </w:p>
    <w:p w14:paraId="39AA783B">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[3] TSAI C W. Flood routing in mild-sloped rivers: Wave characteristics and downstream backwater effect[J]. Journal of Hydrology, 2005, 308(1/2/3/4): 151-167. </w:t>
      </w:r>
    </w:p>
    <w:p w14:paraId="79F8740B">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[4] VAN DE VIJSEL R C, SCHEFFER M, HOITINK A J F. Tipping points in river deltas[J]. Nature Reviews Earth &amp; Environment, 2024, 5(12): 843-858. </w:t>
      </w:r>
    </w:p>
    <w:p w14:paraId="565DD42B">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[5] JIANG C Y, CONSTANTINESCU G. Effects of bed discordance on flow, turbulence, and mixing at an idealized asymmetrical confluence between two shallow streams[J]. Physical Review Fluids, 2026, 11(5): 053801. </w:t>
      </w:r>
    </w:p>
    <w:p w14:paraId="0115C4C8">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[6] TANG H W, YUAN S Y, CAO H. Theory and practice of hydrodynamic reconstruction in plain river networks[J]. Engineering, 2023, 24: 202-211. </w:t>
      </w:r>
    </w:p>
    <w:p w14:paraId="35F71023">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[7] 王添, 侯精明, 栾广学, 等. 平原河网水动力优化调度与水环境改善的响应关系研究[J]. 水力发电学报, 2024, 43(8): 98-111.</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WANG T, HOU J M, LUAN G X, et al. Study on response relationship between hydrodynamic optimization scheduling and water environment improvement in plain river networks[J]. Journal of Hydroelectric Engineering, 2024, 43(8): 98-111. </w:t>
      </w:r>
    </w:p>
    <w:p w14:paraId="7C14DE6F">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[8] 闫毓, 袁赛瑜, 唐洪武, 等. 上海蕰南水利控制片河网水动力再造[J]. 河海大学学报(自然科学版), 2021, 49(4): 329-334.</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YAN Y, YUAN S Y, TANG H W, et al. Hydrodynamic reconstruction of Wennan river network in Shanghai City[J]. Journal of Hohai University (Natural Sciences), 2021, 49(4): 329-334. </w:t>
      </w:r>
    </w:p>
    <w:p w14:paraId="49B3135E">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[9] GAO H J, WANG Q, ZHOU Z, et al. Optimizing hydrodynamic regulation in coastal plain river networks in Eastern China: A MIKE11-based partitioned water allocation framework for flood control and water quality enhancement[J]. Water, 2025, 17(12): 1829. </w:t>
      </w:r>
    </w:p>
    <w:p w14:paraId="66EBD467">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[10] 龚李莉, 蔡梅, 王元元, 等. 新沟河工程应急调水效果评估[J]. 水资源保护, 2023, 39(1): 166-173.</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GONG L L, CAI M, WANG Y Y, et al. Evaluation of emergency water diversion effect of Xingou River Project[J]. Water Resources Protection, 2023, 39(1): 166-173. </w:t>
      </w:r>
    </w:p>
    <w:p w14:paraId="69D23447">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[11] ZHONG L J, LI M. Tidal energy fluxes and dissipation in the Chesapeake Bay[J]. Continental Shelf Research, 2006, 26(6): 752-770. </w:t>
      </w:r>
    </w:p>
    <w:p w14:paraId="1D0AF94F">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[12] MACCREADY P, BANAS N S, HICKEY B M, et al. A model study of tide- and wind-induced mixing in the Columbia River Estuary and plume[J]. Continental Shelf Research, 2009, 29(1): 278-291. </w:t>
      </w:r>
    </w:p>
    <w:p w14:paraId="1902D5D9">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[13] 刘欢, 吴超羽, 包芸. 珠江河口的能量传播和能量耗散[J]. 热带海洋学报, 2011, 30(3): 16-23.</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LIU H, WU C Y, BAO Y. Energy flux and dissipation in the Pearl River Estuary[J]. Journal of Tropical Oceanography, 2011, 30(3): 16-23. </w:t>
      </w:r>
    </w:p>
    <w:p w14:paraId="29C71CF0">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[14] 田雪琪, 王华, 曾一川, 等. 水量调度对平原河网能量影响分析[J]. 水资源与水工程学报, 2024, 35(2): 83-90.</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TIAN X Q, WANG H, ZENG Y C, et al. Influence of anthropogenic water diversion on river energy in plain river network[J]. Journal of Water Resources and Water Engineering, 2024, 35(2): 83-90. </w:t>
      </w:r>
    </w:p>
    <w:p w14:paraId="7A896314">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[15] YUAN S Y, LIN J W, TANG H W. Energy flow rate equation for river networks[J]. Water Science and Engineering, 2025, 18(2): 221-224. </w:t>
      </w:r>
    </w:p>
    <w:p w14:paraId="57B52A48">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[16] PENG S L, WU P, WANG Z L, et al. Assessing the impact of water diversion on hydrodynamics and water quality in the upper Taihu Basin, China[J]. Hydrological Processes, 2025, 39(10): e70289. </w:t>
      </w:r>
    </w:p>
    <w:p w14:paraId="2CF8DDBB">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[17] PENG S L, WU P, LU Y J, et al. Influence of river structure and hydrodynamics on water quality in the upper Taihu Basin, China[J]. Journal of Cleaner Production, 2024, 453: 142262. </w:t>
      </w:r>
    </w:p>
    <w:p w14:paraId="792FA59C">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default"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[18] </w:t>
      </w:r>
      <w:r>
        <w:rPr>
          <w:rFonts w:hint="eastAsia" w:eastAsia="宋体"/>
          <w:snapToGrid/>
          <w:color w:val="auto"/>
          <w:kern w:val="2"/>
          <w:sz w:val="15"/>
          <w:szCs w:val="15"/>
          <w:highlight w:val="none"/>
          <w:u w:val="none"/>
          <w:shd w:val="clear" w:fill="auto"/>
          <w:lang w:eastAsia="zh-CN"/>
        </w:rPr>
        <w:t>SHEN Y X, ZHOU Q, JIANG C B. A dynamic bidirectional coupling model for watershed water environment simulation based on the multi-grid technique[J]. Science of the Total Environment, 2022, 843: 156760.</w:t>
      </w:r>
    </w:p>
    <w:p w14:paraId="38972B22">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[19] 许晨, 万荣荣, 马倩, 等. 太湖西北部湖区入湖河流氮磷水质标准修正方案研究[J]. 长江流域资源与环境, 2017, 26(8): 1180-1188.</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XU C, WAN R R, MA Q, et al. The research in the revised plan of water quality standard of the nitrogen and phosphorus for the inflow rivers in the northwest of the Taihu lake[J]. Resources and Environment in the Yangtze Basin, 2017, 26(8): 1180-1188. </w:t>
      </w:r>
    </w:p>
    <w:p w14:paraId="312ABDD7">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[20] 苏鹏鹏, 闫振华, 黄睿, 等. 调水新格局下太湖水生态功能提升研究[J]. 环境保护前沿, 2025(2): 157-166.</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SU P P, YAN Z H, HUANG R, et al. Aquatic ecological function improvement of Taihu Lake based on new water diversion scenario[J]. Advances in Environmental Protection, 2025(2): 157-166. </w:t>
      </w:r>
    </w:p>
    <w:p w14:paraId="084F2F53">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[21] WU Y F, WU P, LU Y, et al. The impact of water diversion projects on total phosphorus content in large shallow lake bays: A case study of the Xinmeng River Project in the Taihu Lake basin, China[J]. Journal of Water Resources Planning and Management, 2025, 151(5): 05025005. </w:t>
      </w:r>
    </w:p>
    <w:p w14:paraId="046BFDC3">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[22] 朱伟, 薛宗璞, 刘环, 等. 引水工程出水路线的优化对太湖总磷格局的影响: 基于新孟河工程的思考[J]. 湖泊科学, 2022, 34(4): 1175-1185.</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ZHU W, XUE Z P, LIU H, et al. Effects of outlet paths on total phosphorus in Lake Taihu: Optimization analysis of Xin-Meng River’s outlet path[J]. Journal of Lake Sciences, 2022, 34(4): 1175-1185. </w:t>
      </w:r>
    </w:p>
    <w:p w14:paraId="4295BA26">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[23] 尹海龙, 林夷媛, 赵东华, 等. 基于数字栅格的河网小流域水质数学模型构建与应用[J]. 同济大学学报(自然科学版), 2021, 49(6): 891-899.</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YIN H L, LIN Y Y, ZHAO D H, et al. Development and application of water quality mathematical model for small watershed in river network region based on DEM raster[J]. Journal of Tongji University (Natural Science), 2021, 49(6): 891-899. </w:t>
      </w:r>
    </w:p>
    <w:p w14:paraId="67A91576">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[24] 朱伟, 程林, 薛宗璞, 等. 太湖水体交换周期变化(1986</w:t>
      </w:r>
      <w:r>
        <w:rPr>
          <w:rFonts w:hint="eastAsia" w:hAnsi="Times New Roman" w:eastAsia="宋体" w:cs="Times New Roman"/>
          <w:snapToGrid/>
          <w:color w:val="auto"/>
          <w:spacing w:val="0"/>
          <w:w w:val="100"/>
          <w:kern w:val="2"/>
          <w:position w:val="0"/>
          <w:sz w:val="15"/>
          <w:szCs w:val="15"/>
          <w:highlight w:val="none"/>
          <w:u w:val="none"/>
          <w:shd w:val="clear" w:fill="auto"/>
          <w:lang w:val="en-US" w:eastAsia="zh-CN"/>
        </w:rPr>
        <w:t>—</w:t>
      </w:r>
      <w:r>
        <w:rPr>
          <w:rFonts w:hint="eastAsia" w:eastAsia="宋体" w:cs="Times New Roman"/>
          <w:snapToGrid/>
          <w:color w:val="auto"/>
          <w:spacing w:val="0"/>
          <w:w w:val="100"/>
          <w:kern w:val="2"/>
          <w:position w:val="0"/>
          <w:sz w:val="15"/>
          <w:szCs w:val="15"/>
          <w:highlight w:val="none"/>
          <w:u w:val="none"/>
          <w:shd w:val="clear" w:fill="auto"/>
          <w:lang w:val="en-US" w:eastAsia="zh-CN"/>
        </w:rPr>
        <w:t>2018年)及对水质空间格局的影响[J]. 湖泊科学, 2021, 33(4): 1087-1099.</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ZHU W, CHENG L, XUE Z P, et al. Changes of water exchange cycle in Lake Taihu(1986-2018)and its effect on the spatial pattern of water quality[J]. Journal of Lake Sciences, 2021, 33(4): 1087-1099. </w:t>
      </w:r>
    </w:p>
    <w:p w14:paraId="447B9E59">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[25] 胡开明, 逄勇, 谢飞, 等. 直湖港、武进港关闸对太湖竺山湖水环境影响[J]. 湖泊科学, 2010, 22(6): 923-929.</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HU K M, PANG Y, XIE F, et al. Effects of Zhihugang and Wujingang closing sluices on water environment of Lake Zhushan, Lake Taihu[J]. Journal of Lake Sciences, 2010, 22(6): 923-929. </w:t>
      </w:r>
    </w:p>
    <w:p w14:paraId="760D4F9D">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[26] 吴娟, 林荷娟, 季海萍, 等. 城镇化背景下太湖流域湖西区汛期入湖水量计算[J]. 水科学进展, 2021, 32(4): 577-586.</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WU J, LIN H J, JI H P, et al. Calculation of water quantity entering the Taihu Lake from the Huxi sub-basin during flood season under the background of urbanization[J]. Advances in Water Science, 2021, 32(4): 577-586. </w:t>
      </w:r>
    </w:p>
    <w:p w14:paraId="107DE24E">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[27] 蔡梅, 李琛, 李勇涛, 等. 江河湖连通的太湖上游河网水流运动规律探索[J]. 中国农村水利水电, 2020(12): 127-133.</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CAI M, LI C, LI Y T, et al. Discussion on the water movement law in the upper Taihu Lake network[J]. China Rural Water and Hydropower, 2020(12): 127-133. </w:t>
      </w:r>
    </w:p>
    <w:p w14:paraId="626AF23E">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[28] WANG H, SHEN Z L, ZENG Y C, et al. Connection between anthropogenic water diversion and hydrodynamic condition in plain river network[J]. Water, 2021, 13(24): 3596. </w:t>
      </w:r>
    </w:p>
    <w:p w14:paraId="00F4F067">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[29] 曹翔, 伍永年, 刘慧, 等. 基于浅水方程的河网水动力数值模拟方法综述[J]. 水利水电技术(中英文), 2026: 1-15.</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CAO X, WU Y N, LIU H, et al. Review of numerical simulation methods for river network hydrodynamics based on shallow water equations[J]. Water Resources and Hydropower Engineering, 2026: 1-15.</w:t>
      </w:r>
    </w:p>
    <w:p w14:paraId="5F79FB78">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[30] LAN Y, XU C D, DING L Y, et al. Construction and comparative analysis of a water quality simulation and prediction model for plain river networks[J]. Water, 2025, 17(20): 2948.</w:t>
      </w:r>
    </w:p>
    <w:p w14:paraId="674DD6AB">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ascii="Times New Roman" w:hAnsi="Times New Roman"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[31] 徐天奕, 何爽. 太湖流域超标洪水应急调度效益评估[J]. 人民长江, 2024, 55(4): 64-71.</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XU T Y, HE S. Benefit evaluation of emergency dispatching for over-standard flood in Taihu Lake Basin[J]. Yangtze River, 2024, 55(4): 64-71. </w:t>
      </w:r>
    </w:p>
    <w:p w14:paraId="3E3F28F7">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[32] 刘克强, 何爽, 徐天奕. 高度城镇化背景下太湖流域防洪治理格局优化研究[J]. 人民长江, 2025, 56(3): 39-47.</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 xml:space="preserve">LIU K Q, HE S, XU T Y. Study on coordination and optimization of flood control and management patterns in Taihu Basin under high-level urbanization[J]. Yangtze River, 2025, 56(3): 39-47. </w:t>
      </w:r>
    </w:p>
    <w:p w14:paraId="1CD41135">
      <w:pPr>
        <w:pStyle w:val="4"/>
        <w:keepNext w:val="0"/>
        <w:keepLines w:val="0"/>
        <w:pageBreakBefore w:val="0"/>
        <w:widowControl/>
        <w:tabs>
          <w:tab w:val="left" w:pos="8530"/>
        </w:tabs>
        <w:kinsoku w:val="0"/>
        <w:wordWrap/>
        <w:overflowPunct/>
        <w:topLinePunct w:val="0"/>
        <w:autoSpaceDE w:val="0"/>
        <w:autoSpaceDN w:val="0"/>
        <w:bidi w:val="0"/>
        <w:adjustRightInd/>
        <w:snapToGrid/>
        <w:spacing w:beforeLines="0" w:afterLines="0" w:line="240" w:lineRule="auto"/>
        <w:ind w:left="225" w:leftChars="0" w:right="0" w:rightChars="0" w:hanging="225" w:hangingChars="150"/>
        <w:jc w:val="both"/>
        <w:textAlignment w:val="baseline"/>
        <w:rPr>
          <w:rFonts w:hint="eastAsia"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[33] 许睿亭, 姜翠玲, 孙磊, 等. 基于深度学习的环太湖河流气象水质协同预测模型研究[J]. 水利水电技术(中英文), 2025, 56(7): 228-238.</w:t>
      </w:r>
      <w:r>
        <w:rPr>
          <w:rFonts w:hint="eastAsia" w:eastAsia="宋体" w:cs="Times New Roman"/>
          <w:i w:val="0"/>
          <w:snapToGrid/>
          <w:color w:val="auto"/>
          <w:spacing w:val="0"/>
          <w:w w:val="100"/>
          <w:kern w:val="2"/>
          <w:position w:val="0"/>
          <w:sz w:val="15"/>
          <w:szCs w:val="15"/>
          <w:highlight w:val="none"/>
          <w:u w:val="none"/>
          <w:shd w:val="clear" w:fill="auto"/>
          <w:lang w:val="en-US" w:eastAsia="zh-CN"/>
        </w:rPr>
        <w:br w:type="textWrapping"/>
      </w:r>
      <w:r>
        <w:rPr>
          <w:rFonts w:hint="eastAsia" w:eastAsia="宋体" w:cs="Times New Roman"/>
          <w:snapToGrid/>
          <w:color w:val="auto"/>
          <w:spacing w:val="0"/>
          <w:w w:val="100"/>
          <w:kern w:val="2"/>
          <w:position w:val="0"/>
          <w:sz w:val="15"/>
          <w:szCs w:val="15"/>
          <w:highlight w:val="none"/>
          <w:u w:val="none"/>
          <w:shd w:val="clear" w:fill="auto"/>
          <w:lang w:val="en-US" w:eastAsia="zh-CN"/>
        </w:rPr>
        <w:t>XU R T, JIANG C L, SUN L, et al. Research on a meteorological-water quality collaborative prediction model for rivers around Taihu Lake based on deep learning[J]. Water Resources and Hydropower Engineering, 2025, 56(7): 228-238.</w:t>
      </w:r>
    </w:p>
    <w:p w14:paraId="68339704">
      <w:pPr>
        <w:pStyle w:val="4"/>
        <w:tabs>
          <w:tab w:val="left" w:pos="8530"/>
        </w:tabs>
        <w:autoSpaceDE/>
        <w:autoSpaceDN/>
        <w:adjustRightInd/>
        <w:snapToGrid/>
        <w:ind w:left="252" w:leftChars="120" w:firstLine="0" w:firstLineChars="0"/>
        <w:jc w:val="both"/>
        <w:rPr>
          <w:rFonts w:hint="default" w:eastAsia="宋体" w:cs="Times New Roman"/>
          <w:snapToGrid/>
          <w:color w:val="auto"/>
          <w:spacing w:val="0"/>
          <w:w w:val="100"/>
          <w:kern w:val="2"/>
          <w:position w:val="0"/>
          <w:sz w:val="15"/>
          <w:szCs w:val="15"/>
          <w:highlight w:val="none"/>
          <w:u w:val="none"/>
          <w:shd w:val="clear" w:fill="auto"/>
          <w:lang w:val="en-US" w:eastAsia="zh-CN"/>
        </w:rPr>
      </w:pPr>
      <w:r>
        <w:rPr>
          <w:rFonts w:hint="eastAsia" w:eastAsia="宋体" w:cs="Times New Roman"/>
          <w:snapToGrid/>
          <w:color w:val="auto"/>
          <w:spacing w:val="0"/>
          <w:w w:val="100"/>
          <w:kern w:val="2"/>
          <w:position w:val="0"/>
          <w:sz w:val="15"/>
          <w:szCs w:val="15"/>
          <w:highlight w:val="none"/>
          <w:u w:val="none"/>
          <w:shd w:val="clear" w:fill="auto"/>
          <w:lang w:val="en-US" w:eastAsia="zh-CN"/>
        </w:rPr>
        <w:t>（责任编辑 王璐）</w:t>
      </w:r>
    </w:p>
    <w:sectPr>
      <w:footerReference r:id="rId7" w:type="first"/>
      <w:headerReference r:id="rId5" w:type="default"/>
      <w:footerReference r:id="rId6" w:type="default"/>
      <w:pgSz w:w="11906" w:h="16839"/>
      <w:pgMar w:top="1440" w:right="1800" w:bottom="1440" w:left="1800" w:header="850" w:footer="992" w:gutter="0"/>
      <w:pgNumType w:fmt="decimal"/>
      <w:cols w:space="0" w:num="1"/>
      <w:titlePg/>
      <w:rtlGutter w:val="0"/>
      <w:docGrid w:type="lines" w:linePitch="31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2FF" w:usb1="420024FF" w:usb2="00000000" w:usb3="00000000" w:csb0="2000019F" w:csb1="0000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3DE6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02925">
                          <w:pPr>
                            <w:pStyle w:val="5"/>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302925">
                    <w:pPr>
                      <w:pStyle w:val="5"/>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43009">
    <w:pPr>
      <w:pStyle w:val="5"/>
      <w:rPr>
        <w:rFonts w:hint="default"/>
      </w:rPr>
    </w:pPr>
    <w:r>
      <w:rPr>
        <w:rFonts w:hint="default"/>
      </w:rPr>
      <w:t xml:space="preserve">                                      </w:t>
    </w:r>
  </w:p>
  <w:p w14:paraId="3C7593F9">
    <w:pPr>
      <w:pStyle w:val="5"/>
      <w:rPr>
        <w:rFonts w:hint="default" w:eastAsia="宋体"/>
        <w:lang w:val="en-US" w:eastAsia="zh-CN"/>
      </w:rPr>
    </w:pPr>
    <w:r>
      <w:rPr>
        <w:rFonts w:hint="default"/>
      </w:rPr>
      <w:t>收稿日期：202</w:t>
    </w:r>
    <w:r>
      <w:rPr>
        <w:rFonts w:hint="default"/>
        <w:lang w:val="en-US" w:eastAsia="zh-CN"/>
      </w:rPr>
      <w:t>6</w:t>
    </w:r>
    <w:r>
      <w:rPr>
        <w:rFonts w:hint="default"/>
      </w:rPr>
      <w:t>-0</w:t>
    </w:r>
    <w:r>
      <w:rPr>
        <w:rFonts w:hint="default"/>
        <w:lang w:val="en-US" w:eastAsia="zh-CN"/>
      </w:rPr>
      <w:t>4</w:t>
    </w:r>
    <w:r>
      <w:rPr>
        <w:rFonts w:hint="default"/>
      </w:rPr>
      <w:t>-</w:t>
    </w:r>
    <w:r>
      <w:rPr>
        <w:rFonts w:hint="eastAsia"/>
        <w:lang w:val="en-US" w:eastAsia="zh-CN"/>
      </w:rPr>
      <w:t>12</w:t>
    </w:r>
    <w:r>
      <w:rPr>
        <w:rFonts w:hint="default"/>
      </w:rPr>
      <w:t>；修回日期：202</w:t>
    </w:r>
    <w:r>
      <w:rPr>
        <w:rFonts w:hint="default"/>
        <w:lang w:val="en-US" w:eastAsia="zh-CN"/>
      </w:rPr>
      <w:t>6</w:t>
    </w:r>
    <w:r>
      <w:rPr>
        <w:rFonts w:hint="eastAsia" w:eastAsia="宋体"/>
        <w:lang w:val="en-US" w:eastAsia="zh-CN"/>
      </w:rPr>
      <w:t>-05-26</w:t>
    </w:r>
    <w:r>
      <w:rPr>
        <w:rFonts w:hint="default"/>
      </w:rPr>
      <w:t>；录用日期：202</w:t>
    </w:r>
    <w:r>
      <w:rPr>
        <w:rFonts w:hint="default"/>
        <w:lang w:val="en-US" w:eastAsia="zh-CN"/>
      </w:rPr>
      <w:t>6</w:t>
    </w:r>
    <w:r>
      <w:rPr>
        <w:rFonts w:hint="default"/>
      </w:rPr>
      <w:t>-</w:t>
    </w:r>
    <w:r>
      <w:rPr>
        <w:rFonts w:hint="eastAsia"/>
        <w:lang w:val="en-US" w:eastAsia="zh-CN"/>
      </w:rPr>
      <w:t>06-03</w:t>
    </w:r>
    <w:r>
      <w:rPr>
        <w:rFonts w:hint="default"/>
      </w:rPr>
      <w:t>；网络出版日期：202</w:t>
    </w:r>
    <w:r>
      <w:rPr>
        <w:rFonts w:hint="default"/>
        <w:lang w:val="en-US" w:eastAsia="zh-CN"/>
      </w:rPr>
      <w:t>6</w:t>
    </w:r>
    <w:r>
      <w:rPr>
        <w:rFonts w:hint="default"/>
      </w:rPr>
      <w:t>-</w:t>
    </w:r>
    <w:r>
      <w:rPr>
        <w:rFonts w:hint="eastAsia" w:eastAsia="宋体"/>
        <w:lang w:val="en-US" w:eastAsia="zh-CN"/>
      </w:rPr>
      <w:t>07-27</w:t>
    </w:r>
  </w:p>
  <w:p w14:paraId="28734FE2">
    <w:pPr>
      <w:pStyle w:val="5"/>
      <w:rPr>
        <w:rFonts w:hint="eastAsia"/>
        <w:lang w:eastAsia="zh-CN"/>
      </w:rPr>
    </w:pPr>
    <w:r>
      <w:rPr>
        <w:rFonts w:hint="default"/>
      </w:rPr>
      <w:t>基金项目：国家自然科学基金长江水科学研究联合基金</w:t>
    </w:r>
    <w:r>
      <w:rPr>
        <w:rFonts w:hint="default"/>
        <w:lang w:val="en-US" w:eastAsia="zh-CN"/>
      </w:rPr>
      <w:t>项目</w:t>
    </w:r>
    <w:r>
      <w:rPr>
        <w:rFonts w:hint="default"/>
      </w:rPr>
      <w:t>（U2340221）；国家重点研发计划</w:t>
    </w:r>
    <w:r>
      <w:rPr>
        <w:rFonts w:hint="default"/>
        <w:lang w:val="en-US" w:eastAsia="zh-CN"/>
      </w:rPr>
      <w:t>项目</w:t>
    </w:r>
    <w:r>
      <w:rPr>
        <w:rFonts w:hint="eastAsia"/>
        <w:lang w:val="en-US" w:eastAsia="zh-CN"/>
      </w:rPr>
      <w:t>（</w:t>
    </w:r>
    <w:r>
      <w:rPr>
        <w:rFonts w:hint="default"/>
      </w:rPr>
      <w:t>2022YFC3202603</w:t>
    </w:r>
    <w:r>
      <w:rPr>
        <w:rFonts w:hint="eastAsia"/>
        <w:lang w:eastAsia="zh-CN"/>
      </w:rPr>
      <w:t>）</w:t>
    </w:r>
    <w:r>
      <w:rPr>
        <w:rFonts w:hint="default"/>
      </w:rPr>
      <w:t>；江苏省水利科技项目</w:t>
    </w:r>
    <w:r>
      <w:rPr>
        <w:rFonts w:hint="eastAsia"/>
        <w:lang w:eastAsia="zh-CN"/>
      </w:rPr>
      <w:t>（</w:t>
    </w:r>
    <w:r>
      <w:rPr>
        <w:rFonts w:hint="default"/>
      </w:rPr>
      <w:t>2023019</w:t>
    </w:r>
    <w:r>
      <w:rPr>
        <w:rFonts w:hint="eastAsia"/>
        <w:lang w:eastAsia="zh-CN"/>
      </w:rPr>
      <w:t>）</w:t>
    </w:r>
  </w:p>
  <w:p w14:paraId="405CA68C">
    <w:pPr>
      <w:pStyle w:val="5"/>
      <w:rPr>
        <w:rFonts w:hint="default"/>
      </w:rPr>
    </w:pPr>
    <w:r>
      <w:rPr>
        <w:rFonts w:hint="default"/>
      </w:rPr>
      <w:t>作者简介：江宸宇（1995—），男，工程师，博士，主要从事</w:t>
    </w:r>
    <w:r>
      <w:rPr>
        <w:rFonts w:hint="default"/>
        <w:lang w:val="en-US" w:eastAsia="zh-CN"/>
      </w:rPr>
      <w:t>平原河网水动力学与数学模型</w:t>
    </w:r>
    <w:r>
      <w:rPr>
        <w:rFonts w:hint="default"/>
      </w:rPr>
      <w:t>研究。</w:t>
    </w:r>
  </w:p>
  <w:p w14:paraId="767A20C6">
    <w:pPr>
      <w:pStyle w:val="5"/>
      <w:rPr>
        <w:rFonts w:hint="default"/>
        <w:lang w:val="en-US" w:eastAsia="zh-CN"/>
      </w:rPr>
    </w:pPr>
    <w:r>
      <w:rPr>
        <w:rFonts w:hint="default"/>
      </w:rPr>
      <w:t>E-mail：</w:t>
    </w:r>
    <w:r>
      <w:rPr>
        <w:rFonts w:hint="default"/>
        <w:lang w:val="en-US" w:eastAsia="zh-CN"/>
      </w:rPr>
      <w:t>wljiangcy@outlook.com</w:t>
    </w:r>
  </w:p>
  <w:p w14:paraId="59A692F7">
    <w:pPr>
      <w:pStyle w:val="5"/>
      <w:rPr>
        <w:rFonts w:hint="default"/>
        <w:lang w:val="en-US" w:eastAsia="zh-CN"/>
      </w:rPr>
    </w:pPr>
    <w:r>
      <w:rPr>
        <w:rFonts w:hint="default"/>
      </w:rPr>
      <w:t>通信作者：潘明祥（1986—），男，高级工程师，室主任，硕士，主要从事太湖流域水动力、水环境改善研究。E-mail：</w:t>
    </w:r>
    <w:r>
      <w:rPr>
        <w:rFonts w:hint="default"/>
        <w:lang w:val="en-US" w:eastAsia="zh-CN"/>
      </w:rPr>
      <w:t>381600427@qq.com</w:t>
    </w:r>
  </w:p>
  <w:p w14:paraId="673C0E41">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23850">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trackRevisions w:val="1"/>
  <w:documentProtection w:enforcement="0"/>
  <w:defaultTabStop w:val="501"/>
  <w:drawingGridHorizontalSpacing w:val="210"/>
  <w:drawingGridVerticalSpacing w:val="159"/>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NE.Ref{0AA97B8C-E798-46C1-A29C-3D654FF07361}" w:val=" ADDIN NE.Ref.{0AA97B8C-E798-46C1-A29C-3D654FF07361}&lt;Citation&gt;&lt;Group&gt;&lt;References&gt;&lt;Item&gt;&lt;ID&gt;593&lt;/ID&gt;&lt;UID&gt;{1D8F3274-4754-47FA-819B-79D65A562061}&lt;/UID&gt;&lt;Title&gt;Connection between Anthropogenic Water Diversion and Hydrodynamic Condition in Plain River Network&lt;/Title&gt;&lt;Template&gt;Journal Article&lt;/Template&gt;&lt;Star&gt;0&lt;/Star&gt;&lt;Tag&gt;0&lt;/Tag&gt;&lt;Author&gt;Wang, Hua; Shen, Zilin; Zeng, Yichuan; Yan, Huaiyu; Li, Yiping; Yuan, Weihao&lt;/Author&gt;&lt;Year&gt;2021&lt;/Year&gt;&lt;Details&gt;&lt;_created&gt;66479580&lt;/_created&gt;&lt;_modified&gt;66479580&lt;/_modified&gt;&lt;_accessed&gt;66479580&lt;/_accessed&gt;&lt;_url&gt;http://dx.doi.org/10.3390/w13243596&lt;/_url&gt;&lt;_journal&gt;Water&lt;/_journal&gt;&lt;_volume&gt;13&lt;/_volume&gt;&lt;_issue&gt;24&lt;/_issue&gt;&lt;_pages&gt;3596&lt;/_pages&gt;&lt;_doi&gt;10.3390/w13243596&lt;/_doi&gt;&lt;_isbn&gt;2073-4441&lt;/_isbn&gt;&lt;_language&gt;en&lt;/_language&gt;&lt;_db_updated&gt;NESearch&lt;/_db_updated&gt;&lt;_impact_factor&gt;   3.000&lt;/_impact_factor&gt;&lt;_social_category&gt;环境科学(4) &amp;amp; 水资源(4)&lt;/_social_category&gt;&lt;_collection_scope&gt;SCIE;EI&lt;/_collection_scope&gt;&lt;/Details&gt;&lt;Extra&gt;&lt;DBUID&gt;{4639BE48-E8DA-433D-936E-D6A27A715D41}&lt;/DBUID&gt;&lt;/Extra&gt;&lt;/Item&gt;&lt;/References&gt;&lt;/Group&gt;&lt;/Citation&gt;_x000a_"/>
    <w:docVar w:name="NE.Ref{0D54DD44-A2D6-40C7-8BB5-F4654E187442}" w:val=" ADDIN NE.Ref.{0D54DD44-A2D6-40C7-8BB5-F4654E187442}&lt;Citation&gt;&lt;Group&gt;&lt;References&gt;&lt;Item&gt;&lt;ID&gt;549&lt;/ID&gt;&lt;UID&gt;{9B7C4D98-FA44-4EB4-BC79-2E0AC34F016F}&lt;/UID&gt;&lt;Title&gt;新孟河延伸拓浚工程对长江水环境影响研究&lt;/Title&gt;&lt;Template&gt;Journal Article&lt;/Template&gt;&lt;Star&gt;0&lt;/Star&gt;&lt;Tag&gt;0&lt;/Tag&gt;&lt;Author&gt;桂青&lt;/Author&gt;&lt;Year&gt;2016&lt;/Year&gt;&lt;Details&gt;&lt;_accessed&gt;66396572&lt;/_accessed&gt;&lt;_collection_scope&gt;PKU&lt;/_collection_scope&gt;&lt;_created&gt;66396572&lt;/_created&gt;&lt;_db_provider&gt;WF&lt;/_db_provider&gt;&lt;_db_updated&gt;NESearch&lt;/_db_updated&gt;&lt;_doi&gt;10.16232/j.cnki.1001-4179.2016.19.004&lt;/_doi&gt;&lt;_isbn&gt;1001-4179&lt;/_isbn&gt;&lt;_issue&gt;19&lt;/_issue&gt;&lt;_journal&gt;人民长江&lt;/_journal&gt;&lt;_language&gt;cn&lt;/_language&gt;&lt;_modified&gt;66396572&lt;/_modified&gt;&lt;_pages&gt;20-25&lt;/_pages&gt;&lt;_translated_title&gt;Research on influence of Xinmeng River dredging and extending project on water environment of Yangtze River&lt;/_translated_title&gt;&lt;_url&gt;https://d.wanfangdata.com.cn/periodical/rmcj201619004&lt;/_url&gt;&lt;_volume&gt;47&lt;/_volume&gt;&lt;_translated_author&gt;Gui, Qing&lt;/_translated_author&gt;&lt;/Details&gt;&lt;Extra&gt;&lt;DBUID&gt;{4639BE48-E8DA-433D-936E-D6A27A715D41}&lt;/DBUID&gt;&lt;/Extra&gt;&lt;/Item&gt;&lt;/References&gt;&lt;/Group&gt;&lt;/Citation&gt;_x000a_"/>
    <w:docVar w:name="NE.Ref{196973DB-B057-4F2F-9AE7-DD61D29A7B99}" w:val=" ADDIN NE.Ref.{196973DB-B057-4F2F-9AE7-DD61D29A7B99}&lt;Citation&gt;&lt;Group&gt;&lt;References&gt;&lt;Item&gt;&lt;ID&gt;556&lt;/ID&gt;&lt;UID&gt;{2BD0EFA3-C6A6-4B5C-9D9A-4C0B81A72D3B}&lt;/UID&gt;&lt;Title&gt;调水新格局下太湖水生态功能提升研究&lt;/Title&gt;&lt;Template&gt;Journal Article&lt;/Template&gt;&lt;Star&gt;0&lt;/Star&gt;&lt;Tag&gt;0&lt;/Tag&gt;&lt;Author&gt;苏鹏鹏; 闫振华; 黄睿; 胡晓东&lt;/Author&gt;&lt;Year&gt;2025&lt;/Year&gt;&lt;Details&gt;&lt;_accessed&gt;66396646&lt;/_accessed&gt;&lt;_created&gt;66396646&lt;/_created&gt;&lt;_db_provider&gt;WF&lt;/_db_provider&gt;&lt;_db_updated&gt;NESearch&lt;/_db_updated&gt;&lt;_doi&gt;10.12677/aep.2025.152020&lt;/_doi&gt;&lt;_isbn&gt;2164-5485&lt;/_isbn&gt;&lt;_issue&gt;2&lt;/_issue&gt;&lt;_journal&gt;环境保护前沿&lt;/_journal&gt;&lt;_language&gt;cn&lt;/_language&gt;&lt;_modified&gt;66396646&lt;/_modified&gt;&lt;_pages&gt;157-166&lt;/_pages&gt;&lt;_tertiary_title&gt;Advances in Environmental Protection&lt;/_tertiary_title&gt;&lt;_translated_title&gt;Aquatic Ecological Function Improvement of Taihu Lake Based on New Water Diversion Scenario&lt;/_translated_title&gt;&lt;_url&gt;https://d.wanfangdata.com.cn/periodical/qk3_000032373415&lt;/_url&gt;&lt;_translated_author&gt;Su, Peng peng;Yan, Zhen hua;Huang, Rui;Hu, Xiao dong&lt;/_translated_author&gt;&lt;/Details&gt;&lt;Extra&gt;&lt;DBUID&gt;{4639BE48-E8DA-433D-936E-D6A27A715D41}&lt;/DBUID&gt;&lt;/Extra&gt;&lt;/Item&gt;&lt;/References&gt;&lt;/Group&gt;&lt;/Citation&gt;_x000a_"/>
    <w:docVar w:name="NE.Ref{1A56AF11-E5EC-4B1F-8837-29F2855A7FFA}" w:val=" ADDIN NE.Ref.{1A56AF11-E5EC-4B1F-8837-29F2855A7FFA}&lt;Citation&gt;&lt;Group&gt;&lt;References&gt;&lt;Item&gt;&lt;ID&gt;563&lt;/ID&gt;&lt;UID&gt;{8EE29BC3-9EB7-40F0-A3B3-75322412FEA8}&lt;/UID&gt;&lt;Title&gt;基于数字栅格的河网小流域水质数学模型构建与应用&lt;/Title&gt;&lt;Template&gt;Journal Article&lt;/Template&gt;&lt;Star&gt;0&lt;/Star&gt;&lt;Tag&gt;0&lt;/Tag&gt;&lt;Author&gt;尹海龙; 林夷媛; 赵东华; 石泽敏&lt;/Author&gt;&lt;Year&gt;2021&lt;/Year&gt;&lt;Details&gt;&lt;_accessed&gt;66409710&lt;/_accessed&gt;&lt;_created&gt;66409710&lt;/_created&gt;&lt;_db_provider&gt;CNKI&lt;/_db_provider&gt;&lt;_db_updated&gt;NESearch&lt;/_db_updated&gt;&lt;_isbn&gt;0253-374X&lt;/_isbn&gt;&lt;_issue&gt;06&lt;/_issue&gt;&lt;_journal&gt;同济大学学报(自然科学版)&lt;/_journal&gt;&lt;_language&gt;cn&lt;/_language&gt;&lt;_modified&gt;66409710&lt;/_modified&gt;&lt;_pages&gt;891-899&lt;/_pages&gt;&lt;_url&gt;https://kns.cnki.net/kcms2/article/abstract?v=tc18asgQl7TUStNFG8BbGBC18YVgJtl1xx21YFh4oa4e6uns2NqalmtWZzVCXxERwhFWXxvyo0Nki_SPFndSHCdLphR1nZeIlBAGtBcwkBxDX83uXin1cpEZm9ev5zh0aUaNGwzjpv-_NPQKdBBolw==&amp;amp;uniplatform=NZKPT&amp;amp;language=CHS&lt;/_url&gt;&lt;_volume&gt;49&lt;/_volume&gt;&lt;_translated_author&gt;Yin, Hai long;Lin, Yi yuan;Zhao, Dong hua;Shi, Ze min&lt;/_translated_author&gt;&lt;/Details&gt;&lt;Extra&gt;&lt;DBUID&gt;{4639BE48-E8DA-433D-936E-D6A27A715D41}&lt;/DBUID&gt;&lt;/Extra&gt;&lt;/Item&gt;&lt;/References&gt;&lt;/Group&gt;&lt;/Citation&gt;_x000a_"/>
    <w:docVar w:name="NE.Ref{1A7B2BA3-139A-4D85-8C60-839DECC3D3CC}" w:val=" ADDIN NE.Ref.{1A7B2BA3-139A-4D85-8C60-839DECC3D3CC}&lt;Citation&gt;&lt;Group&gt;&lt;References&gt;&lt;Item&gt;&lt;ID&gt;585&lt;/ID&gt;&lt;UID&gt;{0E5EC85E-378B-4258-AFC2-F5F8C7F5F5EC}&lt;/UID&gt;&lt;Title&gt;上海蕰南水利控制片河网水动力再造&lt;/Title&gt;&lt;Template&gt;Journal Article&lt;/Template&gt;&lt;Star&gt;0&lt;/Star&gt;&lt;Tag&gt;0&lt;/Tag&gt;&lt;Author&gt;闫毓; 袁赛瑜; 唐洪武; 吕升奇; 雷燕; 李瑜&lt;/Author&gt;&lt;Year&gt;2021&lt;/Year&gt;&lt;Details&gt;&lt;_accessed&gt;66473064&lt;/_accessed&gt;&lt;_created&gt;66473064&lt;/_created&gt;&lt;_db_provider&gt;WF&lt;/_db_provider&gt;&lt;_db_updated&gt;NESearch&lt;/_db_updated&gt;&lt;_doi&gt;10.3876/j.issn.1000-1980.2021.04.006&lt;/_doi&gt;&lt;_isbn&gt;1000-1980&lt;/_isbn&gt;&lt;_issue&gt;4&lt;/_issue&gt;&lt;_journal&gt;河海大学学报（自然科学版）&lt;/_journal&gt;&lt;_language&gt;cn&lt;/_language&gt;&lt;_modified&gt;66473064&lt;/_modified&gt;&lt;_pages&gt;329-334,365&lt;/_pages&gt;&lt;_tertiary_title&gt;Journal of Hohai University(Natural Sciences)&lt;/_tertiary_title&gt;&lt;_translated_title&gt;Hydrodynamic reconstruction of Wennan river network in Shanghai City&lt;/_translated_title&gt;&lt;_url&gt;https://d.wanfangdata.com.cn/periodical/hhdxxb202104006&lt;/_url&gt;&lt;_volume&gt;49&lt;/_volume&gt;&lt;_translated_author&gt;Yan, Yu;Yuan, Sai yu;Tang, Hong wu;Lu, Sheng qi;Lei, Yan;Li, Yu&lt;/_translated_author&gt;&lt;/Details&gt;&lt;Extra&gt;&lt;DBUID&gt;{4639BE48-E8DA-433D-936E-D6A27A715D41}&lt;/DBUID&gt;&lt;/Extra&gt;&lt;/Item&gt;&lt;/References&gt;&lt;/Group&gt;&lt;/Citation&gt;_x000a_"/>
    <w:docVar w:name="NE.Ref{1A9DCFAA-0AF4-40E8-B013-77268046AE16}" w:val=" ADDIN NE.Ref.{1A9DCFAA-0AF4-40E8-B013-77268046AE16}&lt;Citation&gt;&lt;Group&gt;&lt;References&gt;&lt;Item&gt;&lt;ID&gt;568&lt;/ID&gt;&lt;UID&gt;{666C05E9-309E-4D91-BEA3-21C912B62848}&lt;/UID&gt;&lt;Title&gt;珠江河口的能量传播和能量耗散&lt;/Title&gt;&lt;Template&gt;Journal Article&lt;/Template&gt;&lt;Star&gt;0&lt;/Star&gt;&lt;Tag&gt;0&lt;/Tag&gt;&lt;Author&gt;刘欢; 吴超羽; 包芸&lt;/Author&gt;&lt;Year&gt;2011&lt;/Year&gt;&lt;Details&gt;&lt;_accessed&gt;66413580&lt;/_accessed&gt;&lt;_collection_scope&gt;CSCD;PKU&lt;/_collection_scope&gt;&lt;_created&gt;66413580&lt;/_created&gt;&lt;_db_provider&gt;WF&lt;/_db_provider&gt;&lt;_db_updated&gt;NESearch&lt;/_db_updated&gt;&lt;_doi&gt;10.3969/j.issn.1009-5470.2011.03.003&lt;/_doi&gt;&lt;_isbn&gt;1009-5470&lt;/_isbn&gt;&lt;_issue&gt;3&lt;/_issue&gt;&lt;_journal&gt;热带海洋学报&lt;/_journal&gt;&lt;_language&gt;cn&lt;/_language&gt;&lt;_modified&gt;66413580&lt;/_modified&gt;&lt;_pages&gt;16-23&lt;/_pages&gt;&lt;_tertiary_title&gt;Journal of Tropical Oceanography&lt;/_tertiary_title&gt;&lt;_translated_title&gt;Energy flux and dissipation in the Pearl River Estuary&lt;/_translated_title&gt;&lt;_url&gt;https://d.wanfangdata.com.cn/periodical/rdhy201103003&lt;/_url&gt;&lt;_volume&gt;30&lt;/_volume&gt;&lt;_translated_author&gt;Liu, Huan;Wu, Chao yu;Bao, Yun&lt;/_translated_author&gt;&lt;/Details&gt;&lt;Extra&gt;&lt;DBUID&gt;{4639BE48-E8DA-433D-936E-D6A27A715D41}&lt;/DBUID&gt;&lt;/Extra&gt;&lt;/Item&gt;&lt;/References&gt;&lt;/Group&gt;&lt;/Citation&gt;_x000a_"/>
    <w:docVar w:name="NE.Ref{1D193C4D-6751-4383-9A5C-35CC20AB8E92}" w:val=" ADDIN NE.Ref.{1D193C4D-6751-4383-9A5C-35CC20AB8E92}&lt;Citation&gt;&lt;Group&gt;&lt;References&gt;&lt;Item&gt;&lt;ID&gt;590&lt;/ID&gt;&lt;UID&gt;{3C718794-C009-4CF7-AB5E-3A3B867E8BB6}&lt;/UID&gt;&lt;Title&gt;基于MIKE 21的圩区河网水动力调控方法研究&lt;/Title&gt;&lt;Template&gt;Journal Article&lt;/Template&gt;&lt;Star&gt;0&lt;/Star&gt;&lt;Tag&gt;0&lt;/Tag&gt;&lt;Author&gt;徐存东; 訾亚辉; 黄嵩; 赵志宏; 任子豪; 胡小萌; 王海若&lt;/Author&gt;&lt;Year&gt;2023&lt;/Year&gt;&lt;Details&gt;&lt;_accessed&gt;66477318&lt;/_accessed&gt;&lt;_author_adr&gt;华北水利水电大学水利学院;浙江省农村水利水电资源配置与调控关键技术重点实验室;河南省水工结构安全工程技术研究中心;&lt;/_author_adr&gt;&lt;_cited_count&gt;15&lt;/_cited_count&gt;&lt;_collection_scope&gt;PKU&lt;/_collection_scope&gt;&lt;_created&gt;66477314&lt;/_created&gt;&lt;_db_provider&gt;CNKI&lt;/_db_provider&gt;&lt;_db_updated&gt;CNKI - Reference&lt;/_db_updated&gt;&lt;_doi&gt;10.13928/j.cnki.wrahe.2023.07.014&lt;/_doi&gt;&lt;_isbn&gt;1000-0860&lt;/_isbn&gt;&lt;_issue&gt;07&lt;/_issue&gt;&lt;_journal&gt;水利水电技术(中英文)&lt;/_journal&gt;&lt;_keywords&gt;水动力模型;调控方案;圩区河网;流场分布&lt;/_keywords&gt;&lt;_modified&gt;66477318&lt;/_modified&gt;&lt;_pages&gt;161-170&lt;/_pages&gt;&lt;_url&gt;https://link.cnki.net/doi/10.13928/j.cnki.wrahe.2023.07.014&lt;/_url&gt;&lt;_volume&gt;54&lt;/_volume&gt;&lt;_translated_author&gt;Xu, Cun dong;Zi, Ya hui;Huang, Song;Zhao, Zhi hong;Ren, Zi hao;Hu, Xiao meng;Wang, Hai ruo&lt;/_translated_author&gt;&lt;/Details&gt;&lt;Extra&gt;&lt;DBUID&gt;{4639BE48-E8DA-433D-936E-D6A27A715D41}&lt;/DBUID&gt;&lt;/Extra&gt;&lt;/Item&gt;&lt;/References&gt;&lt;/Group&gt;&lt;Group&gt;&lt;References&gt;&lt;Item&gt;&lt;ID&gt;594&lt;/ID&gt;&lt;UID&gt;{8FC39149-D035-4C34-844E-1B904A1DB419}&lt;/UID&gt;&lt;Title&gt;Tipping points in river deltas&lt;/Title&gt;&lt;Template&gt;Journal Article&lt;/Template&gt;&lt;Star&gt;0&lt;/Star&gt;&lt;Tag&gt;0&lt;/Tag&gt;&lt;Author&gt;van de Vijsel, Roeland C; Scheffer, Marten; Hoitink, Antonius J F&lt;/Author&gt;&lt;Year&gt;2024&lt;/Year&gt;&lt;Details&gt;&lt;_accessed&gt;66479609&lt;/_accessed&gt;&lt;_created&gt;66479609&lt;/_created&gt;&lt;_modified&gt;66479609&lt;/_modified&gt;&lt;_url&gt;https://doi.org/10.1038/s43017-024-00610-5&lt;/_url&gt;&lt;_journal&gt;Nature Reviews Earth &amp;amp; Environment&lt;/_journal&gt;&lt;_volume&gt;5&lt;/_volume&gt;&lt;_issue&gt;12&lt;/_issue&gt;&lt;_pages&gt;843-858&lt;/_pages&gt;&lt;_doi&gt;10.1038/s43017-024-00610-5&lt;/_doi&gt;&lt;_isbn&gt;2662-138X&lt;/_isbn&gt;&lt;_language&gt;en&lt;/_language&gt;&lt;_db_updated&gt;NESearch&lt;/_db_updated&gt;&lt;_impact_factor&gt;  71.500&lt;/_impact_factor&gt;&lt;_social_category&gt;环境科学(1) &amp;amp; 地球科学：综合(1)&lt;/_social_category&gt;&lt;_collection_scope&gt;SCIE&lt;/_collection_scope&gt;&lt;/Details&gt;&lt;Extra&gt;&lt;DBUID&gt;{4639BE48-E8DA-433D-936E-D6A27A715D41}&lt;/DBUID&gt;&lt;/Extra&gt;&lt;/Item&gt;&lt;/References&gt;&lt;/Group&gt;&lt;Group&gt;&lt;References&gt;&lt;Item&gt;&lt;ID&gt;599&lt;/ID&gt;&lt;UID&gt;{F4D79B1A-5D0B-4C43-B931-838A8160531F}&lt;/UID&gt;&lt;Title&gt;Effects of bed discordance on flow, turbulence and mixing at an idealized asymmetrical confluence between two shallow streams&lt;/Title&gt;&lt;Template&gt;Journal Article&lt;/Template&gt;&lt;Star&gt;0&lt;/Star&gt;&lt;Tag&gt;0&lt;/Tag&gt;&lt;Author&gt;Jiang, Chenyu; Constantinescu, George&lt;/Author&gt;&lt;Year&gt;2026&lt;/Year&gt;&lt;Details&gt;&lt;_accessed&gt;66479661&lt;/_accessed&gt;&lt;_created&gt;66479661&lt;/_created&gt;&lt;_modified&gt;66479662&lt;/_modified&gt;&lt;_url&gt;https://doi.org/10.1103/lpm8-kht7&lt;/_url&gt;&lt;_journal&gt;Physical Review Fluids&lt;/_journal&gt;&lt;_doi&gt;10.1103/lpm8-kht7&lt;/_doi&gt;&lt;_isbn&gt;2469-990X&lt;/_isbn&gt;&lt;_language&gt;en&lt;/_language&gt;&lt;_db_updated&gt;NESearch&lt;/_db_updated&gt;&lt;_impact_factor&gt;   2.800&lt;/_impact_factor&gt;&lt;_social_category&gt;物理：流体与等离子体(2) &amp;amp; 力学(3)&lt;/_social_category&gt;&lt;_collection_scope&gt;SCIE;EI&lt;/_collection_scope&gt;&lt;/Details&gt;&lt;Extra&gt;&lt;DBUID&gt;{4639BE48-E8DA-433D-936E-D6A27A715D41}&lt;/DBUID&gt;&lt;/Extra&gt;&lt;/Item&gt;&lt;/References&gt;&lt;/Group&gt;&lt;/Citation&gt;_x000a_"/>
    <w:docVar w:name="NE.Ref{2C195F8A-0260-47F7-B324-FB81E7103F5D}" w:val=" ADDIN NE.Ref.{2C195F8A-0260-47F7-B324-FB81E7103F5D}&lt;Citation&gt;&lt;Group&gt;&lt;References&gt;&lt;Item&gt;&lt;ID&gt;592&lt;/ID&gt;&lt;UID&gt;{0C320F99-E59F-407E-B87B-E796BBAAEDD2}&lt;/UID&gt;&lt;Title&gt;江河湖连通的太湖上游河网水流运动规律探索&lt;/Title&gt;&lt;Template&gt;Journal Article&lt;/Template&gt;&lt;Star&gt;0&lt;/Star&gt;&lt;Tag&gt;0&lt;/Tag&gt;&lt;Author&gt;蔡梅; 李琛; 李勇涛; 刘增贤; 徐天奕&lt;/Author&gt;&lt;Year&gt;2020&lt;/Year&gt;&lt;Details&gt;&lt;_created&gt;66477326&lt;/_created&gt;&lt;_modified&gt;66477326&lt;/_modified&gt;&lt;_url&gt;https://d.wanfangdata.com.cn/periodical/zgncslsd202012024&lt;/_url&gt;&lt;_journal&gt;中国农村水利水电&lt;/_journal&gt;&lt;_issue&gt;12&lt;/_issue&gt;&lt;_pages&gt;127-133&lt;/_pages&gt;&lt;_tertiary_title&gt;China Rural Water and Hydropower&lt;/_tertiary_title&gt;&lt;_doi&gt;10.3969/j.issn.1007-2284.2020.12.024&lt;/_doi&gt;&lt;_isbn&gt;1007-2284&lt;/_isbn&gt;&lt;_translated_title&gt;Discussion on the Water Movement Law in the Upper Taihu Lake Network&lt;/_translated_title&gt;&lt;_db_provider&gt;WF&lt;/_db_provider&gt;&lt;_language&gt;cn&lt;/_language&gt;&lt;_accessed&gt;66477326&lt;/_accessed&gt;&lt;_db_updated&gt;NESearch&lt;/_db_updated&gt;&lt;_collection_scope&gt;PKU&lt;/_collection_scope&gt;&lt;_translated_author&gt;Cai, Mei;Li, Chen;Li, Yong tao;Liu, Zeng xian;Xu, Tian yi&lt;/_translated_author&gt;&lt;/Details&gt;&lt;Extra&gt;&lt;DBUID&gt;{4639BE48-E8DA-433D-936E-D6A27A715D41}&lt;/DBUID&gt;&lt;/Extra&gt;&lt;/Item&gt;&lt;/References&gt;&lt;/Group&gt;&lt;/Citation&gt;_x000a_"/>
    <w:docVar w:name="NE.Ref{2D681F03-9286-4210-8FD5-227D28590D8D}" w:val=" ADDIN NE.Ref.{2D681F03-9286-4210-8FD5-227D28590D8D}&lt;Citation&gt;&lt;Group&gt;&lt;References&gt;&lt;Item&gt;&lt;ID&gt;589&lt;/ID&gt;&lt;UID&gt;{923EBC22-843F-4E18-9880-981BD26812C6}&lt;/UID&gt;&lt;Title&gt;太湖水体交换周期变化(1986-2018年)及对水质空间格局的影响&lt;/Title&gt;&lt;Template&gt;Journal Article&lt;/Template&gt;&lt;Star&gt;0&lt;/Star&gt;&lt;Tag&gt;0&lt;/Tag&gt;&lt;Author&gt;朱伟; 程林; 薛宗璞; 冯甘雨; 王若辰; 张昱; 赵帅; 胡思远&lt;/Author&gt;&lt;Year&gt;2021&lt;/Year&gt;&lt;Details&gt;&lt;_created&gt;66477313&lt;/_created&gt;&lt;_modified&gt;66477313&lt;/_modified&gt;&lt;_url&gt;https://d.wanfangdata.com.cn/periodical/hpkx202104011&lt;/_url&gt;&lt;_journal&gt;湖泊科学&lt;/_journal&gt;&lt;_volume&gt;33&lt;/_volume&gt;&lt;_issue&gt;4&lt;/_issue&gt;&lt;_pages&gt;1087-1099&lt;/_pages&gt;&lt;_tertiary_title&gt;Journal of Lake Sciences&lt;/_tertiary_title&gt;&lt;_doi&gt;10.18307/2021.0411&lt;/_doi&gt;&lt;_isbn&gt;1003-5427&lt;/_isbn&gt;&lt;_translated_title&gt;Changes of water exchange cycle in Lake Taihu (1986-2018) and its effect on the spatial pattern of water quality&lt;/_translated_title&gt;&lt;_db_provider&gt;WF&lt;/_db_provider&gt;&lt;_language&gt;cn&lt;/_language&gt;&lt;_accessed&gt;66477313&lt;/_accessed&gt;&lt;_db_updated&gt;NESearch&lt;/_db_updated&gt;&lt;_collection_scope&gt;CSCD;EI;PKU&lt;/_collection_scope&gt;&lt;_translated_author&gt;Zhu, Wei;Cheng, Lin;Xue, Zong pu;Feng, Gan yu;Wang, Ruo chen;Zhang, Yu;Zhao, Shuai;Hu, Si yuan&lt;/_translated_author&gt;&lt;/Details&gt;&lt;Extra&gt;&lt;DBUID&gt;{4639BE48-E8DA-433D-936E-D6A27A715D41}&lt;/DBUID&gt;&lt;/Extra&gt;&lt;/Item&gt;&lt;/References&gt;&lt;/Group&gt;&lt;/Citation&gt;_x000a_"/>
    <w:docVar w:name="NE.Ref{2FC494B4-9D98-4A99-BB4B-121E00225DF5}" w:val=" ADDIN NE.Ref.{2FC494B4-9D98-4A99-BB4B-121E00225DF5}&lt;Citation&gt;&lt;Group&gt;&lt;References&gt;&lt;Item&gt;&lt;ID&gt;596&lt;/ID&gt;&lt;UID&gt;{FD0A1C23-772F-49A4-BA42-FF9937C28CF7}&lt;/UID&gt;&lt;Title&gt;Tidal energy fluxes and dissipation in the Chesapeake Bay&lt;/Title&gt;&lt;Template&gt;Journal Article&lt;/Template&gt;&lt;Star&gt;0&lt;/Star&gt;&lt;Tag&gt;0&lt;/Tag&gt;&lt;Author&gt;Zhong, Liejun; Li, Ming&lt;/Author&gt;&lt;Year&gt;2006&lt;/Year&gt;&lt;Details&gt;&lt;_accessed&gt;66479638&lt;/_accessed&gt;&lt;_created&gt;66479638&lt;/_created&gt;&lt;_modified&gt;66479638&lt;/_modified&gt;&lt;_url&gt;http://dx.doi.org/10.1016/j.csr.2006.02.006&lt;/_url&gt;&lt;_journal&gt;Continental Shelf Research&lt;/_journal&gt;&lt;_volume&gt;26&lt;/_volume&gt;&lt;_issue&gt;6&lt;/_issue&gt;&lt;_pages&gt;752-770&lt;/_pages&gt;&lt;_doi&gt;10.1016/j.csr.2006.02.006&lt;/_doi&gt;&lt;_isbn&gt;0278-4343&lt;/_isbn&gt;&lt;_language&gt;en&lt;/_language&gt;&lt;_db_updated&gt;NESearch&lt;/_db_updated&gt;&lt;_impact_factor&gt;   2.200&lt;/_impact_factor&gt;&lt;_social_category&gt;海洋学(3)&lt;/_social_category&gt;&lt;_collection_scope&gt;SCIE&lt;/_collection_scope&gt;&lt;/Details&gt;&lt;Extra&gt;&lt;DBUID&gt;{4639BE48-E8DA-433D-936E-D6A27A715D41}&lt;/DBUID&gt;&lt;/Extra&gt;&lt;/Item&gt;&lt;/References&gt;&lt;/Group&gt;&lt;/Citation&gt;_x000a_"/>
    <w:docVar w:name="NE.Ref{3268D1F2-E63E-4187-B434-A824FC23B735}" w:val=" ADDIN NE.Ref.{3268D1F2-E63E-4187-B434-A824FC23B735}&lt;Citation&gt;&lt;Group&gt;&lt;References&gt;&lt;Item&gt;&lt;ID&gt;581&lt;/ID&gt;&lt;UID&gt;{3F0E63DD-7B56-49BD-92B9-C9FABE4E1C45}&lt;/UID&gt;&lt;Title&gt;Assessing the Impact of Water Diversion on Hydrodynamics and Water Quality in the Upper Taihu Basin, China&lt;/Title&gt;&lt;Template&gt;Journal Article&lt;/Template&gt;&lt;Star&gt;0&lt;/Star&gt;&lt;Tag&gt;0&lt;/Tag&gt;&lt;Author&gt;Peng, Suli; Wu, Pan; Wang, Zhili; Chen, Kebing; Dong, Zhi; Lu, Yongjun; Chen, Li; Lu, Yan&lt;/Author&gt;&lt;Year&gt;2025&lt;/Year&gt;&lt;Details&gt;&lt;_accessed&gt;66416791&lt;/_accessed&gt;&lt;_collection_scope&gt;SCIE;EI&lt;/_collection_scope&gt;&lt;_created&gt;66416791&lt;/_created&gt;&lt;_db_updated&gt;NESearch&lt;/_db_updated&gt;&lt;_doi&gt;10.1002/hyp.70289&lt;/_doi&gt;&lt;_impact_factor&gt;   2.900&lt;/_impact_factor&gt;&lt;_isbn&gt;0885-6087&lt;/_isbn&gt;&lt;_issue&gt;10&lt;/_issue&gt;&lt;_journal&gt;Hydrological Processes&lt;/_journal&gt;&lt;_language&gt;en&lt;/_language&gt;&lt;_modified&gt;66416791&lt;/_modified&gt;&lt;_social_category&gt;水资源(3)&lt;/_social_category&gt;&lt;_url&gt;https://doi.org/10.1002/hyp.70289&lt;/_url&gt;&lt;_volume&gt;39&lt;/_volume&gt;&lt;/Details&gt;&lt;Extra&gt;&lt;DBUID&gt;{4639BE48-E8DA-433D-936E-D6A27A715D41}&lt;/DBUID&gt;&lt;/Extra&gt;&lt;/Item&gt;&lt;/References&gt;&lt;/Group&gt;&lt;Group&gt;&lt;References&gt;&lt;Item&gt;&lt;ID&gt;577&lt;/ID&gt;&lt;UID&gt;{976EB4DA-5F84-4705-8DCF-072D488C2E06}&lt;/UID&gt;&lt;Title&gt;Influence of river structure and hydrodynamics on water quality in the upper Taihu Basin, China&lt;/Title&gt;&lt;Template&gt;Journal Article&lt;/Template&gt;&lt;Star&gt;0&lt;/Star&gt;&lt;Tag&gt;0&lt;/Tag&gt;&lt;Author&gt;Peng, Suli; Wu, Pan; Lu, Yongjun; Chen, Li; Wang, Zhili; Lu, Yan&lt;/Author&gt;&lt;Year&gt;2024&lt;/Year&gt;&lt;Details&gt;&lt;_accessed&gt;66416755&lt;/_accessed&gt;&lt;_collection_scope&gt;SCIE;EI&lt;/_collection_scope&gt;&lt;_created&gt;66416755&lt;/_created&gt;&lt;_db_updated&gt;NESearch&lt;/_db_updated&gt;&lt;_doi&gt;10.1016/j.jclepro.2024.142262&lt;/_doi&gt;&lt;_impact_factor&gt;  10.000&lt;/_impact_factor&gt;&lt;_isbn&gt;0959-6526&lt;/_isbn&gt;&lt;_journal&gt;Journal of Cleaner Production&lt;/_journal&gt;&lt;_language&gt;en&lt;/_language&gt;&lt;_modified&gt;66416755&lt;/_modified&gt;&lt;_pages&gt;142262&lt;/_pages&gt;&lt;_social_category&gt;环境科学(1) &amp;amp; 工程：环境(2) &amp;amp; 绿色可持续发展技术(2)&lt;/_social_category&gt;&lt;_url&gt;http://dx.doi.org/10.1016/j.jclepro.2024.142262&lt;/_url&gt;&lt;_volume&gt;453&lt;/_volume&gt;&lt;/Details&gt;&lt;Extra&gt;&lt;DBUID&gt;{4639BE48-E8DA-433D-936E-D6A27A715D41}&lt;/DBUID&gt;&lt;/Extra&gt;&lt;/Item&gt;&lt;/References&gt;&lt;/Group&gt;&lt;/Citation&gt;_x000a_"/>
    <w:docVar w:name="NE.Ref{35B7079D-CEEF-4EEE-8687-0E15C406D067}" w:val=" ADDIN NE.Ref.{35B7079D-CEEF-4EEE-8687-0E15C406D067}&lt;Citation&gt;&lt;Group&gt;&lt;References&gt;&lt;Item&gt;&lt;ID&gt;592&lt;/ID&gt;&lt;UID&gt;{0C320F99-E59F-407E-B87B-E796BBAAEDD2}&lt;/UID&gt;&lt;Title&gt;江河湖连通的太湖上游河网水流运动规律探索&lt;/Title&gt;&lt;Template&gt;Journal Article&lt;/Template&gt;&lt;Star&gt;0&lt;/Star&gt;&lt;Tag&gt;0&lt;/Tag&gt;&lt;Author&gt;蔡梅; 李琛; 李勇涛; 刘增贤; 徐天奕&lt;/Author&gt;&lt;Year&gt;2020&lt;/Year&gt;&lt;Details&gt;&lt;_accessed&gt;66477326&lt;/_accessed&gt;&lt;_collection_scope&gt;PKU&lt;/_collection_scope&gt;&lt;_created&gt;66477326&lt;/_created&gt;&lt;_db_provider&gt;WF&lt;/_db_provider&gt;&lt;_db_updated&gt;NESearch&lt;/_db_updated&gt;&lt;_doi&gt;10.3969/j.issn.1007-2284.2020.12.024&lt;/_doi&gt;&lt;_isbn&gt;1007-2284&lt;/_isbn&gt;&lt;_issue&gt;12&lt;/_issue&gt;&lt;_journal&gt;中国农村水利水电&lt;/_journal&gt;&lt;_language&gt;cn&lt;/_language&gt;&lt;_modified&gt;66477326&lt;/_modified&gt;&lt;_pages&gt;127-133&lt;/_pages&gt;&lt;_tertiary_title&gt;China Rural Water and Hydropower&lt;/_tertiary_title&gt;&lt;_translated_title&gt;Discussion on the Water Movement Law in the Upper Taihu Lake Network&lt;/_translated_title&gt;&lt;_url&gt;https://d.wanfangdata.com.cn/periodical/zgncslsd202012024&lt;/_url&gt;&lt;_translated_author&gt;Cai, Mei;Li, Chen;Li, Yong tao;Liu, Zeng xian;Xu, Tian yi&lt;/_translated_author&gt;&lt;/Details&gt;&lt;Extra&gt;&lt;DBUID&gt;{4639BE48-E8DA-433D-936E-D6A27A715D41}&lt;/DBUID&gt;&lt;/Extra&gt;&lt;/Item&gt;&lt;/References&gt;&lt;/Group&gt;&lt;/Citation&gt;_x000a_"/>
    <w:docVar w:name="NE.Ref{36802836-20E2-4C53-9F59-EB95C4910105}" w:val=" ADDIN NE.Ref.{36802836-20E2-4C53-9F59-EB95C4910105}&lt;Citation&gt;&lt;Group&gt;&lt;References&gt;&lt;Item&gt;&lt;ID&gt;570&lt;/ID&gt;&lt;UID&gt;{069F0F55-9563-487B-9380-C46F3A04991C}&lt;/UID&gt;&lt;Title&gt;Tidal friction in the Irish Sea&lt;/Title&gt;&lt;Template&gt;Journal Article&lt;/Template&gt;&lt;Star&gt;0&lt;/Star&gt;&lt;Tag&gt;0&lt;/Tag&gt;&lt;Author&gt;TAYLOR, G I&lt;/Author&gt;&lt;Year&gt;1919&lt;/Year&gt;&lt;Details&gt;&lt;_accessed&gt;66413596&lt;/_accessed&gt;&lt;_created&gt;66413594&lt;/_created&gt;&lt;_journal&gt;Philosophical Transactions of the Royal Society of London&lt;/_journal&gt;&lt;_modified&gt;66413596&lt;/_modified&gt;&lt;_pages&gt;1-93&lt;/_pages&gt;&lt;_volume&gt;A230&lt;/_volume&gt;&lt;/Details&gt;&lt;Extra&gt;&lt;DBUID&gt;{4639BE48-E8DA-433D-936E-D6A27A715D41}&lt;/DBUID&gt;&lt;/Extra&gt;&lt;/Item&gt;&lt;/References&gt;&lt;/Group&gt;&lt;Group&gt;&lt;References&gt;&lt;Item&gt;&lt;ID&gt;569&lt;/ID&gt;&lt;UID&gt;{E4E4A3FA-94DB-48BF-8E3E-C020233748D0}&lt;/UID&gt;&lt;Title&gt;Tidal friction in shallow seas&lt;/Title&gt;&lt;Template&gt;Journal Article&lt;/Template&gt;&lt;Star&gt;0&lt;/Star&gt;&lt;Tag&gt;0&lt;/Tag&gt;&lt;Author&gt;JEFFERYS, H&lt;/Author&gt;&lt;Year&gt;1920&lt;/Year&gt;&lt;Details&gt;&lt;_accessed&gt;66413595&lt;/_accessed&gt;&lt;_created&gt;66413593&lt;/_created&gt;&lt;_journal&gt;Philosophi_x0002_cal Transactions of the Royal Society of London&lt;/_journal&gt;&lt;_modified&gt;66413596&lt;/_modified&gt;&lt;_pages&gt;239-264&lt;/_pages&gt;&lt;_volume&gt;A221&lt;/_volume&gt;&lt;/Details&gt;&lt;Extra&gt;&lt;DBUID&gt;{4639BE48-E8DA-433D-936E-D6A27A715D41}&lt;/DBUID&gt;&lt;/Extra&gt;&lt;/Item&gt;&lt;/References&gt;&lt;/Group&gt;&lt;/Citation&gt;_x000a_"/>
    <w:docVar w:name="NE.Ref{37133333-6746-4140-9E97-9A10B0BF2634}" w:val=" ADDIN NE.Ref.{37133333-6746-4140-9E97-9A10B0BF2634}&lt;Citation&gt;&lt;Group&gt;&lt;References&gt;&lt;Item&gt;&lt;ID&gt;566&lt;/ID&gt;&lt;UID&gt;{DFE1A7BD-02E4-4995-BAA7-67D0AC93D57A}&lt;/UID&gt;&lt;Title&gt;引水工程出水路线的优化对太湖总磷格局的影响——基于新孟河工程的思考&lt;/Title&gt;&lt;Template&gt;Journal Article&lt;/Template&gt;&lt;Star&gt;0&lt;/Star&gt;&lt;Tag&gt;0&lt;/Tag&gt;&lt;Author&gt;朱伟; 薛宗璞; 刘环; 程林; 张昱; 赵帅; 冯甘雨; 王若辰&lt;/Author&gt;&lt;Year&gt;2022&lt;/Year&gt;&lt;Details&gt;&lt;_accessed&gt;66412238&lt;/_accessed&gt;&lt;_collection_scope&gt;CSCD;EI;PKU&lt;/_collection_scope&gt;&lt;_created&gt;66412237&lt;/_created&gt;&lt;_db_provider&gt;WF&lt;/_db_provider&gt;&lt;_db_updated&gt;NESearch&lt;/_db_updated&gt;&lt;_doi&gt;10.18307/2022.0411&lt;/_doi&gt;&lt;_isbn&gt;1003-5427&lt;/_isbn&gt;&lt;_issue&gt;4&lt;/_issue&gt;&lt;_journal&gt;湖泊科学&lt;/_journal&gt;&lt;_language&gt;cn&lt;/_language&gt;&lt;_modified&gt;66412238&lt;/_modified&gt;&lt;_pages&gt;1175-1185&lt;/_pages&gt;&lt;_tertiary_title&gt;Journal of Lake Sciences&lt;/_tertiary_title&gt;&lt;_translated_title&gt;Effects of outlet paths on total phosphorus in Lake Taihu—Optimization analysis of Xin-meng River&amp;apos;s outlet path&lt;/_translated_title&gt;&lt;_url&gt;https://d.wanfangdata.com.cn/periodical/hpkx202204010&lt;/_url&gt;&lt;_volume&gt;34&lt;/_volume&gt;&lt;_translated_author&gt;Zhu, Wei;Xue, Zong pu;Liu, Huan;Cheng, Lin;Zhang, Yu;Zhao, Shuai;Feng, Gan yu;Wang, Ruo chen&lt;/_translated_author&gt;&lt;/Details&gt;&lt;Extra&gt;&lt;DBUID&gt;{4639BE48-E8DA-433D-936E-D6A27A715D41}&lt;/DBUID&gt;&lt;/Extra&gt;&lt;/Item&gt;&lt;/References&gt;&lt;/Group&gt;&lt;/Citation&gt;_x000a_"/>
    <w:docVar w:name="NE.Ref{3848C25D-A70E-448B-9E52-7D9A1CBAFF64}" w:val=" ADDIN NE.Ref.{3848C25D-A70E-448B-9E52-7D9A1CBAFF64}&lt;Citation&gt;&lt;Group&gt;&lt;References&gt;&lt;Item&gt;&lt;ID&gt;549&lt;/ID&gt;&lt;UID&gt;{9B7C4D98-FA44-4EB4-BC79-2E0AC34F016F}&lt;/UID&gt;&lt;Title&gt;新孟河延伸拓浚工程对长江水环境影响研究&lt;/Title&gt;&lt;Template&gt;Journal Article&lt;/Template&gt;&lt;Star&gt;0&lt;/Star&gt;&lt;Tag&gt;0&lt;/Tag&gt;&lt;Author&gt;桂青&lt;/Author&gt;&lt;Year&gt;2016&lt;/Year&gt;&lt;Details&gt;&lt;_accessed&gt;66396572&lt;/_accessed&gt;&lt;_collection_scope&gt;PKU&lt;/_collection_scope&gt;&lt;_created&gt;66396572&lt;/_created&gt;&lt;_db_provider&gt;WF&lt;/_db_provider&gt;&lt;_db_updated&gt;NESearch&lt;/_db_updated&gt;&lt;_doi&gt;10.16232/j.cnki.1001-4179.2016.19.004&lt;/_doi&gt;&lt;_isbn&gt;1001-4179&lt;/_isbn&gt;&lt;_issue&gt;19&lt;/_issue&gt;&lt;_journal&gt;人民长江&lt;/_journal&gt;&lt;_language&gt;cn&lt;/_language&gt;&lt;_modified&gt;66396572&lt;/_modified&gt;&lt;_pages&gt;20-25&lt;/_pages&gt;&lt;_translated_title&gt;Research on influence of Xinmeng River dredging and extending project on water environment of Yangtze River&lt;/_translated_title&gt;&lt;_url&gt;https://d.wanfangdata.com.cn/periodical/rmcj201619004&lt;/_url&gt;&lt;_volume&gt;47&lt;/_volume&gt;&lt;_translated_author&gt;Gui, Qing&lt;/_translated_author&gt;&lt;/Details&gt;&lt;Extra&gt;&lt;DBUID&gt;{4639BE48-E8DA-433D-936E-D6A27A715D41}&lt;/DBUID&gt;&lt;/Extra&gt;&lt;/Item&gt;&lt;/References&gt;&lt;/Group&gt;&lt;/Citation&gt;_x000a_"/>
    <w:docVar w:name="NE.Ref{3B7163F7-6643-4C38-BE40-8A6901D72CD1}" w:val=" ADDIN NE.Ref.{3B7163F7-6643-4C38-BE40-8A6901D72CD1}&lt;Citation&gt;&lt;Group&gt;&lt;References&gt;&lt;Item&gt;&lt;ID&gt;548&lt;/ID&gt;&lt;UID&gt;{BF577F7D-15EC-4AB9-890D-4F6031C71836}&lt;/UID&gt;&lt;Title&gt;新孟河延伸拓浚工程对滆湖水量水质影响研究&lt;/Title&gt;&lt;Template&gt;Journal Article&lt;/Template&gt;&lt;Star&gt;0&lt;/Star&gt;&lt;Tag&gt;0&lt;/Tag&gt;&lt;Author&gt;闫红飞&lt;/Author&gt;&lt;Year&gt;2015&lt;/Year&gt;&lt;Details&gt;&lt;_accessed&gt;66396572&lt;/_accessed&gt;&lt;_created&gt;66396572&lt;/_created&gt;&lt;_db_provider&gt;WF&lt;/_db_provider&gt;&lt;_db_updated&gt;NESearch&lt;/_db_updated&gt;&lt;_doi&gt;10.3969/j.issn.1000-0860.2015.04.008&lt;/_doi&gt;&lt;_isbn&gt;1000-0860&lt;/_isbn&gt;&lt;_issue&gt;4&lt;/_issue&gt;&lt;_journal&gt;水利水电技术&lt;/_journal&gt;&lt;_language&gt;cn&lt;/_language&gt;&lt;_modified&gt;66396572&lt;/_modified&gt;&lt;_pages&gt;35-38&lt;/_pages&gt;&lt;_tertiary_title&gt;Water Resources and Hydropower Engineering&lt;/_tertiary_title&gt;&lt;_translated_title&gt;Impact from New Menghe River Extending and Dredging Project on water quantity and quality of Gehu Lake&lt;/_translated_title&gt;&lt;_url&gt;https://d.wanfangdata.com.cn/periodical/slsdjs201504008&lt;/_url&gt;&lt;_volume&gt;46&lt;/_volume&gt;&lt;_translated_author&gt;Yan, Hong fei&lt;/_translated_author&gt;&lt;/Details&gt;&lt;Extra&gt;&lt;DBUID&gt;{4639BE48-E8DA-433D-936E-D6A27A715D41}&lt;/DBUID&gt;&lt;/Extra&gt;&lt;/Item&gt;&lt;/References&gt;&lt;/Group&gt;&lt;/Citation&gt;_x000a_"/>
    <w:docVar w:name="NE.Ref{3BA27C1B-6E1D-4107-8454-308D26E36782}" w:val=" ADDIN NE.Ref.{3BA27C1B-6E1D-4107-8454-308D26E36782}&lt;Citation&gt;&lt;Group&gt;&lt;References&gt;&lt;Item&gt;&lt;ID&gt;594&lt;/ID&gt;&lt;UID&gt;{8FC39149-D035-4C34-844E-1B904A1DB419}&lt;/UID&gt;&lt;Title&gt;Tipping points in river deltas&lt;/Title&gt;&lt;Template&gt;Journal Article&lt;/Template&gt;&lt;Star&gt;0&lt;/Star&gt;&lt;Tag&gt;0&lt;/Tag&gt;&lt;Author&gt;van de Vijsel, Roeland C; Scheffer, Marten; Hoitink, Antonius J F&lt;/Author&gt;&lt;Year&gt;2024&lt;/Year&gt;&lt;Details&gt;&lt;_accessed&gt;66479609&lt;/_accessed&gt;&lt;_created&gt;66479609&lt;/_created&gt;&lt;_modified&gt;66479609&lt;/_modified&gt;&lt;_url&gt;https://doi.org/10.1038/s43017-024-00610-5&lt;/_url&gt;&lt;_journal&gt;Nature Reviews Earth &amp;amp; Environment&lt;/_journal&gt;&lt;_volume&gt;5&lt;/_volume&gt;&lt;_issue&gt;12&lt;/_issue&gt;&lt;_pages&gt;843-858&lt;/_pages&gt;&lt;_doi&gt;10.1038/s43017-024-00610-5&lt;/_doi&gt;&lt;_isbn&gt;2662-138X&lt;/_isbn&gt;&lt;_language&gt;en&lt;/_language&gt;&lt;_db_updated&gt;NESearch&lt;/_db_updated&gt;&lt;_impact_factor&gt;  71.500&lt;/_impact_factor&gt;&lt;_social_category&gt;环境科学(1) &amp;amp; 地球科学：综合(1)&lt;/_social_category&gt;&lt;_collection_scope&gt;SCIE&lt;/_collection_scope&gt;&lt;/Details&gt;&lt;Extra&gt;&lt;DBUID&gt;{4639BE48-E8DA-433D-936E-D6A27A715D41}&lt;/DBUID&gt;&lt;/Extra&gt;&lt;/Item&gt;&lt;/References&gt;&lt;/Group&gt;&lt;/Citation&gt;_x000a_"/>
    <w:docVar w:name="NE.Ref{3CB653FB-B27D-4DF9-96E4-7A5D563499C6}" w:val=" ADDIN NE.Ref.{3CB653FB-B27D-4DF9-96E4-7A5D563499C6}&lt;Citation&gt;&lt;Group&gt;&lt;References&gt;&lt;Item&gt;&lt;ID&gt;554&lt;/ID&gt;&lt;UID&gt;{F29D4A8E-9E16-4ECE-ADF8-D7822F384D3C}&lt;/UID&gt;&lt;Title&gt;新孟河工程引调水对区域水资源水环境的影响&lt;/Title&gt;&lt;Template&gt;Journal Article&lt;/Template&gt;&lt;Star&gt;0&lt;/Star&gt;&lt;Tag&gt;0&lt;/Tag&gt;&lt;Author&gt;陈甜; 毕婉; 刘敏&lt;/Author&gt;&lt;Year&gt;2025&lt;/Year&gt;&lt;Details&gt;&lt;_accessed&gt;66396646&lt;/_accessed&gt;&lt;_author_adr&gt;太湖流域管理局水文局(信息中心);太湖流域水文水资源监测中心(太湖流域水环境监测中心);&lt;/_author_adr&gt;&lt;_collection_scope&gt;PKU&lt;/_collection_scope&gt;&lt;_created&gt;66396646&lt;/_created&gt;&lt;_db_provider&gt;CNKI&lt;/_db_provider&gt;&lt;_db_updated&gt;CNKI - Reference&lt;/_db_updated&gt;&lt;_doi&gt;10.16232/j.cnki.1001-4179.2025.S2.007&lt;/_doi&gt;&lt;_isbn&gt;1001-4179&lt;/_isbn&gt;&lt;_issue&gt;S2&lt;/_issue&gt;&lt;_journal&gt;人民长江&lt;/_journal&gt;&lt;_keywords&gt;引调水;分流规律;电导率;水质变化;水质改善系数;综合污染指数;新孟河工程&lt;/_keywords&gt;&lt;_modified&gt;66396646&lt;/_modified&gt;&lt;_pages&gt;32-37&lt;/_pages&gt;&lt;_url&gt;https://link.cnki.net/doi/10.16232/j.cnki.1001-4179.2025.S2.007&lt;/_url&gt;&lt;_volume&gt;56&lt;/_volume&gt;&lt;_translated_author&gt;Chen, Tian;Bi, Wan;Liu, Min&lt;/_translated_author&gt;&lt;/Details&gt;&lt;Extra&gt;&lt;DBUID&gt;{4639BE48-E8DA-433D-936E-D6A27A715D41}&lt;/DBUID&gt;&lt;/Extra&gt;&lt;/Item&gt;&lt;/References&gt;&lt;/Group&gt;&lt;/Citation&gt;_x000a_"/>
    <w:docVar w:name="NE.Ref{4039E986-8408-4FC9-97E6-F2470B7CE970}" w:val=" ADDIN NE.Ref.{4039E986-8408-4FC9-97E6-F2470B7CE970}&lt;Citation&gt;&lt;Group&gt;&lt;References&gt;&lt;Item&gt;&lt;ID&gt;559&lt;/ID&gt;&lt;UID&gt;{D2C16E3D-8995-4691-A8DE-FA51F1DF1C9A}&lt;/UID&gt;&lt;Title&gt;关于太湖水环境治理的思考&lt;/Title&gt;&lt;Template&gt;Journal Article&lt;/Template&gt;&lt;Star&gt;0&lt;/Star&gt;&lt;Tag&gt;0&lt;/Tag&gt;&lt;Author&gt;陈凯麒; 祁昌军; 陶洁; 曹晓红&lt;/Author&gt;&lt;Year&gt;2016&lt;/Year&gt;&lt;Details&gt;&lt;_accessed&gt;66401098&lt;/_accessed&gt;&lt;_collection_scope&gt;CSSCI-E&lt;/_collection_scope&gt;&lt;_created&gt;66401098&lt;/_created&gt;&lt;_db_provider&gt;WF&lt;/_db_provider&gt;&lt;_db_updated&gt;NESearch&lt;/_db_updated&gt;&lt;_isbn&gt;0253-9705&lt;/_isbn&gt;&lt;_issue&gt;18&lt;/_issue&gt;&lt;_journal&gt;环境保护&lt;/_journal&gt;&lt;_language&gt;cn&lt;/_language&gt;&lt;_modified&gt;66401098&lt;/_modified&gt;&lt;_pages&gt;20-23&lt;/_pages&gt;&lt;_tertiary_title&gt;Environmental Protection&lt;/_tertiary_title&gt;&lt;_translated_title&gt;Thoughts on Water Environmental Treatment in Taihu Lake&lt;/_translated_title&gt;&lt;_url&gt;https://d.wanfangdata.com.cn/periodical/hjbh201618005&lt;/_url&gt;&lt;_volume&gt;44&lt;/_volume&gt;&lt;_translated_author&gt;Chen, Kai qi;Qi, Chang jun;Tao, Jie;Cao, Xiao hong&lt;/_translated_author&gt;&lt;/Details&gt;&lt;Extra&gt;&lt;DBUID&gt;{4639BE48-E8DA-433D-936E-D6A27A715D41}&lt;/DBUID&gt;&lt;/Extra&gt;&lt;/Item&gt;&lt;/References&gt;&lt;/Group&gt;&lt;/Citation&gt;_x000a_"/>
    <w:docVar w:name="NE.Ref{411A128C-FF0F-44DA-97DE-1A74ECD14EA5}" w:val=" ADDIN NE.Ref.{411A128C-FF0F-44DA-97DE-1A74ECD14EA5}&lt;Citation&gt;&lt;Group&gt;&lt;References&gt;&lt;Item&gt;&lt;ID&gt;560&lt;/ID&gt;&lt;UID&gt;{E4FE76CB-BF60-463D-B7C5-A319AF4D7C45}&lt;/UID&gt;&lt;Title&gt;Theory and practice of hydrodynamic_x000d__x000a_reconstruction in plain river networks&lt;/Title&gt;&lt;Template&gt;Journal Article&lt;/Template&gt;&lt;Star&gt;0&lt;/Star&gt;&lt;Tag&gt;0&lt;/Tag&gt;&lt;Author&gt;Tang, Hongwu; Yuan, Saiyu; Cao, Hao&lt;/Author&gt;&lt;Year&gt;2023&lt;/Year&gt;&lt;Details&gt;&lt;_accessed&gt;66416749&lt;/_accessed&gt;&lt;_author_adr&gt;National Key Laboratory of Water Disaster Prevention, Hohai University;Yangtze Institute for Conservation and Green Development;&lt;/_author_adr&gt;&lt;_cited_count&gt;13&lt;/_cited_count&gt;&lt;_collection_scope&gt;EI&lt;/_collection_scope&gt;&lt;_created&gt;66401110&lt;/_created&gt;&lt;_db_provider&gt;CNKI&lt;/_db_provider&gt;&lt;_db_updated&gt;CNKI - Reference&lt;/_db_updated&gt;&lt;_impact_factor&gt;  11.600&lt;/_impact_factor&gt;&lt;_isbn&gt;2095-8099&lt;/_isbn&gt;&lt;_issue&gt;05&lt;/_issue&gt;&lt;_journal&gt;Engineering&lt;/_journal&gt;&lt;_keywords&gt;Plain river network;Water security problems;Hydrodynamic reconstruction;Multi-objective;Integrated management&lt;/_keywords&gt;&lt;_modified&gt;66416749&lt;/_modified&gt;&lt;_pages&gt;202-211&lt;/_pages&gt;&lt;_social_category&gt;工程：综合(2)&lt;/_social_category&gt;&lt;_url&gt;https://kns.cnki.net/kcms2/article/abstract?v=okZOhLws3JTjkUloZLdNCRZabwHSui6KwhVIJHtjLbUaLy8JVEaXZ36puZ_bGBe8erryKCa0hWMUrKbkPBfktr0iMDtSpwl7oAYqpo0PS9lRamstpfIxS79_LVAWL2CdHgSxE77ybobALOV9XclysGCv9nim7yJPH9KZK7nDaT5J30lXT4ucjTz_JtygtebG&amp;amp;uniplatform=NZKPT&amp;amp;language=CHS&lt;/_url&gt;&lt;_volume&gt;24&lt;/_volume&gt;&lt;/Details&gt;&lt;Extra&gt;&lt;DBUID&gt;{4639BE48-E8DA-433D-936E-D6A27A715D41}&lt;/DBUID&gt;&lt;/Extra&gt;&lt;/Item&gt;&lt;/References&gt;&lt;/Group&gt;&lt;/Citation&gt;_x000a_"/>
    <w:docVar w:name="NE.Ref{4258409A-A774-491D-8693-AC2645EC3168}" w:val=" ADDIN NE.Ref.{4258409A-A774-491D-8693-AC2645EC3168}&lt;Citation&gt;&lt;Group&gt;&lt;References&gt;&lt;Item&gt;&lt;ID&gt;579&lt;/ID&gt;&lt;UID&gt;{685E4681-AD61-42A5-A36D-DE912CE71402}&lt;/UID&gt;&lt;Title&gt;Optimizing Hydrodynamic Regulation in Coastal Plain River Networks in Eastern China: A MIKE11-Based Partitioned Water Allocation Framework for Flood Control and Water Quality Enhancement&lt;/Title&gt;&lt;Template&gt;Journal Article&lt;/Template&gt;&lt;Star&gt;0&lt;/Star&gt;&lt;Tag&gt;0&lt;/Tag&gt;&lt;Author&gt;Gao, Haijing; Wang, Qian; Zhou, Zheng; Wu, Wan; Wang, Weiying; Li, Yan; Hu, Jianyong; Li, Puxi; Zhang, Yongpeng; Hu, Wenjing&lt;/Author&gt;&lt;Year&gt;2025&lt;/Year&gt;&lt;Details&gt;&lt;_accessed&gt;66416763&lt;/_accessed&gt;&lt;_collection_scope&gt;SCIE;EI&lt;/_collection_scope&gt;&lt;_created&gt;66416762&lt;/_created&gt;&lt;_date&gt;65744640&lt;/_date&gt;&lt;_date_display&gt;2025&lt;/_date_display&gt;&lt;_db_updated&gt;PKU Search&lt;/_db_updated&gt;&lt;_doi&gt;10.3390/w17121829&lt;/_doi&gt;&lt;_impact_factor&gt;   3.000&lt;/_impact_factor&gt;&lt;_isbn&gt;2073-4441&lt;/_isbn&gt;&lt;_issue&gt;12&lt;/_issue&gt;&lt;_journal&gt;Water (Basel)&lt;/_journal&gt;&lt;_keywords&gt;Coastal plains; Coasts; Connectivity; Dams; Environmental aspects; Finite volume method; Flood control; Floods; Flow velocity; Fluid mechanics; Hydraulics; Hydrodynamics; Hydrofoil boats; Management; Mathematical optimization; Methods; River ecology; River networks; Rivers; Scheduling; Sedimentation &amp;amp; deposition; Water; Water diversion; Water levels; Water quality; Water resources&lt;/_keywords&gt;&lt;_modified&gt;66416763&lt;/_modified&gt;&lt;_number&gt;1&lt;/_number&gt;&lt;_ori_publication&gt;MDPI AG&lt;/_ori_publication&gt;&lt;_pages&gt;1829&lt;/_pages&gt;&lt;_place_published&gt;Basel&lt;/_place_published&gt;&lt;_social_category&gt;环境科学(4) &amp;amp; 水资源(4)&lt;/_social_category&gt;&lt;_url&gt;https://go.exlibris.link/pxP0swxJ&lt;/_url&gt;&lt;_volume&gt;17&lt;/_volume&gt;&lt;/Details&gt;&lt;Extra&gt;&lt;DBUID&gt;{4639BE48-E8DA-433D-936E-D6A27A715D41}&lt;/DBUID&gt;&lt;/Extra&gt;&lt;/Item&gt;&lt;/References&gt;&lt;/Group&gt;&lt;/Citation&gt;_x000a_"/>
    <w:docVar w:name="NE.Ref{42DD6766-A06F-4430-BE03-47FD384196DE}" w:val=" ADDIN NE.Ref.{42DD6766-A06F-4430-BE03-47FD384196DE}&lt;Citation&gt;&lt;Group&gt;&lt;References&gt;&lt;Item&gt;&lt;ID&gt;567&lt;/ID&gt;&lt;UID&gt;{BC956C3B-602A-4A7F-AFF5-CD93A249F1E9}&lt;/UID&gt;&lt;Title&gt;知识数据双驱动的感潮河网水动力智能模拟方法&lt;/Title&gt;&lt;Template&gt;Journal Article&lt;/Template&gt;&lt;Star&gt;0&lt;/Star&gt;&lt;Tag&gt;0&lt;/Tag&gt;&lt;Author&gt;袁赛瑜; 陈逸鸿; 罗霄; 张汇明; 唐洪武&lt;/Author&gt;&lt;Year&gt;2025&lt;/Year&gt;&lt;Details&gt;&lt;_accessed&gt;66413434&lt;/_accessed&gt;&lt;_collection_scope&gt;CSCD;EI;PKU&lt;/_collection_scope&gt;&lt;_created&gt;66413434&lt;/_created&gt;&lt;_db_provider&gt;WF&lt;/_db_provider&gt;&lt;_db_updated&gt;NESearch&lt;/_db_updated&gt;&lt;_doi&gt;10.14042/j.cnki.32.1309.2025.01.003&lt;/_doi&gt;&lt;_isbn&gt;1001-6791&lt;/_isbn&gt;&lt;_issue&gt;1&lt;/_issue&gt;&lt;_journal&gt;水科学进展&lt;/_journal&gt;&lt;_language&gt;cn&lt;/_language&gt;&lt;_modified&gt;66413434&lt;/_modified&gt;&lt;_pages&gt;28-38&lt;/_pages&gt;&lt;_tertiary_title&gt;Advances in Water Science&lt;/_tertiary_title&gt;&lt;_translated_title&gt;Knowledge-and data-driven intelligent simulation method for tidal river network hydrodynamics&lt;/_translated_title&gt;&lt;_url&gt;https://d.wanfangdata.com.cn/periodical/skxjz202501003&lt;/_url&gt;&lt;_translated_author&gt;Yuan, Sai yu;Chen, Yi hong;Luo, Xiao;Zhang, Hui ming;Tang, Hong wu&lt;/_translated_author&gt;&lt;/Details&gt;&lt;Extra&gt;&lt;DBUID&gt;{4639BE48-E8DA-433D-936E-D6A27A715D41}&lt;/DBUID&gt;&lt;/Extra&gt;&lt;/Item&gt;&lt;/References&gt;&lt;/Group&gt;&lt;/Citation&gt;_x000a_"/>
    <w:docVar w:name="NE.Ref{44723C3B-D982-45A7-B412-3038A66BC54D}" w:val=" ADDIN NE.Ref.{44723C3B-D982-45A7-B412-3038A66BC54D}&lt;Citation&gt;&lt;Group&gt;&lt;References&gt;&lt;Item&gt;&lt;ID&gt;588&lt;/ID&gt;&lt;UID&gt;{5A553904-A19B-485F-B72B-1D7E81E65D62}&lt;/UID&gt;&lt;Title&gt;直湖港、武进港关闸对太湖竺山湖水环境影响&lt;/Title&gt;&lt;Template&gt;Journal Article&lt;/Template&gt;&lt;Star&gt;0&lt;/Star&gt;&lt;Tag&gt;0&lt;/Tag&gt;&lt;Author&gt;胡开明; 逄勇; 谢飞; 蒋咏; 杨树滩&lt;/Author&gt;&lt;Year&gt;2010&lt;/Year&gt;&lt;Details&gt;&lt;_accessed&gt;66477312&lt;/_accessed&gt;&lt;_collection_scope&gt;CSCD;EI;PKU&lt;/_collection_scope&gt;&lt;_created&gt;66477312&lt;/_created&gt;&lt;_db_provider&gt;WF&lt;/_db_provider&gt;&lt;_db_updated&gt;NESearch&lt;/_db_updated&gt;&lt;_isbn&gt;1003-5427&lt;/_isbn&gt;&lt;_issue&gt;6&lt;/_issue&gt;&lt;_journal&gt;湖泊科学&lt;/_journal&gt;&lt;_language&gt;cn&lt;/_language&gt;&lt;_modified&gt;66477312&lt;/_modified&gt;&lt;_pages&gt;923-929&lt;/_pages&gt;&lt;_tertiary_title&gt;JOURNAL OF LAKE SCIENCES&lt;/_tertiary_title&gt;&lt;_translated_title&gt;Effects of Zhihugang and Wujingang closing sluices on water environment of Lake Zhushan, Lake Taihu&lt;/_translated_title&gt;&lt;_url&gt;https://d.wanfangdata.com.cn/periodical/hpkx201006016&lt;/_url&gt;&lt;_volume&gt;22&lt;/_volume&gt;&lt;_translated_author&gt;Hu, Kai ming;Pang, Yong;Xie, Fei;Jiang, Yong;Yang, Shu tan&lt;/_translated_author&gt;&lt;/Details&gt;&lt;Extra&gt;&lt;DBUID&gt;{4639BE48-E8DA-433D-936E-D6A27A715D41}&lt;/DBUID&gt;&lt;/Extra&gt;&lt;/Item&gt;&lt;/References&gt;&lt;/Group&gt;&lt;/Citation&gt;_x000a_"/>
    <w:docVar w:name="NE.Ref{45AC64A6-C846-4F2D-B3DE-89F0CB02926D}" w:val=" ADDIN NE.Ref.{45AC64A6-C846-4F2D-B3DE-89F0CB02926D}&lt;Citation&gt;&lt;Group&gt;&lt;References&gt;&lt;Item&gt;&lt;ID&gt;580&lt;/ID&gt;&lt;UID&gt;{DEC375D7-350D-4CA0-98FD-0958209ECB00}&lt;/UID&gt;&lt;Title&gt;The Impact of Water Diversion Projects on Total Phosphorus Content in Large Shallow Lake Bays: A Case Study of the Xinmeng River Project in the Taihu Lake Basin, China&lt;/Title&gt;&lt;Template&gt;Journal Article&lt;/Template&gt;&lt;Star&gt;0&lt;/Star&gt;&lt;Tag&gt;0&lt;/Tag&gt;&lt;Author&gt;Wu, Yufu; Wu, Pan; Lu, Yan; Lu, Yongjun; Wang, Zhili; Li, Minjie&lt;/Author&gt;&lt;Year&gt;2025&lt;/Year&gt;&lt;Details&gt;&lt;_created&gt;66416785&lt;/_created&gt;&lt;_modified&gt;66416785&lt;/_modified&gt;&lt;_accessed&gt;66416785&lt;/_accessed&gt;&lt;_url&gt;https://doi.org/10.1061/jwrmd5.wreng-6723&lt;/_url&gt;&lt;_journal&gt;Journal of Water Resources Planning and Management&lt;/_journal&gt;&lt;_volume&gt;151&lt;/_volume&gt;&lt;_issue&gt;5&lt;/_issue&gt;&lt;_doi&gt;10.1061/jwrmd5.wreng-6723&lt;/_doi&gt;&lt;_isbn&gt;0733-9496&lt;/_isbn&gt;&lt;_language&gt;en&lt;/_language&gt;&lt;_db_updated&gt;NESearch&lt;/_db_updated&gt;&lt;_impact_factor&gt;   2.700&lt;/_impact_factor&gt;&lt;_social_category&gt;工程：土木(3) &amp;amp; 水资源(3)&lt;/_social_category&gt;&lt;_collection_scope&gt;SCIE;EI&lt;/_collection_scope&gt;&lt;/Details&gt;&lt;Extra&gt;&lt;DBUID&gt;{4639BE48-E8DA-433D-936E-D6A27A715D41}&lt;/DBUID&gt;&lt;/Extra&gt;&lt;/Item&gt;&lt;/References&gt;&lt;/Group&gt;&lt;/Citation&gt;_x000a_"/>
    <w:docVar w:name="NE.Ref{4B120DDD-262B-4331-BE98-84781198297C}" w:val=" ADDIN NE.Ref.{4B120DDD-262B-4331-BE98-84781198297C}&lt;Citation&gt;&lt;Group&gt;&lt;References&gt;&lt;Item&gt;&lt;ID&gt;568&lt;/ID&gt;&lt;UID&gt;{666C05E9-309E-4D91-BEA3-21C912B62848}&lt;/UID&gt;&lt;Title&gt;珠江河口的能量传播和能量耗散&lt;/Title&gt;&lt;Template&gt;Journal Article&lt;/Template&gt;&lt;Star&gt;0&lt;/Star&gt;&lt;Tag&gt;0&lt;/Tag&gt;&lt;Author&gt;刘欢; 吴超羽; 包芸&lt;/Author&gt;&lt;Year&gt;2011&lt;/Year&gt;&lt;Details&gt;&lt;_accessed&gt;66413580&lt;/_accessed&gt;&lt;_collection_scope&gt;CSCD;PKU&lt;/_collection_scope&gt;&lt;_created&gt;66413580&lt;/_created&gt;&lt;_db_provider&gt;WF&lt;/_db_provider&gt;&lt;_db_updated&gt;NESearch&lt;/_db_updated&gt;&lt;_doi&gt;10.3969/j.issn.1009-5470.2011.03.003&lt;/_doi&gt;&lt;_isbn&gt;1009-5470&lt;/_isbn&gt;&lt;_issue&gt;3&lt;/_issue&gt;&lt;_journal&gt;热带海洋学报&lt;/_journal&gt;&lt;_language&gt;cn&lt;/_language&gt;&lt;_modified&gt;66413580&lt;/_modified&gt;&lt;_pages&gt;16-23&lt;/_pages&gt;&lt;_tertiary_title&gt;Journal of Tropical Oceanography&lt;/_tertiary_title&gt;&lt;_translated_title&gt;Energy flux and dissipation in the Pearl River Estuary&lt;/_translated_title&gt;&lt;_url&gt;https://d.wanfangdata.com.cn/periodical/rdhy201103003&lt;/_url&gt;&lt;_volume&gt;30&lt;/_volume&gt;&lt;_translated_author&gt;Liu, Huan;Wu, Chao yu;Bao, Yun&lt;/_translated_author&gt;&lt;/Details&gt;&lt;Extra&gt;&lt;DBUID&gt;{4639BE48-E8DA-433D-936E-D6A27A715D41}&lt;/DBUID&gt;&lt;/Extra&gt;&lt;/Item&gt;&lt;/References&gt;&lt;/Group&gt;&lt;/Citation&gt;_x000a_"/>
    <w:docVar w:name="NE.Ref{4E0D8B2A-2756-4387-9E0D-70D16660BE86}" w:val=" ADDIN NE.Ref.{4E0D8B2A-2756-4387-9E0D-70D16660BE86}&lt;Citation&gt;&lt;Group&gt;&lt;References&gt;&lt;Item&gt;&lt;ID&gt;566&lt;/ID&gt;&lt;UID&gt;{DFE1A7BD-02E4-4995-BAA7-67D0AC93D57A}&lt;/UID&gt;&lt;Title&gt;引水工程出水路线的优化对太湖总磷格局的影响——基于新孟河工程的思考&lt;/Title&gt;&lt;Template&gt;Journal Article&lt;/Template&gt;&lt;Star&gt;0&lt;/Star&gt;&lt;Tag&gt;0&lt;/Tag&gt;&lt;Author&gt;朱伟; 薛宗璞; 刘环; 程林; 张昱; 赵帅; 冯甘雨; 王若辰&lt;/Author&gt;&lt;Year&gt;2022&lt;/Year&gt;&lt;Details&gt;&lt;_accessed&gt;66412238&lt;/_accessed&gt;&lt;_collection_scope&gt;CSCD;EI;PKU&lt;/_collection_scope&gt;&lt;_created&gt;66412237&lt;/_created&gt;&lt;_db_provider&gt;WF&lt;/_db_provider&gt;&lt;_db_updated&gt;NESearch&lt;/_db_updated&gt;&lt;_doi&gt;10.18307/2022.0411&lt;/_doi&gt;&lt;_isbn&gt;1003-5427&lt;/_isbn&gt;&lt;_issue&gt;4&lt;/_issue&gt;&lt;_journal&gt;湖泊科学&lt;/_journal&gt;&lt;_language&gt;cn&lt;/_language&gt;&lt;_modified&gt;66412238&lt;/_modified&gt;&lt;_pages&gt;1175-1185&lt;/_pages&gt;&lt;_tertiary_title&gt;Journal of Lake Sciences&lt;/_tertiary_title&gt;&lt;_translated_title&gt;Effects of outlet paths on total phosphorus in Lake Taihu—Optimization analysis of Xin-meng River&amp;apos;s outlet path&lt;/_translated_title&gt;&lt;_url&gt;https://d.wanfangdata.com.cn/periodical/hpkx202204010&lt;/_url&gt;&lt;_volume&gt;34&lt;/_volume&gt;&lt;_translated_author&gt;Zhu, Wei;Xue, Zong pu;Liu, Huan;Cheng, Lin;Zhang, Yu;Zhao, Shuai;Feng, Gan yu;Wang, Ruo chen&lt;/_translated_author&gt;&lt;/Details&gt;&lt;Extra&gt;&lt;DBUID&gt;{4639BE48-E8DA-433D-936E-D6A27A715D41}&lt;/DBUID&gt;&lt;/Extra&gt;&lt;/Item&gt;&lt;/References&gt;&lt;/Group&gt;&lt;/Citation&gt;_x000a_"/>
    <w:docVar w:name="NE.Ref{4E3F8E22-46F9-40D4-8436-8720AE44159F}" w:val=" ADDIN NE.Ref.{4E3F8E22-46F9-40D4-8436-8720AE44159F}&lt;Citation&gt;&lt;Group&gt;&lt;References&gt;&lt;Item&gt;&lt;ID&gt;599&lt;/ID&gt;&lt;UID&gt;{F4D79B1A-5D0B-4C43-B931-838A8160531F}&lt;/UID&gt;&lt;Title&gt;Effects of bed discordance on flow, turbulence and mixing at an idealized asymmetrical confluence between two shallow streams&lt;/Title&gt;&lt;Template&gt;Journal Article&lt;/Template&gt;&lt;Star&gt;0&lt;/Star&gt;&lt;Tag&gt;0&lt;/Tag&gt;&lt;Author&gt;Jiang, Chenyu; Constantinescu, George&lt;/Author&gt;&lt;Year&gt;2026&lt;/Year&gt;&lt;Details&gt;&lt;_accessed&gt;66479661&lt;/_accessed&gt;&lt;_created&gt;66479661&lt;/_created&gt;&lt;_modified&gt;66479662&lt;/_modified&gt;&lt;_url&gt;https://doi.org/10.1103/lpm8-kht7&lt;/_url&gt;&lt;_journal&gt;Physical Review Fluids&lt;/_journal&gt;&lt;_doi&gt;10.1103/lpm8-kht7&lt;/_doi&gt;&lt;_isbn&gt;2469-990X&lt;/_isbn&gt;&lt;_language&gt;en&lt;/_language&gt;&lt;_db_updated&gt;NESearch&lt;/_db_updated&gt;&lt;_impact_factor&gt;   2.800&lt;/_impact_factor&gt;&lt;_social_category&gt;物理：流体与等离子体(2) &amp;amp; 力学(3)&lt;/_social_category&gt;&lt;_collection_scope&gt;SCIE;EI&lt;/_collection_scope&gt;&lt;/Details&gt;&lt;Extra&gt;&lt;DBUID&gt;{4639BE48-E8DA-433D-936E-D6A27A715D41}&lt;/DBUID&gt;&lt;/Extra&gt;&lt;/Item&gt;&lt;/References&gt;&lt;/Group&gt;&lt;/Citation&gt;_x000a_"/>
    <w:docVar w:name="NE.Ref{4F0F9B33-3378-4F46-AD15-9500EAA977A7}" w:val=" ADDIN NE.Ref.{4F0F9B33-3378-4F46-AD15-9500EAA977A7}&lt;Citation&gt;&lt;Group&gt;&lt;References&gt;&lt;Item&gt;&lt;ID&gt;577&lt;/ID&gt;&lt;UID&gt;{976EB4DA-5F84-4705-8DCF-072D488C2E06}&lt;/UID&gt;&lt;Title&gt;Influence of river structure and hydrodynamics on water quality in the upper Taihu Basin, China&lt;/Title&gt;&lt;Template&gt;Journal Article&lt;/Template&gt;&lt;Star&gt;0&lt;/Star&gt;&lt;Tag&gt;0&lt;/Tag&gt;&lt;Author&gt;Peng, Suli; Wu, Pan; Lu, Yongjun; Chen, Li; Wang, Zhili; Lu, Yan&lt;/Author&gt;&lt;Year&gt;2024&lt;/Year&gt;&lt;Details&gt;&lt;_accessed&gt;66416755&lt;/_accessed&gt;&lt;_collection_scope&gt;SCIE;EI&lt;/_collection_scope&gt;&lt;_created&gt;66416755&lt;/_created&gt;&lt;_db_updated&gt;NESearch&lt;/_db_updated&gt;&lt;_doi&gt;10.1016/j.jclepro.2024.142262&lt;/_doi&gt;&lt;_impact_factor&gt;  10.000&lt;/_impact_factor&gt;&lt;_isbn&gt;0959-6526&lt;/_isbn&gt;&lt;_journal&gt;Journal of Cleaner Production&lt;/_journal&gt;&lt;_language&gt;en&lt;/_language&gt;&lt;_modified&gt;66416755&lt;/_modified&gt;&lt;_pages&gt;142262&lt;/_pages&gt;&lt;_social_category&gt;环境科学(1) &amp;amp; 工程：环境(2) &amp;amp; 绿色可持续发展技术(2)&lt;/_social_category&gt;&lt;_url&gt;http://dx.doi.org/10.1016/j.jclepro.2024.142262&lt;/_url&gt;&lt;_volume&gt;453&lt;/_volume&gt;&lt;/Details&gt;&lt;Extra&gt;&lt;DBUID&gt;{4639BE48-E8DA-433D-936E-D6A27A715D41}&lt;/DBUID&gt;&lt;/Extra&gt;&lt;/Item&gt;&lt;/References&gt;&lt;/Group&gt;&lt;/Citation&gt;_x000a_"/>
    <w:docVar w:name="NE.Ref{55BD181A-1E59-4245-BE59-F6C3B9E55E09}" w:val=" ADDIN NE.Ref.{55BD181A-1E59-4245-BE59-F6C3B9E55E09}&lt;Citation&gt;&lt;Group&gt;&lt;References&gt;&lt;Item&gt;&lt;ID&gt;596&lt;/ID&gt;&lt;UID&gt;{FD0A1C23-772F-49A4-BA42-FF9937C28CF7}&lt;/UID&gt;&lt;Title&gt;Tidal energy fluxes and dissipation in the Chesapeake Bay&lt;/Title&gt;&lt;Template&gt;Journal Article&lt;/Template&gt;&lt;Star&gt;0&lt;/Star&gt;&lt;Tag&gt;0&lt;/Tag&gt;&lt;Author&gt;Zhong, Liejun; Li, Ming&lt;/Author&gt;&lt;Year&gt;2006&lt;/Year&gt;&lt;Details&gt;&lt;_accessed&gt;66479638&lt;/_accessed&gt;&lt;_created&gt;66479638&lt;/_created&gt;&lt;_modified&gt;66479638&lt;/_modified&gt;&lt;_url&gt;http://dx.doi.org/10.1016/j.csr.2006.02.006&lt;/_url&gt;&lt;_journal&gt;Continental Shelf Research&lt;/_journal&gt;&lt;_volume&gt;26&lt;/_volume&gt;&lt;_issue&gt;6&lt;/_issue&gt;&lt;_pages&gt;752-770&lt;/_pages&gt;&lt;_doi&gt;10.1016/j.csr.2006.02.006&lt;/_doi&gt;&lt;_isbn&gt;0278-4343&lt;/_isbn&gt;&lt;_language&gt;en&lt;/_language&gt;&lt;_db_updated&gt;NESearch&lt;/_db_updated&gt;&lt;_impact_factor&gt;   2.200&lt;/_impact_factor&gt;&lt;_social_category&gt;海洋学(3)&lt;/_social_category&gt;&lt;_collection_scope&gt;SCIE&lt;/_collection_scope&gt;&lt;/Details&gt;&lt;Extra&gt;&lt;DBUID&gt;{4639BE48-E8DA-433D-936E-D6A27A715D41}&lt;/DBUID&gt;&lt;/Extra&gt;&lt;/Item&gt;&lt;/References&gt;&lt;/Group&gt;&lt;Group&gt;&lt;References&gt;&lt;Item&gt;&lt;ID&gt;597&lt;/ID&gt;&lt;UID&gt;{0E36F48A-F09B-432C-B81F-EAACEB209978}&lt;/UID&gt;&lt;Title&gt;A model study of tide- and wind-induced mixing in the Columbia River Estuary and plume&lt;/Title&gt;&lt;Template&gt;Journal Article&lt;/Template&gt;&lt;Star&gt;0&lt;/Star&gt;&lt;Tag&gt;0&lt;/Tag&gt;&lt;Author&gt;MacCready, Parker; Banas, Neil S; Hickey, Barbara M; Dever, Edward P; Liu, Yonggang&lt;/Author&gt;&lt;Year&gt;2009&lt;/Year&gt;&lt;Details&gt;&lt;_accessed&gt;66479640&lt;/_accessed&gt;&lt;_created&gt;66479640&lt;/_created&gt;&lt;_modified&gt;66479640&lt;/_modified&gt;&lt;_url&gt;http://dx.doi.org/10.1016/j.csr.2008.03.015&lt;/_url&gt;&lt;_journal&gt;Continental Shelf Research&lt;/_journal&gt;&lt;_volume&gt;29&lt;/_volume&gt;&lt;_issue&gt;1&lt;/_issue&gt;&lt;_pages&gt;278-291&lt;/_pages&gt;&lt;_doi&gt;10.1016/j.csr.2008.03.015&lt;/_doi&gt;&lt;_isbn&gt;0278-4343&lt;/_isbn&gt;&lt;_language&gt;en&lt;/_language&gt;&lt;_db_updated&gt;NESearch&lt;/_db_updated&gt;&lt;_impact_factor&gt;   2.200&lt;/_impact_factor&gt;&lt;_social_category&gt;海洋学(3)&lt;/_social_category&gt;&lt;_collection_scope&gt;SCIE&lt;/_collection_scope&gt;&lt;/Details&gt;&lt;Extra&gt;&lt;DBUID&gt;{4639BE48-E8DA-433D-936E-D6A27A715D41}&lt;/DBUID&gt;&lt;/Extra&gt;&lt;/Item&gt;&lt;/References&gt;&lt;/Group&gt;&lt;Group&gt;&lt;References&gt;&lt;Item&gt;&lt;ID&gt;568&lt;/ID&gt;&lt;UID&gt;{666C05E9-309E-4D91-BEA3-21C912B62848}&lt;/UID&gt;&lt;Title&gt;珠江河口的能量传播和能量耗散&lt;/Title&gt;&lt;Template&gt;Journal Article&lt;/Template&gt;&lt;Star&gt;0&lt;/Star&gt;&lt;Tag&gt;0&lt;/Tag&gt;&lt;Author&gt;刘欢; 吴超羽; 包芸&lt;/Author&gt;&lt;Year&gt;2011&lt;/Year&gt;&lt;Details&gt;&lt;_accessed&gt;66413580&lt;/_accessed&gt;&lt;_collection_scope&gt;CSCD;PKU&lt;/_collection_scope&gt;&lt;_created&gt;66413580&lt;/_created&gt;&lt;_db_provider&gt;WF&lt;/_db_provider&gt;&lt;_db_updated&gt;NESearch&lt;/_db_updated&gt;&lt;_doi&gt;10.3969/j.issn.1009-5470.2011.03.003&lt;/_doi&gt;&lt;_isbn&gt;1009-5470&lt;/_isbn&gt;&lt;_issue&gt;3&lt;/_issue&gt;&lt;_journal&gt;热带海洋学报&lt;/_journal&gt;&lt;_language&gt;cn&lt;/_language&gt;&lt;_modified&gt;66413580&lt;/_modified&gt;&lt;_pages&gt;16-23&lt;/_pages&gt;&lt;_tertiary_title&gt;Journal of Tropical Oceanography&lt;/_tertiary_title&gt;&lt;_translated_title&gt;Energy flux and dissipation in the Pearl River Estuary&lt;/_translated_title&gt;&lt;_url&gt;https://d.wanfangdata.com.cn/periodical/rdhy201103003&lt;/_url&gt;&lt;_volume&gt;30&lt;/_volume&gt;&lt;_translated_author&gt;Liu, Huan;Wu, Chao yu;Bao, Yun&lt;/_translated_author&gt;&lt;/Details&gt;&lt;Extra&gt;&lt;DBUID&gt;{4639BE48-E8DA-433D-936E-D6A27A715D41}&lt;/DBUID&gt;&lt;/Extra&gt;&lt;/Item&gt;&lt;/References&gt;&lt;/Group&gt;&lt;/Citation&gt;_x000a_"/>
    <w:docVar w:name="NE.Ref{56B57541-29FD-4417-BE0F-07DDFA9DD333}" w:val=" ADDIN NE.Ref.{56B57541-29FD-4417-BE0F-07DDFA9DD333}&lt;Citation&gt;&lt;Group&gt;&lt;References&gt;&lt;Item&gt;&lt;ID&gt;589&lt;/ID&gt;&lt;UID&gt;{923EBC22-843F-4E18-9880-981BD26812C6}&lt;/UID&gt;&lt;Title&gt;太湖水体交换周期变化(1986-2018年)及对水质空间格局的影响&lt;/Title&gt;&lt;Template&gt;Journal Article&lt;/Template&gt;&lt;Star&gt;0&lt;/Star&gt;&lt;Tag&gt;0&lt;/Tag&gt;&lt;Author&gt;朱伟; 程林; 薛宗璞; 冯甘雨; 王若辰; 张昱; 赵帅; 胡思远&lt;/Author&gt;&lt;Year&gt;2021&lt;/Year&gt;&lt;Details&gt;&lt;_accessed&gt;66477313&lt;/_accessed&gt;&lt;_collection_scope&gt;CSCD;EI;PKU&lt;/_collection_scope&gt;&lt;_created&gt;66477313&lt;/_created&gt;&lt;_db_provider&gt;WF&lt;/_db_provider&gt;&lt;_db_updated&gt;NESearch&lt;/_db_updated&gt;&lt;_doi&gt;10.18307/2021.0411&lt;/_doi&gt;&lt;_isbn&gt;1003-5427&lt;/_isbn&gt;&lt;_issue&gt;4&lt;/_issue&gt;&lt;_journal&gt;湖泊科学&lt;/_journal&gt;&lt;_language&gt;cn&lt;/_language&gt;&lt;_modified&gt;66477313&lt;/_modified&gt;&lt;_pages&gt;1087-1099&lt;/_pages&gt;&lt;_tertiary_title&gt;Journal of Lake Sciences&lt;/_tertiary_title&gt;&lt;_translated_title&gt;Changes of water exchange cycle in Lake Taihu (1986-2018) and its effect on the spatial pattern of water quality&lt;/_translated_title&gt;&lt;_url&gt;https://d.wanfangdata.com.cn/periodical/hpkx202104011&lt;/_url&gt;&lt;_volume&gt;33&lt;/_volume&gt;&lt;_translated_author&gt;Zhu, Wei;Cheng, Lin;Xue, Zong pu;Feng, Gan yu;Wang, Ruo chen;Zhang, Yu;Zhao, Shuai;Hu, Si yuan&lt;/_translated_author&gt;&lt;/Details&gt;&lt;Extra&gt;&lt;DBUID&gt;{4639BE48-E8DA-433D-936E-D6A27A715D41}&lt;/DBUID&gt;&lt;/Extra&gt;&lt;/Item&gt;&lt;/References&gt;&lt;/Group&gt;&lt;/Citation&gt;_x000a_"/>
    <w:docVar w:name="NE.Ref{585C188D-79AA-4BEE-A5E4-178CE1E38B9F}" w:val=" ADDIN NE.Ref.{585C188D-79AA-4BEE-A5E4-178CE1E38B9F}&lt;Citation&gt;&lt;Group&gt;&lt;References&gt;&lt;Item&gt;&lt;ID&gt;593&lt;/ID&gt;&lt;UID&gt;{1D8F3274-4754-47FA-819B-79D65A562061}&lt;/UID&gt;&lt;Title&gt;Connection between Anthropogenic Water Diversion and Hydrodynamic Condition in Plain River Network&lt;/Title&gt;&lt;Template&gt;Journal Article&lt;/Template&gt;&lt;Star&gt;0&lt;/Star&gt;&lt;Tag&gt;0&lt;/Tag&gt;&lt;Author&gt;Wang, Hua; Shen, Zilin; Zeng, Yichuan; Yan, Huaiyu; Li, Yiping; Yuan, Weihao&lt;/Author&gt;&lt;Year&gt;2021&lt;/Year&gt;&lt;Details&gt;&lt;_created&gt;66479580&lt;/_created&gt;&lt;_modified&gt;66479580&lt;/_modified&gt;&lt;_accessed&gt;66479580&lt;/_accessed&gt;&lt;_url&gt;http://dx.doi.org/10.3390/w13243596&lt;/_url&gt;&lt;_journal&gt;Water&lt;/_journal&gt;&lt;_volume&gt;13&lt;/_volume&gt;&lt;_issue&gt;24&lt;/_issue&gt;&lt;_pages&gt;3596&lt;/_pages&gt;&lt;_doi&gt;10.3390/w13243596&lt;/_doi&gt;&lt;_isbn&gt;2073-4441&lt;/_isbn&gt;&lt;_language&gt;en&lt;/_language&gt;&lt;_db_updated&gt;NESearch&lt;/_db_updated&gt;&lt;_impact_factor&gt;   3.000&lt;/_impact_factor&gt;&lt;_social_category&gt;环境科学(4) &amp;amp; 水资源(4)&lt;/_social_category&gt;&lt;_collection_scope&gt;SCIE;EI&lt;/_collection_scope&gt;&lt;/Details&gt;&lt;Extra&gt;&lt;DBUID&gt;{4639BE48-E8DA-433D-936E-D6A27A715D41}&lt;/DBUID&gt;&lt;/Extra&gt;&lt;/Item&gt;&lt;/References&gt;&lt;/Group&gt;&lt;/Citation&gt;_x000a_"/>
    <w:docVar w:name="NE.Ref{5C9B165D-312D-488A-AE9F-EA00D8A522C1}" w:val=" ADDIN NE.Ref.{5C9B165D-312D-488A-AE9F-EA00D8A522C1}&lt;Citation&gt;&lt;Group&gt;&lt;References&gt;&lt;Item&gt;&lt;ID&gt;568&lt;/ID&gt;&lt;UID&gt;{666C05E9-309E-4D91-BEA3-21C912B62848}&lt;/UID&gt;&lt;Title&gt;珠江河口的能量传播和能量耗散&lt;/Title&gt;&lt;Template&gt;Journal Article&lt;/Template&gt;&lt;Star&gt;0&lt;/Star&gt;&lt;Tag&gt;0&lt;/Tag&gt;&lt;Author&gt;刘欢; 吴超羽; 包芸&lt;/Author&gt;&lt;Year&gt;2011&lt;/Year&gt;&lt;Details&gt;&lt;_accessed&gt;66413580&lt;/_accessed&gt;&lt;_collection_scope&gt;CSCD;PKU&lt;/_collection_scope&gt;&lt;_created&gt;66413580&lt;/_created&gt;&lt;_db_provider&gt;WF&lt;/_db_provider&gt;&lt;_db_updated&gt;NESearch&lt;/_db_updated&gt;&lt;_doi&gt;10.3969/j.issn.1009-5470.2011.03.003&lt;/_doi&gt;&lt;_isbn&gt;1009-5470&lt;/_isbn&gt;&lt;_issue&gt;3&lt;/_issue&gt;&lt;_journal&gt;热带海洋学报&lt;/_journal&gt;&lt;_language&gt;cn&lt;/_language&gt;&lt;_modified&gt;66413580&lt;/_modified&gt;&lt;_pages&gt;16-23&lt;/_pages&gt;&lt;_tertiary_title&gt;Journal of Tropical Oceanography&lt;/_tertiary_title&gt;&lt;_translated_title&gt;Energy flux and dissipation in the Pearl River Estuary&lt;/_translated_title&gt;&lt;_url&gt;https://d.wanfangdata.com.cn/periodical/rdhy201103003&lt;/_url&gt;&lt;_volume&gt;30&lt;/_volume&gt;&lt;_translated_author&gt;Liu, Huan;Wu, Chao yu;Bao, Yun&lt;/_translated_author&gt;&lt;/Details&gt;&lt;Extra&gt;&lt;DBUID&gt;{4639BE48-E8DA-433D-936E-D6A27A715D41}&lt;/DBUID&gt;&lt;/Extra&gt;&lt;/Item&gt;&lt;/References&gt;&lt;/Group&gt;&lt;/Citation&gt;_x000a_"/>
    <w:docVar w:name="NE.Ref{5D5E0AC8-433C-4785-BDD8-5B39551B832F}" w:val=" ADDIN NE.Ref.{5D5E0AC8-433C-4785-BDD8-5B39551B832F}&lt;Citation&gt;&lt;Group&gt;&lt;References&gt;&lt;Item&gt;&lt;ID&gt;545&lt;/ID&gt;&lt;UID&gt;{7BA992A5-81A5-4DDC-A1FD-D98CC92D8DFC}&lt;/UID&gt;&lt;Title&gt;太湖西北部湖区入湖河流氮磷水质标准修正方案研究&lt;/Title&gt;&lt;Template&gt;Journal Article&lt;/Template&gt;&lt;Star&gt;0&lt;/Star&gt;&lt;Tag&gt;0&lt;/Tag&gt;&lt;Author&gt;许晨; 万荣荣; 马倩; 杨桂山&lt;/Author&gt;&lt;Year&gt;2017&lt;/Year&gt;&lt;Details&gt;&lt;_accessed&gt;66396572&lt;/_accessed&gt;&lt;_collection_scope&gt;CSSCI;CSCD;PKU&lt;/_collection_scope&gt;&lt;_created&gt;66396572&lt;/_created&gt;&lt;_db_provider&gt;WF&lt;/_db_provider&gt;&lt;_db_updated&gt;NESearch&lt;/_db_updated&gt;&lt;_doi&gt;10.11870/cjlyzyyhj201708008&lt;/_doi&gt;&lt;_isbn&gt;1004-8227&lt;/_isbn&gt;&lt;_issue&gt;8&lt;/_issue&gt;&lt;_journal&gt;长江流域资源与环境&lt;/_journal&gt;&lt;_language&gt;cn&lt;/_language&gt;&lt;_modified&gt;66396572&lt;/_modified&gt;&lt;_pages&gt;1180-1188&lt;/_pages&gt;&lt;_tertiary_title&gt;Resources and Environment in the Yangtze Basin&lt;/_tertiary_title&gt;&lt;_translated_title&gt;THE RESEARCH IN THE REVISED PLAN OF WATER QUALITY STANDARD OF THE NITROGEN AND PHOSPHORUS FOR THE INFLOW RIVERS IN THE NORTHWEST OF THE TAIHU LAKE&lt;/_translated_title&gt;&lt;_url&gt;https://d.wanfangdata.com.cn/periodical/cjlyzyyhj201708008&lt;/_url&gt;&lt;_volume&gt;26&lt;/_volume&gt;&lt;_translated_author&gt;Xu, Chen;Wan, Rong rong;Ma, Qian;Yang, Gui shan&lt;/_translated_author&gt;&lt;/Details&gt;&lt;Extra&gt;&lt;DBUID&gt;{4639BE48-E8DA-433D-936E-D6A27A715D41}&lt;/DBUID&gt;&lt;/Extra&gt;&lt;/Item&gt;&lt;/References&gt;&lt;/Group&gt;&lt;/Citation&gt;_x000a_"/>
    <w:docVar w:name="NE.Ref{62B7C69B-B13E-4BF1-AB79-F29BFF341DA2}" w:val=" ADDIN NE.Ref.{62B7C69B-B13E-4BF1-AB79-F29BFF341DA2}&lt;Citation&gt;&lt;Group&gt;&lt;References&gt;&lt;Item&gt;&lt;ID&gt;556&lt;/ID&gt;&lt;UID&gt;{2BD0EFA3-C6A6-4B5C-9D9A-4C0B81A72D3B}&lt;/UID&gt;&lt;Title&gt;调水新格局下太湖水生态功能提升研究&lt;/Title&gt;&lt;Template&gt;Journal Article&lt;/Template&gt;&lt;Star&gt;0&lt;/Star&gt;&lt;Tag&gt;0&lt;/Tag&gt;&lt;Author&gt;苏鹏鹏; 闫振华; 黄睿; 胡晓东&lt;/Author&gt;&lt;Year&gt;2025&lt;/Year&gt;&lt;Details&gt;&lt;_accessed&gt;66396646&lt;/_accessed&gt;&lt;_created&gt;66396646&lt;/_created&gt;&lt;_db_provider&gt;WF&lt;/_db_provider&gt;&lt;_db_updated&gt;NESearch&lt;/_db_updated&gt;&lt;_doi&gt;10.12677/aep.2025.152020&lt;/_doi&gt;&lt;_isbn&gt;2164-5485&lt;/_isbn&gt;&lt;_issue&gt;2&lt;/_issue&gt;&lt;_journal&gt;环境保护前沿&lt;/_journal&gt;&lt;_language&gt;cn&lt;/_language&gt;&lt;_modified&gt;66396646&lt;/_modified&gt;&lt;_pages&gt;157-166&lt;/_pages&gt;&lt;_tertiary_title&gt;Advances in Environmental Protection&lt;/_tertiary_title&gt;&lt;_translated_title&gt;Aquatic Ecological Function Improvement of Taihu Lake Based on New Water Diversion Scenario&lt;/_translated_title&gt;&lt;_url&gt;https://d.wanfangdata.com.cn/periodical/qk3_000032373415&lt;/_url&gt;&lt;_translated_author&gt;Su, Peng peng;Yan, Zhen hua;Huang, Rui;Hu, Xiao dong&lt;/_translated_author&gt;&lt;/Details&gt;&lt;Extra&gt;&lt;DBUID&gt;{4639BE48-E8DA-433D-936E-D6A27A715D41}&lt;/DBUID&gt;&lt;/Extra&gt;&lt;/Item&gt;&lt;/References&gt;&lt;/Group&gt;&lt;/Citation&gt;_x000a_"/>
    <w:docVar w:name="NE.Ref{683075B1-907B-42DE-9367-5279985B2389}" w:val=" ADDIN NE.Ref.{683075B1-907B-42DE-9367-5279985B2389}&lt;Citation&gt;&lt;Group&gt;&lt;References&gt;&lt;Item&gt;&lt;ID&gt;559&lt;/ID&gt;&lt;UID&gt;{D2C16E3D-8995-4691-A8DE-FA51F1DF1C9A}&lt;/UID&gt;&lt;Title&gt;关于太湖水环境治理的思考&lt;/Title&gt;&lt;Template&gt;Journal Article&lt;/Template&gt;&lt;Star&gt;0&lt;/Star&gt;&lt;Tag&gt;0&lt;/Tag&gt;&lt;Author&gt;陈凯麒; 祁昌军; 陶洁; 曹晓红&lt;/Author&gt;&lt;Year&gt;2016&lt;/Year&gt;&lt;Details&gt;&lt;_created&gt;66401098&lt;/_created&gt;&lt;_modified&gt;66401098&lt;/_modified&gt;&lt;_accessed&gt;66401098&lt;/_accessed&gt;&lt;_url&gt;https://d.wanfangdata.com.cn/periodical/hjbh201618005&lt;/_url&gt;&lt;_journal&gt;环境保护&lt;/_journal&gt;&lt;_volume&gt;44&lt;/_volume&gt;&lt;_issue&gt;18&lt;/_issue&gt;&lt;_pages&gt;20-23&lt;/_pages&gt;&lt;_tertiary_title&gt;Environmental Protection&lt;/_tertiary_title&gt;&lt;_isbn&gt;0253-9705&lt;/_isbn&gt;&lt;_translated_title&gt;Thoughts on Water Environmental Treatment in Taihu Lake&lt;/_translated_title&gt;&lt;_db_provider&gt;WF&lt;/_db_provider&gt;&lt;_language&gt;cn&lt;/_language&gt;&lt;_db_updated&gt;NESearch&lt;/_db_updated&gt;&lt;_collection_scope&gt;CSSCI-E&lt;/_collection_scope&gt;&lt;_translated_author&gt;Chen, Kai qi;Qi, Chang jun;Tao, Jie;Cao, Xiao hong&lt;/_translated_author&gt;&lt;/Details&gt;&lt;Extra&gt;&lt;DBUID&gt;{4639BE48-E8DA-433D-936E-D6A27A715D41}&lt;/DBUID&gt;&lt;/Extra&gt;&lt;/Item&gt;&lt;/References&gt;&lt;/Group&gt;&lt;/Citation&gt;_x000a_"/>
    <w:docVar w:name="NE.Ref{6983F40C-F36E-4A86-BE14-8C01BD35EF4F}" w:val=" ADDIN NE.Ref.{6983F40C-F36E-4A86-BE14-8C01BD35EF4F}&lt;Citation&gt;&lt;Group&gt;&lt;References&gt;&lt;Item&gt;&lt;ID&gt;545&lt;/ID&gt;&lt;UID&gt;{7BA992A5-81A5-4DDC-A1FD-D98CC92D8DFC}&lt;/UID&gt;&lt;Title&gt;太湖西北部湖区入湖河流氮磷水质标准修正方案研究&lt;/Title&gt;&lt;Template&gt;Journal Article&lt;/Template&gt;&lt;Star&gt;0&lt;/Star&gt;&lt;Tag&gt;0&lt;/Tag&gt;&lt;Author&gt;许晨; 万荣荣; 马倩; 杨桂山&lt;/Author&gt;&lt;Year&gt;2017&lt;/Year&gt;&lt;Details&gt;&lt;_accessed&gt;66396572&lt;/_accessed&gt;&lt;_collection_scope&gt;CSSCI;CSCD;PKU&lt;/_collection_scope&gt;&lt;_created&gt;66396572&lt;/_created&gt;&lt;_db_provider&gt;WF&lt;/_db_provider&gt;&lt;_db_updated&gt;NESearch&lt;/_db_updated&gt;&lt;_doi&gt;10.11870/cjlyzyyhj201708008&lt;/_doi&gt;&lt;_isbn&gt;1004-8227&lt;/_isbn&gt;&lt;_issue&gt;8&lt;/_issue&gt;&lt;_journal&gt;长江流域资源与环境&lt;/_journal&gt;&lt;_language&gt;cn&lt;/_language&gt;&lt;_modified&gt;66396572&lt;/_modified&gt;&lt;_pages&gt;1180-1188&lt;/_pages&gt;&lt;_tertiary_title&gt;Resources and Environment in the Yangtze Basin&lt;/_tertiary_title&gt;&lt;_translated_title&gt;THE RESEARCH IN THE REVISED PLAN OF WATER QUALITY STANDARD OF THE NITROGEN AND PHOSPHORUS FOR THE INFLOW RIVERS IN THE NORTHWEST OF THE TAIHU LAKE&lt;/_translated_title&gt;&lt;_url&gt;https://d.wanfangdata.com.cn/periodical/cjlyzyyhj201708008&lt;/_url&gt;&lt;_volume&gt;26&lt;/_volume&gt;&lt;_translated_author&gt;Xu, Chen;Wan, Rong rong;Ma, Qian;Yang, Gui shan&lt;/_translated_author&gt;&lt;/Details&gt;&lt;Extra&gt;&lt;DBUID&gt;{4639BE48-E8DA-433D-936E-D6A27A715D41}&lt;/DBUID&gt;&lt;/Extra&gt;&lt;/Item&gt;&lt;/References&gt;&lt;/Group&gt;&lt;/Citation&gt;_x000a_"/>
    <w:docVar w:name="NE.Ref{6BCF53C5-B667-45D2-A5F3-D322A9CD5A9A}" w:val=" ADDIN NE.Ref.{6BCF53C5-B667-45D2-A5F3-D322A9CD5A9A}&lt;Citation&gt;&lt;Group&gt;&lt;References&gt;&lt;Item&gt;&lt;ID&gt;581&lt;/ID&gt;&lt;UID&gt;{3F0E63DD-7B56-49BD-92B9-C9FABE4E1C45}&lt;/UID&gt;&lt;Title&gt;Assessing the Impact of Water Diversion on Hydrodynamics and Water Quality in the Upper Taihu Basin, China&lt;/Title&gt;&lt;Template&gt;Journal Article&lt;/Template&gt;&lt;Star&gt;0&lt;/Star&gt;&lt;Tag&gt;0&lt;/Tag&gt;&lt;Author&gt;Peng, Suli; Wu, Pan; Wang, Zhili; Chen, Kebing; Dong, Zhi; Lu, Yongjun; Chen, Li; Lu, Yan&lt;/Author&gt;&lt;Year&gt;2025&lt;/Year&gt;&lt;Details&gt;&lt;_accessed&gt;66416791&lt;/_accessed&gt;&lt;_collection_scope&gt;SCIE;EI&lt;/_collection_scope&gt;&lt;_created&gt;66416791&lt;/_created&gt;&lt;_db_updated&gt;NESearch&lt;/_db_updated&gt;&lt;_doi&gt;10.1002/hyp.70289&lt;/_doi&gt;&lt;_impact_factor&gt;   2.900&lt;/_impact_factor&gt;&lt;_isbn&gt;0885-6087&lt;/_isbn&gt;&lt;_issue&gt;10&lt;/_issue&gt;&lt;_journal&gt;Hydrological Processes&lt;/_journal&gt;&lt;_language&gt;en&lt;/_language&gt;&lt;_modified&gt;66416791&lt;/_modified&gt;&lt;_social_category&gt;水资源(3)&lt;/_social_category&gt;&lt;_url&gt;https://doi.org/10.1002/hyp.70289&lt;/_url&gt;&lt;_volume&gt;39&lt;/_volume&gt;&lt;/Details&gt;&lt;Extra&gt;&lt;DBUID&gt;{4639BE48-E8DA-433D-936E-D6A27A715D41}&lt;/DBUID&gt;&lt;/Extra&gt;&lt;/Item&gt;&lt;/References&gt;&lt;/Group&gt;&lt;Group&gt;&lt;References&gt;&lt;Item&gt;&lt;ID&gt;577&lt;/ID&gt;&lt;UID&gt;{976EB4DA-5F84-4705-8DCF-072D488C2E06}&lt;/UID&gt;&lt;Title&gt;Influence of river structure and hydrodynamics on water quality in the upper Taihu Basin, China&lt;/Title&gt;&lt;Template&gt;Journal Article&lt;/Template&gt;&lt;Star&gt;0&lt;/Star&gt;&lt;Tag&gt;0&lt;/Tag&gt;&lt;Author&gt;Peng, Suli; Wu, Pan; Lu, Yongjun; Chen, Li; Wang, Zhili; Lu, Yan&lt;/Author&gt;&lt;Year&gt;2024&lt;/Year&gt;&lt;Details&gt;&lt;_accessed&gt;66416755&lt;/_accessed&gt;&lt;_collection_scope&gt;SCIE;EI&lt;/_collection_scope&gt;&lt;_created&gt;66416755&lt;/_created&gt;&lt;_db_updated&gt;NESearch&lt;/_db_updated&gt;&lt;_doi&gt;10.1016/j.jclepro.2024.142262&lt;/_doi&gt;&lt;_impact_factor&gt;  10.000&lt;/_impact_factor&gt;&lt;_isbn&gt;0959-6526&lt;/_isbn&gt;&lt;_journal&gt;Journal of Cleaner Production&lt;/_journal&gt;&lt;_language&gt;en&lt;/_language&gt;&lt;_modified&gt;66416755&lt;/_modified&gt;&lt;_pages&gt;142262&lt;/_pages&gt;&lt;_social_category&gt;环境科学(1) &amp;amp; 工程：环境(2) &amp;amp; 绿色可持续发展技术(2)&lt;/_social_category&gt;&lt;_url&gt;http://dx.doi.org/10.1016/j.jclepro.2024.142262&lt;/_url&gt;&lt;_volume&gt;453&lt;/_volume&gt;&lt;/Details&gt;&lt;Extra&gt;&lt;DBUID&gt;{4639BE48-E8DA-433D-936E-D6A27A715D41}&lt;/DBUID&gt;&lt;/Extra&gt;&lt;/Item&gt;&lt;/References&gt;&lt;/Group&gt;&lt;/Citation&gt;_x000a_"/>
    <w:docVar w:name="NE.Ref{6BEB9048-8E95-44CE-AA56-39E8DE6AEF1C}" w:val=" ADDIN NE.Ref.{6BEB9048-8E95-44CE-AA56-39E8DE6AEF1C}&lt;Citation&gt;&lt;Group&gt;&lt;References&gt;&lt;Item&gt;&lt;ID&gt;593&lt;/ID&gt;&lt;UID&gt;{1D8F3274-4754-47FA-819B-79D65A562061}&lt;/UID&gt;&lt;Title&gt;Connection between Anthropogenic Water Diversion and Hydrodynamic Condition in Plain River Network&lt;/Title&gt;&lt;Template&gt;Journal Article&lt;/Template&gt;&lt;Star&gt;0&lt;/Star&gt;&lt;Tag&gt;0&lt;/Tag&gt;&lt;Author&gt;Wang, Hua; Shen, Zilin; Zeng, Yichuan; Yan, Huaiyu; Li, Yiping; Yuan, Weihao&lt;/Author&gt;&lt;Year&gt;2021&lt;/Year&gt;&lt;Details&gt;&lt;_created&gt;66479580&lt;/_created&gt;&lt;_modified&gt;66479580&lt;/_modified&gt;&lt;_accessed&gt;66479580&lt;/_accessed&gt;&lt;_url&gt;http://dx.doi.org/10.3390/w13243596&lt;/_url&gt;&lt;_journal&gt;Water&lt;/_journal&gt;&lt;_volume&gt;13&lt;/_volume&gt;&lt;_issue&gt;24&lt;/_issue&gt;&lt;_pages&gt;3596&lt;/_pages&gt;&lt;_doi&gt;10.3390/w13243596&lt;/_doi&gt;&lt;_isbn&gt;2073-4441&lt;/_isbn&gt;&lt;_language&gt;en&lt;/_language&gt;&lt;_db_updated&gt;NESearch&lt;/_db_updated&gt;&lt;_impact_factor&gt;   3.000&lt;/_impact_factor&gt;&lt;_social_category&gt;环境科学(4) &amp;amp; 水资源(4)&lt;/_social_category&gt;&lt;_collection_scope&gt;SCIE;EI&lt;/_collection_scope&gt;&lt;/Details&gt;&lt;Extra&gt;&lt;DBUID&gt;{4639BE48-E8DA-433D-936E-D6A27A715D41}&lt;/DBUID&gt;&lt;/Extra&gt;&lt;/Item&gt;&lt;/References&gt;&lt;/Group&gt;&lt;/Citation&gt;_x000a_"/>
    <w:docVar w:name="NE.Ref{70E27E8D-7577-4BD6-A169-A0E15A3BDF58}" w:val=" ADDIN NE.Ref.{70E27E8D-7577-4BD6-A169-A0E15A3BDF58}&lt;Citation&gt;&lt;Group&gt;&lt;References&gt;&lt;Item&gt;&lt;ID&gt;584&lt;/ID&gt;&lt;UID&gt;{E7CC22E1-C392-42C5-A4ED-2CB474E2E68D}&lt;/UID&gt;&lt;Title&gt;平原河网水动力优化调度与水环境改善的响应关系研究&lt;/Title&gt;&lt;Template&gt;Journal Article&lt;/Template&gt;&lt;Star&gt;0&lt;/Star&gt;&lt;Tag&gt;0&lt;/Tag&gt;&lt;Author&gt;王添; 侯精明; 栾广学; 申腾飞; 张荣斌; 沈健; 孙学良&lt;/Author&gt;&lt;Year&gt;2024&lt;/Year&gt;&lt;Details&gt;&lt;_accessed&gt;66473056&lt;/_accessed&gt;&lt;_collection_scope&gt;CSCD;PKU&lt;/_collection_scope&gt;&lt;_created&gt;66473056&lt;/_created&gt;&lt;_db_provider&gt;WF&lt;/_db_provider&gt;&lt;_db_updated&gt;NESearch&lt;/_db_updated&gt;&lt;_doi&gt;10.11660/slfdxb.20240810&lt;/_doi&gt;&lt;_isbn&gt;1003-1243&lt;/_isbn&gt;&lt;_issue&gt;8&lt;/_issue&gt;&lt;_journal&gt;水力发电学报&lt;/_journal&gt;&lt;_language&gt;cn&lt;/_language&gt;&lt;_modified&gt;66473056&lt;/_modified&gt;&lt;_pages&gt;98-111&lt;/_pages&gt;&lt;_tertiary_title&gt;Journal of Hydroelectric Engineering&lt;/_tertiary_title&gt;&lt;_translated_title&gt;Study on response relationship between hydrodynamic optimization scheduling and water environment improvement in plain river networks&lt;/_translated_title&gt;&lt;_url&gt;https://d.wanfangdata.com.cn/periodical/slfdxb202408010&lt;/_url&gt;&lt;_volume&gt;43&lt;/_volume&gt;&lt;_translated_author&gt;Wang, Tian;Hou, Jing ming;Luan, Guang xue;Shen, Teng fei;Zhang, Rong bin;Shen, Jian;Sun, Xue liang&lt;/_translated_author&gt;&lt;/Details&gt;&lt;Extra&gt;&lt;DBUID&gt;{4639BE48-E8DA-433D-936E-D6A27A715D41}&lt;/DBUID&gt;&lt;/Extra&gt;&lt;/Item&gt;&lt;/References&gt;&lt;/Group&gt;&lt;/Citation&gt;_x000a_"/>
    <w:docVar w:name="NE.Ref{826D8CA0-CDEC-4700-9D3A-D2FE92311D2D}" w:val=" ADDIN NE.Ref.{826D8CA0-CDEC-4700-9D3A-D2FE92311D2D}&lt;Citation&gt;&lt;Group&gt;&lt;References&gt;&lt;Item&gt;&lt;ID&gt;558&lt;/ID&gt;&lt;UID&gt;{8ABC583A-30F7-439F-9B2E-DF9FFC1C43AE}&lt;/UID&gt;&lt;Title&gt;高度城镇化背景下太湖流域防洪治理格局优化研究&lt;/Title&gt;&lt;Template&gt;Journal Article&lt;/Template&gt;&lt;Star&gt;0&lt;/Star&gt;&lt;Tag&gt;0&lt;/Tag&gt;&lt;Author&gt;刘克强; 何爽; 徐天奕&lt;/Author&gt;&lt;Year&gt;2025&lt;/Year&gt;&lt;Details&gt;&lt;_accessed&gt;66401083&lt;/_accessed&gt;&lt;_collection_scope&gt;PKU&lt;/_collection_scope&gt;&lt;_created&gt;66401083&lt;/_created&gt;&lt;_db_provider&gt;WF&lt;/_db_provider&gt;&lt;_db_updated&gt;NESearch&lt;/_db_updated&gt;&lt;_doi&gt;10.16232/j.cnki.1001-4179.2025.03.006&lt;/_doi&gt;&lt;_isbn&gt;1001-4179&lt;/_isbn&gt;&lt;_issue&gt;3&lt;/_issue&gt;&lt;_journal&gt;人民长江&lt;/_journal&gt;&lt;_language&gt;cn&lt;/_language&gt;&lt;_modified&gt;66401083&lt;/_modified&gt;&lt;_pages&gt;39-47&lt;/_pages&gt;&lt;_tertiary_title&gt;Yangtze River&lt;/_tertiary_title&gt;&lt;_translated_title&gt;Study on coordination and optimization of flood control and management patterns in Taihu Basin under high-level urbanization&lt;/_translated_title&gt;&lt;_url&gt;https://d.wanfangdata.com.cn/periodical/rmcj202503006&lt;/_url&gt;&lt;_translated_author&gt;Liu, Ke qiang;He, Shuang;Xu, Tian yi&lt;/_translated_author&gt;&lt;/Details&gt;&lt;Extra&gt;&lt;DBUID&gt;{4639BE48-E8DA-433D-936E-D6A27A715D41}&lt;/DBUID&gt;&lt;/Extra&gt;&lt;/Item&gt;&lt;/References&gt;&lt;/Group&gt;&lt;/Citation&gt;_x000a_"/>
    <w:docVar w:name="NE.Ref{878E0F96-F0BE-4DAF-8BAD-DA80C55C7A02}" w:val=" ADDIN NE.Ref.{878E0F96-F0BE-4DAF-8BAD-DA80C55C7A02}&lt;Citation&gt;&lt;Group&gt;&lt;References&gt;&lt;Item&gt;&lt;ID&gt;575&lt;/ID&gt;&lt;UID&gt;{4BF25FA1-7F0E-434A-A03F-37664DC68D5B}&lt;/UID&gt;&lt;Title&gt;典型城市感潮河网水质劣化机理研究&lt;/Title&gt;&lt;Template&gt;Journal Article&lt;/Template&gt;&lt;Star&gt;0&lt;/Star&gt;&lt;Tag&gt;0&lt;/Tag&gt;&lt;Author&gt;魏祥龙; 陆卫安; 唐洪武; 王玲玲; 羊丹; 陈红; 袁赛瑜; 黄茗; 吕升奇&lt;/Author&gt;&lt;Year&gt;0&lt;/Year&gt;&lt;Details&gt;&lt;_accessed&gt;66416808&lt;/_accessed&gt;&lt;_author_adr&gt;河海大学水利部水循环与水动力系统重点实验室;河海大学水灾害防御全国重点实验室;上海市水利管理事务中心;华南理工大学海洋科学与工程学院;&lt;/_author_adr&gt;&lt;_collection_scope&gt;CSCD;EI;PKU&lt;/_collection_scope&gt;&lt;_created&gt;66416739&lt;/_created&gt;&lt;_db_provider&gt;CNKI&lt;/_db_provider&gt;&lt;_db_updated&gt;CNKI - Reference&lt;/_db_updated&gt;&lt;_isbn&gt;1004-6933&lt;/_isbn&gt;&lt;_journal&gt;水资源保护&lt;/_journal&gt;&lt;_keywords&gt;感潮河网;水污染;水动力重构;一维河网模型&lt;/_keywords&gt;&lt;_modified&gt;66416808&lt;/_modified&gt;&lt;_pages&gt;1-16&lt;/_pages&gt;&lt;_url&gt;https://link.cnki.net/urlid/32.1356.TV.20250509.1742.004&lt;/_url&gt;&lt;_translated_author&gt;Wei, Xiang long;Lu, Wei&amp;apos;an;Tang, Hong wu;Wang, Ling ling;Yang, Dan;Chen, Hong;Yuan, Sai yu;Huang, Ming;Lu, Sheng qi&lt;/_translated_author&gt;&lt;/Details&gt;&lt;Extra&gt;&lt;DBUID&gt;{4639BE48-E8DA-433D-936E-D6A27A715D41}&lt;/DBUID&gt;&lt;/Extra&gt;&lt;/Item&gt;&lt;/References&gt;&lt;/Group&gt;&lt;Group&gt;&lt;References&gt;&lt;Item&gt;&lt;ID&gt;573&lt;/ID&gt;&lt;UID&gt;{421F9AE9-A599-4ECC-B0B9-C59F7635EFB5}&lt;/UID&gt;&lt;Title&gt;太湖流域水文连通性:现状、研究进展与未来挑战&lt;/Title&gt;&lt;Template&gt;Journal Article&lt;/Template&gt;&lt;Star&gt;0&lt;/Star&gt;&lt;Tag&gt;0&lt;/Tag&gt;&lt;Author&gt;杨素; 万荣荣; 李冰&lt;/Author&gt;&lt;Year&gt;2022&lt;/Year&gt;&lt;Details&gt;&lt;_accessed&gt;66416739&lt;/_accessed&gt;&lt;_collection_scope&gt;CSCD;EI;PKU&lt;/_collection_scope&gt;&lt;_created&gt;66416739&lt;/_created&gt;&lt;_db_provider&gt;WF&lt;/_db_provider&gt;&lt;_db_updated&gt;NESearch&lt;/_db_updated&gt;&lt;_doi&gt;10.18307/2022.0402&lt;/_doi&gt;&lt;_isbn&gt;1003-5427&lt;/_isbn&gt;&lt;_issue&gt;4&lt;/_issue&gt;&lt;_journal&gt;湖泊科学&lt;/_journal&gt;&lt;_language&gt;cn&lt;/_language&gt;&lt;_modified&gt;66416739&lt;/_modified&gt;&lt;_pages&gt;1055-1074&lt;/_pages&gt;&lt;_tertiary_title&gt;Journal of Lake Sciences&lt;/_tertiary_title&gt;&lt;_translated_title&gt;Hydrological connectivity research in Lake Taihu Basin:Status,progress and future chal-lenges&lt;/_translated_title&gt;&lt;_url&gt;https://d.wanfangdata.com.cn/periodical/hpkx202204001&lt;/_url&gt;&lt;_volume&gt;34&lt;/_volume&gt;&lt;_translated_author&gt;Yang, Su;Wan, Rong rong;Li, Bing&lt;/_translated_author&gt;&lt;/Details&gt;&lt;Extra&gt;&lt;DBUID&gt;{4639BE48-E8DA-433D-936E-D6A27A715D41}&lt;/DBUID&gt;&lt;/Extra&gt;&lt;/Item&gt;&lt;/References&gt;&lt;/Group&gt;&lt;Group&gt;&lt;References&gt;&lt;Item&gt;&lt;ID&gt;576&lt;/ID&gt;&lt;UID&gt;{5F42E781-13E0-43D0-8108-107FB1909579}&lt;/UID&gt;&lt;Title&gt;Model simulations of potential contribution of the proposed Huangpu Gate to flood control in the Lake Taihu basin of China&lt;/Title&gt;&lt;Template&gt;Journal Article&lt;/Template&gt;&lt;Star&gt;0&lt;/Star&gt;&lt;Tag&gt;0&lt;/Tag&gt;&lt;Author&gt;Zhang, Hanghui; Liu, Shuguang; Ye, Jianchun; Yeh, Pat J F&lt;/Author&gt;&lt;Year&gt;2017&lt;/Year&gt;&lt;Details&gt;&lt;_accessed&gt;66416746&lt;/_accessed&gt;&lt;_collection_scope&gt;SCIE;EI&lt;/_collection_scope&gt;&lt;_created&gt;66416745&lt;/_created&gt;&lt;_db_updated&gt;NESearch&lt;/_db_updated&gt;&lt;_doi&gt;10.5194/hess-21-5339-2017&lt;/_doi&gt;&lt;_impact_factor&gt;   5.800&lt;/_impact_factor&gt;&lt;_isbn&gt;1607-7938&lt;/_isbn&gt;&lt;_issue&gt;10&lt;/_issue&gt;&lt;_journal&gt;Hydrology and Earth System Sciences&lt;/_journal&gt;&lt;_language&gt;en&lt;/_language&gt;&lt;_modified&gt;66416746&lt;/_modified&gt;&lt;_pages&gt;5339-5355&lt;/_pages&gt;&lt;_social_category&gt;水资源(1) &amp;amp; 地球科学：综合(2)&lt;/_social_category&gt;&lt;_url&gt;http://dx.doi.org/10.5194/hess-21-5339-2017&lt;/_url&gt;&lt;_volume&gt;21&lt;/_volume&gt;&lt;/Details&gt;&lt;Extra&gt;&lt;DBUID&gt;{4639BE48-E8DA-433D-936E-D6A27A715D41}&lt;/DBUID&gt;&lt;/Extra&gt;&lt;/Item&gt;&lt;/References&gt;&lt;/Group&gt;&lt;/Citation&gt;_x000a_"/>
    <w:docVar w:name="NE.Ref{880DEAAB-A3C2-491B-A624-3715C7C23BC6}" w:val=" ADDIN NE.Ref.{880DEAAB-A3C2-491B-A624-3715C7C23BC6}&lt;Citation&gt;&lt;Group&gt;&lt;References&gt;&lt;Item&gt;&lt;ID&gt;571&lt;/ID&gt;&lt;UID&gt;{8EE68EF3-F42E-4453-8E6A-4C63D59F5551}&lt;/UID&gt;&lt;Title&gt;基于FVCOM的中国近海潮流及潮汐能数值模拟研究&lt;/Title&gt;&lt;Template&gt;Thesis&lt;/Template&gt;&lt;Star&gt;0&lt;/Star&gt;&lt;Tag&gt;0&lt;/Tag&gt;&lt;Author&gt;谢海清&lt;/Author&gt;&lt;Year&gt;2018&lt;/Year&gt;&lt;Details&gt;&lt;_created&gt;66413620&lt;/_created&gt;&lt;_modified&gt;66413620&lt;/_modified&gt;&lt;_url&gt;https://kns.cnki.net/kcms2/article/abstract?v=y_SiIdm5mqujasGtMSfyzaPiInoE2l1GJc4iZkeyZ-aTFuw8S9vfKJRvzUVrY6ieNg5AM2ShJ7FtfpLp8Zvd6kr2YXaXqUQINQVI4o63NhnQxlb0eGRFrlE5ZfAHLCrT7wHqrqX2HhUhmwAlsMFoAHADblor6QW7zzlJLnpy3jUYOcb4ydNV2y69_0v07Lnu&amp;amp;uniplatform=NZKPT&amp;amp;language=CHS&lt;/_url&gt;&lt;_publisher&gt;长沙理工大学&lt;/_publisher&gt;&lt;_tertiary_author&gt;蒋昌波; 邓斌&lt;/_tertiary_author&gt;&lt;_cited_count&gt;4&lt;/_cited_count&gt;&lt;_type_work&gt;硕士&lt;/_type_work&gt;&lt;_keywords&gt;FVCOM;近海潮流;潮汐能;潮汐能分布;海平面上升&lt;/_keywords&gt;&lt;_db_provider&gt;CNKI&lt;/_db_provider&gt;&lt;_accessed&gt;66413620&lt;/_accessed&gt;&lt;_db_updated&gt;CNKI - Reference&lt;/_db_updated&gt;&lt;_translated_author&gt;Xie, Hai qing&lt;/_translated_author&gt;&lt;_translated_tertiary_author&gt;Jiang, Chang bo;Deng, Bin&lt;/_translated_tertiary_author&gt;&lt;/Details&gt;&lt;Extra&gt;&lt;DBUID&gt;{4639BE48-E8DA-433D-936E-D6A27A715D41}&lt;/DBUID&gt;&lt;/Extra&gt;&lt;/Item&gt;&lt;/References&gt;&lt;/Group&gt;&lt;/Citation&gt;_x000a_"/>
    <w:docVar w:name="NE.Ref{955937B4-EF7C-434B-9F50-C48ADE61479D}" w:val=" ADDIN NE.Ref.{955937B4-EF7C-434B-9F50-C48ADE61479D}&lt;Citation&gt;&lt;Group&gt;&lt;References&gt;&lt;Item&gt;&lt;ID&gt;557&lt;/ID&gt;&lt;UID&gt;{EE3A5C67-D59F-4A3D-9E65-50658F6D801B}&lt;/UID&gt;&lt;Title&gt;太湖流域超标洪水应急调度效益评估&lt;/Title&gt;&lt;Template&gt;Journal Article&lt;/Template&gt;&lt;Star&gt;0&lt;/Star&gt;&lt;Tag&gt;0&lt;/Tag&gt;&lt;Author&gt;徐天奕; 何爽&lt;/Author&gt;&lt;Year&gt;2024&lt;/Year&gt;&lt;Details&gt;&lt;_accessed&gt;66401082&lt;/_accessed&gt;&lt;_collection_scope&gt;PKU&lt;/_collection_scope&gt;&lt;_created&gt;66401082&lt;/_created&gt;&lt;_db_provider&gt;WF&lt;/_db_provider&gt;&lt;_db_updated&gt;NESearch&lt;/_db_updated&gt;&lt;_doi&gt;10.16232/j.cnki.1001-4179.2024.04.010&lt;/_doi&gt;&lt;_isbn&gt;1001-4179&lt;/_isbn&gt;&lt;_issue&gt;4&lt;/_issue&gt;&lt;_journal&gt;人民长江&lt;/_journal&gt;&lt;_language&gt;cn&lt;/_language&gt;&lt;_modified&gt;66401082&lt;/_modified&gt;&lt;_pages&gt;64-71&lt;/_pages&gt;&lt;_tertiary_title&gt;Yangtze River&lt;/_tertiary_title&gt;&lt;_translated_title&gt;Benefit evaluation of emergency dispatching for over-standard flood in Taihu Lake Basin&lt;/_translated_title&gt;&lt;_url&gt;https://d.wanfangdata.com.cn/periodical/rmcj202404010&lt;/_url&gt;&lt;_volume&gt;55&lt;/_volume&gt;&lt;_translated_author&gt;Xu, Tian yi;He, Shuang&lt;/_translated_author&gt;&lt;/Details&gt;&lt;Extra&gt;&lt;DBUID&gt;{4639BE48-E8DA-433D-936E-D6A27A715D41}&lt;/DBUID&gt;&lt;/Extra&gt;&lt;/Item&gt;&lt;/References&gt;&lt;/Group&gt;&lt;/Citation&gt;_x000a_"/>
    <w:docVar w:name="NE.Ref{9659BA74-066B-4FE7-A18A-0B0C020747EF}" w:val=" ADDIN NE.Ref.{9659BA74-066B-4FE7-A18A-0B0C020747EF}&lt;Citation&gt;&lt;Group&gt;&lt;References&gt;&lt;Item&gt;&lt;ID&gt;546&lt;/ID&gt;&lt;UID&gt;{F63C073D-D5A7-43A4-8ED3-D6C2794262B8}&lt;/UID&gt;&lt;Title&gt;新沟河工程应急调水效果评估&lt;/Title&gt;&lt;Template&gt;Journal Article&lt;/Template&gt;&lt;Star&gt;0&lt;/Star&gt;&lt;Tag&gt;0&lt;/Tag&gt;&lt;Author&gt;龚李莉; 蔡梅; 王元元; 马农乐&lt;/Author&gt;&lt;Year&gt;2023&lt;/Year&gt;&lt;Details&gt;&lt;_accessed&gt;66396572&lt;/_accessed&gt;&lt;_collection_scope&gt;CSCD;EI;PKU&lt;/_collection_scope&gt;&lt;_created&gt;66396572&lt;/_created&gt;&lt;_db_provider&gt;WF&lt;/_db_provider&gt;&lt;_db_updated&gt;NESearch&lt;/_db_updated&gt;&lt;_doi&gt;10.3880/j.issn.1004-6933.2023.01.022&lt;/_doi&gt;&lt;_isbn&gt;1004-6933&lt;/_isbn&gt;&lt;_issue&gt;1&lt;/_issue&gt;&lt;_journal&gt;水资源保护&lt;/_journal&gt;&lt;_language&gt;cn&lt;/_language&gt;&lt;_modified&gt;66396572&lt;/_modified&gt;&lt;_pages&gt;166-173&lt;/_pages&gt;&lt;_tertiary_title&gt;Water Resources Protection&lt;/_tertiary_title&gt;&lt;_translated_title&gt;Evaluation of emergency water diversion effect of Xingou River Project&lt;/_translated_title&gt;&lt;_url&gt;https://d.wanfangdata.com.cn/periodical/szybh202301022&lt;/_url&gt;&lt;_volume&gt;39&lt;/_volume&gt;&lt;_translated_author&gt;Gong, Li li;Cai, Mei;Wang, Yuan yuan;Ma, Nong le&lt;/_translated_author&gt;&lt;/Details&gt;&lt;Extra&gt;&lt;DBUID&gt;{4639BE48-E8DA-433D-936E-D6A27A715D41}&lt;/DBUID&gt;&lt;/Extra&gt;&lt;/Item&gt;&lt;/References&gt;&lt;/Group&gt;&lt;/Citation&gt;_x000a_"/>
    <w:docVar w:name="NE.Ref{96B7D9B1-5723-4392-B96A-C51419622E69}" w:val=" ADDIN NE.Ref.{96B7D9B1-5723-4392-B96A-C51419622E69}&lt;Citation&gt;&lt;Group&gt;&lt;References&gt;&lt;Item&gt;&lt;ID&gt;590&lt;/ID&gt;&lt;UID&gt;{3C718794-C009-4CF7-AB5E-3A3B867E8BB6}&lt;/UID&gt;&lt;Title&gt;基于MIKE 21的圩区河网水动力调控方法研究&lt;/Title&gt;&lt;Template&gt;Journal Article&lt;/Template&gt;&lt;Star&gt;0&lt;/Star&gt;&lt;Tag&gt;0&lt;/Tag&gt;&lt;Author&gt;徐存东; 訾亚辉; 黄嵩; 赵志宏; 任子豪; 胡小萌; 王海若&lt;/Author&gt;&lt;Year&gt;2023&lt;/Year&gt;&lt;Details&gt;&lt;_created&gt;66477314&lt;/_created&gt;&lt;_modified&gt;66477318&lt;/_modified&gt;&lt;_accessed&gt;66477318&lt;/_accessed&gt;&lt;_url&gt;https://link.cnki.net/doi/10.13928/j.cnki.wrahe.2023.07.014&lt;/_url&gt;&lt;_journal&gt;水利水电技术(中英文)&lt;/_journal&gt;&lt;_volume&gt;54&lt;/_volume&gt;&lt;_issue&gt;07&lt;/_issue&gt;&lt;_pages&gt;161-170&lt;/_pages&gt;&lt;_cited_count&gt;15&lt;/_cited_count&gt;&lt;_doi&gt;10.13928/j.cnki.wrahe.2023.07.014&lt;/_doi&gt;&lt;_isbn&gt;1000-0860&lt;/_isbn&gt;&lt;_keywords&gt;水动力模型;调控方案;圩区河网;流场分布&lt;/_keywords&gt;&lt;_author_adr&gt;华北水利水电大学水利学院;浙江省农村水利水电资源配置与调控关键技术重点实验室;河南省水工结构安全工程技术研究中心;&lt;/_author_adr&gt;&lt;_db_provider&gt;CNKI&lt;/_db_provider&gt;&lt;_db_updated&gt;CNKI - Reference&lt;/_db_updated&gt;&lt;_collection_scope&gt;PKU&lt;/_collection_scope&gt;&lt;_translated_author&gt;Xu, Cun dong;Zi, Ya hui;Huang, Song;Zhao, Zhi hong;Ren, Zi hao;Hu, Xiao meng;Wang, Hai ruo&lt;/_translated_author&gt;&lt;/Details&gt;&lt;Extra&gt;&lt;DBUID&gt;{4639BE48-E8DA-433D-936E-D6A27A715D41}&lt;/DBUID&gt;&lt;/Extra&gt;&lt;/Item&gt;&lt;/References&gt;&lt;/Group&gt;&lt;/Citation&gt;_x000a_"/>
    <w:docVar w:name="NE.Ref{9FBB003E-3386-4BB2-BB10-FB9BA7161C80}" w:val=" ADDIN NE.Ref.{9FBB003E-3386-4BB2-BB10-FB9BA7161C80}&lt;Citation&gt;&lt;Group&gt;&lt;References&gt;&lt;Item&gt;&lt;ID&gt;593&lt;/ID&gt;&lt;UID&gt;{1D8F3274-4754-47FA-819B-79D65A562061}&lt;/UID&gt;&lt;Title&gt;Connection between Anthropogenic Water Diversion and Hydrodynamic Condition in Plain River Network&lt;/Title&gt;&lt;Template&gt;Journal Article&lt;/Template&gt;&lt;Star&gt;0&lt;/Star&gt;&lt;Tag&gt;0&lt;/Tag&gt;&lt;Author&gt;Wang, Hua; Shen, Zilin; Zeng, Yichuan; Yan, Huaiyu; Li, Yiping; Yuan, Weihao&lt;/Author&gt;&lt;Year&gt;2021&lt;/Year&gt;&lt;Details&gt;&lt;_created&gt;66479580&lt;/_created&gt;&lt;_modified&gt;66479580&lt;/_modified&gt;&lt;_accessed&gt;66479580&lt;/_accessed&gt;&lt;_url&gt;http://dx.doi.org/10.3390/w13243596&lt;/_url&gt;&lt;_journal&gt;Water&lt;/_journal&gt;&lt;_volume&gt;13&lt;/_volume&gt;&lt;_issue&gt;24&lt;/_issue&gt;&lt;_pages&gt;3596&lt;/_pages&gt;&lt;_doi&gt;10.3390/w13243596&lt;/_doi&gt;&lt;_isbn&gt;2073-4441&lt;/_isbn&gt;&lt;_language&gt;en&lt;/_language&gt;&lt;_db_updated&gt;NESearch&lt;/_db_updated&gt;&lt;_impact_factor&gt;   3.000&lt;/_impact_factor&gt;&lt;_social_category&gt;环境科学(4) &amp;amp; 水资源(4)&lt;/_social_category&gt;&lt;_collection_scope&gt;SCIE;EI&lt;/_collection_scope&gt;&lt;/Details&gt;&lt;Extra&gt;&lt;DBUID&gt;{4639BE48-E8DA-433D-936E-D6A27A715D41}&lt;/DBUID&gt;&lt;/Extra&gt;&lt;/Item&gt;&lt;/References&gt;&lt;/Group&gt;&lt;/Citation&gt;_x000a_"/>
    <w:docVar w:name="NE.Ref{A254ECB8-2301-4F2E-B20E-26971DAAA71D}" w:val=" ADDIN NE.Ref.{A254ECB8-2301-4F2E-B20E-26971DAAA71D}&lt;Citation&gt;&lt;Group&gt;&lt;References&gt;&lt;Item&gt;&lt;ID&gt;594&lt;/ID&gt;&lt;UID&gt;{8FC39149-D035-4C34-844E-1B904A1DB419}&lt;/UID&gt;&lt;Title&gt;Tipping points in river deltas&lt;/Title&gt;&lt;Template&gt;Journal Article&lt;/Template&gt;&lt;Star&gt;0&lt;/Star&gt;&lt;Tag&gt;0&lt;/Tag&gt;&lt;Author&gt;van de Vijsel, Roeland C; Scheffer, Marten; Hoitink, Antonius J F&lt;/Author&gt;&lt;Year&gt;2024&lt;/Year&gt;&lt;Details&gt;&lt;_accessed&gt;66479609&lt;/_accessed&gt;&lt;_created&gt;66479609&lt;/_created&gt;&lt;_modified&gt;66479609&lt;/_modified&gt;&lt;_url&gt;https://doi.org/10.1038/s43017-024-00610-5&lt;/_url&gt;&lt;_journal&gt;Nature Reviews Earth &amp;amp; Environment&lt;/_journal&gt;&lt;_volume&gt;5&lt;/_volume&gt;&lt;_issue&gt;12&lt;/_issue&gt;&lt;_pages&gt;843-858&lt;/_pages&gt;&lt;_doi&gt;10.1038/s43017-024-00610-5&lt;/_doi&gt;&lt;_isbn&gt;2662-138X&lt;/_isbn&gt;&lt;_language&gt;en&lt;/_language&gt;&lt;_db_updated&gt;NESearch&lt;/_db_updated&gt;&lt;_impact_factor&gt;  71.500&lt;/_impact_factor&gt;&lt;_social_category&gt;环境科学(1) &amp;amp; 地球科学：综合(1)&lt;/_social_category&gt;&lt;_collection_scope&gt;SCIE&lt;/_collection_scope&gt;&lt;/Details&gt;&lt;Extra&gt;&lt;DBUID&gt;{4639BE48-E8DA-433D-936E-D6A27A715D41}&lt;/DBUID&gt;&lt;/Extra&gt;&lt;/Item&gt;&lt;/References&gt;&lt;/Group&gt;&lt;/Citation&gt;_x000a_"/>
    <w:docVar w:name="NE.Ref{AAE86C9E-89CB-4DC7-BCA9-8F0E0F9EB088}" w:val=" ADDIN NE.Ref.{AAE86C9E-89CB-4DC7-BCA9-8F0E0F9EB088}&lt;Citation&gt;&lt;Group&gt;&lt;References&gt;&lt;Item&gt;&lt;ID&gt;587&lt;/ID&gt;&lt;UID&gt;{A77278FB-39E0-4060-8063-E7455C926F29}&lt;/UID&gt;&lt;Title&gt;水量调度对平原河网能量影响分析&lt;/Title&gt;&lt;Template&gt;Journal Article&lt;/Template&gt;&lt;Star&gt;0&lt;/Star&gt;&lt;Tag&gt;0&lt;/Tag&gt;&lt;Author&gt;田雪琪; 王华; 曾一川; 陈经纬; 李家乐&lt;/Author&gt;&lt;Year&gt;2024&lt;/Year&gt;&lt;Details&gt;&lt;_accessed&gt;66473103&lt;/_accessed&gt;&lt;_collection_scope&gt;CSCD;PKU&lt;/_collection_scope&gt;&lt;_created&gt;66473103&lt;/_created&gt;&lt;_db_provider&gt;WF&lt;/_db_provider&gt;&lt;_db_updated&gt;NESearch&lt;/_db_updated&gt;&lt;_doi&gt;10.11705/j.issn.1672-643X.2024.02.09&lt;/_doi&gt;&lt;_isbn&gt;1672-643X&lt;/_isbn&gt;&lt;_issue&gt;2&lt;/_issue&gt;&lt;_journal&gt;水资源与水工程学报&lt;/_journal&gt;&lt;_language&gt;cn&lt;/_language&gt;&lt;_modified&gt;66473103&lt;/_modified&gt;&lt;_pages&gt;83-90&lt;/_pages&gt;&lt;_tertiary_title&gt;Journal of Water Resources and Water Engineering&lt;/_tertiary_title&gt;&lt;_translated_title&gt;Influence of anthropogenic water diversion on river energy in plain river network&lt;/_translated_title&gt;&lt;_url&gt;https://d.wanfangdata.com.cn/periodical/xbszyysgc202402009&lt;/_url&gt;&lt;_volume&gt;35&lt;/_volume&gt;&lt;_translated_author&gt;Tian, Xue qi;Wang, Hua;Ceng, Yi chuan;Chen, Jing wei;Li, Jia le&lt;/_translated_author&gt;&lt;/Details&gt;&lt;Extra&gt;&lt;DBUID&gt;{4639BE48-E8DA-433D-936E-D6A27A715D41}&lt;/DBUID&gt;&lt;/Extra&gt;&lt;/Item&gt;&lt;/References&gt;&lt;/Group&gt;&lt;/Citation&gt;_x000a_"/>
    <w:docVar w:name="NE.Ref{ADC9B0CF-3DC4-4962-BD27-C83A8075AAD6}" w:val=" ADDIN NE.Ref.{ADC9B0CF-3DC4-4962-BD27-C83A8075AAD6}&lt;Citation&gt;&lt;Group&gt;&lt;References&gt;&lt;Item&gt;&lt;ID&gt;576&lt;/ID&gt;&lt;UID&gt;{5F42E781-13E0-43D0-8108-107FB1909579}&lt;/UID&gt;&lt;Title&gt;Model simulations of potential contribution of the proposed Huangpu Gate to flood control in the Lake Taihu basin of China&lt;/Title&gt;&lt;Template&gt;Journal Article&lt;/Template&gt;&lt;Star&gt;0&lt;/Star&gt;&lt;Tag&gt;0&lt;/Tag&gt;&lt;Author&gt;Zhang, Hanghui; Liu, Shuguang; Ye, Jianchun; Yeh, Pat J F&lt;/Author&gt;&lt;Year&gt;2017&lt;/Year&gt;&lt;Details&gt;&lt;_accessed&gt;66416746&lt;/_accessed&gt;&lt;_collection_scope&gt;SCIE;EI&lt;/_collection_scope&gt;&lt;_created&gt;66416745&lt;/_created&gt;&lt;_db_updated&gt;NESearch&lt;/_db_updated&gt;&lt;_doi&gt;10.5194/hess-21-5339-2017&lt;/_doi&gt;&lt;_impact_factor&gt;   5.800&lt;/_impact_factor&gt;&lt;_isbn&gt;1607-7938&lt;/_isbn&gt;&lt;_issue&gt;10&lt;/_issue&gt;&lt;_journal&gt;Hydrology and Earth System Sciences&lt;/_journal&gt;&lt;_language&gt;en&lt;/_language&gt;&lt;_modified&gt;66416746&lt;/_modified&gt;&lt;_pages&gt;5339-5355&lt;/_pages&gt;&lt;_social_category&gt;水资源(1) &amp;amp; 地球科学：综合(2)&lt;/_social_category&gt;&lt;_url&gt;http://dx.doi.org/10.5194/hess-21-5339-2017&lt;/_url&gt;&lt;_volume&gt;21&lt;/_volume&gt;&lt;/Details&gt;&lt;Extra&gt;&lt;DBUID&gt;{4639BE48-E8DA-433D-936E-D6A27A715D41}&lt;/DBUID&gt;&lt;/Extra&gt;&lt;/Item&gt;&lt;/References&gt;&lt;/Group&gt;&lt;/Citation&gt;_x000a_"/>
    <w:docVar w:name="NE.Ref{AFB73C88-EBCB-48F4-A159-4D62DC1DB153}" w:val=" ADDIN NE.Ref.{AFB73C88-EBCB-48F4-A159-4D62DC1DB153}&lt;Citation&gt;&lt;Group&gt;&lt;References&gt;&lt;Item&gt;&lt;ID&gt;560&lt;/ID&gt;&lt;UID&gt;{E4FE76CB-BF60-463D-B7C5-A319AF4D7C45}&lt;/UID&gt;&lt;Title&gt;平原河网区水动力重构理论与实践（英文）&lt;/Title&gt;&lt;Template&gt;Journal Article&lt;/Template&gt;&lt;Star&gt;0&lt;/Star&gt;&lt;Tag&gt;0&lt;/Tag&gt;&lt;Author&gt;Tang, Hongwu; Yuan, Saiyu; Cao, Hao&lt;/Author&gt;&lt;Year&gt;2023&lt;/Year&gt;&lt;Details&gt;&lt;_created&gt;66401110&lt;/_created&gt;&lt;_modified&gt;66401110&lt;/_modified&gt;&lt;_url&gt;https://kns.cnki.net/kcms2/article/abstract?v=okZOhLws3JTjkUloZLdNCRZabwHSui6KwhVIJHtjLbUaLy8JVEaXZ36puZ_bGBe8erryKCa0hWMUrKbkPBfktr0iMDtSpwl7oAYqpo0PS9lRamstpfIxS79_LVAWL2CdHgSxE77ybobALOV9XclysGCv9nim7yJPH9KZK7nDaT5J30lXT4ucjTz_JtygtebG&amp;amp;uniplatform=NZKPT&amp;amp;language=CHS&lt;/_url&gt;&lt;_journal&gt;Engineering&lt;/_journal&gt;&lt;_volume&gt;24&lt;/_volume&gt;&lt;_issue&gt;05&lt;/_issue&gt;&lt;_pages&gt;202-211&lt;/_pages&gt;&lt;_cited_count&gt;13&lt;/_cited_count&gt;&lt;_isbn&gt;2095-8099&lt;/_isbn&gt;&lt;_keywords&gt;Plain river network;Water security problems;Hydrodynamic reconstruction;Multi-objective;Integrated management&lt;/_keywords&gt;&lt;_author_adr&gt;National Key Laboratory of Water Disaster Prevention, Hohai University;Yangtze Institute for Conservation and Green Development;&lt;/_author_adr&gt;&lt;_db_provider&gt;CNKI&lt;/_db_provider&gt;&lt;_accessed&gt;66401110&lt;/_accessed&gt;&lt;_db_updated&gt;CNKI - Reference&lt;/_db_updated&gt;&lt;_impact_factor&gt;  11.600&lt;/_impact_factor&gt;&lt;_social_category&gt;工程：综合(2)&lt;/_social_category&gt;&lt;_collection_scope&gt;EI&lt;/_collection_scope&gt;&lt;/Details&gt;&lt;Extra&gt;&lt;DBUID&gt;{4639BE48-E8DA-433D-936E-D6A27A715D41}&lt;/DBUID&gt;&lt;/Extra&gt;&lt;/Item&gt;&lt;/References&gt;&lt;/Group&gt;&lt;/Citation&gt;_x000a_"/>
    <w:docVar w:name="NE.Ref{B5F0DA5D-D4DA-4709-B02C-77D277874F92}" w:val=" ADDIN NE.Ref.{B5F0DA5D-D4DA-4709-B02C-77D277874F92}&lt;Citation&gt;&lt;Group&gt;&lt;References&gt;&lt;Item&gt;&lt;ID&gt;552&lt;/ID&gt;&lt;UID&gt;{DED053A1-6E6F-49F7-8919-2D46ECE47492}&lt;/UID&gt;&lt;Title&gt;太湖流域河湖连通工程调度模式综述&lt;/Title&gt;&lt;Template&gt;Journal Article&lt;/Template&gt;&lt;Star&gt;0&lt;/Star&gt;&lt;Tag&gt;0&lt;/Tag&gt;&lt;Author&gt;王元元; 陆志华; 马农乐; 蔡梅&lt;/Author&gt;&lt;Year&gt;2016&lt;/Year&gt;&lt;Details&gt;&lt;_accessed&gt;66396572&lt;/_accessed&gt;&lt;_collection_scope&gt;PKU&lt;/_collection_scope&gt;&lt;_created&gt;66396572&lt;/_created&gt;&lt;_db_provider&gt;WF&lt;/_db_provider&gt;&lt;_db_updated&gt;NESearch&lt;/_db_updated&gt;&lt;_doi&gt;10.16232/j.cnki.1001-4179.2016.12.003&lt;/_doi&gt;&lt;_isbn&gt;1001-4179&lt;/_isbn&gt;&lt;_issue&gt;12&lt;/_issue&gt;&lt;_journal&gt;人民长江&lt;/_journal&gt;&lt;_language&gt;cn&lt;/_language&gt;&lt;_modified&gt;66396572&lt;/_modified&gt;&lt;_pages&gt;10-13,32&lt;/_pages&gt;&lt;_tertiary_title&gt;Yangtze River&lt;/_tertiary_title&gt;&lt;_translated_title&gt;Overview of scheduling of river-lake connectivity projects in Taihu Lake Basin&lt;/_translated_title&gt;&lt;_url&gt;https://d.wanfangdata.com.cn/periodical/rmcj201612003&lt;/_url&gt;&lt;_volume&gt;47&lt;/_volume&gt;&lt;_translated_author&gt;Wang, Yuan yuan;Lu, Zhi hua;Ma, Nong le;Cai, Mei&lt;/_translated_author&gt;&lt;/Details&gt;&lt;Extra&gt;&lt;DBUID&gt;{4639BE48-E8DA-433D-936E-D6A27A715D41}&lt;/DBUID&gt;&lt;/Extra&gt;&lt;/Item&gt;&lt;/References&gt;&lt;/Group&gt;&lt;/Citation&gt;_x000a_"/>
    <w:docVar w:name="NE.Ref{BD184C93-0030-4842-A01B-EB51F8AAE3A0}" w:val=" ADDIN NE.Ref.{BD184C93-0030-4842-A01B-EB51F8AAE3A0}&lt;Citation&gt;&lt;Group&gt;&lt;References&gt;&lt;Item&gt;&lt;ID&gt;554&lt;/ID&gt;&lt;UID&gt;{F29D4A8E-9E16-4ECE-ADF8-D7822F384D3C}&lt;/UID&gt;&lt;Title&gt;新孟河工程引调水对区域水资源水环境的影响&lt;/Title&gt;&lt;Template&gt;Journal Article&lt;/Template&gt;&lt;Star&gt;0&lt;/Star&gt;&lt;Tag&gt;0&lt;/Tag&gt;&lt;Author&gt;陈甜; 毕婉; 刘敏&lt;/Author&gt;&lt;Year&gt;2025&lt;/Year&gt;&lt;Details&gt;&lt;_accessed&gt;66396646&lt;/_accessed&gt;&lt;_author_adr&gt;太湖流域管理局水文局(信息中心);太湖流域水文水资源监测中心(太湖流域水环境监测中心);&lt;/_author_adr&gt;&lt;_collection_scope&gt;PKU&lt;/_collection_scope&gt;&lt;_created&gt;66396646&lt;/_created&gt;&lt;_db_provider&gt;CNKI&lt;/_db_provider&gt;&lt;_db_updated&gt;CNKI - Reference&lt;/_db_updated&gt;&lt;_doi&gt;10.16232/j.cnki.1001-4179.2025.S2.007&lt;/_doi&gt;&lt;_isbn&gt;1001-4179&lt;/_isbn&gt;&lt;_issue&gt;S2&lt;/_issue&gt;&lt;_journal&gt;人民长江&lt;/_journal&gt;&lt;_keywords&gt;引调水;分流规律;电导率;水质变化;水质改善系数;综合污染指数;新孟河工程&lt;/_keywords&gt;&lt;_modified&gt;66396646&lt;/_modified&gt;&lt;_pages&gt;32-37&lt;/_pages&gt;&lt;_url&gt;https://link.cnki.net/doi/10.16232/j.cnki.1001-4179.2025.S2.007&lt;/_url&gt;&lt;_volume&gt;56&lt;/_volume&gt;&lt;_translated_author&gt;Chen, Tian;Bi, Wan;Liu, Min&lt;/_translated_author&gt;&lt;/Details&gt;&lt;Extra&gt;&lt;DBUID&gt;{4639BE48-E8DA-433D-936E-D6A27A715D41}&lt;/DBUID&gt;&lt;/Extra&gt;&lt;/Item&gt;&lt;/References&gt;&lt;/Group&gt;&lt;/Citation&gt;_x000a_"/>
    <w:docVar w:name="NE.Ref{CC1B8297-412B-42BE-8D8F-FE37ECFD0E0A}" w:val=" ADDIN NE.Ref.{CC1B8297-412B-42BE-8D8F-FE37ECFD0E0A}&lt;Citation&gt;&lt;Group&gt;&lt;References&gt;&lt;Item&gt;&lt;ID&gt;560&lt;/ID&gt;&lt;UID&gt;{E4FE76CB-BF60-463D-B7C5-A319AF4D7C45}&lt;/UID&gt;&lt;Title&gt;Theory and practice of hydrodynamic_x000d__x000a_reconstruction in plain river networks&lt;/Title&gt;&lt;Template&gt;Journal Article&lt;/Template&gt;&lt;Star&gt;0&lt;/Star&gt;&lt;Tag&gt;0&lt;/Tag&gt;&lt;Author&gt;Tang, Hongwu; Yuan, Saiyu; Cao, Hao&lt;/Author&gt;&lt;Year&gt;2023&lt;/Year&gt;&lt;Details&gt;&lt;_accessed&gt;66416749&lt;/_accessed&gt;&lt;_author_adr&gt;National Key Laboratory of Water Disaster Prevention, Hohai University;Yangtze Institute for Conservation and Green Development;&lt;/_author_adr&gt;&lt;_cited_count&gt;13&lt;/_cited_count&gt;&lt;_collection_scope&gt;EI&lt;/_collection_scope&gt;&lt;_created&gt;66401110&lt;/_created&gt;&lt;_db_provider&gt;CNKI&lt;/_db_provider&gt;&lt;_db_updated&gt;CNKI - Reference&lt;/_db_updated&gt;&lt;_impact_factor&gt;  11.600&lt;/_impact_factor&gt;&lt;_isbn&gt;2095-8099&lt;/_isbn&gt;&lt;_issue&gt;05&lt;/_issue&gt;&lt;_journal&gt;Engineering&lt;/_journal&gt;&lt;_keywords&gt;Plain river network;Water security problems;Hydrodynamic reconstruction;Multi-objective;Integrated management&lt;/_keywords&gt;&lt;_modified&gt;66416749&lt;/_modified&gt;&lt;_pages&gt;202-211&lt;/_pages&gt;&lt;_social_category&gt;工程：综合(2)&lt;/_social_category&gt;&lt;_url&gt;https://kns.cnki.net/kcms2/article/abstract?v=okZOhLws3JTjkUloZLdNCRZabwHSui6KwhVIJHtjLbUaLy8JVEaXZ36puZ_bGBe8erryKCa0hWMUrKbkPBfktr0iMDtSpwl7oAYqpo0PS9lRamstpfIxS79_LVAWL2CdHgSxE77ybobALOV9XclysGCv9nim7yJPH9KZK7nDaT5J30lXT4ucjTz_JtygtebG&amp;amp;uniplatform=NZKPT&amp;amp;language=CHS&lt;/_url&gt;&lt;_volume&gt;24&lt;/_volume&gt;&lt;/Details&gt;&lt;Extra&gt;&lt;DBUID&gt;{4639BE48-E8DA-433D-936E-D6A27A715D41}&lt;/DBUID&gt;&lt;/Extra&gt;&lt;/Item&gt;&lt;/References&gt;&lt;/Group&gt;&lt;/Citation&gt;_x000a_"/>
    <w:docVar w:name="NE.Ref{CF021448-9BC1-4FA2-A011-41B10FC8C71B}" w:val=" ADDIN NE.Ref.{CF021448-9BC1-4FA2-A011-41B10FC8C71B}&lt;Citation&gt;&lt;Group&gt;&lt;References&gt;&lt;Item&gt;&lt;ID&gt;598&lt;/ID&gt;&lt;UID&gt;{43D9C80A-A981-407B-BE96-84F878F5EDBD}&lt;/UID&gt;&lt;Title&gt;Flood routing in mild-sloped rivers—wave characteristics and downstream backwater effect&lt;/Title&gt;&lt;Template&gt;Journal Article&lt;/Template&gt;&lt;Star&gt;0&lt;/Star&gt;&lt;Tag&gt;0&lt;/Tag&gt;&lt;Author&gt;Tsai, Christina W&lt;/Author&gt;&lt;Year&gt;2005&lt;/Year&gt;&lt;Details&gt;&lt;_accessed&gt;66479645&lt;/_accessed&gt;&lt;_created&gt;66479645&lt;/_created&gt;&lt;_modified&gt;66479645&lt;/_modified&gt;&lt;_url&gt;http://dx.doi.org/10.1016/j.jhydrol.2004.10.027&lt;/_url&gt;&lt;_journal&gt;Journal of Hydrology&lt;/_journal&gt;&lt;_volume&gt;308&lt;/_volume&gt;&lt;_issue&gt;1-4&lt;/_issue&gt;&lt;_pages&gt;151-167&lt;/_pages&gt;&lt;_doi&gt;10.1016/j.jhydrol.2004.10.027&lt;/_doi&gt;&lt;_isbn&gt;0022-1694&lt;/_isbn&gt;&lt;_language&gt;en&lt;/_language&gt;&lt;_db_updated&gt;NESearch&lt;/_db_updated&gt;&lt;_impact_factor&gt;   6.300&lt;/_impact_factor&gt;&lt;_social_category&gt;地球科学：综合(1) &amp;amp; 水资源(1) &amp;amp; 工程：土木(2)&lt;/_social_category&gt;&lt;_collection_scope&gt;SCIE;EI&lt;/_collection_scope&gt;&lt;/Details&gt;&lt;Extra&gt;&lt;DBUID&gt;{4639BE48-E8DA-433D-936E-D6A27A715D41}&lt;/DBUID&gt;&lt;/Extra&gt;&lt;/Item&gt;&lt;/References&gt;&lt;/Group&gt;&lt;/Citation&gt;_x000a_"/>
    <w:docVar w:name="NE.Ref{CF917CA0-54EE-4D26-8E47-5CE439FBB1AE}" w:val=" ADDIN NE.Ref.{CF917CA0-54EE-4D26-8E47-5CE439FBB1AE}&lt;Citation&gt;&lt;Group&gt;&lt;References&gt;&lt;Item&gt;&lt;ID&gt;554&lt;/ID&gt;&lt;UID&gt;{F29D4A8E-9E16-4ECE-ADF8-D7822F384D3C}&lt;/UID&gt;&lt;Title&gt;新孟河工程引调水对区域水资源水环境的影响&lt;/Title&gt;&lt;Template&gt;Journal Article&lt;/Template&gt;&lt;Star&gt;0&lt;/Star&gt;&lt;Tag&gt;0&lt;/Tag&gt;&lt;Author&gt;陈甜; 毕婉; 刘敏&lt;/Author&gt;&lt;Year&gt;2025&lt;/Year&gt;&lt;Details&gt;&lt;_accessed&gt;66396646&lt;/_accessed&gt;&lt;_author_adr&gt;太湖流域管理局水文局(信息中心);太湖流域水文水资源监测中心(太湖流域水环境监测中心);&lt;/_author_adr&gt;&lt;_collection_scope&gt;PKU&lt;/_collection_scope&gt;&lt;_created&gt;66396646&lt;/_created&gt;&lt;_db_provider&gt;CNKI&lt;/_db_provider&gt;&lt;_db_updated&gt;CNKI - Reference&lt;/_db_updated&gt;&lt;_doi&gt;10.16232/j.cnki.1001-4179.2025.S2.007&lt;/_doi&gt;&lt;_isbn&gt;1001-4179&lt;/_isbn&gt;&lt;_issue&gt;S2&lt;/_issue&gt;&lt;_journal&gt;人民长江&lt;/_journal&gt;&lt;_keywords&gt;引调水;分流规律;电导率;水质变化;水质改善系数;综合污染指数;新孟河工程&lt;/_keywords&gt;&lt;_modified&gt;66396646&lt;/_modified&gt;&lt;_pages&gt;32-37&lt;/_pages&gt;&lt;_url&gt;https://link.cnki.net/doi/10.16232/j.cnki.1001-4179.2025.S2.007&lt;/_url&gt;&lt;_volume&gt;56&lt;/_volume&gt;&lt;_translated_author&gt;Chen, Tian;Bi, Wan;Liu, Min&lt;/_translated_author&gt;&lt;/Details&gt;&lt;Extra&gt;&lt;DBUID&gt;{4639BE48-E8DA-433D-936E-D6A27A715D41}&lt;/DBUID&gt;&lt;/Extra&gt;&lt;/Item&gt;&lt;/References&gt;&lt;/Group&gt;&lt;/Citation&gt;_x000a_"/>
    <w:docVar w:name="NE.Ref{D440A81E-98AE-40A1-91BB-DCE89F3FB5EF}" w:val=" ADDIN NE.Ref.{D440A81E-98AE-40A1-91BB-DCE89F3FB5EF}&lt;Citation&gt;&lt;Group&gt;&lt;References&gt;&lt;Item&gt;&lt;ID&gt;572&lt;/ID&gt;&lt;UID&gt;{59AF6662-F8EC-4D0C-9A9F-A8643AC2847E}&lt;/UID&gt;&lt;Title&gt;Energy flow rate equation for river networks&lt;/Title&gt;&lt;Template&gt;Journal Article&lt;/Template&gt;&lt;Star&gt;0&lt;/Star&gt;&lt;Tag&gt;0&lt;/Tag&gt;&lt;Author&gt;Yuan, Sai-yu; Lin, Jia-wei; Tang, Hong-wu&lt;/Author&gt;&lt;Year&gt;2025&lt;/Year&gt;&lt;Details&gt;&lt;_accessed&gt;66413866&lt;/_accessed&gt;&lt;_collection_scope&gt;ESCI;CSCD;EI&lt;/_collection_scope&gt;&lt;_created&gt;66413866&lt;/_created&gt;&lt;_db_updated&gt;NESearch&lt;/_db_updated&gt;&lt;_doi&gt;10.1016/j.wse.2025.04.003&lt;/_doi&gt;&lt;_impact_factor&gt;   4.300&lt;/_impact_factor&gt;&lt;_isbn&gt;1674-2370&lt;/_isbn&gt;&lt;_issue&gt;2&lt;/_issue&gt;&lt;_journal&gt;Water Science and Engineering&lt;/_journal&gt;&lt;_language&gt;en&lt;/_language&gt;&lt;_modified&gt;66413866&lt;/_modified&gt;&lt;_pages&gt;221-224&lt;/_pages&gt;&lt;_social_category&gt;水资源(3)&lt;/_social_category&gt;&lt;_url&gt;https://doi.org/10.1016/j.wse.2025.04.003&lt;/_url&gt;&lt;_volume&gt;18&lt;/_volume&gt;&lt;/Details&gt;&lt;Extra&gt;&lt;DBUID&gt;{4639BE48-E8DA-433D-936E-D6A27A715D41}&lt;/DBUID&gt;&lt;/Extra&gt;&lt;/Item&gt;&lt;/References&gt;&lt;/Group&gt;&lt;/Citation&gt;_x000a_"/>
    <w:docVar w:name="NE.Ref{D8328344-AC1E-4E31-8E01-FE77737C30A3}" w:val=" ADDIN NE.Ref.{D8328344-AC1E-4E31-8E01-FE77737C30A3}&lt;Citation&gt;&lt;Group&gt;&lt;References&gt;&lt;Item&gt;&lt;ID&gt;567&lt;/ID&gt;&lt;UID&gt;{BC956C3B-602A-4A7F-AFF5-CD93A249F1E9}&lt;/UID&gt;&lt;Title&gt;知识数据双驱动的感潮河网水动力智能模拟方法&lt;/Title&gt;&lt;Template&gt;Journal Article&lt;/Template&gt;&lt;Star&gt;0&lt;/Star&gt;&lt;Tag&gt;0&lt;/Tag&gt;&lt;Author&gt;袁赛瑜; 陈逸鸿; 罗霄; 张汇明; 唐洪武&lt;/Author&gt;&lt;Year&gt;2025&lt;/Year&gt;&lt;Details&gt;&lt;_accessed&gt;66413434&lt;/_accessed&gt;&lt;_collection_scope&gt;CSCD;EI;PKU&lt;/_collection_scope&gt;&lt;_created&gt;66413434&lt;/_created&gt;&lt;_db_provider&gt;WF&lt;/_db_provider&gt;&lt;_db_updated&gt;NESearch&lt;/_db_updated&gt;&lt;_doi&gt;10.14042/j.cnki.32.1309.2025.01.003&lt;/_doi&gt;&lt;_isbn&gt;1001-6791&lt;/_isbn&gt;&lt;_issue&gt;1&lt;/_issue&gt;&lt;_journal&gt;水科学进展&lt;/_journal&gt;&lt;_language&gt;cn&lt;/_language&gt;&lt;_modified&gt;66413434&lt;/_modified&gt;&lt;_pages&gt;28-38&lt;/_pages&gt;&lt;_tertiary_title&gt;Advances in Water Science&lt;/_tertiary_title&gt;&lt;_translated_title&gt;Knowledge-and data-driven intelligent simulation method for tidal river network hydrodynamics&lt;/_translated_title&gt;&lt;_url&gt;https://d.wanfangdata.com.cn/periodical/skxjz202501003&lt;/_url&gt;&lt;_translated_author&gt;Yuan, Sai yu;Chen, Yi hong;Luo, Xiao;Zhang, Hui ming;Tang, Hong wu&lt;/_translated_author&gt;&lt;/Details&gt;&lt;Extra&gt;&lt;DBUID&gt;{4639BE48-E8DA-433D-936E-D6A27A715D41}&lt;/DBUID&gt;&lt;/Extra&gt;&lt;/Item&gt;&lt;/References&gt;&lt;/Group&gt;&lt;Group&gt;&lt;References&gt;&lt;Item&gt;&lt;ID&gt;598&lt;/ID&gt;&lt;UID&gt;{43D9C80A-A981-407B-BE96-84F878F5EDBD}&lt;/UID&gt;&lt;Title&gt;Flood routing in mild-sloped rivers—wave characteristics and downstream backwater effect&lt;/Title&gt;&lt;Template&gt;Journal Article&lt;/Template&gt;&lt;Star&gt;0&lt;/Star&gt;&lt;Tag&gt;0&lt;/Tag&gt;&lt;Author&gt;Tsai, Christina W&lt;/Author&gt;&lt;Year&gt;2005&lt;/Year&gt;&lt;Details&gt;&lt;_accessed&gt;66479645&lt;/_accessed&gt;&lt;_created&gt;66479645&lt;/_created&gt;&lt;_modified&gt;66479645&lt;/_modified&gt;&lt;_url&gt;http://dx.doi.org/10.1016/j.jhydrol.2004.10.027&lt;/_url&gt;&lt;_journal&gt;Journal of Hydrology&lt;/_journal&gt;&lt;_volume&gt;308&lt;/_volume&gt;&lt;_issue&gt;1-4&lt;/_issue&gt;&lt;_pages&gt;151-167&lt;/_pages&gt;&lt;_doi&gt;10.1016/j.jhydrol.2004.10.027&lt;/_doi&gt;&lt;_isbn&gt;0022-1694&lt;/_isbn&gt;&lt;_language&gt;en&lt;/_language&gt;&lt;_db_updated&gt;NESearch&lt;/_db_updated&gt;&lt;_impact_factor&gt;   6.300&lt;/_impact_factor&gt;&lt;_social_category&gt;地球科学：综合(1) &amp;amp; 水资源(1) &amp;amp; 工程：土木(2)&lt;/_social_category&gt;&lt;_collection_scope&gt;SCIE;EI&lt;/_collection_scope&gt;&lt;/Details&gt;&lt;Extra&gt;&lt;DBUID&gt;{4639BE48-E8DA-433D-936E-D6A27A715D41}&lt;/DBUID&gt;&lt;/Extra&gt;&lt;/Item&gt;&lt;/References&gt;&lt;/Group&gt;&lt;/Citation&gt;_x000a_"/>
    <w:docVar w:name="NE.Ref{E2F0D68D-B793-42EF-B1AE-52F1EBA8BCC6}" w:val=" ADDIN NE.Ref.{E2F0D68D-B793-42EF-B1AE-52F1EBA8BCC6}&lt;Citation&gt;&lt;Group&gt;&lt;References&gt;&lt;Item&gt;&lt;ID&gt;587&lt;/ID&gt;&lt;UID&gt;{A77278FB-39E0-4060-8063-E7455C926F29}&lt;/UID&gt;&lt;Title&gt;水量调度对平原河网能量影响分析&lt;/Title&gt;&lt;Template&gt;Journal Article&lt;/Template&gt;&lt;Star&gt;0&lt;/Star&gt;&lt;Tag&gt;0&lt;/Tag&gt;&lt;Author&gt;田雪琪; 王华; 曾一川; 陈经纬; 李家乐&lt;/Author&gt;&lt;Year&gt;2024&lt;/Year&gt;&lt;Details&gt;&lt;_accessed&gt;66473103&lt;/_accessed&gt;&lt;_collection_scope&gt;CSCD;PKU&lt;/_collection_scope&gt;&lt;_created&gt;66473103&lt;/_created&gt;&lt;_db_provider&gt;WF&lt;/_db_provider&gt;&lt;_db_updated&gt;NESearch&lt;/_db_updated&gt;&lt;_doi&gt;10.11705/j.issn.1672-643X.2024.02.09&lt;/_doi&gt;&lt;_isbn&gt;1672-643X&lt;/_isbn&gt;&lt;_issue&gt;2&lt;/_issue&gt;&lt;_journal&gt;水资源与水工程学报&lt;/_journal&gt;&lt;_language&gt;cn&lt;/_language&gt;&lt;_modified&gt;66473103&lt;/_modified&gt;&lt;_pages&gt;83-90&lt;/_pages&gt;&lt;_tertiary_title&gt;Journal of Water Resources and Water Engineering&lt;/_tertiary_title&gt;&lt;_translated_title&gt;Influence of anthropogenic water diversion on river energy in plain river network&lt;/_translated_title&gt;&lt;_url&gt;https://d.wanfangdata.com.cn/periodical/xbszyysgc202402009&lt;/_url&gt;&lt;_volume&gt;35&lt;/_volume&gt;&lt;_translated_author&gt;Tian, Xue qi;Wang, Hua;Ceng, Yi chuan;Chen, Jing wei;Li, Jia le&lt;/_translated_author&gt;&lt;/Details&gt;&lt;Extra&gt;&lt;DBUID&gt;{4639BE48-E8DA-433D-936E-D6A27A715D41}&lt;/DBUID&gt;&lt;/Extra&gt;&lt;/Item&gt;&lt;/References&gt;&lt;/Group&gt;&lt;/Citation&gt;_x000a_"/>
    <w:docVar w:name="NE.Ref{E357BABF-EA34-4BD2-B243-69190E2D7BBF}" w:val=" ADDIN NE.Ref.{E357BABF-EA34-4BD2-B243-69190E2D7BBF}&lt;Citation&gt;&lt;Group&gt;&lt;References&gt;&lt;Item&gt;&lt;ID&gt;576&lt;/ID&gt;&lt;UID&gt;{5F42E781-13E0-43D0-8108-107FB1909579}&lt;/UID&gt;&lt;Title&gt;Model simulations of potential contribution of the proposed Huangpu Gate to flood control in the Lake Taihu basin of China&lt;/Title&gt;&lt;Template&gt;Journal Article&lt;/Template&gt;&lt;Star&gt;0&lt;/Star&gt;&lt;Tag&gt;0&lt;/Tag&gt;&lt;Author&gt;Zhang, Hanghui; Liu, Shuguang; Ye, Jianchun; Yeh, Pat J F&lt;/Author&gt;&lt;Year&gt;2017&lt;/Year&gt;&lt;Details&gt;&lt;_accessed&gt;66416746&lt;/_accessed&gt;&lt;_collection_scope&gt;SCIE;EI&lt;/_collection_scope&gt;&lt;_created&gt;66416745&lt;/_created&gt;&lt;_db_updated&gt;NESearch&lt;/_db_updated&gt;&lt;_doi&gt;10.5194/hess-21-5339-2017&lt;/_doi&gt;&lt;_impact_factor&gt;   5.800&lt;/_impact_factor&gt;&lt;_isbn&gt;1607-7938&lt;/_isbn&gt;&lt;_issue&gt;10&lt;/_issue&gt;&lt;_journal&gt;Hydrology and Earth System Sciences&lt;/_journal&gt;&lt;_language&gt;en&lt;/_language&gt;&lt;_modified&gt;66416746&lt;/_modified&gt;&lt;_pages&gt;5339-5355&lt;/_pages&gt;&lt;_social_category&gt;水资源(1) &amp;amp; 地球科学：综合(2)&lt;/_social_category&gt;&lt;_url&gt;http://dx.doi.org/10.5194/hess-21-5339-2017&lt;/_url&gt;&lt;_volume&gt;21&lt;/_volume&gt;&lt;/Details&gt;&lt;Extra&gt;&lt;DBUID&gt;{4639BE48-E8DA-433D-936E-D6A27A715D41}&lt;/DBUID&gt;&lt;/Extra&gt;&lt;/Item&gt;&lt;/References&gt;&lt;/Group&gt;&lt;/Citation&gt;_x000a_"/>
    <w:docVar w:name="NE.Ref{E7BD61D6-35EA-4005-B0FE-61DA9548A9D3}" w:val=" ADDIN NE.Ref.{E7BD61D6-35EA-4005-B0FE-61DA9548A9D3}&lt;Citation&gt;&lt;Group&gt;&lt;References&gt;&lt;Item&gt;&lt;ID&gt;557&lt;/ID&gt;&lt;UID&gt;{EE3A5C67-D59F-4A3D-9E65-50658F6D801B}&lt;/UID&gt;&lt;Title&gt;太湖流域超标洪水应急调度效益评估&lt;/Title&gt;&lt;Template&gt;Journal Article&lt;/Template&gt;&lt;Star&gt;0&lt;/Star&gt;&lt;Tag&gt;0&lt;/Tag&gt;&lt;Author&gt;徐天奕; 何爽&lt;/Author&gt;&lt;Year&gt;2024&lt;/Year&gt;&lt;Details&gt;&lt;_accessed&gt;66401082&lt;/_accessed&gt;&lt;_collection_scope&gt;PKU&lt;/_collection_scope&gt;&lt;_created&gt;66401082&lt;/_created&gt;&lt;_db_provider&gt;WF&lt;/_db_provider&gt;&lt;_db_updated&gt;NESearch&lt;/_db_updated&gt;&lt;_doi&gt;10.16232/j.cnki.1001-4179.2024.04.010&lt;/_doi&gt;&lt;_isbn&gt;1001-4179&lt;/_isbn&gt;&lt;_issue&gt;4&lt;/_issue&gt;&lt;_journal&gt;人民长江&lt;/_journal&gt;&lt;_language&gt;cn&lt;/_language&gt;&lt;_modified&gt;66401082&lt;/_modified&gt;&lt;_pages&gt;64-71&lt;/_pages&gt;&lt;_tertiary_title&gt;Yangtze River&lt;/_tertiary_title&gt;&lt;_translated_title&gt;Benefit evaluation of emergency dispatching for over-standard flood in Taihu Lake Basin&lt;/_translated_title&gt;&lt;_url&gt;https://d.wanfangdata.com.cn/periodical/rmcj202404010&lt;/_url&gt;&lt;_volume&gt;55&lt;/_volume&gt;&lt;_translated_author&gt;Xu, Tian yi;He, Shuang&lt;/_translated_author&gt;&lt;/Details&gt;&lt;Extra&gt;&lt;DBUID&gt;{4639BE48-E8DA-433D-936E-D6A27A715D41}&lt;/DBUID&gt;&lt;/Extra&gt;&lt;/Item&gt;&lt;/References&gt;&lt;/Group&gt;&lt;/Citation&gt;_x000a_"/>
    <w:docVar w:name="NE.Ref{EA921CD9-C7B5-4FEF-8633-73524EB25E0F}" w:val=" ADDIN NE.Ref.{EA921CD9-C7B5-4FEF-8633-73524EB25E0F}&lt;Citation&gt;&lt;Group&gt;&lt;References&gt;&lt;Item&gt;&lt;ID&gt;599&lt;/ID&gt;&lt;UID&gt;{F4D79B1A-5D0B-4C43-B931-838A8160531F}&lt;/UID&gt;&lt;Title&gt;Effects of bed discordance on flow, turbulence and mixing at an idealized asymmetrical confluence between two shallow streams&lt;/Title&gt;&lt;Template&gt;Journal Article&lt;/Template&gt;&lt;Star&gt;0&lt;/Star&gt;&lt;Tag&gt;0&lt;/Tag&gt;&lt;Author&gt;Jiang, Chenyu; Constantinescu, George&lt;/Author&gt;&lt;Year&gt;2026&lt;/Year&gt;&lt;Details&gt;&lt;_accessed&gt;66479661&lt;/_accessed&gt;&lt;_created&gt;66479661&lt;/_created&gt;&lt;_modified&gt;66479662&lt;/_modified&gt;&lt;_url&gt;https://doi.org/10.1103/lpm8-kht7&lt;/_url&gt;&lt;_journal&gt;Physical Review Fluids&lt;/_journal&gt;&lt;_doi&gt;10.1103/lpm8-kht7&lt;/_doi&gt;&lt;_isbn&gt;2469-990X&lt;/_isbn&gt;&lt;_language&gt;en&lt;/_language&gt;&lt;_db_updated&gt;NESearch&lt;/_db_updated&gt;&lt;_impact_factor&gt;   2.800&lt;/_impact_factor&gt;&lt;_social_category&gt;物理：流体与等离子体(2) &amp;amp; 力学(3)&lt;/_social_category&gt;&lt;_collection_scope&gt;SCIE;EI&lt;/_collection_scope&gt;&lt;/Details&gt;&lt;Extra&gt;&lt;DBUID&gt;{4639BE48-E8DA-433D-936E-D6A27A715D41}&lt;/DBUID&gt;&lt;/Extra&gt;&lt;/Item&gt;&lt;/References&gt;&lt;/Group&gt;&lt;/Citation&gt;_x000a_"/>
    <w:docVar w:name="NE.Ref{EBDB5F72-4CF2-4A45-A58C-01448DAEE5C5}" w:val=" ADDIN NE.Ref.{EBDB5F72-4CF2-4A45-A58C-01448DAEE5C5}&lt;Citation&gt;&lt;Group&gt;&lt;References&gt;&lt;Item&gt;&lt;ID&gt;545&lt;/ID&gt;&lt;UID&gt;{7BA992A5-81A5-4DDC-A1FD-D98CC92D8DFC}&lt;/UID&gt;&lt;Title&gt;太湖西北部湖区入湖河流氮磷水质标准修正方案研究&lt;/Title&gt;&lt;Template&gt;Journal Article&lt;/Template&gt;&lt;Star&gt;0&lt;/Star&gt;&lt;Tag&gt;0&lt;/Tag&gt;&lt;Author&gt;许晨; 万荣荣; 马倩; 杨桂山&lt;/Author&gt;&lt;Year&gt;2017&lt;/Year&gt;&lt;Details&gt;&lt;_accessed&gt;66396572&lt;/_accessed&gt;&lt;_collection_scope&gt;CSSCI;CSCD;PKU&lt;/_collection_scope&gt;&lt;_created&gt;66396572&lt;/_created&gt;&lt;_db_provider&gt;WF&lt;/_db_provider&gt;&lt;_db_updated&gt;NESearch&lt;/_db_updated&gt;&lt;_doi&gt;10.11870/cjlyzyyhj201708008&lt;/_doi&gt;&lt;_isbn&gt;1004-8227&lt;/_isbn&gt;&lt;_issue&gt;8&lt;/_issue&gt;&lt;_journal&gt;长江流域资源与环境&lt;/_journal&gt;&lt;_language&gt;cn&lt;/_language&gt;&lt;_modified&gt;66396572&lt;/_modified&gt;&lt;_pages&gt;1180-1188&lt;/_pages&gt;&lt;_tertiary_title&gt;Resources and Environment in the Yangtze Basin&lt;/_tertiary_title&gt;&lt;_translated_title&gt;THE RESEARCH IN THE REVISED PLAN OF WATER QUALITY STANDARD OF THE NITROGEN AND PHOSPHORUS FOR THE INFLOW RIVERS IN THE NORTHWEST OF THE TAIHU LAKE&lt;/_translated_title&gt;&lt;_url&gt;https://d.wanfangdata.com.cn/periodical/cjlyzyyhj201708008&lt;/_url&gt;&lt;_volume&gt;26&lt;/_volume&gt;&lt;_translated_author&gt;Xu, Chen;Wan, Rong rong;Ma, Qian;Yang, Gui shan&lt;/_translated_author&gt;&lt;/Details&gt;&lt;Extra&gt;&lt;DBUID&gt;{4639BE48-E8DA-433D-936E-D6A27A715D41}&lt;/DBUID&gt;&lt;/Extra&gt;&lt;/Item&gt;&lt;/References&gt;&lt;/Group&gt;&lt;/Citation&gt;_x000a_"/>
    <w:docVar w:name="NE.Ref{EC650AA7-45D2-49FB-A407-DB51931241BB}" w:val=" ADDIN NE.Ref.{EC650AA7-45D2-49FB-A407-DB51931241BB}&lt;Citation&gt;&lt;Group&gt;&lt;References&gt;&lt;Item&gt;&lt;ID&gt;580&lt;/ID&gt;&lt;UID&gt;{DEC375D7-350D-4CA0-98FD-0958209ECB00}&lt;/UID&gt;&lt;Title&gt;The Impact of Water Diversion Projects on Total Phosphorus Content in Large Shallow Lake Bays: A Case Study of the Xinmeng River Project in the Taihu Lake Basin, China&lt;/Title&gt;&lt;Template&gt;Journal Article&lt;/Template&gt;&lt;Star&gt;0&lt;/Star&gt;&lt;Tag&gt;0&lt;/Tag&gt;&lt;Author&gt;Wu, Yufu; Wu, Pan; Lu, Yan; Lu, Yongjun; Wang, Zhili; Li, Minjie&lt;/Author&gt;&lt;Year&gt;2025&lt;/Year&gt;&lt;Details&gt;&lt;_accessed&gt;66416785&lt;/_accessed&gt;&lt;_collection_scope&gt;SCIE;EI&lt;/_collection_scope&gt;&lt;_created&gt;66416785&lt;/_created&gt;&lt;_db_updated&gt;NESearch&lt;/_db_updated&gt;&lt;_doi&gt;10.1061/jwrmd5.wreng-6723&lt;/_doi&gt;&lt;_impact_factor&gt;   2.700&lt;/_impact_factor&gt;&lt;_isbn&gt;0733-9496&lt;/_isbn&gt;&lt;_issue&gt;5&lt;/_issue&gt;&lt;_journal&gt;Journal of Water Resources Planning and Management&lt;/_journal&gt;&lt;_language&gt;en&lt;/_language&gt;&lt;_modified&gt;66416785&lt;/_modified&gt;&lt;_social_category&gt;工程：土木(3) &amp;amp; 水资源(3)&lt;/_social_category&gt;&lt;_url&gt;https://doi.org/10.1061/jwrmd5.wreng-6723&lt;/_url&gt;&lt;_volume&gt;151&lt;/_volume&gt;&lt;/Details&gt;&lt;Extra&gt;&lt;DBUID&gt;{4639BE48-E8DA-433D-936E-D6A27A715D41}&lt;/DBUID&gt;&lt;/Extra&gt;&lt;/Item&gt;&lt;/References&gt;&lt;/Group&gt;&lt;/Citation&gt;_x000a_"/>
    <w:docVar w:name="NE.Ref{F614C3D0-360D-411D-9E7D-6FB98C080F1C}" w:val=" ADDIN NE.Ref.{F614C3D0-360D-411D-9E7D-6FB98C080F1C}&lt;Citation&gt;&lt;Group&gt;&lt;References&gt;&lt;Item&gt;&lt;ID&gt;591&lt;/ID&gt;&lt;UID&gt;{4DDBD881-10CB-42C9-A1F4-FA94D6E3F271}&lt;/UID&gt;&lt;Title&gt;城镇化背景下太湖流域湖西区汛期入湖水量计算&lt;/Title&gt;&lt;Template&gt;Journal Article&lt;/Template&gt;&lt;Star&gt;0&lt;/Star&gt;&lt;Tag&gt;0&lt;/Tag&gt;&lt;Author&gt;吴娟; 林荷娟; 季海萍; 吴志勇; 金松&lt;/Author&gt;&lt;Year&gt;2021&lt;/Year&gt;&lt;Details&gt;&lt;_accessed&gt;66477323&lt;/_accessed&gt;&lt;_collection_scope&gt;CSCD;EI;PKU&lt;/_collection_scope&gt;&lt;_created&gt;66477323&lt;/_created&gt;&lt;_db_provider&gt;WF&lt;/_db_provider&gt;&lt;_db_updated&gt;NESearch&lt;/_db_updated&gt;&lt;_doi&gt;10.14042/j.cnki.32.1309.2021.04.009&lt;/_doi&gt;&lt;_isbn&gt;1001-6791&lt;/_isbn&gt;&lt;_issue&gt;4&lt;/_issue&gt;&lt;_journal&gt;水科学进展&lt;/_journal&gt;&lt;_language&gt;cn&lt;/_language&gt;&lt;_modified&gt;66477323&lt;/_modified&gt;&lt;_pages&gt;577-586&lt;/_pages&gt;&lt;_tertiary_title&gt;Advances in Water Science&lt;/_tertiary_title&gt;&lt;_translated_title&gt;Calculation of water quantity entering the Taihu Lake from the Huxi sub-basin during flood season under the background of urbanization&lt;/_translated_title&gt;&lt;_url&gt;https://d.wanfangdata.com.cn/periodical/skxjz202104009&lt;/_url&gt;&lt;_volume&gt;32&lt;/_volume&gt;&lt;_translated_author&gt;Wu, Juan;Lin, He juan;Ji, Hai ping;Wu, Zhi yong;Jin, Song&lt;/_translated_author&gt;&lt;/Details&gt;&lt;Extra&gt;&lt;DBUID&gt;{4639BE48-E8DA-433D-936E-D6A27A715D41}&lt;/DBUID&gt;&lt;/Extra&gt;&lt;/Item&gt;&lt;/References&gt;&lt;/Group&gt;&lt;/Citation&gt;_x000a_"/>
    <w:docVar w:name="NE.Ref{F9AF3D84-C32B-4B00-A076-6619F29B3C5F}" w:val=" ADDIN NE.Ref.{F9AF3D84-C32B-4B00-A076-6619F29B3C5F}&lt;Citation&gt;&lt;Group&gt;&lt;References&gt;&lt;Item&gt;&lt;ID&gt;567&lt;/ID&gt;&lt;UID&gt;{BC956C3B-602A-4A7F-AFF5-CD93A249F1E9}&lt;/UID&gt;&lt;Title&gt;知识数据双驱动的感潮河网水动力智能模拟方法&lt;/Title&gt;&lt;Template&gt;Journal Article&lt;/Template&gt;&lt;Star&gt;0&lt;/Star&gt;&lt;Tag&gt;0&lt;/Tag&gt;&lt;Author&gt;袁赛瑜; 陈逸鸿; 罗霄; 张汇明; 唐洪武&lt;/Author&gt;&lt;Year&gt;2025&lt;/Year&gt;&lt;Details&gt;&lt;_accessed&gt;66413434&lt;/_accessed&gt;&lt;_collection_scope&gt;CSCD;EI;PKU&lt;/_collection_scope&gt;&lt;_created&gt;66413434&lt;/_created&gt;&lt;_db_provider&gt;WF&lt;/_db_provider&gt;&lt;_db_updated&gt;NESearch&lt;/_db_updated&gt;&lt;_doi&gt;10.14042/j.cnki.32.1309.2025.01.003&lt;/_doi&gt;&lt;_isbn&gt;1001-6791&lt;/_isbn&gt;&lt;_issue&gt;1&lt;/_issue&gt;&lt;_journal&gt;水科学进展&lt;/_journal&gt;&lt;_language&gt;cn&lt;/_language&gt;&lt;_modified&gt;66413434&lt;/_modified&gt;&lt;_pages&gt;28-38&lt;/_pages&gt;&lt;_tertiary_title&gt;Advances in Water Science&lt;/_tertiary_title&gt;&lt;_translated_title&gt;Knowledge-and data-driven intelligent simulation method for tidal river network hydrodynamics&lt;/_translated_title&gt;&lt;_url&gt;https://d.wanfangdata.com.cn/periodical/skxjz202501003&lt;/_url&gt;&lt;_translated_author&gt;Yuan, Sai yu;Chen, Yi hong;Luo, Xiao;Zhang, Hui ming;Tang, Hong wu&lt;/_translated_author&gt;&lt;/Details&gt;&lt;Extra&gt;&lt;DBUID&gt;{4639BE48-E8DA-433D-936E-D6A27A715D41}&lt;/DBUID&gt;&lt;/Extra&gt;&lt;/Item&gt;&lt;/References&gt;&lt;/Group&gt;&lt;/Citation&gt;_x000a_"/>
    <w:docVar w:name="NE.Ref{FF14E435-5279-48A1-8FA8-FE355F005301}" w:val=" ADDIN NE.Ref.{FF14E435-5279-48A1-8FA8-FE355F005301}&lt;Citation&gt;&lt;Group&gt;&lt;References&gt;&lt;Item&gt;&lt;ID&gt;554&lt;/ID&gt;&lt;UID&gt;{F29D4A8E-9E16-4ECE-ADF8-D7822F384D3C}&lt;/UID&gt;&lt;Title&gt;新孟河工程引调水对区域水资源水环境的影响&lt;/Title&gt;&lt;Template&gt;Journal Article&lt;/Template&gt;&lt;Star&gt;0&lt;/Star&gt;&lt;Tag&gt;0&lt;/Tag&gt;&lt;Author&gt;陈甜; 毕婉; 刘敏&lt;/Author&gt;&lt;Year&gt;2025&lt;/Year&gt;&lt;Details&gt;&lt;_accessed&gt;66396646&lt;/_accessed&gt;&lt;_author_adr&gt;太湖流域管理局水文局(信息中心);太湖流域水文水资源监测中心(太湖流域水环境监测中心);&lt;/_author_adr&gt;&lt;_collection_scope&gt;PKU&lt;/_collection_scope&gt;&lt;_created&gt;66396646&lt;/_created&gt;&lt;_db_provider&gt;CNKI&lt;/_db_provider&gt;&lt;_db_updated&gt;CNKI - Reference&lt;/_db_updated&gt;&lt;_doi&gt;10.16232/j.cnki.1001-4179.2025.S2.007&lt;/_doi&gt;&lt;_isbn&gt;1001-4179&lt;/_isbn&gt;&lt;_issue&gt;S2&lt;/_issue&gt;&lt;_journal&gt;人民长江&lt;/_journal&gt;&lt;_keywords&gt;引调水;分流规律;电导率;水质变化;水质改善系数;综合污染指数;新孟河工程&lt;/_keywords&gt;&lt;_modified&gt;66396646&lt;/_modified&gt;&lt;_pages&gt;32-37&lt;/_pages&gt;&lt;_url&gt;https://link.cnki.net/doi/10.16232/j.cnki.1001-4179.2025.S2.007&lt;/_url&gt;&lt;_volume&gt;56&lt;/_volume&gt;&lt;_translated_author&gt;Chen, Tian;Bi, Wan;Liu, Min&lt;/_translated_author&gt;&lt;/Details&gt;&lt;Extra&gt;&lt;DBUID&gt;{4639BE48-E8DA-433D-936E-D6A27A715D41}&lt;/DBUID&gt;&lt;/Extra&gt;&lt;/Item&gt;&lt;/References&gt;&lt;/Group&gt;&lt;/Citation&gt;_x000a_"/>
    <w:docVar w:name="ne_docsoft" w:val="MSWord"/>
    <w:docVar w:name="ne_docversion" w:val="NoteExpress 2.0"/>
    <w:docVar w:name="ne_stylename" w:val="中华人民共和国国家标准_GBT_7714-2005"/>
  </w:docVars>
  <w:rsids>
    <w:rsidRoot w:val="00172A27"/>
    <w:rsid w:val="00683500"/>
    <w:rsid w:val="009D033E"/>
    <w:rsid w:val="013B0DE8"/>
    <w:rsid w:val="014B6416"/>
    <w:rsid w:val="01587515"/>
    <w:rsid w:val="01E46029"/>
    <w:rsid w:val="01E7687A"/>
    <w:rsid w:val="033020DE"/>
    <w:rsid w:val="039A1F3E"/>
    <w:rsid w:val="03DD3BE6"/>
    <w:rsid w:val="040B711D"/>
    <w:rsid w:val="041903F9"/>
    <w:rsid w:val="044E2BE0"/>
    <w:rsid w:val="047368F3"/>
    <w:rsid w:val="04A84840"/>
    <w:rsid w:val="056D353A"/>
    <w:rsid w:val="05923404"/>
    <w:rsid w:val="05974A80"/>
    <w:rsid w:val="059A260B"/>
    <w:rsid w:val="064E112E"/>
    <w:rsid w:val="06A27CB5"/>
    <w:rsid w:val="06BF6BED"/>
    <w:rsid w:val="072C734B"/>
    <w:rsid w:val="074B36E2"/>
    <w:rsid w:val="07B13BB2"/>
    <w:rsid w:val="07DC0494"/>
    <w:rsid w:val="08201E89"/>
    <w:rsid w:val="08986B20"/>
    <w:rsid w:val="08BE30F1"/>
    <w:rsid w:val="08CA50F6"/>
    <w:rsid w:val="08CD7D54"/>
    <w:rsid w:val="09445214"/>
    <w:rsid w:val="09463445"/>
    <w:rsid w:val="09607537"/>
    <w:rsid w:val="0A0E2D15"/>
    <w:rsid w:val="0A2B4B6F"/>
    <w:rsid w:val="0A726EFC"/>
    <w:rsid w:val="0A82564E"/>
    <w:rsid w:val="0B153BFE"/>
    <w:rsid w:val="0B381131"/>
    <w:rsid w:val="0B3F7726"/>
    <w:rsid w:val="0B6F3581"/>
    <w:rsid w:val="0CA95D90"/>
    <w:rsid w:val="0D731909"/>
    <w:rsid w:val="0E9A6BD2"/>
    <w:rsid w:val="0EDF7256"/>
    <w:rsid w:val="0F3E3407"/>
    <w:rsid w:val="0F4A52C7"/>
    <w:rsid w:val="0F512094"/>
    <w:rsid w:val="0F757C22"/>
    <w:rsid w:val="0FBC1346"/>
    <w:rsid w:val="101C3B95"/>
    <w:rsid w:val="10840D0A"/>
    <w:rsid w:val="1091688A"/>
    <w:rsid w:val="109A0961"/>
    <w:rsid w:val="10B84498"/>
    <w:rsid w:val="10D510E7"/>
    <w:rsid w:val="10F12BCB"/>
    <w:rsid w:val="1107547A"/>
    <w:rsid w:val="1133021E"/>
    <w:rsid w:val="1142587A"/>
    <w:rsid w:val="11B81FE1"/>
    <w:rsid w:val="11E26A75"/>
    <w:rsid w:val="124C12E6"/>
    <w:rsid w:val="12544E50"/>
    <w:rsid w:val="12647A72"/>
    <w:rsid w:val="12BE042A"/>
    <w:rsid w:val="13217A81"/>
    <w:rsid w:val="135D4BEE"/>
    <w:rsid w:val="13830FE4"/>
    <w:rsid w:val="13C058C2"/>
    <w:rsid w:val="14246D62"/>
    <w:rsid w:val="144C211D"/>
    <w:rsid w:val="145A112D"/>
    <w:rsid w:val="14FE41AE"/>
    <w:rsid w:val="15243815"/>
    <w:rsid w:val="155D5367"/>
    <w:rsid w:val="157C384C"/>
    <w:rsid w:val="167F5E37"/>
    <w:rsid w:val="16D52CED"/>
    <w:rsid w:val="17011680"/>
    <w:rsid w:val="171E4FDB"/>
    <w:rsid w:val="17312BA1"/>
    <w:rsid w:val="17AC2735"/>
    <w:rsid w:val="17EE050A"/>
    <w:rsid w:val="184B770B"/>
    <w:rsid w:val="18510954"/>
    <w:rsid w:val="190C022D"/>
    <w:rsid w:val="1A0E13CA"/>
    <w:rsid w:val="1A101FD2"/>
    <w:rsid w:val="1AFA71C6"/>
    <w:rsid w:val="1BDF2521"/>
    <w:rsid w:val="1C1B3898"/>
    <w:rsid w:val="1C1E0C92"/>
    <w:rsid w:val="1C3F58A0"/>
    <w:rsid w:val="1C3F7586"/>
    <w:rsid w:val="1CD8152C"/>
    <w:rsid w:val="1CD96C83"/>
    <w:rsid w:val="1CDC77FE"/>
    <w:rsid w:val="1D3D339A"/>
    <w:rsid w:val="1D750E34"/>
    <w:rsid w:val="1D7F054E"/>
    <w:rsid w:val="1D8F0099"/>
    <w:rsid w:val="1E6A6975"/>
    <w:rsid w:val="1E7C314B"/>
    <w:rsid w:val="1EE47D48"/>
    <w:rsid w:val="1F20361C"/>
    <w:rsid w:val="1F2E38E2"/>
    <w:rsid w:val="1FC6473A"/>
    <w:rsid w:val="20A745B3"/>
    <w:rsid w:val="20EF6BF3"/>
    <w:rsid w:val="214B077B"/>
    <w:rsid w:val="216E7FC6"/>
    <w:rsid w:val="218A0120"/>
    <w:rsid w:val="21CA26D2"/>
    <w:rsid w:val="22D85C7D"/>
    <w:rsid w:val="22EF552E"/>
    <w:rsid w:val="23191B58"/>
    <w:rsid w:val="239C706C"/>
    <w:rsid w:val="260E1D77"/>
    <w:rsid w:val="261D2D5B"/>
    <w:rsid w:val="26324658"/>
    <w:rsid w:val="26811B66"/>
    <w:rsid w:val="269406A1"/>
    <w:rsid w:val="26977EAB"/>
    <w:rsid w:val="26A85D28"/>
    <w:rsid w:val="26EB157D"/>
    <w:rsid w:val="273E41A2"/>
    <w:rsid w:val="274243CE"/>
    <w:rsid w:val="275F568A"/>
    <w:rsid w:val="27D20DAF"/>
    <w:rsid w:val="27D668C5"/>
    <w:rsid w:val="28297841"/>
    <w:rsid w:val="285223EF"/>
    <w:rsid w:val="286654C0"/>
    <w:rsid w:val="28954D06"/>
    <w:rsid w:val="289A5B44"/>
    <w:rsid w:val="28BA3CD3"/>
    <w:rsid w:val="28D01690"/>
    <w:rsid w:val="28EF40E2"/>
    <w:rsid w:val="295454C1"/>
    <w:rsid w:val="297D349C"/>
    <w:rsid w:val="29B11398"/>
    <w:rsid w:val="29B27ECE"/>
    <w:rsid w:val="29F15C38"/>
    <w:rsid w:val="2A213702"/>
    <w:rsid w:val="2AF07C9E"/>
    <w:rsid w:val="2B277B63"/>
    <w:rsid w:val="2B647B3D"/>
    <w:rsid w:val="2B6B01F9"/>
    <w:rsid w:val="2BE63ECD"/>
    <w:rsid w:val="2C122C6D"/>
    <w:rsid w:val="2C435E6A"/>
    <w:rsid w:val="2C6509F7"/>
    <w:rsid w:val="2C8D5567"/>
    <w:rsid w:val="2CB74F17"/>
    <w:rsid w:val="2CC32E8A"/>
    <w:rsid w:val="2D656721"/>
    <w:rsid w:val="2DA851F7"/>
    <w:rsid w:val="2DD90EBD"/>
    <w:rsid w:val="2E1D524D"/>
    <w:rsid w:val="2E414761"/>
    <w:rsid w:val="2E907E22"/>
    <w:rsid w:val="2EE6563F"/>
    <w:rsid w:val="2F23005A"/>
    <w:rsid w:val="2F404E90"/>
    <w:rsid w:val="2F53201C"/>
    <w:rsid w:val="2F7F5055"/>
    <w:rsid w:val="2F967065"/>
    <w:rsid w:val="2F983786"/>
    <w:rsid w:val="30281D23"/>
    <w:rsid w:val="31876741"/>
    <w:rsid w:val="31F50E1B"/>
    <w:rsid w:val="32222E32"/>
    <w:rsid w:val="325622CF"/>
    <w:rsid w:val="32601BAD"/>
    <w:rsid w:val="33024A12"/>
    <w:rsid w:val="331165AB"/>
    <w:rsid w:val="333B175C"/>
    <w:rsid w:val="33727DEA"/>
    <w:rsid w:val="33D81649"/>
    <w:rsid w:val="35A95AF1"/>
    <w:rsid w:val="35CA5CBB"/>
    <w:rsid w:val="35DA3896"/>
    <w:rsid w:val="35EE1EC9"/>
    <w:rsid w:val="36373F93"/>
    <w:rsid w:val="368315AB"/>
    <w:rsid w:val="36D83E3F"/>
    <w:rsid w:val="3818186A"/>
    <w:rsid w:val="392835DD"/>
    <w:rsid w:val="39AB434B"/>
    <w:rsid w:val="39E1230A"/>
    <w:rsid w:val="3A137505"/>
    <w:rsid w:val="3A2329E3"/>
    <w:rsid w:val="3A686305"/>
    <w:rsid w:val="3AAF1923"/>
    <w:rsid w:val="3AC84793"/>
    <w:rsid w:val="3AE03C9D"/>
    <w:rsid w:val="3B057795"/>
    <w:rsid w:val="3B35715C"/>
    <w:rsid w:val="3B6B3A9C"/>
    <w:rsid w:val="3BDA141A"/>
    <w:rsid w:val="3C4B3352"/>
    <w:rsid w:val="3CBE045F"/>
    <w:rsid w:val="3D0B46BE"/>
    <w:rsid w:val="3D211F38"/>
    <w:rsid w:val="3D4B4DAF"/>
    <w:rsid w:val="3DC15C11"/>
    <w:rsid w:val="3DC27CCB"/>
    <w:rsid w:val="3DC41242"/>
    <w:rsid w:val="3DE6141D"/>
    <w:rsid w:val="3E5221DB"/>
    <w:rsid w:val="3F27614D"/>
    <w:rsid w:val="3FD50805"/>
    <w:rsid w:val="402B55A8"/>
    <w:rsid w:val="408221E1"/>
    <w:rsid w:val="40C907D4"/>
    <w:rsid w:val="40E1035D"/>
    <w:rsid w:val="41263FEF"/>
    <w:rsid w:val="418F7312"/>
    <w:rsid w:val="42071191"/>
    <w:rsid w:val="42483437"/>
    <w:rsid w:val="426F2C1C"/>
    <w:rsid w:val="42924546"/>
    <w:rsid w:val="42925DB2"/>
    <w:rsid w:val="42B7026A"/>
    <w:rsid w:val="42C43F84"/>
    <w:rsid w:val="42E5654F"/>
    <w:rsid w:val="42EB2656"/>
    <w:rsid w:val="430F01CE"/>
    <w:rsid w:val="43146526"/>
    <w:rsid w:val="431E31A2"/>
    <w:rsid w:val="435600CF"/>
    <w:rsid w:val="43D5738C"/>
    <w:rsid w:val="43FC2FA9"/>
    <w:rsid w:val="445048AD"/>
    <w:rsid w:val="45765583"/>
    <w:rsid w:val="45D23329"/>
    <w:rsid w:val="45E972A0"/>
    <w:rsid w:val="460F1C96"/>
    <w:rsid w:val="46CC12F5"/>
    <w:rsid w:val="471A72D6"/>
    <w:rsid w:val="47401F43"/>
    <w:rsid w:val="478878EC"/>
    <w:rsid w:val="47A1110E"/>
    <w:rsid w:val="480D7335"/>
    <w:rsid w:val="48476F62"/>
    <w:rsid w:val="49F84D68"/>
    <w:rsid w:val="4A0F5443"/>
    <w:rsid w:val="4A8A552A"/>
    <w:rsid w:val="4ADD6D7F"/>
    <w:rsid w:val="4B65694A"/>
    <w:rsid w:val="4B9304A5"/>
    <w:rsid w:val="4C690498"/>
    <w:rsid w:val="4C8F2D15"/>
    <w:rsid w:val="4D1B6B8E"/>
    <w:rsid w:val="4D4E3904"/>
    <w:rsid w:val="4E235B10"/>
    <w:rsid w:val="4EEA4880"/>
    <w:rsid w:val="4F2524CB"/>
    <w:rsid w:val="4F4F0A39"/>
    <w:rsid w:val="4FDE219F"/>
    <w:rsid w:val="4FE036BD"/>
    <w:rsid w:val="4FE7098B"/>
    <w:rsid w:val="4FEC63D6"/>
    <w:rsid w:val="50047BC4"/>
    <w:rsid w:val="50080A36"/>
    <w:rsid w:val="500C5B70"/>
    <w:rsid w:val="50A941CF"/>
    <w:rsid w:val="50FE2865"/>
    <w:rsid w:val="51364AE0"/>
    <w:rsid w:val="51907961"/>
    <w:rsid w:val="51917E20"/>
    <w:rsid w:val="51D41B82"/>
    <w:rsid w:val="51D75590"/>
    <w:rsid w:val="526B3F2A"/>
    <w:rsid w:val="52A924A0"/>
    <w:rsid w:val="52D91353"/>
    <w:rsid w:val="52E854A5"/>
    <w:rsid w:val="5393341E"/>
    <w:rsid w:val="53C90F08"/>
    <w:rsid w:val="54656216"/>
    <w:rsid w:val="55445EB7"/>
    <w:rsid w:val="554F368F"/>
    <w:rsid w:val="558B77C1"/>
    <w:rsid w:val="5614528A"/>
    <w:rsid w:val="56381C31"/>
    <w:rsid w:val="564B24E7"/>
    <w:rsid w:val="56533707"/>
    <w:rsid w:val="56A35797"/>
    <w:rsid w:val="57034731"/>
    <w:rsid w:val="572B5D3A"/>
    <w:rsid w:val="57D937EB"/>
    <w:rsid w:val="5812316E"/>
    <w:rsid w:val="58502CCC"/>
    <w:rsid w:val="58786841"/>
    <w:rsid w:val="5884755E"/>
    <w:rsid w:val="596013A4"/>
    <w:rsid w:val="5979517E"/>
    <w:rsid w:val="5A0A56FD"/>
    <w:rsid w:val="5A5B7269"/>
    <w:rsid w:val="5BD62414"/>
    <w:rsid w:val="5C365D3C"/>
    <w:rsid w:val="5CE24E21"/>
    <w:rsid w:val="5CF07506"/>
    <w:rsid w:val="5D4E7683"/>
    <w:rsid w:val="5D5A52C7"/>
    <w:rsid w:val="5D9B7F03"/>
    <w:rsid w:val="5DDA4491"/>
    <w:rsid w:val="5E7D74BF"/>
    <w:rsid w:val="5E9C302E"/>
    <w:rsid w:val="5E9C5DA4"/>
    <w:rsid w:val="5EFC4888"/>
    <w:rsid w:val="5F21609C"/>
    <w:rsid w:val="5F310C71"/>
    <w:rsid w:val="5F9A5E4E"/>
    <w:rsid w:val="5FA171DD"/>
    <w:rsid w:val="5FB567E4"/>
    <w:rsid w:val="5FF05A6E"/>
    <w:rsid w:val="5FFB4B3F"/>
    <w:rsid w:val="603B794C"/>
    <w:rsid w:val="60544EC2"/>
    <w:rsid w:val="60655E98"/>
    <w:rsid w:val="610B640C"/>
    <w:rsid w:val="616B1851"/>
    <w:rsid w:val="61B03707"/>
    <w:rsid w:val="61B13C78"/>
    <w:rsid w:val="61CC3E4D"/>
    <w:rsid w:val="61DC187C"/>
    <w:rsid w:val="62092FAF"/>
    <w:rsid w:val="621912AD"/>
    <w:rsid w:val="62D2018C"/>
    <w:rsid w:val="62E55C0A"/>
    <w:rsid w:val="63C872E4"/>
    <w:rsid w:val="63CA720B"/>
    <w:rsid w:val="648F1D78"/>
    <w:rsid w:val="651165C3"/>
    <w:rsid w:val="65581932"/>
    <w:rsid w:val="65586590"/>
    <w:rsid w:val="656A4F30"/>
    <w:rsid w:val="658C7DF9"/>
    <w:rsid w:val="65B16171"/>
    <w:rsid w:val="66E11F7D"/>
    <w:rsid w:val="67915D89"/>
    <w:rsid w:val="67965D0E"/>
    <w:rsid w:val="67A37521"/>
    <w:rsid w:val="680B5B3B"/>
    <w:rsid w:val="681E1FDF"/>
    <w:rsid w:val="687A05CB"/>
    <w:rsid w:val="688B27D8"/>
    <w:rsid w:val="68CA00A8"/>
    <w:rsid w:val="690A0719"/>
    <w:rsid w:val="690B15A0"/>
    <w:rsid w:val="691E53FA"/>
    <w:rsid w:val="69255C25"/>
    <w:rsid w:val="696E0130"/>
    <w:rsid w:val="69B35D3E"/>
    <w:rsid w:val="6AAE27AE"/>
    <w:rsid w:val="6AB27AB2"/>
    <w:rsid w:val="6B217424"/>
    <w:rsid w:val="6B7E4CCC"/>
    <w:rsid w:val="6B8C2300"/>
    <w:rsid w:val="6CAE0DFD"/>
    <w:rsid w:val="6CBE12B4"/>
    <w:rsid w:val="6D371181"/>
    <w:rsid w:val="6D6F4477"/>
    <w:rsid w:val="6D7640A6"/>
    <w:rsid w:val="6E096679"/>
    <w:rsid w:val="6E883B21"/>
    <w:rsid w:val="6E8A03A5"/>
    <w:rsid w:val="6EA2088F"/>
    <w:rsid w:val="6EC729AA"/>
    <w:rsid w:val="6F0B413C"/>
    <w:rsid w:val="6F316FFF"/>
    <w:rsid w:val="6F3967DE"/>
    <w:rsid w:val="701663E5"/>
    <w:rsid w:val="71301A7A"/>
    <w:rsid w:val="714F4CEB"/>
    <w:rsid w:val="71700500"/>
    <w:rsid w:val="717C64BF"/>
    <w:rsid w:val="71EA67C2"/>
    <w:rsid w:val="72301B2E"/>
    <w:rsid w:val="72D54D7C"/>
    <w:rsid w:val="72E15E16"/>
    <w:rsid w:val="73364FE4"/>
    <w:rsid w:val="736175D9"/>
    <w:rsid w:val="73687BBA"/>
    <w:rsid w:val="74257A4C"/>
    <w:rsid w:val="744A3547"/>
    <w:rsid w:val="747E1443"/>
    <w:rsid w:val="74822E92"/>
    <w:rsid w:val="74B51309"/>
    <w:rsid w:val="74C94487"/>
    <w:rsid w:val="74E219D2"/>
    <w:rsid w:val="74F76590"/>
    <w:rsid w:val="75AC42E3"/>
    <w:rsid w:val="75B04223"/>
    <w:rsid w:val="764A782F"/>
    <w:rsid w:val="76631EA4"/>
    <w:rsid w:val="766A5B12"/>
    <w:rsid w:val="767E5B78"/>
    <w:rsid w:val="76DB438D"/>
    <w:rsid w:val="76EE28B0"/>
    <w:rsid w:val="771C2193"/>
    <w:rsid w:val="774F2CBC"/>
    <w:rsid w:val="777A75D4"/>
    <w:rsid w:val="77BC7825"/>
    <w:rsid w:val="77DF546F"/>
    <w:rsid w:val="783339D9"/>
    <w:rsid w:val="78370D21"/>
    <w:rsid w:val="784437FB"/>
    <w:rsid w:val="7849294C"/>
    <w:rsid w:val="79847157"/>
    <w:rsid w:val="7A0E3D5C"/>
    <w:rsid w:val="7A3745DC"/>
    <w:rsid w:val="7ABB2380"/>
    <w:rsid w:val="7AD13F8D"/>
    <w:rsid w:val="7B311FF7"/>
    <w:rsid w:val="7BB53DC0"/>
    <w:rsid w:val="7BB778DD"/>
    <w:rsid w:val="7C070AFA"/>
    <w:rsid w:val="7C2309E9"/>
    <w:rsid w:val="7C645A5A"/>
    <w:rsid w:val="7C703D67"/>
    <w:rsid w:val="7C832198"/>
    <w:rsid w:val="7CEB743E"/>
    <w:rsid w:val="7D3D1E9B"/>
    <w:rsid w:val="7D6C6800"/>
    <w:rsid w:val="7DA43CC8"/>
    <w:rsid w:val="7DC600E3"/>
    <w:rsid w:val="7EE54876"/>
    <w:rsid w:val="7F432E5F"/>
    <w:rsid w:val="7F663D79"/>
    <w:rsid w:val="7FB61110"/>
    <w:rsid w:val="7FED4A4C"/>
    <w:rsid w:val="7FED5774"/>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340" w:after="330" w:line="576" w:lineRule="auto"/>
      <w:outlineLvl w:val="0"/>
    </w:pPr>
    <w:rPr>
      <w:rFonts w:eastAsia="黑体"/>
      <w:b/>
      <w:bCs/>
      <w:kern w:val="44"/>
      <w:sz w:val="28"/>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Times New Roman" w:hAnsi="Times New Roman" w:eastAsia="Times New Roman" w:cs="Times New Roman"/>
      <w:sz w:val="18"/>
      <w:szCs w:val="18"/>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unhideWhenUsed/>
    <w:qFormat/>
    <w:uiPriority w:val="0"/>
    <w:pPr>
      <w:snapToGrid w:val="0"/>
      <w:jc w:val="left"/>
    </w:pPr>
    <w:rPr>
      <w:sz w:val="18"/>
      <w:szCs w:val="20"/>
    </w:rPr>
  </w:style>
  <w:style w:type="paragraph" w:styleId="8">
    <w:name w:val="Title"/>
    <w:basedOn w:val="1"/>
    <w:next w:val="1"/>
    <w:qFormat/>
    <w:uiPriority w:val="10"/>
    <w:pPr>
      <w:spacing w:before="240" w:after="60"/>
      <w:jc w:val="center"/>
      <w:outlineLvl w:val="0"/>
    </w:pPr>
    <w:rPr>
      <w:rFonts w:ascii="Cambria" w:hAnsi="Cambria" w:cs="Times New Roman"/>
      <w:b/>
      <w:bCs/>
      <w:sz w:val="48"/>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bCs/>
    </w:rPr>
  </w:style>
  <w:style w:type="character" w:styleId="13">
    <w:name w:val="Hyperlink"/>
    <w:basedOn w:val="11"/>
    <w:qFormat/>
    <w:uiPriority w:val="0"/>
    <w:rPr>
      <w:color w:val="0000FF"/>
      <w:u w:val="single"/>
    </w:rPr>
  </w:style>
  <w:style w:type="table" w:customStyle="1" w:styleId="14">
    <w:name w:val="Table Normal1"/>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Times New Roman" w:hAnsi="Times New Roman" w:eastAsia="Times New Roman" w:cs="Times New Roman"/>
      <w:sz w:val="16"/>
      <w:szCs w:val="1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emf"/><Relationship Id="rId18" Type="http://schemas.openxmlformats.org/officeDocument/2006/relationships/image" Target="media/image10.emf"/><Relationship Id="rId17" Type="http://schemas.openxmlformats.org/officeDocument/2006/relationships/image" Target="media/image9.emf"/><Relationship Id="rId16" Type="http://schemas.openxmlformats.org/officeDocument/2006/relationships/image" Target="media/image8.emf"/><Relationship Id="rId15" Type="http://schemas.openxmlformats.org/officeDocument/2006/relationships/image" Target="media/image7.emf"/><Relationship Id="rId14" Type="http://schemas.openxmlformats.org/officeDocument/2006/relationships/image" Target="media/image6.emf"/><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emf"/><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3875</Words>
  <Characters>6192</Characters>
  <TotalTime>9</TotalTime>
  <ScaleCrop>false</ScaleCrop>
  <LinksUpToDate>false</LinksUpToDate>
  <CharactersWithSpaces>6637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2024-10-18T15:47:00Z</dcterms:created>
  <dc:creator>张华兴</dc:creator>
  <cp:lastModifiedBy>王璐</cp:lastModifiedBy>
  <dcterms:modified xsi:type="dcterms:W3CDTF">2026-07-27T01:42:32Z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2026-03-24T14:55:25Z</vt:filetime>
  </property>
  <property fmtid="{D5CDD505-2E9C-101B-9397-08002B2CF9AE}" pid="4" name="KSOTemplateDocerSaveRecord">
    <vt:lpwstr>eyJoZGlkIjoiNGJjZWI2NmMzYjBlM2UyZGMwZjUwNDQyMjU3NjRlOGUiLCJ1c2VySWQiOiIzNjMyNDI1ODUifQ==</vt:lpwstr>
  </property>
  <property fmtid="{D5CDD505-2E9C-101B-9397-08002B2CF9AE}" pid="5" name="KSOProductBuildVer">
    <vt:lpwstr>2052-12.1.0.26895</vt:lpwstr>
  </property>
  <property fmtid="{D5CDD505-2E9C-101B-9397-08002B2CF9AE}" pid="6" name="ICV">
    <vt:lpwstr>78FE81C5C7F7413BA1FB1F659029E058_13</vt:lpwstr>
  </property>
</Properties>
</file>