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5310BE">
      <w:pPr>
        <w:adjustRightInd w:val="0"/>
        <w:snapToGrid w:val="0"/>
        <w:jc w:val="center"/>
        <w:rPr>
          <w:rFonts w:ascii="宋体" w:hAnsi="宋体"/>
          <w:b/>
          <w:color w:val="auto"/>
          <w:sz w:val="48"/>
          <w:szCs w:val="48"/>
          <w:highlight w:val="none"/>
          <w:shd w:val="clear" w:fill="auto"/>
        </w:rPr>
      </w:pPr>
      <w:r>
        <w:rPr>
          <w:rFonts w:ascii="宋体" w:hAnsi="宋体"/>
          <w:b/>
          <w:color w:val="auto"/>
          <w:sz w:val="48"/>
          <w:szCs w:val="48"/>
          <w:highlight w:val="none"/>
          <w:shd w:val="clear" w:fill="auto"/>
        </w:rPr>
        <w:fldChar w:fldCharType="begin"/>
      </w:r>
      <w:r>
        <w:rPr>
          <w:rFonts w:ascii="宋体" w:hAnsi="宋体"/>
          <w:b/>
          <w:color w:val="auto"/>
          <w:sz w:val="48"/>
          <w:szCs w:val="48"/>
          <w:highlight w:val="none"/>
          <w:shd w:val="clear" w:fill="auto"/>
        </w:rPr>
        <w:instrText xml:space="preserve"> MACROBUTTON MTEditEquationSection2 </w:instrText>
      </w:r>
      <w:r>
        <w:rPr>
          <w:rStyle w:val="35"/>
          <w:rFonts w:hint="eastAsia"/>
          <w:color w:val="auto"/>
          <w:highlight w:val="none"/>
          <w:shd w:val="clear" w:fill="auto"/>
        </w:rPr>
        <w:instrText xml:space="preserve">公式章</w:instrText>
      </w:r>
      <w:r>
        <w:rPr>
          <w:rStyle w:val="35"/>
          <w:color w:val="auto"/>
          <w:highlight w:val="none"/>
          <w:shd w:val="clear" w:fill="auto"/>
        </w:rPr>
        <w:instrText xml:space="preserve"> 1 节 1</w:instrText>
      </w:r>
      <w:r>
        <w:rPr>
          <w:rFonts w:ascii="宋体" w:hAnsi="宋体"/>
          <w:b/>
          <w:color w:val="auto"/>
          <w:sz w:val="48"/>
          <w:szCs w:val="48"/>
          <w:highlight w:val="none"/>
          <w:shd w:val="clear" w:fill="auto"/>
        </w:rPr>
        <w:fldChar w:fldCharType="begin"/>
      </w:r>
      <w:r>
        <w:rPr>
          <w:rFonts w:ascii="宋体" w:hAnsi="宋体"/>
          <w:b/>
          <w:color w:val="auto"/>
          <w:sz w:val="48"/>
          <w:szCs w:val="48"/>
          <w:highlight w:val="none"/>
          <w:shd w:val="clear" w:fill="auto"/>
        </w:rPr>
        <w:instrText xml:space="preserve"> SEQ MTEqn \r \h \* MERGEFORMAT </w:instrText>
      </w:r>
      <w:r>
        <w:rPr>
          <w:rFonts w:ascii="宋体" w:hAnsi="宋体"/>
          <w:b/>
          <w:color w:val="auto"/>
          <w:sz w:val="48"/>
          <w:szCs w:val="48"/>
          <w:highlight w:val="none"/>
          <w:shd w:val="clear" w:fill="auto"/>
        </w:rPr>
        <w:fldChar w:fldCharType="end"/>
      </w:r>
      <w:r>
        <w:rPr>
          <w:rFonts w:ascii="宋体" w:hAnsi="宋体"/>
          <w:b/>
          <w:color w:val="auto"/>
          <w:sz w:val="48"/>
          <w:szCs w:val="48"/>
          <w:highlight w:val="none"/>
          <w:shd w:val="clear" w:fill="auto"/>
        </w:rPr>
        <w:fldChar w:fldCharType="begin"/>
      </w:r>
      <w:r>
        <w:rPr>
          <w:rFonts w:ascii="宋体" w:hAnsi="宋体"/>
          <w:b/>
          <w:color w:val="auto"/>
          <w:sz w:val="48"/>
          <w:szCs w:val="48"/>
          <w:highlight w:val="none"/>
          <w:shd w:val="clear" w:fill="auto"/>
        </w:rPr>
        <w:instrText xml:space="preserve"> SEQ MTSec \r 1 \h \* MERGEFORMAT </w:instrText>
      </w:r>
      <w:r>
        <w:rPr>
          <w:rFonts w:ascii="宋体" w:hAnsi="宋体"/>
          <w:b/>
          <w:color w:val="auto"/>
          <w:sz w:val="48"/>
          <w:szCs w:val="48"/>
          <w:highlight w:val="none"/>
          <w:shd w:val="clear" w:fill="auto"/>
        </w:rPr>
        <w:fldChar w:fldCharType="end"/>
      </w:r>
      <w:r>
        <w:rPr>
          <w:rFonts w:ascii="宋体" w:hAnsi="宋体"/>
          <w:b/>
          <w:color w:val="auto"/>
          <w:sz w:val="48"/>
          <w:szCs w:val="48"/>
          <w:highlight w:val="none"/>
          <w:shd w:val="clear" w:fill="auto"/>
        </w:rPr>
        <w:fldChar w:fldCharType="begin"/>
      </w:r>
      <w:r>
        <w:rPr>
          <w:rFonts w:ascii="宋体" w:hAnsi="宋体"/>
          <w:b/>
          <w:color w:val="auto"/>
          <w:sz w:val="48"/>
          <w:szCs w:val="48"/>
          <w:highlight w:val="none"/>
          <w:shd w:val="clear" w:fill="auto"/>
        </w:rPr>
        <w:instrText xml:space="preserve"> SEQ MTChap \r 1 \h \* MERGEFORMAT </w:instrText>
      </w:r>
      <w:r>
        <w:rPr>
          <w:rFonts w:ascii="宋体" w:hAnsi="宋体"/>
          <w:b/>
          <w:color w:val="auto"/>
          <w:sz w:val="48"/>
          <w:szCs w:val="48"/>
          <w:highlight w:val="none"/>
          <w:shd w:val="clear" w:fill="auto"/>
        </w:rPr>
        <w:fldChar w:fldCharType="end"/>
      </w:r>
      <w:r>
        <w:rPr>
          <w:rFonts w:ascii="宋体" w:hAnsi="宋体"/>
          <w:b/>
          <w:color w:val="auto"/>
          <w:sz w:val="48"/>
          <w:szCs w:val="48"/>
          <w:highlight w:val="none"/>
          <w:shd w:val="clear" w:fill="auto"/>
        </w:rPr>
        <w:fldChar w:fldCharType="end"/>
      </w:r>
    </w:p>
    <w:p w14:paraId="200526F0">
      <w:pPr>
        <w:adjustRightInd w:val="0"/>
        <w:snapToGrid w:val="0"/>
        <w:jc w:val="center"/>
        <w:rPr>
          <w:rFonts w:hint="eastAsia" w:ascii="宋体" w:hAnsi="宋体"/>
          <w:b/>
          <w:color w:val="auto"/>
          <w:sz w:val="36"/>
          <w:szCs w:val="36"/>
          <w:highlight w:val="none"/>
          <w:shd w:val="clear" w:fill="auto"/>
        </w:rPr>
      </w:pPr>
      <w:r>
        <w:rPr>
          <w:rFonts w:hint="eastAsia" w:ascii="宋体" w:hAnsi="宋体"/>
          <w:b/>
          <w:color w:val="auto"/>
          <w:sz w:val="48"/>
          <w:szCs w:val="48"/>
          <w:highlight w:val="none"/>
          <w:shd w:val="clear" w:fill="auto"/>
        </w:rPr>
        <w:t>电絮凝</w:t>
      </w:r>
      <w:r>
        <w:rPr>
          <w:rFonts w:hint="eastAsia" w:ascii="宋体" w:hAnsi="宋体"/>
          <w:b/>
          <w:color w:val="auto"/>
          <w:sz w:val="48"/>
          <w:szCs w:val="48"/>
          <w:highlight w:val="none"/>
          <w:shd w:val="clear" w:fill="auto"/>
          <w:lang w:val="en-US" w:eastAsia="zh-CN"/>
        </w:rPr>
        <w:t>法</w:t>
      </w:r>
      <w:r>
        <w:rPr>
          <w:rFonts w:hint="eastAsia" w:ascii="宋体" w:hAnsi="宋体"/>
          <w:b/>
          <w:color w:val="auto"/>
          <w:sz w:val="48"/>
          <w:szCs w:val="48"/>
          <w:highlight w:val="none"/>
          <w:shd w:val="clear" w:fill="auto"/>
        </w:rPr>
        <w:t>去除聚乙烯微塑料的效能及机制</w:t>
      </w:r>
    </w:p>
    <w:p w14:paraId="7592561B">
      <w:pPr>
        <w:adjustRightInd w:val="0"/>
        <w:snapToGrid w:val="0"/>
        <w:jc w:val="center"/>
        <w:rPr>
          <w:rFonts w:hint="eastAsia" w:ascii="宋体" w:hAnsi="宋体"/>
          <w:b/>
          <w:color w:val="auto"/>
          <w:sz w:val="21"/>
          <w:szCs w:val="21"/>
          <w:highlight w:val="none"/>
          <w:shd w:val="clear" w:fill="auto"/>
          <w:lang w:val="en-US" w:eastAsia="zh-CN"/>
        </w:rPr>
      </w:pPr>
    </w:p>
    <w:p w14:paraId="3594CB99">
      <w:pPr>
        <w:adjustRightInd w:val="0"/>
        <w:snapToGrid w:val="0"/>
        <w:jc w:val="center"/>
        <w:rPr>
          <w:rFonts w:hint="eastAsia" w:ascii="楷体" w:hAnsi="楷体" w:eastAsia="楷体" w:cs="楷体"/>
          <w:bCs/>
          <w:color w:val="auto"/>
          <w:sz w:val="28"/>
          <w:szCs w:val="28"/>
          <w:highlight w:val="none"/>
          <w:shd w:val="clear" w:fill="auto"/>
          <w:vertAlign w:val="superscript"/>
          <w:lang w:val="en-US" w:eastAsia="zh-CN"/>
        </w:rPr>
      </w:pPr>
      <w:r>
        <w:rPr>
          <w:rFonts w:hint="eastAsia" w:ascii="楷体" w:hAnsi="楷体" w:eastAsia="楷体" w:cs="楷体"/>
          <w:bCs/>
          <w:color w:val="auto"/>
          <w:sz w:val="28"/>
          <w:szCs w:val="28"/>
          <w:highlight w:val="none"/>
          <w:shd w:val="clear" w:fill="auto"/>
        </w:rPr>
        <w:t>夏彬梅</w:t>
      </w:r>
      <w:r>
        <w:rPr>
          <w:rFonts w:hint="eastAsia" w:ascii="楷体" w:hAnsi="楷体" w:eastAsia="楷体" w:cs="楷体"/>
          <w:bCs/>
          <w:color w:val="auto"/>
          <w:sz w:val="28"/>
          <w:szCs w:val="28"/>
          <w:highlight w:val="none"/>
          <w:shd w:val="clear" w:fill="auto"/>
          <w:lang w:eastAsia="zh-CN"/>
        </w:rPr>
        <w:t>，</w:t>
      </w:r>
      <w:r>
        <w:rPr>
          <w:rFonts w:hint="eastAsia" w:ascii="楷体" w:hAnsi="楷体" w:eastAsia="楷体" w:cs="楷体"/>
          <w:bCs/>
          <w:color w:val="auto"/>
          <w:sz w:val="28"/>
          <w:szCs w:val="28"/>
          <w:highlight w:val="none"/>
          <w:shd w:val="clear" w:fill="auto"/>
        </w:rPr>
        <w:t>祖波，</w:t>
      </w:r>
      <w:r>
        <w:rPr>
          <w:rFonts w:hint="eastAsia" w:ascii="楷体" w:hAnsi="楷体" w:eastAsia="楷体" w:cs="楷体"/>
          <w:bCs/>
          <w:color w:val="auto"/>
          <w:sz w:val="28"/>
          <w:szCs w:val="28"/>
          <w:highlight w:val="none"/>
          <w:shd w:val="clear" w:fill="auto"/>
          <w:lang w:val="en-US" w:eastAsia="zh-CN"/>
        </w:rPr>
        <w:t>邵添情</w:t>
      </w:r>
    </w:p>
    <w:p w14:paraId="2B7A7DB1">
      <w:pPr>
        <w:numPr>
          <w:ilvl w:val="0"/>
          <w:numId w:val="0"/>
        </w:numPr>
        <w:adjustRightInd w:val="0"/>
        <w:snapToGrid w:val="0"/>
        <w:jc w:val="center"/>
        <w:rPr>
          <w:rFonts w:hint="eastAsia" w:ascii="仿宋" w:hAnsi="仿宋" w:eastAsia="仿宋" w:cs="仿宋"/>
          <w:color w:val="auto"/>
          <w:kern w:val="0"/>
          <w:sz w:val="21"/>
          <w:szCs w:val="21"/>
          <w:highlight w:val="none"/>
          <w:shd w:val="clear" w:fill="auto"/>
          <w:lang w:val="en-US" w:eastAsia="zh-CN" w:bidi="ar"/>
        </w:rPr>
      </w:pPr>
      <w:r>
        <w:rPr>
          <w:rFonts w:hint="eastAsia" w:ascii="仿宋" w:hAnsi="仿宋" w:eastAsia="仿宋" w:cs="仿宋"/>
          <w:color w:val="auto"/>
          <w:sz w:val="21"/>
          <w:szCs w:val="21"/>
          <w:highlight w:val="none"/>
          <w:shd w:val="clear" w:fill="auto"/>
          <w:lang w:val="en-US" w:eastAsia="zh-CN"/>
        </w:rPr>
        <w:t>（</w:t>
      </w:r>
      <w:r>
        <w:rPr>
          <w:rFonts w:hint="eastAsia" w:ascii="仿宋" w:hAnsi="仿宋" w:eastAsia="仿宋" w:cs="仿宋"/>
          <w:color w:val="auto"/>
          <w:sz w:val="21"/>
          <w:szCs w:val="21"/>
          <w:highlight w:val="none"/>
          <w:shd w:val="clear" w:fill="auto"/>
        </w:rPr>
        <w:t>重庆交通大学</w:t>
      </w:r>
      <w:r>
        <w:rPr>
          <w:rFonts w:hint="eastAsia" w:ascii="仿宋" w:hAnsi="仿宋" w:eastAsia="仿宋" w:cs="仿宋"/>
          <w:color w:val="auto"/>
          <w:sz w:val="21"/>
          <w:szCs w:val="21"/>
          <w:highlight w:val="none"/>
          <w:shd w:val="clear" w:fill="auto"/>
          <w:lang w:val="en-US" w:eastAsia="zh-CN"/>
        </w:rPr>
        <w:t xml:space="preserve"> </w:t>
      </w:r>
      <w:r>
        <w:rPr>
          <w:rFonts w:hint="eastAsia" w:ascii="仿宋" w:hAnsi="仿宋" w:eastAsia="仿宋" w:cs="仿宋"/>
          <w:color w:val="auto"/>
          <w:sz w:val="21"/>
          <w:szCs w:val="21"/>
          <w:highlight w:val="none"/>
          <w:shd w:val="clear" w:fill="auto"/>
        </w:rPr>
        <w:t>河海学院，重庆 400074</w:t>
      </w:r>
      <w:r>
        <w:rPr>
          <w:rFonts w:hint="eastAsia" w:ascii="仿宋" w:hAnsi="仿宋" w:eastAsia="仿宋" w:cs="仿宋"/>
          <w:color w:val="auto"/>
          <w:sz w:val="21"/>
          <w:szCs w:val="21"/>
          <w:highlight w:val="none"/>
          <w:shd w:val="clear" w:fill="auto"/>
          <w:lang w:eastAsia="zh-CN"/>
        </w:rPr>
        <w:t>）</w:t>
      </w:r>
    </w:p>
    <w:p w14:paraId="0F04AE24">
      <w:pPr>
        <w:numPr>
          <w:ilvl w:val="0"/>
          <w:numId w:val="0"/>
        </w:numPr>
        <w:adjustRightInd w:val="0"/>
        <w:snapToGrid w:val="0"/>
        <w:ind w:leftChars="0"/>
        <w:jc w:val="both"/>
        <w:rPr>
          <w:rFonts w:hint="eastAsia" w:ascii="宋体" w:hAnsi="宋体" w:eastAsia="宋体" w:cs="宋体"/>
          <w:color w:val="auto"/>
          <w:kern w:val="0"/>
          <w:sz w:val="21"/>
          <w:szCs w:val="21"/>
          <w:highlight w:val="none"/>
          <w:shd w:val="clear" w:fill="auto"/>
          <w:lang w:val="en-US" w:eastAsia="zh-CN" w:bidi="ar"/>
        </w:rPr>
      </w:pPr>
    </w:p>
    <w:p w14:paraId="2FA049F8">
      <w:pPr>
        <w:adjustRightInd w:val="0"/>
        <w:snapToGrid w:val="0"/>
        <w:rPr>
          <w:rFonts w:hint="default" w:ascii="Times New Roman" w:hAnsi="Times New Roman" w:eastAsia="楷体" w:cs="Times New Roman"/>
          <w:color w:val="auto"/>
          <w:sz w:val="21"/>
          <w:szCs w:val="21"/>
          <w:highlight w:val="none"/>
          <w:shd w:val="clear" w:fill="auto"/>
        </w:rPr>
      </w:pPr>
      <w:r>
        <w:rPr>
          <w:rFonts w:hint="eastAsia"/>
          <w:b/>
          <w:color w:val="auto"/>
          <w:sz w:val="21"/>
          <w:szCs w:val="21"/>
          <w:highlight w:val="none"/>
          <w:shd w:val="clear" w:fill="auto"/>
        </w:rPr>
        <w:t>摘</w:t>
      </w:r>
      <w:r>
        <w:rPr>
          <w:b/>
          <w:color w:val="auto"/>
          <w:sz w:val="21"/>
          <w:szCs w:val="21"/>
          <w:highlight w:val="none"/>
          <w:shd w:val="clear" w:fill="auto"/>
        </w:rPr>
        <w:t xml:space="preserve"> </w:t>
      </w:r>
      <w:r>
        <w:rPr>
          <w:rFonts w:hint="eastAsia"/>
          <w:b/>
          <w:color w:val="auto"/>
          <w:sz w:val="21"/>
          <w:szCs w:val="21"/>
          <w:highlight w:val="none"/>
          <w:shd w:val="clear" w:fill="auto"/>
        </w:rPr>
        <w:t>要</w:t>
      </w:r>
      <w:r>
        <w:rPr>
          <w:rFonts w:hint="eastAsia"/>
          <w:color w:val="auto"/>
          <w:sz w:val="21"/>
          <w:szCs w:val="21"/>
          <w:highlight w:val="none"/>
          <w:shd w:val="clear" w:fill="auto"/>
          <w:lang w:eastAsia="zh-CN"/>
        </w:rPr>
        <w:t>：</w:t>
      </w:r>
      <w:r>
        <w:rPr>
          <w:rFonts w:ascii="Times New Roman" w:hAnsi="Times New Roman" w:eastAsia="楷体" w:cs="Times New Roman"/>
          <w:color w:val="auto"/>
          <w:szCs w:val="21"/>
          <w:highlight w:val="none"/>
          <w:shd w:val="clear" w:fill="auto"/>
        </w:rPr>
        <w:t>【目的】</w:t>
      </w:r>
      <w:r>
        <w:rPr>
          <w:rFonts w:hint="default" w:ascii="Times New Roman" w:hAnsi="Times New Roman" w:eastAsia="楷体" w:cs="Times New Roman"/>
          <w:color w:val="auto"/>
          <w:sz w:val="21"/>
          <w:szCs w:val="21"/>
          <w:highlight w:val="none"/>
          <w:shd w:val="clear" w:fill="auto"/>
        </w:rPr>
        <w:t>微塑料污染已成为全球性环境问题，其对水生生态系统及人类健康的潜在风险受到广泛关注。</w:t>
      </w:r>
      <w:r>
        <w:rPr>
          <w:rFonts w:ascii="Times New Roman" w:hAnsi="Times New Roman" w:eastAsia="楷体" w:cs="Times New Roman"/>
          <w:color w:val="auto"/>
          <w:szCs w:val="21"/>
          <w:highlight w:val="none"/>
          <w:shd w:val="clear" w:fill="auto"/>
        </w:rPr>
        <w:t>【方法】</w:t>
      </w:r>
      <w:r>
        <w:rPr>
          <w:rFonts w:hint="default" w:ascii="Times New Roman" w:hAnsi="Times New Roman" w:eastAsia="楷体" w:cs="Times New Roman"/>
          <w:color w:val="auto"/>
          <w:sz w:val="21"/>
          <w:szCs w:val="21"/>
          <w:highlight w:val="none"/>
          <w:shd w:val="clear" w:fill="auto"/>
        </w:rPr>
        <w:t>以聚乙烯（PE）微塑料为对象，采用Al–Al电极体系考察电絮凝技术的去除效能，并在单因素条件下分析外加电压、初始pH、电解质（NaCl）浓度及PE初始浓度对去除效果的影响，以确定优选运行参数。</w:t>
      </w:r>
      <w:r>
        <w:rPr>
          <w:rFonts w:ascii="Times New Roman" w:hAnsi="Times New Roman" w:eastAsia="楷体" w:cs="Times New Roman"/>
          <w:color w:val="auto"/>
          <w:szCs w:val="21"/>
          <w:highlight w:val="none"/>
          <w:shd w:val="clear" w:fill="auto"/>
        </w:rPr>
        <w:t>【结果】</w:t>
      </w:r>
      <w:r>
        <w:rPr>
          <w:rFonts w:hint="default" w:ascii="Times New Roman" w:hAnsi="Times New Roman" w:eastAsia="楷体" w:cs="Times New Roman"/>
          <w:color w:val="auto"/>
          <w:sz w:val="21"/>
          <w:szCs w:val="21"/>
          <w:highlight w:val="none"/>
          <w:shd w:val="clear" w:fill="auto"/>
        </w:rPr>
        <w:t>外加电压、初始pH、NaCl浓度和PE初始浓度均显著影响电絮凝去除效果。在本研究范围内，外加电压由2.0V升高至4.0V时，PE去除率由86.7%提高至96.7%，</w:t>
      </w:r>
      <w:r>
        <w:rPr>
          <w:rFonts w:hint="default" w:ascii="Times New Roman" w:hAnsi="Times New Roman" w:eastAsia="楷体" w:cs="Times New Roman"/>
          <w:b w:val="0"/>
          <w:bCs/>
          <w:color w:val="auto"/>
          <w:sz w:val="21"/>
          <w:szCs w:val="21"/>
          <w:highlight w:val="none"/>
          <w:shd w:val="clear" w:fill="auto"/>
        </w:rPr>
        <w:t>但单位质量微塑料去除能耗由0.</w:t>
      </w:r>
      <w:r>
        <w:rPr>
          <w:rFonts w:hint="eastAsia" w:eastAsia="楷体" w:cs="Times New Roman"/>
          <w:b w:val="0"/>
          <w:bCs/>
          <w:color w:val="auto"/>
          <w:sz w:val="21"/>
          <w:szCs w:val="21"/>
          <w:highlight w:val="none"/>
          <w:shd w:val="clear" w:fill="auto"/>
          <w:lang w:val="en-US" w:eastAsia="zh-CN"/>
        </w:rPr>
        <w:t>1</w:t>
      </w:r>
      <w:r>
        <w:rPr>
          <w:rFonts w:hint="default" w:ascii="Times New Roman" w:hAnsi="Times New Roman" w:eastAsia="楷体" w:cs="Times New Roman"/>
          <w:b w:val="0"/>
          <w:bCs/>
          <w:color w:val="auto"/>
          <w:sz w:val="21"/>
          <w:szCs w:val="21"/>
          <w:highlight w:val="none"/>
          <w:shd w:val="clear" w:fill="auto"/>
        </w:rPr>
        <w:t>8kWh/(kg MPs</w:t>
      </w:r>
      <w:r>
        <w:rPr>
          <w:rFonts w:hint="eastAsia" w:eastAsia="楷体" w:cs="Times New Roman"/>
          <w:b w:val="0"/>
          <w:bCs/>
          <w:color w:val="auto"/>
          <w:sz w:val="21"/>
          <w:szCs w:val="21"/>
          <w:highlight w:val="none"/>
          <w:shd w:val="clear" w:fill="auto"/>
          <w:lang w:val="en-US" w:eastAsia="zh-CN"/>
        </w:rPr>
        <w:t>)</w:t>
      </w:r>
      <w:r>
        <w:rPr>
          <w:rFonts w:hint="default" w:ascii="Times New Roman" w:hAnsi="Times New Roman" w:eastAsia="楷体" w:cs="Times New Roman"/>
          <w:b w:val="0"/>
          <w:bCs/>
          <w:color w:val="auto"/>
          <w:sz w:val="21"/>
          <w:szCs w:val="21"/>
          <w:highlight w:val="none"/>
          <w:shd w:val="clear" w:fill="auto"/>
        </w:rPr>
        <w:t>增加至</w:t>
      </w:r>
      <w:r>
        <w:rPr>
          <w:rFonts w:hint="eastAsia" w:eastAsia="楷体" w:cs="Times New Roman"/>
          <w:b w:val="0"/>
          <w:bCs/>
          <w:color w:val="auto"/>
          <w:sz w:val="21"/>
          <w:szCs w:val="21"/>
          <w:highlight w:val="none"/>
          <w:shd w:val="clear" w:fill="auto"/>
          <w:lang w:val="en-US" w:eastAsia="zh-CN"/>
        </w:rPr>
        <w:t>1.17</w:t>
      </w:r>
      <w:r>
        <w:rPr>
          <w:rFonts w:hint="default" w:ascii="Times New Roman" w:hAnsi="Times New Roman" w:eastAsia="楷体" w:cs="Times New Roman"/>
          <w:b w:val="0"/>
          <w:bCs/>
          <w:color w:val="auto"/>
          <w:sz w:val="21"/>
          <w:szCs w:val="21"/>
          <w:highlight w:val="none"/>
          <w:shd w:val="clear" w:fill="auto"/>
        </w:rPr>
        <w:t>kWh/(kg MPs</w:t>
      </w:r>
      <w:r>
        <w:rPr>
          <w:rFonts w:hint="eastAsia" w:eastAsia="楷体" w:cs="Times New Roman"/>
          <w:b w:val="0"/>
          <w:bCs/>
          <w:color w:val="auto"/>
          <w:sz w:val="21"/>
          <w:szCs w:val="21"/>
          <w:highlight w:val="none"/>
          <w:shd w:val="clear" w:fill="auto"/>
          <w:lang w:val="en-US" w:eastAsia="zh-CN"/>
        </w:rPr>
        <w:t>)</w:t>
      </w:r>
      <w:r>
        <w:rPr>
          <w:rFonts w:hint="default" w:ascii="Times New Roman" w:hAnsi="Times New Roman" w:eastAsia="楷体" w:cs="Times New Roman"/>
          <w:color w:val="auto"/>
          <w:sz w:val="21"/>
          <w:szCs w:val="21"/>
          <w:highlight w:val="none"/>
          <w:shd w:val="clear" w:fill="auto"/>
        </w:rPr>
        <w:t>；初始pH为7时去除效果最佳；NaCl浓度由0.01mol/L增至0.08mol/L时，PE去除率由94.7%降至66.7%；PE初始浓度由0.3g/L增至0.9g/L时，去除率由95.6%降至69.6%。</w:t>
      </w:r>
      <w:r>
        <w:rPr>
          <w:rFonts w:ascii="Times New Roman" w:hAnsi="Times New Roman" w:eastAsia="楷体" w:cs="Times New Roman"/>
          <w:color w:val="auto"/>
          <w:szCs w:val="21"/>
          <w:highlight w:val="none"/>
          <w:shd w:val="clear" w:fill="auto"/>
        </w:rPr>
        <w:t>【结论】</w:t>
      </w:r>
      <w:r>
        <w:rPr>
          <w:rFonts w:hint="default" w:ascii="Times New Roman" w:hAnsi="Times New Roman" w:eastAsia="楷体" w:cs="Times New Roman"/>
          <w:color w:val="auto"/>
          <w:szCs w:val="21"/>
          <w:highlight w:val="none"/>
          <w:shd w:val="clear" w:fill="auto"/>
        </w:rPr>
        <w:t>电絮凝</w:t>
      </w:r>
      <w:r>
        <w:rPr>
          <w:rFonts w:hint="eastAsia" w:eastAsia="楷体" w:cs="Times New Roman"/>
          <w:color w:val="auto"/>
          <w:szCs w:val="21"/>
          <w:highlight w:val="none"/>
          <w:shd w:val="clear" w:fill="auto"/>
          <w:lang w:val="en-US" w:eastAsia="zh-CN"/>
        </w:rPr>
        <w:t>通过</w:t>
      </w:r>
      <w:r>
        <w:rPr>
          <w:rFonts w:hint="default" w:ascii="Times New Roman" w:hAnsi="Times New Roman" w:eastAsia="楷体" w:cs="Times New Roman"/>
          <w:color w:val="auto"/>
          <w:szCs w:val="21"/>
          <w:highlight w:val="none"/>
          <w:shd w:val="clear" w:fill="auto"/>
        </w:rPr>
        <w:t>铝电极溶解生成的Al(OH)</w:t>
      </w:r>
      <w:r>
        <w:rPr>
          <w:rFonts w:hint="eastAsia" w:eastAsia="楷体" w:cs="Times New Roman"/>
          <w:color w:val="auto"/>
          <w:szCs w:val="21"/>
          <w:highlight w:val="none"/>
          <w:shd w:val="clear" w:fill="auto"/>
          <w:vertAlign w:val="subscript"/>
          <w:lang w:val="en-US" w:eastAsia="zh-CN"/>
        </w:rPr>
        <w:t>3</w:t>
      </w:r>
      <w:r>
        <w:rPr>
          <w:rFonts w:hint="default" w:ascii="Times New Roman" w:hAnsi="Times New Roman" w:eastAsia="楷体" w:cs="Times New Roman"/>
          <w:color w:val="auto"/>
          <w:szCs w:val="21"/>
          <w:highlight w:val="none"/>
          <w:shd w:val="clear" w:fill="auto"/>
        </w:rPr>
        <w:t>絮体与阴极析氢产生的微气泡共同促进了PE微塑料的捕集与分离。</w:t>
      </w:r>
      <w:r>
        <w:rPr>
          <w:rFonts w:hint="default" w:ascii="Times New Roman" w:hAnsi="Times New Roman" w:eastAsia="楷体" w:cs="Times New Roman"/>
          <w:color w:val="auto"/>
          <w:sz w:val="21"/>
          <w:szCs w:val="21"/>
          <w:highlight w:val="none"/>
          <w:shd w:val="clear" w:fill="auto"/>
        </w:rPr>
        <w:t>在优选条件下（外加电压3.0V、初始pH=7、NaCl浓度0.01mol/L、PE初始浓度0.3g/L、通电30min），PE去除率最高可达</w:t>
      </w:r>
      <w:r>
        <w:rPr>
          <w:rFonts w:hint="eastAsia" w:eastAsia="楷体" w:cs="Times New Roman"/>
          <w:color w:val="auto"/>
          <w:sz w:val="21"/>
          <w:szCs w:val="21"/>
          <w:highlight w:val="none"/>
          <w:shd w:val="clear" w:fill="auto"/>
          <w:lang w:val="en-US" w:eastAsia="zh-CN"/>
        </w:rPr>
        <w:t>95.6</w:t>
      </w:r>
      <w:r>
        <w:rPr>
          <w:rFonts w:hint="default" w:ascii="Times New Roman" w:hAnsi="Times New Roman" w:eastAsia="楷体" w:cs="Times New Roman"/>
          <w:color w:val="auto"/>
          <w:sz w:val="21"/>
          <w:szCs w:val="21"/>
          <w:highlight w:val="none"/>
          <w:shd w:val="clear" w:fill="auto"/>
        </w:rPr>
        <w:t>%。</w:t>
      </w:r>
    </w:p>
    <w:p w14:paraId="45768575">
      <w:pPr>
        <w:adjustRightInd w:val="0"/>
        <w:snapToGrid w:val="0"/>
        <w:rPr>
          <w:rFonts w:hint="default" w:ascii="Times New Roman" w:hAnsi="Times New Roman" w:eastAsia="楷体" w:cs="Times New Roman"/>
          <w:color w:val="auto"/>
          <w:sz w:val="21"/>
          <w:szCs w:val="21"/>
          <w:highlight w:val="none"/>
          <w:shd w:val="clear" w:fill="auto"/>
        </w:rPr>
      </w:pPr>
    </w:p>
    <w:p w14:paraId="7EDAE9E2">
      <w:pPr>
        <w:adjustRightInd w:val="0"/>
        <w:snapToGrid w:val="0"/>
        <w:rPr>
          <w:rFonts w:hint="eastAsia" w:ascii="楷体" w:hAnsi="楷体" w:eastAsia="楷体" w:cs="楷体"/>
          <w:color w:val="auto"/>
          <w:sz w:val="21"/>
          <w:szCs w:val="21"/>
          <w:highlight w:val="none"/>
          <w:shd w:val="clear" w:fill="auto"/>
          <w:lang w:val="en-US" w:eastAsia="zh-CN"/>
        </w:rPr>
      </w:pPr>
      <w:r>
        <w:rPr>
          <w:rFonts w:hint="eastAsia" w:ascii="楷体" w:hAnsi="楷体" w:eastAsia="楷体" w:cs="楷体"/>
          <w:b/>
          <w:color w:val="auto"/>
          <w:sz w:val="21"/>
          <w:szCs w:val="21"/>
          <w:highlight w:val="none"/>
          <w:shd w:val="clear" w:fill="auto"/>
        </w:rPr>
        <w:t>关键词</w:t>
      </w:r>
      <w:r>
        <w:rPr>
          <w:rFonts w:hint="eastAsia" w:ascii="楷体" w:hAnsi="楷体" w:eastAsia="楷体" w:cs="楷体"/>
          <w:color w:val="auto"/>
          <w:sz w:val="21"/>
          <w:szCs w:val="21"/>
          <w:highlight w:val="none"/>
          <w:shd w:val="clear" w:fill="auto"/>
          <w:lang w:eastAsia="zh-CN"/>
        </w:rPr>
        <w:t>：</w:t>
      </w:r>
      <w:r>
        <w:rPr>
          <w:rFonts w:hint="eastAsia" w:ascii="楷体" w:hAnsi="楷体" w:eastAsia="楷体" w:cs="楷体"/>
          <w:color w:val="auto"/>
          <w:sz w:val="21"/>
          <w:szCs w:val="21"/>
          <w:highlight w:val="none"/>
          <w:shd w:val="clear" w:fill="auto"/>
        </w:rPr>
        <w:t>电絮凝；聚乙烯；铝极；絮凝体</w:t>
      </w:r>
      <w:r>
        <w:rPr>
          <w:rFonts w:hint="eastAsia" w:ascii="楷体" w:hAnsi="楷体" w:eastAsia="楷体" w:cs="楷体"/>
          <w:color w:val="auto"/>
          <w:sz w:val="21"/>
          <w:szCs w:val="21"/>
          <w:highlight w:val="none"/>
          <w:shd w:val="clear" w:fill="auto"/>
          <w:lang w:eastAsia="zh-CN"/>
        </w:rPr>
        <w:t>；</w:t>
      </w:r>
      <w:r>
        <w:rPr>
          <w:rFonts w:hint="eastAsia" w:ascii="楷体" w:hAnsi="楷体" w:eastAsia="楷体" w:cs="楷体"/>
          <w:color w:val="auto"/>
          <w:sz w:val="21"/>
          <w:szCs w:val="21"/>
          <w:highlight w:val="none"/>
          <w:shd w:val="clear" w:fill="auto"/>
          <w:lang w:val="en-US" w:eastAsia="zh-CN"/>
        </w:rPr>
        <w:t>外加电压；能耗；去除效率；机理</w:t>
      </w:r>
    </w:p>
    <w:p w14:paraId="3C24A2F8">
      <w:pPr>
        <w:autoSpaceDE w:val="0"/>
        <w:autoSpaceDN w:val="0"/>
        <w:adjustRightInd w:val="0"/>
        <w:snapToGrid w:val="0"/>
        <w:rPr>
          <w:b/>
          <w:color w:val="auto"/>
          <w:sz w:val="21"/>
          <w:szCs w:val="21"/>
          <w:highlight w:val="none"/>
          <w:shd w:val="clear" w:fill="auto"/>
        </w:rPr>
      </w:pPr>
    </w:p>
    <w:p w14:paraId="0B097EB8">
      <w:pPr>
        <w:autoSpaceDE w:val="0"/>
        <w:autoSpaceDN w:val="0"/>
        <w:adjustRightInd w:val="0"/>
        <w:snapToGrid w:val="0"/>
        <w:rPr>
          <w:b/>
          <w:bCs w:val="0"/>
          <w:color w:val="auto"/>
          <w:sz w:val="21"/>
          <w:szCs w:val="21"/>
          <w:highlight w:val="none"/>
          <w:shd w:val="clear" w:fill="auto"/>
        </w:rPr>
      </w:pPr>
      <w:r>
        <w:rPr>
          <w:b/>
          <w:bCs w:val="0"/>
          <w:color w:val="auto"/>
          <w:sz w:val="21"/>
          <w:szCs w:val="21"/>
          <w:highlight w:val="none"/>
          <w:shd w:val="clear" w:fill="auto"/>
        </w:rPr>
        <w:t>中图</w:t>
      </w:r>
      <w:r>
        <w:rPr>
          <w:rFonts w:hint="eastAsia"/>
          <w:b/>
          <w:bCs w:val="0"/>
          <w:color w:val="auto"/>
          <w:sz w:val="21"/>
          <w:szCs w:val="21"/>
          <w:highlight w:val="none"/>
          <w:shd w:val="clear" w:fill="auto"/>
        </w:rPr>
        <w:t>法</w:t>
      </w:r>
      <w:r>
        <w:rPr>
          <w:b/>
          <w:bCs w:val="0"/>
          <w:color w:val="auto"/>
          <w:sz w:val="21"/>
          <w:szCs w:val="21"/>
          <w:highlight w:val="none"/>
          <w:shd w:val="clear" w:fill="auto"/>
        </w:rPr>
        <w:t xml:space="preserve">分类号  </w:t>
      </w:r>
      <w:r>
        <w:rPr>
          <w:rStyle w:val="18"/>
          <w:rFonts w:hint="eastAsia"/>
          <w:b/>
          <w:bCs w:val="0"/>
          <w:color w:val="auto"/>
          <w:sz w:val="21"/>
          <w:szCs w:val="21"/>
          <w:highlight w:val="none"/>
          <w:shd w:val="clear" w:fill="auto"/>
        </w:rPr>
        <w:t>X522</w:t>
      </w:r>
      <w:r>
        <w:rPr>
          <w:rFonts w:hint="eastAsia"/>
          <w:b/>
          <w:bCs w:val="0"/>
          <w:color w:val="auto"/>
          <w:sz w:val="21"/>
          <w:szCs w:val="21"/>
          <w:highlight w:val="none"/>
          <w:shd w:val="clear" w:fill="auto"/>
        </w:rPr>
        <w:t xml:space="preserve">； </w:t>
      </w:r>
      <w:r>
        <w:rPr>
          <w:b/>
          <w:bCs w:val="0"/>
          <w:color w:val="auto"/>
          <w:sz w:val="21"/>
          <w:szCs w:val="21"/>
          <w:highlight w:val="none"/>
          <w:shd w:val="clear" w:fill="auto"/>
        </w:rPr>
        <w:t xml:space="preserve">             文献标志码  A</w:t>
      </w:r>
    </w:p>
    <w:p w14:paraId="36445CCE">
      <w:pPr>
        <w:autoSpaceDE w:val="0"/>
        <w:autoSpaceDN w:val="0"/>
        <w:adjustRightInd w:val="0"/>
        <w:snapToGrid w:val="0"/>
        <w:rPr>
          <w:rFonts w:hint="default" w:eastAsia="宋体"/>
          <w:b/>
          <w:bCs w:val="0"/>
          <w:color w:val="auto"/>
          <w:sz w:val="21"/>
          <w:szCs w:val="21"/>
          <w:highlight w:val="none"/>
          <w:shd w:val="clear" w:fill="auto"/>
          <w:lang w:val="en-US" w:eastAsia="zh-CN"/>
        </w:rPr>
      </w:pPr>
      <w:r>
        <w:rPr>
          <w:rFonts w:hint="eastAsia"/>
          <w:b/>
          <w:bCs w:val="0"/>
          <w:color w:val="auto"/>
          <w:sz w:val="21"/>
          <w:szCs w:val="21"/>
          <w:highlight w:val="none"/>
          <w:shd w:val="clear" w:fill="auto"/>
          <w:lang w:val="en-US" w:eastAsia="zh-CN"/>
        </w:rPr>
        <w:t>DOI:            OSID:</w:t>
      </w:r>
      <w:r>
        <w:rPr>
          <w:rFonts w:hint="default" w:eastAsia="宋体"/>
          <w:b/>
          <w:bCs w:val="0"/>
          <w:color w:val="auto"/>
          <w:sz w:val="21"/>
          <w:szCs w:val="21"/>
          <w:highlight w:val="none"/>
          <w:shd w:val="clear" w:fill="auto"/>
          <w:lang w:val="en-US" w:eastAsia="zh-CN"/>
        </w:rPr>
        <w:drawing>
          <wp:inline distT="0" distB="0" distL="114300" distR="114300">
            <wp:extent cx="1223010" cy="1223010"/>
            <wp:effectExtent l="0" t="0" r="15240" b="15240"/>
            <wp:docPr id="1" name="图片 1" descr="电絮凝法去除聚乙烯微塑料的效能及机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电絮凝法去除聚乙烯微塑料的效能及机制"/>
                    <pic:cNvPicPr>
                      <a:picLocks noChangeAspect="1"/>
                    </pic:cNvPicPr>
                  </pic:nvPicPr>
                  <pic:blipFill>
                    <a:blip r:embed="rId6"/>
                    <a:stretch>
                      <a:fillRect/>
                    </a:stretch>
                  </pic:blipFill>
                  <pic:spPr>
                    <a:xfrm>
                      <a:off x="0" y="0"/>
                      <a:ext cx="1223010" cy="1223010"/>
                    </a:xfrm>
                    <a:prstGeom prst="rect">
                      <a:avLst/>
                    </a:prstGeom>
                  </pic:spPr>
                </pic:pic>
              </a:graphicData>
            </a:graphic>
          </wp:inline>
        </w:drawing>
      </w:r>
    </w:p>
    <w:p w14:paraId="34800576">
      <w:pPr>
        <w:adjustRightInd w:val="0"/>
        <w:snapToGrid w:val="0"/>
        <w:jc w:val="both"/>
        <w:rPr>
          <w:b/>
          <w:bCs/>
          <w:color w:val="auto"/>
          <w:kern w:val="0"/>
          <w:sz w:val="21"/>
          <w:szCs w:val="21"/>
          <w:highlight w:val="none"/>
          <w:shd w:val="clear" w:fill="auto"/>
        </w:rPr>
      </w:pPr>
      <w:r>
        <w:rPr>
          <w:rStyle w:val="19"/>
          <w:b/>
          <w:bCs/>
          <w:color w:val="auto"/>
          <w:kern w:val="0"/>
          <w:sz w:val="21"/>
          <w:szCs w:val="21"/>
          <w:highlight w:val="none"/>
          <w:shd w:val="clear" w:fill="auto"/>
        </w:rPr>
        <w:footnoteReference w:id="0" w:customMarkFollows="1"/>
        <w:sym w:font="Symbol" w:char="F020"/>
      </w:r>
      <w:r>
        <w:rPr>
          <w:rFonts w:hint="eastAsia"/>
          <w:b/>
          <w:bCs/>
          <w:color w:val="auto"/>
          <w:kern w:val="0"/>
          <w:sz w:val="21"/>
          <w:szCs w:val="21"/>
          <w:highlight w:val="none"/>
          <w:shd w:val="clear" w:fill="auto"/>
        </w:rPr>
        <w:t xml:space="preserve"> </w:t>
      </w:r>
    </w:p>
    <w:p w14:paraId="77066340">
      <w:pPr>
        <w:adjustRightInd w:val="0"/>
        <w:snapToGrid w:val="0"/>
        <w:jc w:val="center"/>
        <w:rPr>
          <w:rFonts w:hint="eastAsia"/>
          <w:b/>
          <w:bCs/>
          <w:color w:val="auto"/>
          <w:kern w:val="0"/>
          <w:sz w:val="28"/>
          <w:szCs w:val="28"/>
          <w:highlight w:val="none"/>
          <w:shd w:val="clear" w:fill="auto"/>
        </w:rPr>
      </w:pPr>
      <w:r>
        <w:rPr>
          <w:rFonts w:hint="eastAsia"/>
          <w:color w:val="auto"/>
          <w:sz w:val="28"/>
          <w:szCs w:val="28"/>
          <w:highlight w:val="none"/>
          <w:shd w:val="clear" w:fill="auto"/>
          <w:lang w:val="en-US" w:eastAsia="zh-CN"/>
        </w:rPr>
        <w:t>Performance</w:t>
      </w:r>
      <w:r>
        <w:rPr>
          <w:color w:val="auto"/>
          <w:sz w:val="28"/>
          <w:szCs w:val="28"/>
          <w:highlight w:val="none"/>
          <w:shd w:val="clear" w:fill="auto"/>
        </w:rPr>
        <w:t xml:space="preserve"> and mechanism of electrocoagulation for removal of polyethylene microplastics</w:t>
      </w:r>
    </w:p>
    <w:p w14:paraId="27723F12">
      <w:pPr>
        <w:adjustRightInd w:val="0"/>
        <w:snapToGrid w:val="0"/>
        <w:jc w:val="center"/>
        <w:rPr>
          <w:rFonts w:hint="eastAsia"/>
          <w:b/>
          <w:bCs/>
          <w:color w:val="auto"/>
          <w:kern w:val="0"/>
          <w:sz w:val="21"/>
          <w:szCs w:val="21"/>
          <w:highlight w:val="none"/>
          <w:shd w:val="clear" w:fill="auto"/>
        </w:rPr>
      </w:pPr>
    </w:p>
    <w:p w14:paraId="13928C2D">
      <w:pPr>
        <w:adjustRightInd w:val="0"/>
        <w:snapToGrid w:val="0"/>
        <w:jc w:val="center"/>
        <w:rPr>
          <w:color w:val="auto"/>
          <w:sz w:val="21"/>
          <w:szCs w:val="21"/>
          <w:highlight w:val="none"/>
          <w:shd w:val="clear" w:fill="auto"/>
        </w:rPr>
      </w:pPr>
      <w:r>
        <w:rPr>
          <w:rFonts w:hint="eastAsia"/>
          <w:color w:val="auto"/>
          <w:sz w:val="21"/>
          <w:szCs w:val="21"/>
          <w:highlight w:val="none"/>
          <w:shd w:val="clear" w:fill="auto"/>
        </w:rPr>
        <w:t>XIA</w:t>
      </w:r>
      <w:r>
        <w:rPr>
          <w:color w:val="auto"/>
          <w:sz w:val="21"/>
          <w:szCs w:val="21"/>
          <w:highlight w:val="none"/>
          <w:shd w:val="clear" w:fill="auto"/>
        </w:rPr>
        <w:t xml:space="preserve"> </w:t>
      </w:r>
      <w:r>
        <w:rPr>
          <w:rFonts w:hint="eastAsia"/>
          <w:color w:val="auto"/>
          <w:sz w:val="21"/>
          <w:szCs w:val="21"/>
          <w:highlight w:val="none"/>
          <w:shd w:val="clear" w:fill="auto"/>
        </w:rPr>
        <w:t>Binmei</w:t>
      </w:r>
      <w:r>
        <w:rPr>
          <w:color w:val="auto"/>
          <w:sz w:val="21"/>
          <w:szCs w:val="21"/>
          <w:highlight w:val="none"/>
          <w:shd w:val="clear" w:fill="auto"/>
        </w:rPr>
        <w:t xml:space="preserve">, </w:t>
      </w:r>
      <w:r>
        <w:rPr>
          <w:rFonts w:hint="eastAsia"/>
          <w:color w:val="auto"/>
          <w:sz w:val="21"/>
          <w:szCs w:val="21"/>
          <w:highlight w:val="none"/>
          <w:shd w:val="clear" w:fill="auto"/>
        </w:rPr>
        <w:t>ZU</w:t>
      </w:r>
      <w:r>
        <w:rPr>
          <w:color w:val="auto"/>
          <w:sz w:val="21"/>
          <w:szCs w:val="21"/>
          <w:highlight w:val="none"/>
          <w:shd w:val="clear" w:fill="auto"/>
        </w:rPr>
        <w:t xml:space="preserve"> </w:t>
      </w:r>
      <w:r>
        <w:rPr>
          <w:rFonts w:hint="eastAsia"/>
          <w:color w:val="auto"/>
          <w:sz w:val="21"/>
          <w:szCs w:val="21"/>
          <w:highlight w:val="none"/>
          <w:shd w:val="clear" w:fill="auto"/>
        </w:rPr>
        <w:t>Bo</w:t>
      </w:r>
      <w:r>
        <w:rPr>
          <w:color w:val="auto"/>
          <w:sz w:val="21"/>
          <w:szCs w:val="21"/>
          <w:highlight w:val="none"/>
          <w:shd w:val="clear" w:fill="auto"/>
        </w:rPr>
        <w:t>,</w:t>
      </w:r>
      <w:r>
        <w:rPr>
          <w:rFonts w:hint="eastAsia"/>
          <w:color w:val="auto"/>
          <w:sz w:val="21"/>
          <w:szCs w:val="21"/>
          <w:highlight w:val="none"/>
          <w:shd w:val="clear" w:fill="auto"/>
          <w:vertAlign w:val="baseline"/>
          <w:lang w:val="en-US" w:eastAsia="zh-CN"/>
        </w:rPr>
        <w:t>SHAO Tianqing</w:t>
      </w:r>
    </w:p>
    <w:p w14:paraId="7C7E9E1E">
      <w:pPr>
        <w:numPr>
          <w:ilvl w:val="0"/>
          <w:numId w:val="0"/>
        </w:numPr>
        <w:adjustRightInd w:val="0"/>
        <w:snapToGrid w:val="0"/>
        <w:jc w:val="center"/>
        <w:rPr>
          <w:rFonts w:hint="eastAsia" w:eastAsia="宋体"/>
          <w:color w:val="auto"/>
          <w:sz w:val="21"/>
          <w:szCs w:val="21"/>
          <w:highlight w:val="none"/>
          <w:shd w:val="clear" w:fill="auto"/>
          <w:lang w:eastAsia="zh-CN"/>
        </w:rPr>
      </w:pPr>
      <w:r>
        <w:rPr>
          <w:rFonts w:hint="eastAsia" w:cs="Times New Roman"/>
          <w:color w:val="auto"/>
          <w:kern w:val="2"/>
          <w:sz w:val="21"/>
          <w:szCs w:val="21"/>
          <w:highlight w:val="none"/>
          <w:shd w:val="clear" w:fill="auto"/>
          <w:lang w:val="en-US" w:eastAsia="zh-CN" w:bidi="ar-SA"/>
        </w:rPr>
        <w:t>（</w:t>
      </w:r>
      <w:r>
        <w:rPr>
          <w:rFonts w:hint="eastAsia"/>
          <w:color w:val="auto"/>
          <w:sz w:val="21"/>
          <w:szCs w:val="21"/>
          <w:highlight w:val="none"/>
          <w:shd w:val="clear" w:fill="auto"/>
          <w:lang w:val="en-US" w:eastAsia="zh-CN"/>
        </w:rPr>
        <w:t>School of River and Ocean Engineering</w:t>
      </w:r>
      <w:r>
        <w:rPr>
          <w:rFonts w:hint="eastAsia"/>
          <w:color w:val="auto"/>
          <w:sz w:val="21"/>
          <w:szCs w:val="21"/>
          <w:highlight w:val="none"/>
          <w:shd w:val="clear" w:fill="auto"/>
        </w:rPr>
        <w:t>, Chongqing Jiaotong University, Chongqing 400074</w:t>
      </w:r>
      <w:r>
        <w:rPr>
          <w:rFonts w:hint="eastAsia"/>
          <w:color w:val="auto"/>
          <w:sz w:val="21"/>
          <w:szCs w:val="21"/>
          <w:highlight w:val="none"/>
          <w:shd w:val="clear" w:fill="auto"/>
          <w:lang w:val="en-US" w:eastAsia="zh-CN"/>
        </w:rPr>
        <w:t>, China</w:t>
      </w:r>
      <w:r>
        <w:rPr>
          <w:rFonts w:hint="eastAsia"/>
          <w:color w:val="auto"/>
          <w:sz w:val="21"/>
          <w:szCs w:val="21"/>
          <w:highlight w:val="none"/>
          <w:shd w:val="clear" w:fill="auto"/>
          <w:lang w:eastAsia="zh-CN"/>
        </w:rPr>
        <w:t>）</w:t>
      </w:r>
    </w:p>
    <w:p w14:paraId="75DE4D6C">
      <w:pPr>
        <w:numPr>
          <w:ilvl w:val="0"/>
          <w:numId w:val="0"/>
        </w:numPr>
        <w:adjustRightInd w:val="0"/>
        <w:snapToGrid w:val="0"/>
        <w:ind w:leftChars="0"/>
        <w:jc w:val="both"/>
        <w:rPr>
          <w:color w:val="auto"/>
          <w:sz w:val="21"/>
          <w:szCs w:val="21"/>
          <w:highlight w:val="none"/>
          <w:shd w:val="clear" w:fill="auto"/>
        </w:rPr>
      </w:pPr>
    </w:p>
    <w:p w14:paraId="08879BEC">
      <w:pPr>
        <w:rPr>
          <w:rStyle w:val="14"/>
          <w:rFonts w:hint="eastAsia" w:ascii="Times New Roman" w:hAnsi="Times New Roman" w:cs="Times New Roman"/>
          <w:b w:val="0"/>
          <w:bCs w:val="0"/>
          <w:color w:val="auto"/>
          <w:highlight w:val="none"/>
          <w:shd w:val="clear" w:fill="auto"/>
        </w:rPr>
      </w:pPr>
      <w:r>
        <w:rPr>
          <w:b/>
          <w:color w:val="auto"/>
          <w:sz w:val="21"/>
          <w:szCs w:val="21"/>
          <w:highlight w:val="none"/>
          <w:shd w:val="clear" w:fill="auto"/>
        </w:rPr>
        <w:t>Abstract</w:t>
      </w:r>
      <w:r>
        <w:rPr>
          <w:rFonts w:hint="eastAsia"/>
          <w:b/>
          <w:color w:val="auto"/>
          <w:sz w:val="21"/>
          <w:szCs w:val="21"/>
          <w:highlight w:val="none"/>
          <w:shd w:val="clear" w:fill="auto"/>
          <w:lang w:eastAsia="zh-CN"/>
        </w:rPr>
        <w:t>：</w:t>
      </w:r>
      <w:r>
        <w:rPr>
          <w:rStyle w:val="14"/>
          <w:rFonts w:ascii="Times New Roman" w:hAnsi="Times New Roman" w:cs="Times New Roman"/>
          <w:b w:val="0"/>
          <w:bCs w:val="0"/>
          <w:color w:val="auto"/>
          <w:highlight w:val="none"/>
          <w:shd w:val="clear" w:fill="auto"/>
        </w:rPr>
        <w:t>[Objective] Micro</w:t>
      </w:r>
      <w:r>
        <w:rPr>
          <w:rFonts w:hint="default" w:ascii="Times New Roman" w:hAnsi="Times New Roman" w:cs="Times New Roman"/>
          <w:b w:val="0"/>
          <w:bCs/>
          <w:color w:val="auto"/>
          <w:sz w:val="21"/>
          <w:szCs w:val="21"/>
          <w:highlight w:val="none"/>
          <w:shd w:val="clear" w:fill="auto"/>
          <w:lang w:eastAsia="zh-CN"/>
        </w:rPr>
        <w:t xml:space="preserve">plastic pollution has become a global environmental issue, and its potential risks to aquatic ecosystems and human health have attracted widespread attention. </w:t>
      </w:r>
      <w:r>
        <w:rPr>
          <w:rStyle w:val="14"/>
          <w:rFonts w:ascii="Times New Roman" w:hAnsi="Times New Roman" w:cs="Times New Roman"/>
          <w:b w:val="0"/>
          <w:bCs w:val="0"/>
          <w:color w:val="auto"/>
          <w:highlight w:val="none"/>
          <w:shd w:val="clear" w:fill="auto"/>
        </w:rPr>
        <w:t>[Methods] Polyethylene</w:t>
      </w:r>
      <w:r>
        <w:rPr>
          <w:rStyle w:val="14"/>
          <w:rFonts w:hint="eastAsia" w:ascii="Times New Roman" w:hAnsi="Times New Roman" w:cs="Times New Roman"/>
          <w:b w:val="0"/>
          <w:bCs w:val="0"/>
          <w:color w:val="auto"/>
          <w:highlight w:val="none"/>
          <w:shd w:val="clear" w:fill="auto"/>
        </w:rPr>
        <w:t xml:space="preserve"> (PE) microplastics were selected as the target pollutant, and an Al</w:t>
      </w:r>
      <w:r>
        <w:rPr>
          <w:rStyle w:val="14"/>
          <w:rFonts w:hint="default" w:ascii="Times New Roman" w:hAnsi="Times New Roman" w:cs="Times New Roman"/>
          <w:b w:val="0"/>
          <w:bCs w:val="0"/>
          <w:color w:val="auto"/>
          <w:highlight w:val="none"/>
          <w:shd w:val="clear" w:fill="auto"/>
        </w:rPr>
        <w:t>–</w:t>
      </w:r>
      <w:r>
        <w:rPr>
          <w:rStyle w:val="14"/>
          <w:rFonts w:hint="eastAsia" w:ascii="Times New Roman" w:hAnsi="Times New Roman" w:cs="Times New Roman"/>
          <w:b w:val="0"/>
          <w:bCs w:val="0"/>
          <w:color w:val="auto"/>
          <w:highlight w:val="none"/>
          <w:shd w:val="clear" w:fill="auto"/>
        </w:rPr>
        <w:t>Al electrode system was applied to evaluate the removal performance of electrocoagulation</w:t>
      </w:r>
      <w:r>
        <w:rPr>
          <w:rStyle w:val="14"/>
          <w:rFonts w:hint="eastAsia" w:cs="Times New Roman"/>
          <w:b w:val="0"/>
          <w:bCs w:val="0"/>
          <w:color w:val="auto"/>
          <w:highlight w:val="none"/>
          <w:shd w:val="clear" w:fill="auto"/>
          <w:lang w:val="en-US" w:eastAsia="zh-CN"/>
        </w:rPr>
        <w:t xml:space="preserve"> technology</w:t>
      </w:r>
      <w:r>
        <w:rPr>
          <w:rStyle w:val="14"/>
          <w:rFonts w:hint="eastAsia" w:ascii="Times New Roman" w:hAnsi="Times New Roman" w:cs="Times New Roman"/>
          <w:b w:val="0"/>
          <w:bCs w:val="0"/>
          <w:color w:val="auto"/>
          <w:highlight w:val="none"/>
          <w:shd w:val="clear" w:fill="auto"/>
        </w:rPr>
        <w:t xml:space="preserve">. Under single-factor conditions, the effects of applied voltage, initial pH, electrolyte (NaCl) concentration, and initial PE concentration on removal efficiency were investigated to determine the optimal operating parameters. </w:t>
      </w:r>
      <w:r>
        <w:rPr>
          <w:rStyle w:val="14"/>
          <w:rFonts w:ascii="Times New Roman" w:hAnsi="Times New Roman" w:cs="Times New Roman"/>
          <w:b w:val="0"/>
          <w:bCs w:val="0"/>
          <w:color w:val="auto"/>
          <w:highlight w:val="none"/>
          <w:shd w:val="clear" w:fill="auto"/>
        </w:rPr>
        <w:t>[Results] The</w:t>
      </w:r>
      <w:r>
        <w:rPr>
          <w:rStyle w:val="14"/>
          <w:rFonts w:hint="eastAsia" w:ascii="Times New Roman" w:hAnsi="Times New Roman" w:cs="Times New Roman"/>
          <w:b w:val="0"/>
          <w:bCs w:val="0"/>
          <w:color w:val="auto"/>
          <w:highlight w:val="none"/>
          <w:shd w:val="clear" w:fill="auto"/>
        </w:rPr>
        <w:t xml:space="preserve"> applied voltage, initial pH, NaCl concentration, and initial PE concentration all significantly affected the removal performance</w:t>
      </w:r>
      <w:r>
        <w:rPr>
          <w:rStyle w:val="14"/>
          <w:rFonts w:hint="eastAsia" w:cs="Times New Roman"/>
          <w:b w:val="0"/>
          <w:bCs w:val="0"/>
          <w:color w:val="auto"/>
          <w:highlight w:val="none"/>
          <w:shd w:val="clear" w:fill="auto"/>
          <w:lang w:val="en-US" w:eastAsia="zh-CN"/>
        </w:rPr>
        <w:t xml:space="preserve"> of electrocoagulation</w:t>
      </w:r>
      <w:r>
        <w:rPr>
          <w:rStyle w:val="14"/>
          <w:rFonts w:hint="eastAsia" w:ascii="Times New Roman" w:hAnsi="Times New Roman" w:cs="Times New Roman"/>
          <w:b w:val="0"/>
          <w:bCs w:val="0"/>
          <w:color w:val="auto"/>
          <w:highlight w:val="none"/>
          <w:shd w:val="clear" w:fill="auto"/>
        </w:rPr>
        <w:t xml:space="preserve">. Within the experimental range, when the applied voltage increased from 2.0 V to 4.0 V, the PE removal efficiency increased from 86.7% to 96.7%, while the energy consumption per unit mass of microplastics increased from 0.18 kWh/(kg MPs) to 1.17 kWh/(kg MPs). The optimal removal performance was obtained at an initial pH of 7. As the NaCl concentration increased from 0.01 mol/L to 0.08 mol/L, the PE removal efficiency decreased from 94.7% to 66.7%. When the initial PE concentration increased from 0.3 g/L to 0.9 g/L, the removal efficiency decreased from 95.6% to 69.6%. </w:t>
      </w:r>
      <w:r>
        <w:rPr>
          <w:rStyle w:val="14"/>
          <w:rFonts w:ascii="Times New Roman" w:hAnsi="Times New Roman" w:cs="Times New Roman"/>
          <w:b w:val="0"/>
          <w:bCs w:val="0"/>
          <w:color w:val="auto"/>
          <w:highlight w:val="none"/>
          <w:shd w:val="clear" w:fill="auto"/>
        </w:rPr>
        <w:t>[Conclusion] Electrocoagulation</w:t>
      </w:r>
      <w:r>
        <w:rPr>
          <w:rStyle w:val="14"/>
          <w:rFonts w:hint="default" w:ascii="Times New Roman" w:hAnsi="Times New Roman" w:cs="Times New Roman"/>
          <w:b w:val="0"/>
          <w:bCs w:val="0"/>
          <w:color w:val="auto"/>
          <w:highlight w:val="none"/>
          <w:shd w:val="clear" w:fill="auto"/>
        </w:rPr>
        <w:t xml:space="preserve"> promote</w:t>
      </w:r>
      <w:r>
        <w:rPr>
          <w:rStyle w:val="14"/>
          <w:rFonts w:hint="eastAsia" w:cs="Times New Roman"/>
          <w:b w:val="0"/>
          <w:bCs w:val="0"/>
          <w:color w:val="auto"/>
          <w:highlight w:val="none"/>
          <w:shd w:val="clear" w:fill="auto"/>
          <w:lang w:val="en-US" w:eastAsia="zh-CN"/>
        </w:rPr>
        <w:t>s</w:t>
      </w:r>
      <w:r>
        <w:rPr>
          <w:rStyle w:val="14"/>
          <w:rFonts w:hint="default" w:ascii="Times New Roman" w:hAnsi="Times New Roman" w:cs="Times New Roman"/>
          <w:b w:val="0"/>
          <w:bCs w:val="0"/>
          <w:color w:val="auto"/>
          <w:highlight w:val="none"/>
          <w:shd w:val="clear" w:fill="auto"/>
        </w:rPr>
        <w:t xml:space="preserve"> the capture and separation of PE microplastics through the combined action of Al(OH)3 flocs generated by </w:t>
      </w:r>
      <w:r>
        <w:rPr>
          <w:rStyle w:val="14"/>
          <w:rFonts w:hint="eastAsia" w:cs="Times New Roman"/>
          <w:b w:val="0"/>
          <w:bCs w:val="0"/>
          <w:color w:val="auto"/>
          <w:highlight w:val="none"/>
          <w:shd w:val="clear" w:fill="auto"/>
          <w:lang w:val="en-US" w:eastAsia="zh-CN"/>
        </w:rPr>
        <w:t xml:space="preserve">the </w:t>
      </w:r>
      <w:r>
        <w:rPr>
          <w:rStyle w:val="14"/>
          <w:rFonts w:hint="default" w:ascii="Times New Roman" w:hAnsi="Times New Roman" w:cs="Times New Roman"/>
          <w:b w:val="0"/>
          <w:bCs w:val="0"/>
          <w:color w:val="auto"/>
          <w:highlight w:val="none"/>
          <w:shd w:val="clear" w:fill="auto"/>
        </w:rPr>
        <w:t xml:space="preserve">dissolution of aluminum electrodes and hydrogen microbubbles produced at the cathode. Under the optimal conditions (applied voltage </w:t>
      </w:r>
      <w:r>
        <w:rPr>
          <w:rStyle w:val="14"/>
          <w:rFonts w:hint="eastAsia" w:cs="Times New Roman"/>
          <w:b w:val="0"/>
          <w:bCs w:val="0"/>
          <w:color w:val="auto"/>
          <w:highlight w:val="none"/>
          <w:shd w:val="clear" w:fill="auto"/>
          <w:lang w:val="en-US" w:eastAsia="zh-CN"/>
        </w:rPr>
        <w:t xml:space="preserve">of </w:t>
      </w:r>
      <w:r>
        <w:rPr>
          <w:rStyle w:val="14"/>
          <w:rFonts w:hint="default" w:ascii="Times New Roman" w:hAnsi="Times New Roman" w:cs="Times New Roman"/>
          <w:b w:val="0"/>
          <w:bCs w:val="0"/>
          <w:color w:val="auto"/>
          <w:highlight w:val="none"/>
          <w:shd w:val="clear" w:fill="auto"/>
        </w:rPr>
        <w:t xml:space="preserve">3.0 V, initial pH = 7, NaCl concentration </w:t>
      </w:r>
      <w:r>
        <w:rPr>
          <w:rStyle w:val="14"/>
          <w:rFonts w:hint="eastAsia" w:cs="Times New Roman"/>
          <w:b w:val="0"/>
          <w:bCs w:val="0"/>
          <w:color w:val="auto"/>
          <w:highlight w:val="none"/>
          <w:shd w:val="clear" w:fill="auto"/>
          <w:lang w:val="en-US" w:eastAsia="zh-CN"/>
        </w:rPr>
        <w:t xml:space="preserve">of </w:t>
      </w:r>
      <w:r>
        <w:rPr>
          <w:rStyle w:val="14"/>
          <w:rFonts w:hint="default" w:ascii="Times New Roman" w:hAnsi="Times New Roman" w:cs="Times New Roman"/>
          <w:b w:val="0"/>
          <w:bCs w:val="0"/>
          <w:color w:val="auto"/>
          <w:highlight w:val="none"/>
          <w:shd w:val="clear" w:fill="auto"/>
        </w:rPr>
        <w:t xml:space="preserve">0.01 mol/L, initial PE concentration </w:t>
      </w:r>
      <w:r>
        <w:rPr>
          <w:rStyle w:val="14"/>
          <w:rFonts w:hint="eastAsia" w:cs="Times New Roman"/>
          <w:b w:val="0"/>
          <w:bCs w:val="0"/>
          <w:color w:val="auto"/>
          <w:highlight w:val="none"/>
          <w:shd w:val="clear" w:fill="auto"/>
          <w:lang w:val="en-US" w:eastAsia="zh-CN"/>
        </w:rPr>
        <w:t xml:space="preserve">of </w:t>
      </w:r>
      <w:r>
        <w:rPr>
          <w:rStyle w:val="14"/>
          <w:rFonts w:hint="default" w:ascii="Times New Roman" w:hAnsi="Times New Roman" w:cs="Times New Roman"/>
          <w:b w:val="0"/>
          <w:bCs w:val="0"/>
          <w:color w:val="auto"/>
          <w:highlight w:val="none"/>
          <w:shd w:val="clear" w:fill="auto"/>
        </w:rPr>
        <w:t xml:space="preserve">0.3 g/L, and electrolysis time of 30 min), the </w:t>
      </w:r>
      <w:r>
        <w:rPr>
          <w:rStyle w:val="14"/>
          <w:rFonts w:hint="eastAsia" w:ascii="Times New Roman" w:hAnsi="Times New Roman" w:cs="Times New Roman"/>
          <w:b w:val="0"/>
          <w:bCs w:val="0"/>
          <w:color w:val="auto"/>
          <w:highlight w:val="none"/>
          <w:shd w:val="clear" w:fill="auto"/>
        </w:rPr>
        <w:t>maximum PE removal efficiency reached 95.6%.</w:t>
      </w:r>
    </w:p>
    <w:p w14:paraId="10DA897C">
      <w:pPr>
        <w:adjustRightInd w:val="0"/>
        <w:snapToGrid w:val="0"/>
        <w:rPr>
          <w:rFonts w:hint="eastAsia" w:eastAsia="宋体"/>
          <w:color w:val="auto"/>
          <w:sz w:val="21"/>
          <w:szCs w:val="21"/>
          <w:highlight w:val="none"/>
          <w:shd w:val="clear" w:fill="auto"/>
          <w:lang w:val="en-US" w:eastAsia="zh-CN"/>
        </w:rPr>
        <w:sectPr>
          <w:type w:val="continuous"/>
          <w:pgSz w:w="11906" w:h="16838"/>
          <w:pgMar w:top="1134" w:right="1134" w:bottom="1134" w:left="1134" w:header="851" w:footer="992" w:gutter="0"/>
          <w:pgBorders>
            <w:top w:val="none" w:sz="0" w:space="0"/>
            <w:left w:val="none" w:sz="0" w:space="0"/>
            <w:bottom w:val="none" w:sz="0" w:space="0"/>
            <w:right w:val="none" w:sz="0" w:space="0"/>
          </w:pgBorders>
          <w:cols w:space="425" w:num="1"/>
          <w:docGrid w:type="lines" w:linePitch="312" w:charSpace="0"/>
        </w:sectPr>
      </w:pPr>
      <w:r>
        <w:rPr>
          <w:b/>
          <w:color w:val="auto"/>
          <w:sz w:val="21"/>
          <w:szCs w:val="21"/>
          <w:highlight w:val="none"/>
          <w:shd w:val="clear" w:fill="auto"/>
        </w:rPr>
        <w:t>Keywords</w:t>
      </w:r>
      <w:r>
        <w:rPr>
          <w:rFonts w:hint="eastAsia"/>
          <w:b/>
          <w:color w:val="auto"/>
          <w:sz w:val="21"/>
          <w:szCs w:val="21"/>
          <w:highlight w:val="none"/>
          <w:shd w:val="clear" w:fill="auto"/>
          <w:lang w:eastAsia="zh-CN"/>
        </w:rPr>
        <w:t>：</w:t>
      </w:r>
      <w:r>
        <w:rPr>
          <w:color w:val="auto"/>
          <w:sz w:val="21"/>
          <w:szCs w:val="21"/>
          <w:highlight w:val="none"/>
          <w:shd w:val="clear" w:fill="auto"/>
        </w:rPr>
        <w:t>electrocoagulation</w:t>
      </w:r>
      <w:r>
        <w:rPr>
          <w:rFonts w:hint="eastAsia"/>
          <w:color w:val="auto"/>
          <w:sz w:val="21"/>
          <w:szCs w:val="21"/>
          <w:highlight w:val="none"/>
          <w:shd w:val="clear" w:fill="auto"/>
          <w:lang w:eastAsia="zh-CN"/>
        </w:rPr>
        <w:t>；</w:t>
      </w:r>
      <w:r>
        <w:rPr>
          <w:color w:val="auto"/>
          <w:sz w:val="21"/>
          <w:szCs w:val="21"/>
          <w:highlight w:val="none"/>
          <w:shd w:val="clear" w:fill="auto"/>
        </w:rPr>
        <w:t>polyethylene</w:t>
      </w:r>
      <w:r>
        <w:rPr>
          <w:rFonts w:hint="eastAsia"/>
          <w:color w:val="auto"/>
          <w:sz w:val="21"/>
          <w:szCs w:val="21"/>
          <w:highlight w:val="none"/>
          <w:shd w:val="clear" w:fill="auto"/>
          <w:lang w:eastAsia="zh-CN"/>
        </w:rPr>
        <w:t>；</w:t>
      </w:r>
      <w:r>
        <w:rPr>
          <w:color w:val="auto"/>
          <w:sz w:val="21"/>
          <w:szCs w:val="21"/>
          <w:highlight w:val="none"/>
          <w:shd w:val="clear" w:fill="auto"/>
        </w:rPr>
        <w:t>aluminum electrode</w:t>
      </w:r>
      <w:r>
        <w:rPr>
          <w:rFonts w:hint="eastAsia"/>
          <w:color w:val="auto"/>
          <w:sz w:val="21"/>
          <w:szCs w:val="21"/>
          <w:highlight w:val="none"/>
          <w:shd w:val="clear" w:fill="auto"/>
          <w:lang w:eastAsia="zh-CN"/>
        </w:rPr>
        <w:t>；</w:t>
      </w:r>
      <w:r>
        <w:rPr>
          <w:rFonts w:hint="eastAsia"/>
          <w:color w:val="auto"/>
          <w:sz w:val="21"/>
          <w:szCs w:val="21"/>
          <w:highlight w:val="none"/>
          <w:shd w:val="clear" w:fill="auto"/>
        </w:rPr>
        <w:t>flocs</w:t>
      </w:r>
      <w:r>
        <w:rPr>
          <w:rFonts w:hint="eastAsia"/>
          <w:color w:val="auto"/>
          <w:sz w:val="21"/>
          <w:szCs w:val="21"/>
          <w:highlight w:val="none"/>
          <w:shd w:val="clear" w:fill="auto"/>
          <w:lang w:val="en-US" w:eastAsia="zh-CN"/>
        </w:rPr>
        <w:t>；applied voltage；energy consumption；removal efficiency；mechanism</w:t>
      </w:r>
    </w:p>
    <w:p w14:paraId="75AB435D">
      <w:pPr>
        <w:adjustRightInd w:val="0"/>
        <w:snapToGrid w:val="0"/>
        <w:rPr>
          <w:rFonts w:hint="eastAsia"/>
          <w:color w:val="auto"/>
          <w:sz w:val="21"/>
          <w:szCs w:val="21"/>
          <w:highlight w:val="none"/>
          <w:shd w:val="clear" w:fill="auto"/>
        </w:rPr>
      </w:pPr>
      <w:bookmarkStart w:id="0" w:name="_Hlk536691732"/>
      <w:r>
        <w:rPr>
          <w:rFonts w:hint="eastAsia" w:eastAsia="黑体"/>
          <w:b/>
          <w:color w:val="auto"/>
          <w:sz w:val="28"/>
          <w:szCs w:val="28"/>
          <w:highlight w:val="none"/>
          <w:shd w:val="clear" w:fill="auto"/>
          <w:lang w:val="en-US" w:eastAsia="zh-CN"/>
        </w:rPr>
        <w:t>0</w:t>
      </w:r>
      <w:r>
        <w:rPr>
          <w:rFonts w:hint="eastAsia" w:eastAsia="黑体"/>
          <w:color w:val="auto"/>
          <w:sz w:val="28"/>
          <w:szCs w:val="28"/>
          <w:highlight w:val="none"/>
          <w:shd w:val="clear" w:fill="auto"/>
        </w:rPr>
        <w:t xml:space="preserve"> 引</w:t>
      </w:r>
      <w:r>
        <w:rPr>
          <w:rFonts w:hint="eastAsia" w:eastAsia="黑体"/>
          <w:color w:val="auto"/>
          <w:sz w:val="28"/>
          <w:szCs w:val="28"/>
          <w:highlight w:val="none"/>
          <w:shd w:val="clear" w:fill="auto"/>
          <w:lang w:val="en-US" w:eastAsia="zh-CN"/>
        </w:rPr>
        <w:t xml:space="preserve"> </w:t>
      </w:r>
      <w:r>
        <w:rPr>
          <w:rFonts w:hint="eastAsia" w:eastAsia="黑体"/>
          <w:color w:val="auto"/>
          <w:sz w:val="28"/>
          <w:szCs w:val="28"/>
          <w:highlight w:val="none"/>
          <w:shd w:val="clear" w:fill="auto"/>
        </w:rPr>
        <w:t>言</w:t>
      </w:r>
    </w:p>
    <w:p w14:paraId="61C9BBBA">
      <w:pPr>
        <w:adjustRightInd w:val="0"/>
        <w:snapToGrid w:val="0"/>
        <w:ind w:firstLine="420" w:firstLineChars="200"/>
        <w:rPr>
          <w:rFonts w:hint="default" w:ascii="Times New Roman" w:hAnsi="Times New Roman" w:cs="Times New Roman"/>
          <w:color w:val="auto"/>
          <w:sz w:val="21"/>
          <w:szCs w:val="21"/>
          <w:highlight w:val="none"/>
          <w:shd w:val="clear" w:fill="auto"/>
        </w:rPr>
      </w:pPr>
      <w:r>
        <w:rPr>
          <w:rFonts w:hint="eastAsia"/>
          <w:color w:val="auto"/>
          <w:sz w:val="21"/>
          <w:szCs w:val="21"/>
          <w:highlight w:val="none"/>
          <w:shd w:val="clear" w:fill="auto"/>
        </w:rPr>
        <w:t>微塑料（Microplastics，MPs）是指粒径小于5mm的塑料颗粒</w:t>
      </w:r>
      <w:r>
        <w:rPr>
          <w:rFonts w:hint="default"/>
          <w:color w:val="auto"/>
          <w:highlight w:val="none"/>
          <w:shd w:val="clear" w:fill="auto"/>
          <w:vertAlign w:val="superscript"/>
          <w:lang w:val="en-US"/>
        </w:rPr>
        <w:t>[1]</w:t>
      </w:r>
      <w:r>
        <w:rPr>
          <w:rFonts w:hint="eastAsia"/>
          <w:color w:val="auto"/>
          <w:sz w:val="21"/>
          <w:szCs w:val="21"/>
          <w:highlight w:val="none"/>
          <w:shd w:val="clear" w:fill="auto"/>
        </w:rPr>
        <w:t>，主要来源于塑料制品在环境中的风化破碎以及部分工业和日化产品中的人为添加。由于其粒径微小、化学稳定性强且难以降解，</w:t>
      </w:r>
      <w:r>
        <w:rPr>
          <w:rFonts w:hint="eastAsia"/>
          <w:color w:val="auto"/>
          <w:sz w:val="21"/>
          <w:szCs w:val="21"/>
          <w:highlight w:val="none"/>
          <w:shd w:val="clear" w:fill="auto"/>
          <w:lang w:val="en-US" w:eastAsia="zh-CN"/>
        </w:rPr>
        <w:t>微塑料可在水体中长期存在，并可能被水生生物摄食</w:t>
      </w:r>
      <w:r>
        <w:rPr>
          <w:rFonts w:hint="eastAsia"/>
          <w:color w:val="auto"/>
          <w:sz w:val="21"/>
          <w:szCs w:val="21"/>
          <w:highlight w:val="none"/>
          <w:shd w:val="clear" w:fill="auto"/>
        </w:rPr>
        <w:t>。同时，微塑料具有较大的比表面积和疏水性表面，能够吸附并富集氮、磷等营养盐</w:t>
      </w:r>
      <w:r>
        <w:rPr>
          <w:rFonts w:hint="default"/>
          <w:color w:val="auto"/>
          <w:highlight w:val="none"/>
          <w:shd w:val="clear" w:fill="auto"/>
          <w:vertAlign w:val="superscript"/>
          <w:lang w:val="en-US"/>
        </w:rPr>
        <w:t>[</w:t>
      </w:r>
      <w:r>
        <w:rPr>
          <w:rFonts w:hint="eastAsia"/>
          <w:color w:val="auto"/>
          <w:highlight w:val="none"/>
          <w:shd w:val="clear" w:fill="auto"/>
          <w:vertAlign w:val="superscript"/>
          <w:lang w:val="en-US" w:eastAsia="zh-CN"/>
        </w:rPr>
        <w:t>2</w:t>
      </w:r>
      <w:r>
        <w:rPr>
          <w:rFonts w:hint="default"/>
          <w:color w:val="auto"/>
          <w:highlight w:val="none"/>
          <w:shd w:val="clear" w:fill="auto"/>
          <w:vertAlign w:val="superscript"/>
          <w:lang w:val="en-US"/>
        </w:rPr>
        <w:t>]</w:t>
      </w:r>
      <w:r>
        <w:rPr>
          <w:rFonts w:hint="eastAsia"/>
          <w:color w:val="auto"/>
          <w:sz w:val="21"/>
          <w:szCs w:val="21"/>
          <w:highlight w:val="none"/>
          <w:shd w:val="clear" w:fill="auto"/>
        </w:rPr>
        <w:t>以及抗生素等有机污染物</w:t>
      </w:r>
      <w:r>
        <w:rPr>
          <w:rFonts w:hint="eastAsia"/>
          <w:color w:val="auto"/>
          <w:sz w:val="21"/>
          <w:szCs w:val="21"/>
          <w:highlight w:val="none"/>
          <w:shd w:val="clear" w:fill="auto"/>
          <w:vertAlign w:val="superscript"/>
          <w:lang w:eastAsia="zh-CN"/>
        </w:rPr>
        <w:t>[</w:t>
      </w:r>
      <w:r>
        <w:rPr>
          <w:rFonts w:hint="eastAsia"/>
          <w:color w:val="auto"/>
          <w:sz w:val="21"/>
          <w:szCs w:val="21"/>
          <w:highlight w:val="none"/>
          <w:shd w:val="clear" w:fill="auto"/>
          <w:vertAlign w:val="superscript"/>
          <w:lang w:val="en-US" w:eastAsia="zh-CN"/>
        </w:rPr>
        <w:t>3</w:t>
      </w:r>
      <w:r>
        <w:rPr>
          <w:rFonts w:hint="eastAsia"/>
          <w:color w:val="auto"/>
          <w:sz w:val="21"/>
          <w:szCs w:val="21"/>
          <w:highlight w:val="none"/>
          <w:shd w:val="clear" w:fill="auto"/>
          <w:vertAlign w:val="superscript"/>
          <w:lang w:eastAsia="zh-CN"/>
        </w:rPr>
        <w:t>]</w:t>
      </w:r>
      <w:r>
        <w:rPr>
          <w:rFonts w:hint="eastAsia"/>
          <w:color w:val="auto"/>
          <w:sz w:val="21"/>
          <w:szCs w:val="21"/>
          <w:highlight w:val="none"/>
          <w:shd w:val="clear" w:fill="auto"/>
        </w:rPr>
        <w:t>，在环境中充当污染物迁移与传递的载体，从而对水生态系统和人类健康产生潜在风险。</w:t>
      </w:r>
      <w:r>
        <w:rPr>
          <w:rFonts w:hint="default" w:ascii="Times New Roman" w:hAnsi="Times New Roman" w:cs="Times New Roman"/>
          <w:color w:val="auto"/>
          <w:sz w:val="21"/>
          <w:szCs w:val="21"/>
          <w:highlight w:val="none"/>
          <w:shd w:val="clear" w:fill="auto"/>
        </w:rPr>
        <w:t>微塑料的</w:t>
      </w:r>
      <w:r>
        <w:rPr>
          <w:rFonts w:hint="eastAsia" w:cs="Times New Roman"/>
          <w:color w:val="auto"/>
          <w:sz w:val="21"/>
          <w:szCs w:val="21"/>
          <w:highlight w:val="none"/>
          <w:shd w:val="clear" w:fill="auto"/>
          <w:lang w:val="en-US" w:eastAsia="zh-CN"/>
        </w:rPr>
        <w:t>含量</w:t>
      </w:r>
      <w:r>
        <w:rPr>
          <w:rFonts w:hint="default" w:ascii="Times New Roman" w:hAnsi="Times New Roman" w:cs="Times New Roman"/>
          <w:color w:val="auto"/>
          <w:sz w:val="21"/>
          <w:szCs w:val="21"/>
          <w:highlight w:val="none"/>
          <w:shd w:val="clear" w:fill="auto"/>
        </w:rPr>
        <w:t>与当地的生活方式和条件密切相关</w:t>
      </w:r>
      <w:r>
        <w:rPr>
          <w:rFonts w:hint="eastAsia" w:cs="Times New Roman"/>
          <w:color w:val="auto"/>
          <w:sz w:val="21"/>
          <w:szCs w:val="21"/>
          <w:highlight w:val="none"/>
          <w:shd w:val="clear" w:fill="auto"/>
          <w:lang w:eastAsia="zh-CN"/>
        </w:rPr>
        <w:t>，</w:t>
      </w:r>
      <w:r>
        <w:rPr>
          <w:rFonts w:hint="default" w:ascii="Times New Roman" w:hAnsi="Times New Roman" w:cs="Times New Roman"/>
          <w:color w:val="auto"/>
          <w:sz w:val="21"/>
          <w:szCs w:val="21"/>
          <w:highlight w:val="none"/>
          <w:shd w:val="clear" w:fill="auto"/>
        </w:rPr>
        <w:t>已有监测研究表明，自然水体中微塑料的质量浓度通常处于μg</w:t>
      </w:r>
      <w:r>
        <w:rPr>
          <w:rFonts w:hint="eastAsia"/>
          <w:color w:val="auto"/>
          <w:highlight w:val="none"/>
          <w:shd w:val="clear" w:fill="auto"/>
        </w:rPr>
        <w:t>/</w:t>
      </w:r>
      <w:r>
        <w:rPr>
          <w:rFonts w:hint="default" w:ascii="Times New Roman" w:hAnsi="Times New Roman" w:cs="Times New Roman"/>
          <w:color w:val="auto"/>
          <w:sz w:val="21"/>
          <w:szCs w:val="21"/>
          <w:highlight w:val="none"/>
          <w:shd w:val="clear" w:fill="auto"/>
        </w:rPr>
        <w:t>L至低mg</w:t>
      </w:r>
      <w:r>
        <w:rPr>
          <w:rFonts w:hint="eastAsia"/>
          <w:color w:val="auto"/>
          <w:highlight w:val="none"/>
          <w:shd w:val="clear" w:fill="auto"/>
        </w:rPr>
        <w:t>/</w:t>
      </w:r>
      <w:r>
        <w:rPr>
          <w:rFonts w:hint="default" w:ascii="Times New Roman" w:hAnsi="Times New Roman" w:cs="Times New Roman"/>
          <w:color w:val="auto"/>
          <w:sz w:val="21"/>
          <w:szCs w:val="21"/>
          <w:highlight w:val="none"/>
          <w:shd w:val="clear" w:fill="auto"/>
        </w:rPr>
        <w:t>L级。例如，</w:t>
      </w:r>
      <w:r>
        <w:rPr>
          <w:rFonts w:hint="eastAsia" w:cs="Times New Roman"/>
          <w:color w:val="auto"/>
          <w:sz w:val="21"/>
          <w:szCs w:val="21"/>
          <w:highlight w:val="none"/>
          <w:shd w:val="clear" w:fill="auto"/>
          <w:lang w:val="en-US" w:eastAsia="zh-CN"/>
        </w:rPr>
        <w:t>CARR</w:t>
      </w:r>
      <w:r>
        <w:rPr>
          <w:rFonts w:hint="default" w:ascii="Times New Roman" w:hAnsi="Times New Roman" w:cs="Times New Roman"/>
          <w:color w:val="auto"/>
          <w:sz w:val="21"/>
          <w:szCs w:val="21"/>
          <w:highlight w:val="none"/>
          <w:shd w:val="clear" w:fill="auto"/>
        </w:rPr>
        <w:t>等</w:t>
      </w:r>
      <w:r>
        <w:rPr>
          <w:rFonts w:hint="default" w:ascii="Times New Roman" w:hAnsi="Times New Roman" w:cs="Times New Roman"/>
          <w:color w:val="auto"/>
          <w:sz w:val="21"/>
          <w:szCs w:val="21"/>
          <w:highlight w:val="none"/>
          <w:shd w:val="clear" w:fill="auto"/>
          <w:vertAlign w:val="superscript"/>
          <w:lang w:val="en-US"/>
        </w:rPr>
        <w:t>[</w:t>
      </w:r>
      <w:r>
        <w:rPr>
          <w:rFonts w:hint="eastAsia" w:cs="Times New Roman"/>
          <w:color w:val="auto"/>
          <w:sz w:val="21"/>
          <w:szCs w:val="21"/>
          <w:highlight w:val="none"/>
          <w:shd w:val="clear" w:fill="auto"/>
          <w:vertAlign w:val="superscript"/>
          <w:lang w:val="en-US" w:eastAsia="zh-CN"/>
        </w:rPr>
        <w:t>4</w:t>
      </w:r>
      <w:r>
        <w:rPr>
          <w:rFonts w:hint="default" w:ascii="Times New Roman" w:hAnsi="Times New Roman" w:cs="Times New Roman"/>
          <w:color w:val="auto"/>
          <w:sz w:val="21"/>
          <w:szCs w:val="21"/>
          <w:highlight w:val="none"/>
          <w:shd w:val="clear" w:fill="auto"/>
          <w:vertAlign w:val="superscript"/>
          <w:lang w:val="en-US"/>
        </w:rPr>
        <w:t>]</w:t>
      </w:r>
      <w:r>
        <w:rPr>
          <w:rFonts w:hint="default" w:ascii="Times New Roman" w:hAnsi="Times New Roman" w:cs="Times New Roman"/>
          <w:color w:val="auto"/>
          <w:sz w:val="21"/>
          <w:szCs w:val="21"/>
          <w:highlight w:val="none"/>
          <w:shd w:val="clear" w:fill="auto"/>
        </w:rPr>
        <w:t>报道，美国城市污水处理厂进水中微塑料丰度为10</w:t>
      </w:r>
      <w:r>
        <w:rPr>
          <w:rFonts w:hint="eastAsia" w:cs="Times New Roman"/>
          <w:color w:val="auto"/>
          <w:sz w:val="21"/>
          <w:szCs w:val="21"/>
          <w:highlight w:val="none"/>
          <w:shd w:val="clear" w:fill="auto"/>
          <w:vertAlign w:val="superscript"/>
          <w:lang w:val="en-US" w:eastAsia="zh-CN"/>
        </w:rPr>
        <w:t>2</w:t>
      </w:r>
      <w:r>
        <w:rPr>
          <w:rFonts w:hint="eastAsia" w:cs="Times New Roman"/>
          <w:color w:val="auto"/>
          <w:sz w:val="21"/>
          <w:szCs w:val="21"/>
          <w:highlight w:val="none"/>
          <w:shd w:val="clear" w:fill="auto"/>
          <w:lang w:val="en-US" w:eastAsia="zh-CN"/>
        </w:rPr>
        <w:t>~</w:t>
      </w:r>
      <w:r>
        <w:rPr>
          <w:rFonts w:hint="default" w:ascii="Times New Roman" w:hAnsi="Times New Roman" w:cs="Times New Roman"/>
          <w:color w:val="auto"/>
          <w:sz w:val="21"/>
          <w:szCs w:val="21"/>
          <w:highlight w:val="none"/>
          <w:shd w:val="clear" w:fill="auto"/>
        </w:rPr>
        <w:t>10</w:t>
      </w:r>
      <w:r>
        <w:rPr>
          <w:rFonts w:hint="eastAsia" w:cs="Times New Roman"/>
          <w:color w:val="auto"/>
          <w:sz w:val="21"/>
          <w:szCs w:val="21"/>
          <w:highlight w:val="none"/>
          <w:shd w:val="clear" w:fill="auto"/>
          <w:vertAlign w:val="superscript"/>
          <w:lang w:val="en-US" w:eastAsia="zh-CN"/>
        </w:rPr>
        <w:t>4</w:t>
      </w:r>
      <w:r>
        <w:rPr>
          <w:rFonts w:hint="default" w:ascii="Times New Roman" w:hAnsi="Times New Roman" w:cs="Times New Roman"/>
          <w:color w:val="auto"/>
          <w:sz w:val="21"/>
          <w:szCs w:val="21"/>
          <w:highlight w:val="none"/>
          <w:shd w:val="clear" w:fill="auto"/>
        </w:rPr>
        <w:t>particles</w:t>
      </w:r>
      <w:r>
        <w:rPr>
          <w:rFonts w:hint="eastAsia"/>
          <w:color w:val="auto"/>
          <w:highlight w:val="none"/>
          <w:shd w:val="clear" w:fill="auto"/>
        </w:rPr>
        <w:t>/</w:t>
      </w:r>
      <w:r>
        <w:rPr>
          <w:rFonts w:hint="default" w:ascii="Times New Roman" w:hAnsi="Times New Roman" w:cs="Times New Roman"/>
          <w:color w:val="auto"/>
          <w:sz w:val="21"/>
          <w:szCs w:val="21"/>
          <w:highlight w:val="none"/>
          <w:shd w:val="clear" w:fill="auto"/>
        </w:rPr>
        <w:t>L，对应质量浓度多为μg</w:t>
      </w:r>
      <w:r>
        <w:rPr>
          <w:rFonts w:hint="eastAsia"/>
          <w:color w:val="auto"/>
          <w:highlight w:val="none"/>
          <w:shd w:val="clear" w:fill="auto"/>
        </w:rPr>
        <w:t>/</w:t>
      </w:r>
      <w:r>
        <w:rPr>
          <w:rFonts w:hint="default" w:ascii="Times New Roman" w:hAnsi="Times New Roman" w:cs="Times New Roman"/>
          <w:color w:val="auto"/>
          <w:sz w:val="21"/>
          <w:szCs w:val="21"/>
          <w:highlight w:val="none"/>
          <w:shd w:val="clear" w:fill="auto"/>
        </w:rPr>
        <w:t>L级</w:t>
      </w:r>
      <w:r>
        <w:rPr>
          <w:rFonts w:hint="eastAsia" w:cs="Times New Roman"/>
          <w:color w:val="auto"/>
          <w:sz w:val="21"/>
          <w:szCs w:val="21"/>
          <w:highlight w:val="none"/>
          <w:shd w:val="clear" w:fill="auto"/>
          <w:lang w:eastAsia="zh-CN"/>
        </w:rPr>
        <w:t>；在珠江及其支流的调查中，微塑料质量浓度范围为0.004</w:t>
      </w:r>
      <w:r>
        <w:rPr>
          <w:rFonts w:hint="eastAsia" w:cs="Times New Roman"/>
          <w:color w:val="auto"/>
          <w:sz w:val="21"/>
          <w:szCs w:val="21"/>
          <w:highlight w:val="none"/>
          <w:shd w:val="clear" w:fill="auto"/>
          <w:lang w:val="en-US" w:eastAsia="zh-CN"/>
        </w:rPr>
        <w:t>~</w:t>
      </w:r>
      <w:r>
        <w:rPr>
          <w:rFonts w:hint="eastAsia" w:cs="Times New Roman"/>
          <w:color w:val="auto"/>
          <w:sz w:val="21"/>
          <w:szCs w:val="21"/>
          <w:highlight w:val="none"/>
          <w:shd w:val="clear" w:fill="auto"/>
          <w:lang w:eastAsia="zh-CN"/>
        </w:rPr>
        <w:t>1.28mg/L，平均浓度约为0.21mg</w:t>
      </w:r>
      <w:r>
        <w:rPr>
          <w:rFonts w:hint="eastAsia"/>
          <w:color w:val="auto"/>
          <w:highlight w:val="none"/>
          <w:shd w:val="clear" w:fill="auto"/>
        </w:rPr>
        <w:t>/</w:t>
      </w:r>
      <w:r>
        <w:rPr>
          <w:rFonts w:hint="eastAsia" w:cs="Times New Roman"/>
          <w:color w:val="auto"/>
          <w:sz w:val="21"/>
          <w:szCs w:val="21"/>
          <w:highlight w:val="none"/>
          <w:shd w:val="clear" w:fill="auto"/>
          <w:lang w:eastAsia="zh-CN"/>
        </w:rPr>
        <w:t>L，</w:t>
      </w:r>
      <w:r>
        <w:rPr>
          <w:rFonts w:hint="default" w:ascii="Times New Roman" w:hAnsi="Times New Roman" w:cs="Times New Roman"/>
          <w:color w:val="auto"/>
          <w:sz w:val="21"/>
          <w:szCs w:val="21"/>
          <w:highlight w:val="none"/>
          <w:shd w:val="clear" w:fill="auto"/>
        </w:rPr>
        <w:t>PE为主要检出类型之一</w:t>
      </w:r>
      <w:r>
        <w:rPr>
          <w:rFonts w:hint="default"/>
          <w:color w:val="auto"/>
          <w:highlight w:val="none"/>
          <w:shd w:val="clear" w:fill="auto"/>
          <w:vertAlign w:val="superscript"/>
          <w:lang w:val="en-US"/>
        </w:rPr>
        <w:t>[</w:t>
      </w:r>
      <w:r>
        <w:rPr>
          <w:rFonts w:hint="eastAsia"/>
          <w:color w:val="auto"/>
          <w:highlight w:val="none"/>
          <w:shd w:val="clear" w:fill="auto"/>
          <w:vertAlign w:val="superscript"/>
          <w:lang w:val="en-US" w:eastAsia="zh-CN"/>
        </w:rPr>
        <w:t>5</w:t>
      </w:r>
      <w:r>
        <w:rPr>
          <w:rFonts w:hint="default"/>
          <w:color w:val="auto"/>
          <w:highlight w:val="none"/>
          <w:shd w:val="clear" w:fill="auto"/>
          <w:vertAlign w:val="superscript"/>
          <w:lang w:val="en-US"/>
        </w:rPr>
        <w:t>]</w:t>
      </w:r>
      <w:r>
        <w:rPr>
          <w:rFonts w:hint="eastAsia"/>
          <w:color w:val="auto"/>
          <w:highlight w:val="none"/>
          <w:shd w:val="clear" w:fill="auto"/>
          <w:lang w:eastAsia="zh-CN"/>
        </w:rPr>
        <w:t>；</w:t>
      </w:r>
      <w:r>
        <w:rPr>
          <w:rFonts w:hint="eastAsia" w:cs="Times New Roman"/>
          <w:color w:val="auto"/>
          <w:sz w:val="21"/>
          <w:szCs w:val="21"/>
          <w:highlight w:val="none"/>
          <w:shd w:val="clear" w:fill="auto"/>
          <w:lang w:eastAsia="zh-CN"/>
        </w:rPr>
        <w:t>长江流域的微塑料质量浓度约为0.051±0.036mg/L</w:t>
      </w:r>
      <w:r>
        <w:rPr>
          <w:rFonts w:hint="default"/>
          <w:color w:val="auto"/>
          <w:highlight w:val="none"/>
          <w:shd w:val="clear" w:fill="auto"/>
          <w:vertAlign w:val="superscript"/>
          <w:lang w:val="en-US"/>
        </w:rPr>
        <w:t>[</w:t>
      </w:r>
      <w:r>
        <w:rPr>
          <w:rFonts w:hint="eastAsia"/>
          <w:color w:val="auto"/>
          <w:highlight w:val="none"/>
          <w:shd w:val="clear" w:fill="auto"/>
          <w:vertAlign w:val="superscript"/>
          <w:lang w:val="en-US" w:eastAsia="zh-CN"/>
        </w:rPr>
        <w:t>6</w:t>
      </w:r>
      <w:r>
        <w:rPr>
          <w:rFonts w:hint="default"/>
          <w:color w:val="auto"/>
          <w:highlight w:val="none"/>
          <w:shd w:val="clear" w:fill="auto"/>
          <w:vertAlign w:val="superscript"/>
          <w:lang w:val="en-US"/>
        </w:rPr>
        <w:t>]</w:t>
      </w:r>
      <w:r>
        <w:rPr>
          <w:rFonts w:hint="eastAsia" w:cs="Times New Roman"/>
          <w:color w:val="auto"/>
          <w:sz w:val="21"/>
          <w:szCs w:val="21"/>
          <w:highlight w:val="none"/>
          <w:shd w:val="clear" w:fill="auto"/>
          <w:lang w:eastAsia="zh-CN"/>
        </w:rPr>
        <w:t>。</w:t>
      </w:r>
      <w:r>
        <w:rPr>
          <w:rFonts w:hint="default" w:ascii="Times New Roman" w:hAnsi="Times New Roman" w:cs="Times New Roman"/>
          <w:color w:val="auto"/>
          <w:sz w:val="21"/>
          <w:szCs w:val="21"/>
          <w:highlight w:val="none"/>
          <w:shd w:val="clear" w:fill="auto"/>
        </w:rPr>
        <w:t>然而，在源头排放阶段，尤其是洗涤废水及塑料加工行业排水中，微塑料释放量显著增加。</w:t>
      </w:r>
      <w:r>
        <w:rPr>
          <w:rFonts w:hint="eastAsia"/>
          <w:color w:val="auto"/>
          <w:highlight w:val="none"/>
          <w:shd w:val="clear" w:fill="auto"/>
        </w:rPr>
        <w:t>单次洗涤可释放约124</w:t>
      </w:r>
      <w:r>
        <w:rPr>
          <w:rFonts w:hint="eastAsia"/>
          <w:color w:val="auto"/>
          <w:highlight w:val="none"/>
          <w:shd w:val="clear" w:fill="auto"/>
          <w:lang w:val="en-US" w:eastAsia="zh-CN"/>
        </w:rPr>
        <w:t>~</w:t>
      </w:r>
      <w:r>
        <w:rPr>
          <w:rFonts w:hint="eastAsia"/>
          <w:color w:val="auto"/>
          <w:highlight w:val="none"/>
          <w:shd w:val="clear" w:fill="auto"/>
        </w:rPr>
        <w:t>308mg/kg的微塑料纤维，相当于64万至150万根纤维</w:t>
      </w:r>
      <w:r>
        <w:rPr>
          <w:rFonts w:hint="eastAsia"/>
          <w:color w:val="auto"/>
          <w:highlight w:val="none"/>
          <w:shd w:val="clear" w:fill="auto"/>
          <w:vertAlign w:val="superscript"/>
          <w:lang w:eastAsia="zh-CN"/>
        </w:rPr>
        <w:t>[</w:t>
      </w:r>
      <w:r>
        <w:rPr>
          <w:rFonts w:hint="eastAsia"/>
          <w:color w:val="auto"/>
          <w:highlight w:val="none"/>
          <w:shd w:val="clear" w:fill="auto"/>
          <w:vertAlign w:val="superscript"/>
          <w:lang w:val="en-US" w:eastAsia="zh-CN"/>
        </w:rPr>
        <w:t>7</w:t>
      </w:r>
      <w:r>
        <w:rPr>
          <w:rFonts w:hint="eastAsia"/>
          <w:color w:val="auto"/>
          <w:highlight w:val="none"/>
          <w:shd w:val="clear" w:fill="auto"/>
          <w:vertAlign w:val="superscript"/>
          <w:lang w:eastAsia="zh-CN"/>
        </w:rPr>
        <w:t>]</w:t>
      </w:r>
      <w:r>
        <w:rPr>
          <w:rFonts w:hint="default" w:ascii="Times New Roman" w:hAnsi="Times New Roman" w:cs="Times New Roman"/>
          <w:color w:val="auto"/>
          <w:sz w:val="21"/>
          <w:szCs w:val="21"/>
          <w:highlight w:val="none"/>
          <w:shd w:val="clear" w:fill="auto"/>
        </w:rPr>
        <w:t>；</w:t>
      </w:r>
      <w:r>
        <w:rPr>
          <w:rFonts w:hint="eastAsia" w:cs="Times New Roman"/>
          <w:color w:val="auto"/>
          <w:sz w:val="21"/>
          <w:szCs w:val="21"/>
          <w:highlight w:val="none"/>
          <w:shd w:val="clear" w:fill="auto"/>
          <w:lang w:val="en-US" w:eastAsia="zh-CN"/>
        </w:rPr>
        <w:t>KHAIRUNNISA</w:t>
      </w:r>
      <w:r>
        <w:rPr>
          <w:rFonts w:hint="default" w:ascii="Times New Roman" w:hAnsi="Times New Roman" w:cs="Times New Roman"/>
          <w:color w:val="auto"/>
          <w:sz w:val="21"/>
          <w:szCs w:val="21"/>
          <w:highlight w:val="none"/>
          <w:shd w:val="clear" w:fill="auto"/>
        </w:rPr>
        <w:t>等</w:t>
      </w:r>
      <w:r>
        <w:rPr>
          <w:rFonts w:hint="default"/>
          <w:color w:val="auto"/>
          <w:highlight w:val="none"/>
          <w:shd w:val="clear" w:fill="auto"/>
          <w:vertAlign w:val="superscript"/>
          <w:lang w:val="en-US"/>
        </w:rPr>
        <w:t>[</w:t>
      </w:r>
      <w:r>
        <w:rPr>
          <w:rFonts w:hint="eastAsia"/>
          <w:color w:val="auto"/>
          <w:highlight w:val="none"/>
          <w:shd w:val="clear" w:fill="auto"/>
          <w:vertAlign w:val="superscript"/>
          <w:lang w:val="en-US" w:eastAsia="zh-CN"/>
        </w:rPr>
        <w:t>8</w:t>
      </w:r>
      <w:r>
        <w:rPr>
          <w:rFonts w:hint="default"/>
          <w:color w:val="auto"/>
          <w:highlight w:val="none"/>
          <w:shd w:val="clear" w:fill="auto"/>
          <w:vertAlign w:val="superscript"/>
          <w:lang w:val="en-US"/>
        </w:rPr>
        <w:t>]</w:t>
      </w:r>
      <w:r>
        <w:rPr>
          <w:rFonts w:hint="default" w:ascii="Times New Roman" w:hAnsi="Times New Roman" w:cs="Times New Roman"/>
          <w:color w:val="auto"/>
          <w:sz w:val="21"/>
          <w:szCs w:val="21"/>
          <w:highlight w:val="none"/>
          <w:shd w:val="clear" w:fill="auto"/>
        </w:rPr>
        <w:t>进一步指出</w:t>
      </w:r>
      <w:r>
        <w:rPr>
          <w:rFonts w:hint="eastAsia" w:cs="Times New Roman"/>
          <w:color w:val="auto"/>
          <w:sz w:val="21"/>
          <w:szCs w:val="21"/>
          <w:highlight w:val="none"/>
          <w:shd w:val="clear" w:fill="auto"/>
          <w:lang w:eastAsia="zh-CN"/>
        </w:rPr>
        <w:t>，</w:t>
      </w:r>
      <w:r>
        <w:rPr>
          <w:rFonts w:hint="default" w:ascii="Times New Roman" w:hAnsi="Times New Roman" w:cs="Times New Roman"/>
          <w:color w:val="auto"/>
          <w:sz w:val="21"/>
          <w:szCs w:val="21"/>
          <w:highlight w:val="none"/>
          <w:shd w:val="clear" w:fill="auto"/>
        </w:rPr>
        <w:t>洗涤过程产生的微塑料质量（总质量，包括纤维和颗粒）被测量为每次洗涤过程产生约129mg（洗涤过程）、102.67mg（冲洗过程）和109.67mg（干燥过程）的微塑料污染物。如果这些微塑料直接排入小体积的局部废水中，浓度很容易集中在数十至数百mg/L。</w:t>
      </w:r>
    </w:p>
    <w:p w14:paraId="6141FEC0">
      <w:pPr>
        <w:adjustRightInd w:val="0"/>
        <w:snapToGrid w:val="0"/>
        <w:ind w:firstLine="420" w:firstLineChars="200"/>
        <w:rPr>
          <w:rFonts w:hint="default" w:ascii="Times New Roman" w:hAnsi="Times New Roman" w:cs="Times New Roman"/>
          <w:color w:val="auto"/>
          <w:sz w:val="21"/>
          <w:szCs w:val="21"/>
          <w:highlight w:val="none"/>
          <w:shd w:val="clear" w:fill="auto"/>
        </w:rPr>
      </w:pPr>
      <w:r>
        <w:rPr>
          <w:rFonts w:hint="default" w:ascii="Times New Roman" w:hAnsi="Times New Roman" w:cs="Times New Roman"/>
          <w:color w:val="auto"/>
          <w:sz w:val="21"/>
          <w:szCs w:val="21"/>
          <w:highlight w:val="none"/>
          <w:shd w:val="clear" w:fill="auto"/>
        </w:rPr>
        <w:t>如何在废水排放前实现对</w:t>
      </w:r>
      <w:r>
        <w:rPr>
          <w:rFonts w:hint="eastAsia" w:cs="Times New Roman"/>
          <w:color w:val="auto"/>
          <w:sz w:val="21"/>
          <w:szCs w:val="21"/>
          <w:highlight w:val="none"/>
          <w:shd w:val="clear" w:fill="auto"/>
          <w:lang w:val="en-US" w:eastAsia="zh-CN"/>
        </w:rPr>
        <w:t>微塑料</w:t>
      </w:r>
      <w:r>
        <w:rPr>
          <w:rFonts w:hint="default" w:ascii="Times New Roman" w:hAnsi="Times New Roman" w:cs="Times New Roman"/>
          <w:color w:val="auto"/>
          <w:sz w:val="21"/>
          <w:szCs w:val="21"/>
          <w:highlight w:val="none"/>
          <w:shd w:val="clear" w:fill="auto"/>
        </w:rPr>
        <w:t>的高效去除，成为微塑料污染控制的重要技术问题。目前，针对水体中微塑料的去除方法主要包括生物膜法、物理筛滤法、吸附法及高级氧化法等</w:t>
      </w:r>
      <w:r>
        <w:rPr>
          <w:rFonts w:hint="eastAsia" w:cs="Times New Roman"/>
          <w:color w:val="auto"/>
          <w:sz w:val="21"/>
          <w:szCs w:val="21"/>
          <w:highlight w:val="none"/>
          <w:shd w:val="clear" w:fill="auto"/>
          <w:lang w:eastAsia="zh-CN"/>
        </w:rPr>
        <w:t>。</w:t>
      </w:r>
      <w:r>
        <w:rPr>
          <w:rFonts w:hint="eastAsia" w:cs="Times New Roman"/>
          <w:color w:val="auto"/>
          <w:sz w:val="21"/>
          <w:szCs w:val="21"/>
          <w:highlight w:val="none"/>
          <w:shd w:val="clear" w:fill="auto"/>
          <w:lang w:val="en-US" w:eastAsia="zh-CN"/>
        </w:rPr>
        <w:t>ITTISUPORNRAT</w:t>
      </w:r>
      <w:r>
        <w:rPr>
          <w:rFonts w:hint="default" w:ascii="Times New Roman" w:hAnsi="Times New Roman" w:cs="Times New Roman"/>
          <w:color w:val="auto"/>
          <w:sz w:val="21"/>
          <w:szCs w:val="21"/>
          <w:highlight w:val="none"/>
          <w:shd w:val="clear" w:fill="auto"/>
        </w:rPr>
        <w:t>等</w:t>
      </w:r>
      <w:r>
        <w:rPr>
          <w:rFonts w:hint="default"/>
          <w:color w:val="auto"/>
          <w:highlight w:val="none"/>
          <w:shd w:val="clear" w:fill="auto"/>
          <w:vertAlign w:val="superscript"/>
          <w:lang w:val="en-US"/>
        </w:rPr>
        <w:t>[</w:t>
      </w:r>
      <w:r>
        <w:rPr>
          <w:rFonts w:hint="eastAsia"/>
          <w:color w:val="auto"/>
          <w:highlight w:val="none"/>
          <w:shd w:val="clear" w:fill="auto"/>
          <w:vertAlign w:val="superscript"/>
          <w:lang w:val="en-US" w:eastAsia="zh-CN"/>
        </w:rPr>
        <w:t>9</w:t>
      </w:r>
      <w:r>
        <w:rPr>
          <w:rFonts w:hint="default"/>
          <w:color w:val="auto"/>
          <w:highlight w:val="none"/>
          <w:shd w:val="clear" w:fill="auto"/>
          <w:vertAlign w:val="superscript"/>
          <w:lang w:val="en-US"/>
        </w:rPr>
        <w:t>]</w:t>
      </w:r>
      <w:r>
        <w:rPr>
          <w:rFonts w:hint="default" w:ascii="Times New Roman" w:hAnsi="Times New Roman" w:cs="Times New Roman"/>
          <w:color w:val="auto"/>
          <w:sz w:val="21"/>
          <w:szCs w:val="21"/>
          <w:highlight w:val="none"/>
          <w:shd w:val="clear" w:fill="auto"/>
        </w:rPr>
        <w:t>研究探讨膜生物反应器（MBR）系统对微塑料的去除率可超过90%，但膜污染与运行成本问题制约了其长期应用。</w:t>
      </w:r>
      <w:r>
        <w:rPr>
          <w:rFonts w:hint="eastAsia" w:cs="Times New Roman"/>
          <w:color w:val="auto"/>
          <w:sz w:val="21"/>
          <w:szCs w:val="21"/>
          <w:highlight w:val="none"/>
          <w:shd w:val="clear" w:fill="auto"/>
          <w:lang w:val="en-US" w:eastAsia="zh-CN"/>
        </w:rPr>
        <w:t>MROWIEC</w:t>
      </w:r>
      <w:r>
        <w:rPr>
          <w:rFonts w:hint="default"/>
          <w:color w:val="auto"/>
          <w:highlight w:val="none"/>
          <w:shd w:val="clear" w:fill="auto"/>
          <w:vertAlign w:val="superscript"/>
          <w:lang w:val="en-US"/>
        </w:rPr>
        <w:t>[1</w:t>
      </w:r>
      <w:r>
        <w:rPr>
          <w:rFonts w:hint="eastAsia"/>
          <w:color w:val="auto"/>
          <w:highlight w:val="none"/>
          <w:shd w:val="clear" w:fill="auto"/>
          <w:vertAlign w:val="superscript"/>
          <w:lang w:val="en-US" w:eastAsia="zh-CN"/>
        </w:rPr>
        <w:t>0</w:t>
      </w:r>
      <w:r>
        <w:rPr>
          <w:rFonts w:hint="default"/>
          <w:color w:val="auto"/>
          <w:highlight w:val="none"/>
          <w:shd w:val="clear" w:fill="auto"/>
          <w:vertAlign w:val="superscript"/>
          <w:lang w:val="en-US"/>
        </w:rPr>
        <w:t>]</w:t>
      </w:r>
      <w:r>
        <w:rPr>
          <w:rFonts w:hint="default" w:ascii="Times New Roman" w:hAnsi="Times New Roman" w:cs="Times New Roman"/>
          <w:color w:val="auto"/>
          <w:sz w:val="21"/>
          <w:szCs w:val="21"/>
          <w:highlight w:val="none"/>
          <w:shd w:val="clear" w:fill="auto"/>
        </w:rPr>
        <w:t>在综述中指出，常规污水处理工艺对微塑料的去除效果受颗粒密度与粒径影响显著，低密度</w:t>
      </w:r>
      <w:r>
        <w:rPr>
          <w:rFonts w:hint="eastAsia" w:cs="Times New Roman"/>
          <w:color w:val="auto"/>
          <w:sz w:val="21"/>
          <w:szCs w:val="21"/>
          <w:highlight w:val="none"/>
          <w:shd w:val="clear" w:fill="auto"/>
          <w:lang w:val="en-US" w:eastAsia="zh-CN"/>
        </w:rPr>
        <w:t>聚乙烯（</w:t>
      </w:r>
      <w:r>
        <w:rPr>
          <w:rFonts w:hint="default" w:ascii="Times New Roman" w:hAnsi="Times New Roman" w:cs="Times New Roman"/>
          <w:color w:val="auto"/>
          <w:sz w:val="21"/>
          <w:szCs w:val="21"/>
          <w:highlight w:val="none"/>
          <w:shd w:val="clear" w:fill="auto"/>
        </w:rPr>
        <w:t>PE</w:t>
      </w:r>
      <w:r>
        <w:rPr>
          <w:rFonts w:hint="eastAsia" w:cs="Times New Roman"/>
          <w:color w:val="auto"/>
          <w:sz w:val="21"/>
          <w:szCs w:val="21"/>
          <w:highlight w:val="none"/>
          <w:shd w:val="clear" w:fill="auto"/>
          <w:lang w:val="en-US" w:eastAsia="zh-CN"/>
        </w:rPr>
        <w:t>）</w:t>
      </w:r>
      <w:r>
        <w:rPr>
          <w:rFonts w:hint="default" w:ascii="Times New Roman" w:hAnsi="Times New Roman" w:cs="Times New Roman"/>
          <w:color w:val="auto"/>
          <w:sz w:val="21"/>
          <w:szCs w:val="21"/>
          <w:highlight w:val="none"/>
          <w:shd w:val="clear" w:fill="auto"/>
        </w:rPr>
        <w:t>颗粒在沉淀单元中易发生上浮或逃逸</w:t>
      </w:r>
      <w:r>
        <w:rPr>
          <w:rFonts w:hint="eastAsia" w:cs="Times New Roman"/>
          <w:color w:val="auto"/>
          <w:sz w:val="21"/>
          <w:szCs w:val="21"/>
          <w:highlight w:val="none"/>
          <w:shd w:val="clear" w:fill="auto"/>
          <w:lang w:eastAsia="zh-CN"/>
        </w:rPr>
        <w:t>，纤维状微塑料通常比颗粒状更难以通过物理沉淀去除</w:t>
      </w:r>
      <w:r>
        <w:rPr>
          <w:rFonts w:hint="default" w:ascii="Times New Roman" w:hAnsi="Times New Roman" w:cs="Times New Roman"/>
          <w:color w:val="auto"/>
          <w:sz w:val="21"/>
          <w:szCs w:val="21"/>
          <w:highlight w:val="none"/>
          <w:shd w:val="clear" w:fill="auto"/>
        </w:rPr>
        <w:t>。吸附法</w:t>
      </w:r>
      <w:r>
        <w:rPr>
          <w:rFonts w:hint="default" w:ascii="Times New Roman" w:hAnsi="Times New Roman" w:cs="Times New Roman"/>
          <w:color w:val="auto"/>
          <w:sz w:val="21"/>
          <w:szCs w:val="21"/>
          <w:highlight w:val="none"/>
          <w:shd w:val="clear" w:fill="auto"/>
          <w:vertAlign w:val="superscript"/>
          <w:lang w:val="en-US"/>
        </w:rPr>
        <w:t>[1</w:t>
      </w:r>
      <w:r>
        <w:rPr>
          <w:rFonts w:hint="eastAsia" w:cs="Times New Roman"/>
          <w:color w:val="auto"/>
          <w:sz w:val="21"/>
          <w:szCs w:val="21"/>
          <w:highlight w:val="none"/>
          <w:shd w:val="clear" w:fill="auto"/>
          <w:vertAlign w:val="superscript"/>
          <w:lang w:val="en-US" w:eastAsia="zh-CN"/>
        </w:rPr>
        <w:t>1</w:t>
      </w:r>
      <w:r>
        <w:rPr>
          <w:rFonts w:hint="default" w:ascii="Times New Roman" w:hAnsi="Times New Roman" w:cs="Times New Roman"/>
          <w:color w:val="auto"/>
          <w:sz w:val="21"/>
          <w:szCs w:val="21"/>
          <w:highlight w:val="none"/>
          <w:shd w:val="clear" w:fill="auto"/>
          <w:vertAlign w:val="superscript"/>
          <w:lang w:val="en-US"/>
        </w:rPr>
        <w:t>]</w:t>
      </w:r>
      <w:r>
        <w:rPr>
          <w:rFonts w:hint="default" w:ascii="Times New Roman" w:hAnsi="Times New Roman" w:cs="Times New Roman"/>
          <w:color w:val="auto"/>
          <w:sz w:val="21"/>
          <w:szCs w:val="21"/>
          <w:highlight w:val="none"/>
          <w:shd w:val="clear" w:fill="auto"/>
        </w:rPr>
        <w:t>通过表面作用实现微塑料由水相向固相转移，并不改变其聚合物结构，需后续处置或再生；高级氧化</w:t>
      </w:r>
      <w:r>
        <w:rPr>
          <w:rFonts w:hint="default" w:ascii="Times New Roman" w:hAnsi="Times New Roman" w:cs="Times New Roman"/>
          <w:color w:val="auto"/>
          <w:sz w:val="21"/>
          <w:szCs w:val="21"/>
          <w:highlight w:val="none"/>
          <w:shd w:val="clear" w:fill="auto"/>
          <w:vertAlign w:val="superscript"/>
          <w:lang w:val="en-US"/>
        </w:rPr>
        <w:t>[1</w:t>
      </w:r>
      <w:r>
        <w:rPr>
          <w:rFonts w:hint="eastAsia" w:cs="Times New Roman"/>
          <w:color w:val="auto"/>
          <w:sz w:val="21"/>
          <w:szCs w:val="21"/>
          <w:highlight w:val="none"/>
          <w:shd w:val="clear" w:fill="auto"/>
          <w:vertAlign w:val="superscript"/>
          <w:lang w:val="en-US" w:eastAsia="zh-CN"/>
        </w:rPr>
        <w:t>2</w:t>
      </w:r>
      <w:r>
        <w:rPr>
          <w:rFonts w:hint="default" w:ascii="Times New Roman" w:hAnsi="Times New Roman" w:cs="Times New Roman"/>
          <w:color w:val="auto"/>
          <w:sz w:val="21"/>
          <w:szCs w:val="21"/>
          <w:highlight w:val="none"/>
          <w:shd w:val="clear" w:fill="auto"/>
          <w:vertAlign w:val="superscript"/>
          <w:lang w:val="en-US"/>
        </w:rPr>
        <w:t>]</w:t>
      </w:r>
      <w:r>
        <w:rPr>
          <w:rFonts w:hint="default" w:ascii="Times New Roman" w:hAnsi="Times New Roman" w:cs="Times New Roman"/>
          <w:color w:val="auto"/>
          <w:sz w:val="21"/>
          <w:szCs w:val="21"/>
          <w:highlight w:val="none"/>
          <w:shd w:val="clear" w:fill="auto"/>
        </w:rPr>
        <w:t>则依赖活性氧物种对聚合物链进行断裂或氧化降解。前者受材料饱和容量限制，后者存在反应速率与能耗之间的权衡。</w:t>
      </w:r>
    </w:p>
    <w:p w14:paraId="0C39706A">
      <w:pPr>
        <w:adjustRightInd w:val="0"/>
        <w:snapToGrid w:val="0"/>
        <w:ind w:firstLine="420" w:firstLineChars="200"/>
        <w:rPr>
          <w:rFonts w:hint="eastAsia" w:cs="Times New Roman"/>
          <w:color w:val="auto"/>
          <w:sz w:val="21"/>
          <w:szCs w:val="21"/>
          <w:highlight w:val="none"/>
          <w:shd w:val="clear" w:fill="auto"/>
          <w:lang w:eastAsia="zh-CN"/>
        </w:rPr>
      </w:pPr>
      <w:r>
        <w:rPr>
          <w:rFonts w:hint="default" w:ascii="Times New Roman" w:hAnsi="Times New Roman" w:cs="Times New Roman"/>
          <w:color w:val="auto"/>
          <w:sz w:val="21"/>
          <w:szCs w:val="21"/>
          <w:highlight w:val="none"/>
          <w:shd w:val="clear" w:fill="auto"/>
        </w:rPr>
        <w:t>在众多新兴技术中，电絮凝（Electrocoagulation</w:t>
      </w:r>
      <w:r>
        <w:rPr>
          <w:rFonts w:hint="eastAsia" w:cs="Times New Roman"/>
          <w:color w:val="auto"/>
          <w:sz w:val="21"/>
          <w:szCs w:val="21"/>
          <w:highlight w:val="none"/>
          <w:shd w:val="clear" w:fill="auto"/>
          <w:lang w:eastAsia="zh-CN"/>
        </w:rPr>
        <w:t>，</w:t>
      </w:r>
      <w:r>
        <w:rPr>
          <w:rFonts w:hint="default" w:ascii="Times New Roman" w:hAnsi="Times New Roman" w:cs="Times New Roman"/>
          <w:color w:val="auto"/>
          <w:sz w:val="21"/>
          <w:szCs w:val="21"/>
          <w:highlight w:val="none"/>
          <w:shd w:val="clear" w:fill="auto"/>
        </w:rPr>
        <w:t>EC）因具有设备简单、药剂投加量少及处理效率高等优点，被逐渐应用于颗粒污染物及胶体污染物的去除。已有研究表明，电絮凝过程中阳极溶解产生的铝或铁离子可在水中水解生成金属氢氧化物絮体，这些絮体能够通过吸附架桥和网捕作用捕集悬浮颗粒，同时阴极析出的微气泡可促进颗粒与絮体复合体上浮，从而实现污染物的有效分离</w:t>
      </w:r>
      <w:r>
        <w:rPr>
          <w:rFonts w:hint="default" w:ascii="Times New Roman" w:hAnsi="Times New Roman" w:cs="Times New Roman"/>
          <w:color w:val="auto"/>
          <w:sz w:val="21"/>
          <w:szCs w:val="21"/>
          <w:highlight w:val="none"/>
          <w:shd w:val="clear" w:fill="auto"/>
          <w:vertAlign w:val="superscript"/>
          <w:lang w:val="en-US"/>
        </w:rPr>
        <w:t>[1</w:t>
      </w:r>
      <w:r>
        <w:rPr>
          <w:rFonts w:hint="eastAsia" w:cs="Times New Roman"/>
          <w:color w:val="auto"/>
          <w:sz w:val="21"/>
          <w:szCs w:val="21"/>
          <w:highlight w:val="none"/>
          <w:shd w:val="clear" w:fill="auto"/>
          <w:vertAlign w:val="superscript"/>
          <w:lang w:val="en-US" w:eastAsia="zh-CN"/>
        </w:rPr>
        <w:t>3</w:t>
      </w:r>
      <w:r>
        <w:rPr>
          <w:rFonts w:hint="default" w:ascii="Times New Roman" w:hAnsi="Times New Roman" w:cs="Times New Roman"/>
          <w:color w:val="auto"/>
          <w:sz w:val="21"/>
          <w:szCs w:val="21"/>
          <w:highlight w:val="none"/>
          <w:shd w:val="clear" w:fill="auto"/>
          <w:vertAlign w:val="superscript"/>
          <w:lang w:val="en-US"/>
        </w:rPr>
        <w:t>]</w:t>
      </w:r>
      <w:r>
        <w:rPr>
          <w:rFonts w:hint="default" w:ascii="Times New Roman" w:hAnsi="Times New Roman" w:cs="Times New Roman"/>
          <w:color w:val="auto"/>
          <w:sz w:val="21"/>
          <w:szCs w:val="21"/>
          <w:highlight w:val="none"/>
          <w:shd w:val="clear" w:fill="auto"/>
        </w:rPr>
        <w:t>。近年来，该技术也开始被用于水体微塑料的控制。</w:t>
      </w:r>
      <w:r>
        <w:rPr>
          <w:rFonts w:hint="eastAsia" w:cs="Times New Roman"/>
          <w:color w:val="auto"/>
          <w:sz w:val="21"/>
          <w:szCs w:val="21"/>
          <w:highlight w:val="none"/>
          <w:shd w:val="clear" w:fill="auto"/>
          <w:lang w:val="en-US" w:eastAsia="zh-CN"/>
        </w:rPr>
        <w:t>FALCO</w:t>
      </w:r>
      <w:r>
        <w:rPr>
          <w:rFonts w:hint="default" w:ascii="Times New Roman" w:hAnsi="Times New Roman" w:cs="Times New Roman"/>
          <w:color w:val="auto"/>
          <w:sz w:val="21"/>
          <w:szCs w:val="21"/>
          <w:highlight w:val="none"/>
          <w:shd w:val="clear" w:fill="auto"/>
        </w:rPr>
        <w:t>等</w:t>
      </w:r>
      <w:r>
        <w:rPr>
          <w:rFonts w:hint="default" w:ascii="Times New Roman" w:hAnsi="Times New Roman" w:cs="Times New Roman"/>
          <w:color w:val="auto"/>
          <w:sz w:val="21"/>
          <w:szCs w:val="21"/>
          <w:highlight w:val="none"/>
          <w:shd w:val="clear" w:fill="auto"/>
          <w:vertAlign w:val="superscript"/>
          <w:lang w:val="en-US"/>
        </w:rPr>
        <w:t>[1</w:t>
      </w:r>
      <w:r>
        <w:rPr>
          <w:rFonts w:hint="eastAsia" w:cs="Times New Roman"/>
          <w:color w:val="auto"/>
          <w:sz w:val="21"/>
          <w:szCs w:val="21"/>
          <w:highlight w:val="none"/>
          <w:shd w:val="clear" w:fill="auto"/>
          <w:vertAlign w:val="superscript"/>
          <w:lang w:val="en-US" w:eastAsia="zh-CN"/>
        </w:rPr>
        <w:t>4</w:t>
      </w:r>
      <w:r>
        <w:rPr>
          <w:rFonts w:hint="default" w:ascii="Times New Roman" w:hAnsi="Times New Roman" w:cs="Times New Roman"/>
          <w:color w:val="auto"/>
          <w:sz w:val="21"/>
          <w:szCs w:val="21"/>
          <w:highlight w:val="none"/>
          <w:shd w:val="clear" w:fill="auto"/>
          <w:vertAlign w:val="superscript"/>
          <w:lang w:val="en-US"/>
        </w:rPr>
        <w:t>]</w:t>
      </w:r>
      <w:r>
        <w:rPr>
          <w:rFonts w:hint="eastAsia" w:cs="Times New Roman"/>
          <w:color w:val="auto"/>
          <w:sz w:val="21"/>
          <w:szCs w:val="21"/>
          <w:highlight w:val="none"/>
          <w:shd w:val="clear" w:fill="auto"/>
          <w:vertAlign w:val="baseline"/>
          <w:lang w:val="en-US" w:eastAsia="zh-CN"/>
        </w:rPr>
        <w:t>在</w:t>
      </w:r>
      <w:r>
        <w:rPr>
          <w:rFonts w:hint="default" w:ascii="Times New Roman" w:hAnsi="Times New Roman" w:cs="Times New Roman"/>
          <w:color w:val="auto"/>
          <w:sz w:val="21"/>
          <w:szCs w:val="21"/>
          <w:highlight w:val="none"/>
          <w:shd w:val="clear" w:fill="auto"/>
        </w:rPr>
        <w:t>使用硼掺杂金刚石（BDD）电极的电化学氧化研究中，发现电流密度为60A/m</w:t>
      </w:r>
      <w:r>
        <w:rPr>
          <w:rFonts w:hint="eastAsia" w:cs="Times New Roman"/>
          <w:color w:val="auto"/>
          <w:sz w:val="21"/>
          <w:szCs w:val="21"/>
          <w:highlight w:val="none"/>
          <w:shd w:val="clear" w:fill="auto"/>
          <w:vertAlign w:val="superscript"/>
          <w:lang w:val="en-US" w:eastAsia="zh-CN"/>
        </w:rPr>
        <w:t>2</w:t>
      </w:r>
      <w:r>
        <w:rPr>
          <w:rFonts w:hint="default" w:ascii="Times New Roman" w:hAnsi="Times New Roman" w:cs="Times New Roman"/>
          <w:color w:val="auto"/>
          <w:sz w:val="21"/>
          <w:szCs w:val="21"/>
          <w:highlight w:val="none"/>
          <w:shd w:val="clear" w:fill="auto"/>
        </w:rPr>
        <w:t>且初始PS浓度为60mg/L时，二者匹配最优，PS</w:t>
      </w:r>
      <w:r>
        <w:rPr>
          <w:rFonts w:hint="eastAsia" w:cs="Times New Roman"/>
          <w:color w:val="auto"/>
          <w:sz w:val="21"/>
          <w:szCs w:val="21"/>
          <w:highlight w:val="none"/>
          <w:shd w:val="clear" w:fill="auto"/>
          <w:lang w:val="en-US" w:eastAsia="zh-CN"/>
        </w:rPr>
        <w:t>去除</w:t>
      </w:r>
      <w:r>
        <w:rPr>
          <w:rFonts w:hint="default" w:ascii="Times New Roman" w:hAnsi="Times New Roman" w:cs="Times New Roman"/>
          <w:color w:val="auto"/>
          <w:sz w:val="21"/>
          <w:szCs w:val="21"/>
          <w:highlight w:val="none"/>
          <w:shd w:val="clear" w:fill="auto"/>
        </w:rPr>
        <w:t>效率最高（约65.5%）</w:t>
      </w:r>
      <w:r>
        <w:rPr>
          <w:rFonts w:hint="eastAsia" w:cs="Times New Roman"/>
          <w:color w:val="auto"/>
          <w:sz w:val="21"/>
          <w:szCs w:val="21"/>
          <w:highlight w:val="none"/>
          <w:shd w:val="clear" w:fill="auto"/>
          <w:lang w:eastAsia="zh-CN"/>
        </w:rPr>
        <w:t>，</w:t>
      </w:r>
      <w:r>
        <w:rPr>
          <w:rFonts w:hint="default" w:ascii="Times New Roman" w:hAnsi="Times New Roman" w:cs="Times New Roman"/>
          <w:color w:val="auto"/>
          <w:sz w:val="21"/>
          <w:szCs w:val="21"/>
          <w:highlight w:val="none"/>
          <w:shd w:val="clear" w:fill="auto"/>
        </w:rPr>
        <w:t>若电流密度继续升至100A/m</w:t>
      </w:r>
      <w:r>
        <w:rPr>
          <w:rFonts w:hint="eastAsia" w:cs="Times New Roman"/>
          <w:color w:val="auto"/>
          <w:sz w:val="21"/>
          <w:szCs w:val="21"/>
          <w:highlight w:val="none"/>
          <w:shd w:val="clear" w:fill="auto"/>
          <w:vertAlign w:val="superscript"/>
          <w:lang w:val="en-US" w:eastAsia="zh-CN"/>
        </w:rPr>
        <w:t>2</w:t>
      </w:r>
      <w:r>
        <w:rPr>
          <w:rFonts w:hint="default" w:ascii="Times New Roman" w:hAnsi="Times New Roman" w:cs="Times New Roman"/>
          <w:color w:val="auto"/>
          <w:sz w:val="21"/>
          <w:szCs w:val="21"/>
          <w:highlight w:val="none"/>
          <w:shd w:val="clear" w:fill="auto"/>
        </w:rPr>
        <w:t>，效率反而下降，表明电流密度与颗粒负荷匹配失调会抑制降解效果</w:t>
      </w:r>
      <w:r>
        <w:rPr>
          <w:rFonts w:hint="eastAsia" w:cs="Times New Roman"/>
          <w:color w:val="auto"/>
          <w:sz w:val="21"/>
          <w:szCs w:val="21"/>
          <w:highlight w:val="none"/>
          <w:shd w:val="clear" w:fill="auto"/>
          <w:lang w:eastAsia="zh-CN"/>
        </w:rPr>
        <w:t>。</w:t>
      </w:r>
      <w:r>
        <w:rPr>
          <w:rFonts w:hint="eastAsia" w:cs="Times New Roman"/>
          <w:color w:val="auto"/>
          <w:sz w:val="21"/>
          <w:szCs w:val="21"/>
          <w:highlight w:val="none"/>
          <w:shd w:val="clear" w:fill="auto"/>
          <w:lang w:val="en-US" w:eastAsia="zh-CN"/>
        </w:rPr>
        <w:t>SHEN等</w:t>
      </w:r>
      <w:r>
        <w:rPr>
          <w:rFonts w:hint="eastAsia" w:cs="Times New Roman"/>
          <w:color w:val="auto"/>
          <w:sz w:val="21"/>
          <w:szCs w:val="21"/>
          <w:highlight w:val="none"/>
          <w:shd w:val="clear" w:fill="auto"/>
          <w:vertAlign w:val="superscript"/>
          <w:lang w:val="en-US" w:eastAsia="zh-CN"/>
        </w:rPr>
        <w:t>[15]</w:t>
      </w:r>
      <w:r>
        <w:rPr>
          <w:rFonts w:hint="eastAsia" w:cs="Times New Roman"/>
          <w:color w:val="auto"/>
          <w:sz w:val="21"/>
          <w:szCs w:val="21"/>
          <w:highlight w:val="none"/>
          <w:shd w:val="clear" w:fill="auto"/>
          <w:lang w:eastAsia="zh-CN"/>
        </w:rPr>
        <w:t>研究发现，适量NaCl的加入可通过提高电导率、降低欧姆电阻来优化体系性能，且当浓度约为0.05M（2</w:t>
      </w:r>
      <w:r>
        <w:rPr>
          <w:rFonts w:hint="eastAsia" w:cs="Times New Roman"/>
          <w:color w:val="auto"/>
          <w:sz w:val="21"/>
          <w:szCs w:val="21"/>
          <w:highlight w:val="none"/>
          <w:shd w:val="clear" w:fill="auto"/>
          <w:lang w:val="en-US" w:eastAsia="zh-CN"/>
        </w:rPr>
        <w:t>~</w:t>
      </w:r>
      <w:r>
        <w:rPr>
          <w:rFonts w:hint="eastAsia" w:cs="Times New Roman"/>
          <w:color w:val="auto"/>
          <w:sz w:val="21"/>
          <w:szCs w:val="21"/>
          <w:highlight w:val="none"/>
          <w:shd w:val="clear" w:fill="auto"/>
          <w:lang w:eastAsia="zh-CN"/>
        </w:rPr>
        <w:t>3g/L）时达到最佳平衡点，此时去除率最高，能耗也最为经济。</w:t>
      </w:r>
      <w:r>
        <w:rPr>
          <w:rFonts w:hint="eastAsia" w:cs="Times New Roman"/>
          <w:color w:val="auto"/>
          <w:sz w:val="21"/>
          <w:szCs w:val="21"/>
          <w:highlight w:val="none"/>
          <w:shd w:val="clear" w:fill="auto"/>
          <w:lang w:val="en-US" w:eastAsia="zh-CN"/>
        </w:rPr>
        <w:t>PERREN</w:t>
      </w:r>
      <w:r>
        <w:rPr>
          <w:rFonts w:hint="eastAsia" w:cs="Times New Roman"/>
          <w:color w:val="auto"/>
          <w:sz w:val="21"/>
          <w:szCs w:val="21"/>
          <w:highlight w:val="none"/>
          <w:shd w:val="clear" w:fill="auto"/>
          <w:lang w:eastAsia="zh-CN"/>
        </w:rPr>
        <w:t>等</w:t>
      </w:r>
      <w:r>
        <w:rPr>
          <w:rFonts w:hint="default"/>
          <w:color w:val="auto"/>
          <w:highlight w:val="none"/>
          <w:shd w:val="clear" w:fill="auto"/>
          <w:vertAlign w:val="superscript"/>
          <w:lang w:val="en-US"/>
        </w:rPr>
        <w:t>[1</w:t>
      </w:r>
      <w:r>
        <w:rPr>
          <w:rFonts w:hint="eastAsia"/>
          <w:color w:val="auto"/>
          <w:highlight w:val="none"/>
          <w:shd w:val="clear" w:fill="auto"/>
          <w:vertAlign w:val="superscript"/>
          <w:lang w:val="en-US" w:eastAsia="zh-CN"/>
        </w:rPr>
        <w:t>6</w:t>
      </w:r>
      <w:r>
        <w:rPr>
          <w:rFonts w:hint="default"/>
          <w:color w:val="auto"/>
          <w:highlight w:val="none"/>
          <w:shd w:val="clear" w:fill="auto"/>
          <w:vertAlign w:val="superscript"/>
          <w:lang w:val="en-US"/>
        </w:rPr>
        <w:t>]</w:t>
      </w:r>
      <w:r>
        <w:rPr>
          <w:rFonts w:hint="eastAsia" w:cs="Times New Roman"/>
          <w:color w:val="auto"/>
          <w:sz w:val="21"/>
          <w:szCs w:val="21"/>
          <w:highlight w:val="none"/>
          <w:shd w:val="clear" w:fill="auto"/>
          <w:lang w:eastAsia="zh-CN"/>
        </w:rPr>
        <w:t>采用铝片为电极材料开展电絮凝试验，</w:t>
      </w:r>
      <w:r>
        <w:rPr>
          <w:rFonts w:hint="eastAsia" w:cs="Times New Roman"/>
          <w:color w:val="auto"/>
          <w:sz w:val="21"/>
          <w:szCs w:val="21"/>
          <w:highlight w:val="none"/>
          <w:shd w:val="clear" w:fill="auto"/>
          <w:lang w:val="en-US" w:eastAsia="zh-CN"/>
        </w:rPr>
        <w:t>发现</w:t>
      </w:r>
      <w:r>
        <w:rPr>
          <w:rFonts w:hint="eastAsia" w:cs="Times New Roman"/>
          <w:color w:val="auto"/>
          <w:sz w:val="21"/>
          <w:szCs w:val="21"/>
          <w:highlight w:val="none"/>
          <w:shd w:val="clear" w:fill="auto"/>
          <w:lang w:eastAsia="zh-CN"/>
        </w:rPr>
        <w:t>在pH</w:t>
      </w:r>
      <w:r>
        <w:rPr>
          <w:rFonts w:hint="eastAsia" w:cs="Times New Roman"/>
          <w:color w:val="auto"/>
          <w:sz w:val="21"/>
          <w:szCs w:val="21"/>
          <w:highlight w:val="none"/>
          <w:shd w:val="clear" w:fill="auto"/>
          <w:lang w:val="en-US" w:eastAsia="zh-CN"/>
        </w:rPr>
        <w:t>=</w:t>
      </w:r>
      <w:r>
        <w:rPr>
          <w:rFonts w:hint="eastAsia" w:cs="Times New Roman"/>
          <w:color w:val="auto"/>
          <w:sz w:val="21"/>
          <w:szCs w:val="21"/>
          <w:highlight w:val="none"/>
          <w:shd w:val="clear" w:fill="auto"/>
          <w:lang w:eastAsia="zh-CN"/>
        </w:rPr>
        <w:t>3</w:t>
      </w:r>
      <w:r>
        <w:rPr>
          <w:rFonts w:hint="eastAsia" w:cs="Times New Roman"/>
          <w:color w:val="auto"/>
          <w:sz w:val="21"/>
          <w:szCs w:val="21"/>
          <w:highlight w:val="none"/>
          <w:shd w:val="clear" w:fill="auto"/>
          <w:lang w:val="en-US" w:eastAsia="zh-CN"/>
        </w:rPr>
        <w:t>~</w:t>
      </w:r>
      <w:r>
        <w:rPr>
          <w:rFonts w:hint="eastAsia" w:cs="Times New Roman"/>
          <w:color w:val="auto"/>
          <w:sz w:val="21"/>
          <w:szCs w:val="21"/>
          <w:highlight w:val="none"/>
          <w:shd w:val="clear" w:fill="auto"/>
          <w:lang w:eastAsia="zh-CN"/>
        </w:rPr>
        <w:t>10条件下体系均表现出较高的去除效率（90%</w:t>
      </w:r>
      <w:r>
        <w:rPr>
          <w:rFonts w:hint="eastAsia" w:cs="Times New Roman"/>
          <w:color w:val="auto"/>
          <w:sz w:val="21"/>
          <w:szCs w:val="21"/>
          <w:highlight w:val="none"/>
          <w:shd w:val="clear" w:fill="auto"/>
          <w:lang w:val="en-US" w:eastAsia="zh-CN"/>
        </w:rPr>
        <w:t>~</w:t>
      </w:r>
      <w:r>
        <w:rPr>
          <w:rFonts w:hint="eastAsia" w:cs="Times New Roman"/>
          <w:color w:val="auto"/>
          <w:sz w:val="21"/>
          <w:szCs w:val="21"/>
          <w:highlight w:val="none"/>
          <w:shd w:val="clear" w:fill="auto"/>
          <w:lang w:eastAsia="zh-CN"/>
        </w:rPr>
        <w:t>100%），当溶液pH为7.5时，对污水中PE微塑料的去除率可达99.2%。ACHMIT</w:t>
      </w:r>
      <w:r>
        <w:rPr>
          <w:rFonts w:hint="eastAsia"/>
          <w:color w:val="auto"/>
          <w:highlight w:val="none"/>
          <w:shd w:val="clear" w:fill="auto"/>
          <w:lang w:val="en-US" w:eastAsia="zh-CN"/>
        </w:rPr>
        <w:t>等</w:t>
      </w:r>
      <w:r>
        <w:rPr>
          <w:rFonts w:hint="default"/>
          <w:color w:val="auto"/>
          <w:highlight w:val="none"/>
          <w:shd w:val="clear" w:fill="auto"/>
          <w:vertAlign w:val="superscript"/>
          <w:lang w:val="en-US"/>
        </w:rPr>
        <w:t>[1</w:t>
      </w:r>
      <w:r>
        <w:rPr>
          <w:rFonts w:hint="eastAsia"/>
          <w:color w:val="auto"/>
          <w:highlight w:val="none"/>
          <w:shd w:val="clear" w:fill="auto"/>
          <w:vertAlign w:val="superscript"/>
          <w:lang w:val="en-US" w:eastAsia="zh-CN"/>
        </w:rPr>
        <w:t>7</w:t>
      </w:r>
      <w:r>
        <w:rPr>
          <w:rFonts w:hint="default"/>
          <w:color w:val="auto"/>
          <w:highlight w:val="none"/>
          <w:shd w:val="clear" w:fill="auto"/>
          <w:vertAlign w:val="superscript"/>
          <w:lang w:val="en-US"/>
        </w:rPr>
        <w:t>]</w:t>
      </w:r>
      <w:r>
        <w:rPr>
          <w:rFonts w:hint="eastAsia"/>
          <w:color w:val="auto"/>
          <w:highlight w:val="none"/>
          <w:shd w:val="clear" w:fill="auto"/>
          <w:lang w:val="en-US" w:eastAsia="zh-CN"/>
        </w:rPr>
        <w:t>通</w:t>
      </w:r>
      <w:r>
        <w:rPr>
          <w:rFonts w:hint="default" w:ascii="Times New Roman" w:hAnsi="Times New Roman" w:cs="Times New Roman"/>
          <w:color w:val="auto"/>
          <w:sz w:val="21"/>
          <w:szCs w:val="21"/>
          <w:highlight w:val="none"/>
          <w:shd w:val="clear" w:fill="auto"/>
        </w:rPr>
        <w:t>过</w:t>
      </w:r>
      <w:r>
        <w:rPr>
          <w:rFonts w:hint="eastAsia" w:cs="Times New Roman"/>
          <w:color w:val="auto"/>
          <w:sz w:val="21"/>
          <w:szCs w:val="21"/>
          <w:highlight w:val="none"/>
          <w:shd w:val="clear" w:fill="auto"/>
          <w:lang w:eastAsia="zh-CN"/>
        </w:rPr>
        <w:t>试验</w:t>
      </w:r>
      <w:r>
        <w:rPr>
          <w:rFonts w:hint="default" w:ascii="Times New Roman" w:hAnsi="Times New Roman" w:cs="Times New Roman"/>
          <w:color w:val="auto"/>
          <w:sz w:val="21"/>
          <w:szCs w:val="21"/>
          <w:highlight w:val="none"/>
          <w:shd w:val="clear" w:fill="auto"/>
        </w:rPr>
        <w:t>绘制铝离子在不同pH下的水解物种分布图，</w:t>
      </w:r>
      <w:r>
        <w:rPr>
          <w:rFonts w:hint="eastAsia" w:cs="Times New Roman"/>
          <w:color w:val="auto"/>
          <w:sz w:val="21"/>
          <w:szCs w:val="21"/>
          <w:highlight w:val="none"/>
          <w:shd w:val="clear" w:fill="auto"/>
          <w:lang w:val="en-US" w:eastAsia="zh-CN"/>
        </w:rPr>
        <w:t>显示</w:t>
      </w:r>
      <w:r>
        <w:rPr>
          <w:rFonts w:hint="default" w:ascii="Times New Roman" w:hAnsi="Times New Roman" w:cs="Times New Roman"/>
          <w:color w:val="auto"/>
          <w:sz w:val="21"/>
          <w:szCs w:val="21"/>
          <w:highlight w:val="none"/>
          <w:shd w:val="clear" w:fill="auto"/>
        </w:rPr>
        <w:t>pH的升高导致Al</w:t>
      </w:r>
      <w:r>
        <w:rPr>
          <w:rFonts w:hint="eastAsia" w:cs="Times New Roman"/>
          <w:color w:val="auto"/>
          <w:sz w:val="21"/>
          <w:szCs w:val="21"/>
          <w:highlight w:val="none"/>
          <w:shd w:val="clear" w:fill="auto"/>
          <w:vertAlign w:val="superscript"/>
          <w:lang w:val="en-US" w:eastAsia="zh-CN"/>
        </w:rPr>
        <w:t>3+</w:t>
      </w:r>
      <w:r>
        <w:rPr>
          <w:rFonts w:hint="default" w:ascii="Times New Roman" w:hAnsi="Times New Roman" w:cs="Times New Roman"/>
          <w:color w:val="auto"/>
          <w:sz w:val="21"/>
          <w:szCs w:val="21"/>
          <w:highlight w:val="none"/>
          <w:shd w:val="clear" w:fill="auto"/>
        </w:rPr>
        <w:t>依次转变为Al(OH)</w:t>
      </w:r>
      <w:r>
        <w:rPr>
          <w:rFonts w:hint="eastAsia" w:cs="Times New Roman"/>
          <w:color w:val="auto"/>
          <w:sz w:val="21"/>
          <w:szCs w:val="21"/>
          <w:highlight w:val="none"/>
          <w:shd w:val="clear" w:fill="auto"/>
          <w:vertAlign w:val="subscript"/>
          <w:lang w:val="en-US" w:eastAsia="zh-CN"/>
        </w:rPr>
        <w:t>3</w:t>
      </w:r>
      <w:r>
        <w:rPr>
          <w:rFonts w:hint="default" w:ascii="Times New Roman" w:hAnsi="Times New Roman" w:cs="Times New Roman"/>
          <w:color w:val="auto"/>
          <w:sz w:val="21"/>
          <w:szCs w:val="21"/>
          <w:highlight w:val="none"/>
          <w:shd w:val="clear" w:fill="auto"/>
        </w:rPr>
        <w:t>和Al(OH)</w:t>
      </w:r>
      <w:r>
        <w:rPr>
          <w:rFonts w:hint="eastAsia" w:cs="Times New Roman"/>
          <w:color w:val="auto"/>
          <w:sz w:val="21"/>
          <w:szCs w:val="21"/>
          <w:highlight w:val="none"/>
          <w:shd w:val="clear" w:fill="auto"/>
          <w:vertAlign w:val="subscript"/>
          <w:lang w:val="en-US" w:eastAsia="zh-CN"/>
        </w:rPr>
        <w:t>4</w:t>
      </w:r>
      <w:r>
        <w:rPr>
          <w:rFonts w:hint="eastAsia" w:cs="Times New Roman"/>
          <w:color w:val="auto"/>
          <w:sz w:val="21"/>
          <w:szCs w:val="21"/>
          <w:highlight w:val="none"/>
          <w:shd w:val="clear" w:fill="auto"/>
          <w:vertAlign w:val="superscript"/>
          <w:lang w:val="en-US" w:eastAsia="zh-CN"/>
        </w:rPr>
        <w:t>—</w:t>
      </w:r>
      <w:r>
        <w:rPr>
          <w:rFonts w:hint="default" w:ascii="Times New Roman" w:hAnsi="Times New Roman" w:cs="Times New Roman"/>
          <w:color w:val="auto"/>
          <w:sz w:val="21"/>
          <w:szCs w:val="21"/>
          <w:highlight w:val="none"/>
          <w:shd w:val="clear" w:fill="auto"/>
        </w:rPr>
        <w:t>的过程</w:t>
      </w:r>
      <w:r>
        <w:rPr>
          <w:rFonts w:hint="eastAsia" w:cs="Times New Roman"/>
          <w:color w:val="auto"/>
          <w:sz w:val="21"/>
          <w:szCs w:val="21"/>
          <w:highlight w:val="none"/>
          <w:shd w:val="clear" w:fill="auto"/>
          <w:lang w:eastAsia="zh-CN"/>
        </w:rPr>
        <w:t>，</w:t>
      </w:r>
      <w:r>
        <w:rPr>
          <w:rFonts w:hint="eastAsia" w:cs="Times New Roman"/>
          <w:color w:val="auto"/>
          <w:sz w:val="21"/>
          <w:szCs w:val="21"/>
          <w:highlight w:val="none"/>
          <w:shd w:val="clear" w:fill="auto"/>
          <w:lang w:val="en-US" w:eastAsia="zh-CN"/>
        </w:rPr>
        <w:t>进而影响对微塑料的捕集</w:t>
      </w:r>
      <w:r>
        <w:rPr>
          <w:rFonts w:hint="eastAsia" w:cs="Times New Roman"/>
          <w:color w:val="auto"/>
          <w:sz w:val="21"/>
          <w:szCs w:val="21"/>
          <w:highlight w:val="none"/>
          <w:shd w:val="clear" w:fill="auto"/>
          <w:lang w:eastAsia="zh-CN"/>
        </w:rPr>
        <w:t>。</w:t>
      </w:r>
    </w:p>
    <w:p w14:paraId="13CFB00F">
      <w:pPr>
        <w:adjustRightInd w:val="0"/>
        <w:snapToGrid w:val="0"/>
        <w:ind w:firstLine="420" w:firstLineChars="200"/>
        <w:rPr>
          <w:rFonts w:hint="eastAsia"/>
          <w:color w:val="auto"/>
          <w:sz w:val="21"/>
          <w:szCs w:val="21"/>
          <w:highlight w:val="none"/>
          <w:shd w:val="clear" w:fill="auto"/>
        </w:rPr>
      </w:pPr>
      <w:r>
        <w:rPr>
          <w:rFonts w:hint="eastAsia"/>
          <w:color w:val="auto"/>
          <w:sz w:val="21"/>
          <w:szCs w:val="21"/>
          <w:highlight w:val="none"/>
          <w:shd w:val="clear" w:fill="auto"/>
        </w:rPr>
        <w:t>尽管已有研究表明电絮凝对微塑料具有较高去除潜力，但现有工作多集中于去除效率评价及单一运行参数影响分析，对于电絮凝过程中铝基絮体生成与阴极析氢气泡行为之间的协同作用，以及其对微塑料沉降与上浮分离路径的影响机制，仍缺乏系统研究。基于此，本研究以模拟废水体系中的PE微塑料为对象，系统考察外加电压、初始pH、电解质浓度及微塑料初始浓度对去除效果的影响，筛选相对优化的运行条件，并结合絮体表面沉积包覆和气泡附着上浮等现象，探讨电絮凝去除PE微塑料的协同作用机制，为微塑料污染控制中电絮凝技术的优化应用提供理论依据和技术参考。</w:t>
      </w:r>
    </w:p>
    <w:p w14:paraId="526C8F11">
      <w:pPr>
        <w:adjustRightInd w:val="0"/>
        <w:snapToGrid w:val="0"/>
        <w:rPr>
          <w:color w:val="auto"/>
          <w:sz w:val="28"/>
          <w:szCs w:val="28"/>
          <w:highlight w:val="none"/>
          <w:shd w:val="clear" w:fill="auto"/>
        </w:rPr>
      </w:pPr>
      <w:r>
        <w:rPr>
          <w:rFonts w:hint="eastAsia" w:eastAsia="黑体"/>
          <w:b/>
          <w:color w:val="auto"/>
          <w:sz w:val="28"/>
          <w:szCs w:val="28"/>
          <w:highlight w:val="none"/>
          <w:shd w:val="clear" w:fill="auto"/>
          <w:lang w:val="en-US" w:eastAsia="zh-CN"/>
        </w:rPr>
        <w:t>1</w:t>
      </w:r>
      <w:r>
        <w:rPr>
          <w:rFonts w:eastAsia="黑体"/>
          <w:color w:val="auto"/>
          <w:sz w:val="28"/>
          <w:szCs w:val="28"/>
          <w:highlight w:val="none"/>
          <w:shd w:val="clear" w:fill="auto"/>
        </w:rPr>
        <w:t xml:space="preserve"> </w:t>
      </w:r>
      <w:r>
        <w:rPr>
          <w:rFonts w:hint="eastAsia" w:eastAsia="黑体"/>
          <w:color w:val="auto"/>
          <w:sz w:val="28"/>
          <w:szCs w:val="28"/>
          <w:highlight w:val="none"/>
          <w:shd w:val="clear" w:fill="auto"/>
        </w:rPr>
        <w:t xml:space="preserve"> 材料与方法</w:t>
      </w:r>
    </w:p>
    <w:p w14:paraId="65E90F2B">
      <w:pPr>
        <w:adjustRightInd w:val="0"/>
        <w:snapToGrid w:val="0"/>
        <w:rPr>
          <w:rFonts w:eastAsia="黑体"/>
          <w:color w:val="auto"/>
          <w:sz w:val="21"/>
          <w:szCs w:val="21"/>
          <w:highlight w:val="none"/>
          <w:shd w:val="clear" w:fill="auto"/>
        </w:rPr>
      </w:pPr>
      <w:r>
        <w:rPr>
          <w:rFonts w:hint="eastAsia" w:eastAsia="黑体"/>
          <w:b/>
          <w:color w:val="auto"/>
          <w:sz w:val="21"/>
          <w:szCs w:val="21"/>
          <w:highlight w:val="none"/>
          <w:shd w:val="clear" w:fill="auto"/>
          <w:lang w:val="en-US" w:eastAsia="zh-CN"/>
        </w:rPr>
        <w:t>1</w:t>
      </w:r>
      <w:r>
        <w:rPr>
          <w:rFonts w:hint="eastAsia" w:eastAsia="黑体"/>
          <w:b/>
          <w:color w:val="auto"/>
          <w:sz w:val="21"/>
          <w:szCs w:val="21"/>
          <w:highlight w:val="none"/>
          <w:shd w:val="clear" w:fill="auto"/>
        </w:rPr>
        <w:t>.1</w:t>
      </w:r>
      <w:r>
        <w:rPr>
          <w:rFonts w:hint="eastAsia" w:eastAsia="黑体"/>
          <w:color w:val="auto"/>
          <w:sz w:val="21"/>
          <w:szCs w:val="21"/>
          <w:highlight w:val="none"/>
          <w:shd w:val="clear" w:fill="auto"/>
        </w:rPr>
        <w:t xml:space="preserve">  </w:t>
      </w:r>
      <w:r>
        <w:rPr>
          <w:rFonts w:hint="eastAsia" w:eastAsia="黑体"/>
          <w:color w:val="auto"/>
          <w:sz w:val="21"/>
          <w:szCs w:val="21"/>
          <w:highlight w:val="none"/>
          <w:shd w:val="clear" w:fill="auto"/>
          <w:lang w:eastAsia="zh-CN"/>
        </w:rPr>
        <w:t>试验</w:t>
      </w:r>
      <w:r>
        <w:rPr>
          <w:rFonts w:hint="eastAsia" w:eastAsia="黑体"/>
          <w:color w:val="auto"/>
          <w:sz w:val="21"/>
          <w:szCs w:val="21"/>
          <w:highlight w:val="none"/>
          <w:shd w:val="clear" w:fill="auto"/>
        </w:rPr>
        <w:t>材料</w:t>
      </w:r>
    </w:p>
    <w:p w14:paraId="7481EFEF">
      <w:pPr>
        <w:adjustRightInd w:val="0"/>
        <w:snapToGrid w:val="0"/>
        <w:ind w:firstLine="420" w:firstLineChars="200"/>
        <w:rPr>
          <w:color w:val="auto"/>
          <w:szCs w:val="18"/>
          <w:highlight w:val="none"/>
          <w:shd w:val="clear" w:fill="auto"/>
        </w:rPr>
      </w:pPr>
      <w:r>
        <w:rPr>
          <w:rFonts w:hint="eastAsia"/>
          <w:color w:val="auto"/>
          <w:szCs w:val="18"/>
          <w:highlight w:val="none"/>
          <w:shd w:val="clear" w:fill="auto"/>
        </w:rPr>
        <w:t>聚乙烯（PE）购自东菀华创塑胶原料商行，粒径为150</w:t>
      </w:r>
      <w:r>
        <w:rPr>
          <w:rFonts w:hint="default" w:ascii="Times New Roman" w:hAnsi="Times New Roman" w:cs="Times New Roman"/>
          <w:color w:val="auto"/>
          <w:szCs w:val="18"/>
          <w:highlight w:val="none"/>
          <w:shd w:val="clear" w:fill="auto"/>
        </w:rPr>
        <w:t>μ</w:t>
      </w:r>
      <w:r>
        <w:rPr>
          <w:rFonts w:hint="eastAsia"/>
          <w:color w:val="auto"/>
          <w:szCs w:val="18"/>
          <w:highlight w:val="none"/>
          <w:shd w:val="clear" w:fill="auto"/>
        </w:rPr>
        <w:t>m；十二烷基苯磺酸钠（SDBS，分析纯）</w:t>
      </w:r>
      <w:r>
        <w:rPr>
          <w:rFonts w:hint="eastAsia"/>
          <w:color w:val="auto"/>
          <w:szCs w:val="18"/>
          <w:highlight w:val="none"/>
          <w:shd w:val="clear" w:fill="auto"/>
          <w:lang w:val="en-US" w:eastAsia="zh-CN"/>
        </w:rPr>
        <w:t>购自</w:t>
      </w:r>
      <w:r>
        <w:rPr>
          <w:rFonts w:hint="eastAsia"/>
          <w:color w:val="auto"/>
          <w:szCs w:val="18"/>
          <w:highlight w:val="none"/>
          <w:shd w:val="clear" w:fill="auto"/>
        </w:rPr>
        <w:t>湖南比克曼</w:t>
      </w:r>
      <w:r>
        <w:rPr>
          <w:rFonts w:hint="eastAsia"/>
          <w:color w:val="auto"/>
          <w:szCs w:val="18"/>
          <w:highlight w:val="none"/>
          <w:shd w:val="clear" w:fill="auto"/>
          <w:lang w:eastAsia="zh-CN"/>
        </w:rPr>
        <w:t>试验</w:t>
      </w:r>
      <w:r>
        <w:rPr>
          <w:rFonts w:hint="eastAsia"/>
          <w:color w:val="auto"/>
          <w:szCs w:val="18"/>
          <w:highlight w:val="none"/>
          <w:shd w:val="clear" w:fill="auto"/>
        </w:rPr>
        <w:t>器材经营有限公司，用作阴离子表面活性剂。无水氯化钠</w:t>
      </w:r>
      <w:r>
        <w:rPr>
          <w:rFonts w:hint="eastAsia"/>
          <w:color w:val="auto"/>
          <w:szCs w:val="18"/>
          <w:highlight w:val="none"/>
          <w:shd w:val="clear" w:fill="auto"/>
          <w:lang w:eastAsia="zh-CN"/>
        </w:rPr>
        <w:t>（</w:t>
      </w:r>
      <w:r>
        <w:rPr>
          <w:rFonts w:hint="eastAsia"/>
          <w:color w:val="auto"/>
          <w:szCs w:val="18"/>
          <w:highlight w:val="none"/>
          <w:shd w:val="clear" w:fill="auto"/>
          <w:lang w:val="en-US" w:eastAsia="zh-CN"/>
        </w:rPr>
        <w:t>NaCl，分析纯</w:t>
      </w:r>
      <w:r>
        <w:rPr>
          <w:rFonts w:hint="eastAsia"/>
          <w:color w:val="auto"/>
          <w:szCs w:val="18"/>
          <w:highlight w:val="none"/>
          <w:shd w:val="clear" w:fill="auto"/>
          <w:lang w:eastAsia="zh-CN"/>
        </w:rPr>
        <w:t>）</w:t>
      </w:r>
      <w:r>
        <w:rPr>
          <w:rFonts w:hint="eastAsia"/>
          <w:color w:val="auto"/>
          <w:szCs w:val="18"/>
          <w:highlight w:val="none"/>
          <w:shd w:val="clear" w:fill="auto"/>
          <w:lang w:val="en-US" w:eastAsia="zh-CN"/>
        </w:rPr>
        <w:t>购自</w:t>
      </w:r>
      <w:r>
        <w:rPr>
          <w:rFonts w:hint="eastAsia"/>
          <w:color w:val="auto"/>
          <w:szCs w:val="18"/>
          <w:highlight w:val="none"/>
          <w:shd w:val="clear" w:fill="auto"/>
        </w:rPr>
        <w:t>湖南比克曼</w:t>
      </w:r>
      <w:r>
        <w:rPr>
          <w:rFonts w:hint="eastAsia"/>
          <w:color w:val="auto"/>
          <w:szCs w:val="18"/>
          <w:highlight w:val="none"/>
          <w:shd w:val="clear" w:fill="auto"/>
          <w:lang w:eastAsia="zh-CN"/>
        </w:rPr>
        <w:t>试验</w:t>
      </w:r>
      <w:r>
        <w:rPr>
          <w:rFonts w:hint="eastAsia"/>
          <w:color w:val="auto"/>
          <w:szCs w:val="18"/>
          <w:highlight w:val="none"/>
          <w:shd w:val="clear" w:fill="auto"/>
        </w:rPr>
        <w:t>器材经营有限公司</w:t>
      </w:r>
      <w:r>
        <w:rPr>
          <w:rFonts w:hint="eastAsia"/>
          <w:color w:val="auto"/>
          <w:szCs w:val="18"/>
          <w:highlight w:val="none"/>
          <w:shd w:val="clear" w:fill="auto"/>
          <w:lang w:eastAsia="zh-CN"/>
        </w:rPr>
        <w:t>，用于配制电解质溶液</w:t>
      </w:r>
      <w:r>
        <w:rPr>
          <w:rFonts w:hint="eastAsia"/>
          <w:color w:val="auto"/>
          <w:szCs w:val="18"/>
          <w:highlight w:val="none"/>
          <w:shd w:val="clear" w:fill="auto"/>
        </w:rPr>
        <w:t>；电极采用高纯铝片（Al，99.9%）尺寸为50mm×20mm×2mm（浸没有效面积为8cm</w:t>
      </w:r>
      <w:r>
        <w:rPr>
          <w:rFonts w:hint="eastAsia"/>
          <w:color w:val="auto"/>
          <w:szCs w:val="18"/>
          <w:highlight w:val="none"/>
          <w:shd w:val="clear" w:fill="auto"/>
          <w:vertAlign w:val="superscript"/>
        </w:rPr>
        <w:t>2</w:t>
      </w:r>
      <w:r>
        <w:rPr>
          <w:rFonts w:hint="eastAsia"/>
          <w:color w:val="auto"/>
          <w:szCs w:val="18"/>
          <w:highlight w:val="none"/>
          <w:shd w:val="clear" w:fill="auto"/>
        </w:rPr>
        <w:t>）；反应器为500mL玻璃电解池；电源为直流稳压型，输出范围为0~30V电压和0~5A电流，试验采用恒压模式运行（</w:t>
      </w:r>
      <w:r>
        <w:rPr>
          <w:rFonts w:hint="eastAsia"/>
          <w:color w:val="auto"/>
          <w:szCs w:val="18"/>
          <w:highlight w:val="none"/>
          <w:shd w:val="clear" w:fill="auto"/>
          <w:lang w:val="en-US" w:eastAsia="zh-CN"/>
        </w:rPr>
        <w:t>MS305D S1，迈胜</w:t>
      </w:r>
      <w:r>
        <w:rPr>
          <w:rFonts w:hint="eastAsia"/>
          <w:color w:val="auto"/>
          <w:szCs w:val="18"/>
          <w:highlight w:val="none"/>
          <w:shd w:val="clear" w:fill="auto"/>
        </w:rPr>
        <w:t>）。</w:t>
      </w:r>
    </w:p>
    <w:bookmarkEnd w:id="0"/>
    <w:p w14:paraId="6D345E11">
      <w:pPr>
        <w:adjustRightInd w:val="0"/>
        <w:snapToGrid w:val="0"/>
        <w:rPr>
          <w:rFonts w:eastAsia="黑体"/>
          <w:color w:val="auto"/>
          <w:sz w:val="24"/>
          <w:szCs w:val="28"/>
          <w:highlight w:val="none"/>
          <w:shd w:val="clear" w:fill="auto"/>
        </w:rPr>
      </w:pPr>
      <w:r>
        <w:rPr>
          <w:rFonts w:hint="eastAsia" w:eastAsia="黑体"/>
          <w:b/>
          <w:color w:val="auto"/>
          <w:sz w:val="21"/>
          <w:szCs w:val="21"/>
          <w:highlight w:val="none"/>
          <w:shd w:val="clear" w:fill="auto"/>
          <w:lang w:val="en-US" w:eastAsia="zh-CN"/>
        </w:rPr>
        <w:t>1</w:t>
      </w:r>
      <w:r>
        <w:rPr>
          <w:rFonts w:hint="eastAsia" w:eastAsia="黑体"/>
          <w:b/>
          <w:color w:val="auto"/>
          <w:sz w:val="21"/>
          <w:szCs w:val="21"/>
          <w:highlight w:val="none"/>
          <w:shd w:val="clear" w:fill="auto"/>
        </w:rPr>
        <w:t>.2</w:t>
      </w:r>
      <w:r>
        <w:rPr>
          <w:rFonts w:hint="eastAsia" w:eastAsia="黑体"/>
          <w:color w:val="auto"/>
          <w:sz w:val="21"/>
          <w:szCs w:val="21"/>
          <w:highlight w:val="none"/>
          <w:shd w:val="clear" w:fill="auto"/>
        </w:rPr>
        <w:t xml:space="preserve">  </w:t>
      </w:r>
      <w:r>
        <w:rPr>
          <w:rFonts w:hint="eastAsia" w:eastAsia="黑体"/>
          <w:caps w:val="0"/>
          <w:smallCaps w:val="0"/>
          <w:strike w:val="0"/>
          <w:dstrike w:val="0"/>
          <w:vanish w:val="0"/>
          <w:color w:val="auto"/>
          <w:sz w:val="21"/>
          <w:szCs w:val="21"/>
          <w:highlight w:val="none"/>
          <w:shd w:val="clear" w:fill="auto"/>
          <w:vertAlign w:val="baseline"/>
          <w:lang w:eastAsia="zh-CN"/>
        </w:rPr>
        <w:t>试验</w:t>
      </w:r>
      <w:r>
        <w:rPr>
          <w:rFonts w:hint="eastAsia" w:eastAsia="黑体"/>
          <w:color w:val="auto"/>
          <w:sz w:val="21"/>
          <w:szCs w:val="21"/>
          <w:highlight w:val="none"/>
          <w:shd w:val="clear" w:fill="auto"/>
        </w:rPr>
        <w:t>方法</w:t>
      </w:r>
    </w:p>
    <w:p w14:paraId="0A9FE469">
      <w:pPr>
        <w:adjustRightInd w:val="0"/>
        <w:snapToGrid w:val="0"/>
        <w:ind w:firstLine="420" w:firstLineChars="200"/>
        <w:rPr>
          <w:rFonts w:eastAsia="黑体"/>
          <w:color w:val="auto"/>
          <w:sz w:val="18"/>
          <w:szCs w:val="18"/>
          <w:highlight w:val="none"/>
          <w:shd w:val="clear" w:fill="auto"/>
        </w:rPr>
      </w:pPr>
      <w:r>
        <w:rPr>
          <w:rFonts w:hint="eastAsia"/>
          <w:color w:val="auto"/>
          <w:szCs w:val="18"/>
          <w:highlight w:val="none"/>
          <w:shd w:val="clear" w:fill="auto"/>
        </w:rPr>
        <w:t>絮凝装置如图1所示，试验在容量为500mL的玻璃反应器中进行，采用</w:t>
      </w:r>
      <w:r>
        <w:rPr>
          <w:rFonts w:hint="eastAsia"/>
          <w:color w:val="auto"/>
          <w:szCs w:val="18"/>
          <w:highlight w:val="none"/>
          <w:shd w:val="clear" w:fill="auto"/>
          <w:lang w:val="en-US" w:eastAsia="zh-CN"/>
        </w:rPr>
        <w:t>Al-Al</w:t>
      </w:r>
      <w:r>
        <w:rPr>
          <w:rFonts w:hint="eastAsia"/>
          <w:color w:val="auto"/>
          <w:szCs w:val="18"/>
          <w:highlight w:val="none"/>
          <w:shd w:val="clear" w:fill="auto"/>
        </w:rPr>
        <w:t>电极布置，电极间距设为3.5cm。通电反应阶段使用磁力搅拌器以200r/min的速度搅拌，确保电解液浓度分布均匀并避免微塑料沉积。</w:t>
      </w:r>
    </w:p>
    <w:p w14:paraId="4794D66E">
      <w:pPr>
        <w:adjustRightInd w:val="0"/>
        <w:snapToGrid w:val="0"/>
        <w:jc w:val="center"/>
        <w:rPr>
          <w:color w:val="auto"/>
          <w:sz w:val="24"/>
          <w:highlight w:val="none"/>
          <w:shd w:val="clear" w:fill="auto"/>
        </w:rPr>
      </w:pPr>
      <w:r>
        <w:rPr>
          <w:color w:val="auto"/>
          <w:sz w:val="24"/>
          <w:highlight w:val="none"/>
          <w:shd w:val="clear" w:fill="auto"/>
        </w:rPr>
        <w:drawing>
          <wp:inline distT="0" distB="0" distL="114300" distR="114300">
            <wp:extent cx="2985135" cy="1464310"/>
            <wp:effectExtent l="0" t="0" r="12065" b="8890"/>
            <wp:docPr id="6"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_256"/>
                    <pic:cNvPicPr>
                      <a:picLocks noChangeAspect="1"/>
                    </pic:cNvPicPr>
                  </pic:nvPicPr>
                  <pic:blipFill>
                    <a:blip r:embed="rId7"/>
                    <a:stretch>
                      <a:fillRect/>
                    </a:stretch>
                  </pic:blipFill>
                  <pic:spPr>
                    <a:xfrm>
                      <a:off x="0" y="0"/>
                      <a:ext cx="2985135" cy="1464310"/>
                    </a:xfrm>
                    <a:prstGeom prst="rect">
                      <a:avLst/>
                    </a:prstGeom>
                    <a:noFill/>
                    <a:ln w="9525">
                      <a:noFill/>
                    </a:ln>
                  </pic:spPr>
                </pic:pic>
              </a:graphicData>
            </a:graphic>
          </wp:inline>
        </w:drawing>
      </w:r>
    </w:p>
    <w:p w14:paraId="08AF19B1">
      <w:pPr>
        <w:jc w:val="center"/>
        <w:rPr>
          <w:rFonts w:hint="eastAsia" w:ascii="黑体" w:hAnsi="黑体" w:eastAsia="黑体" w:cs="黑体"/>
          <w:color w:val="auto"/>
          <w:sz w:val="18"/>
          <w:szCs w:val="18"/>
          <w:highlight w:val="none"/>
          <w:shd w:val="clear" w:fill="auto"/>
          <w:lang w:val="en-US" w:eastAsia="zh-CN"/>
        </w:rPr>
      </w:pPr>
      <w:r>
        <w:rPr>
          <w:rFonts w:hint="eastAsia" w:ascii="黑体" w:hAnsi="黑体" w:eastAsia="黑体" w:cs="黑体"/>
          <w:color w:val="auto"/>
          <w:sz w:val="18"/>
          <w:szCs w:val="18"/>
          <w:highlight w:val="none"/>
          <w:shd w:val="clear" w:fill="auto"/>
        </w:rPr>
        <w:t>图1  电絮凝</w:t>
      </w:r>
      <w:r>
        <w:rPr>
          <w:rFonts w:hint="eastAsia" w:ascii="黑体" w:hAnsi="黑体" w:eastAsia="黑体" w:cs="黑体"/>
          <w:color w:val="auto"/>
          <w:sz w:val="18"/>
          <w:szCs w:val="18"/>
          <w:highlight w:val="none"/>
          <w:shd w:val="clear" w:fill="auto"/>
          <w:lang w:eastAsia="zh-CN"/>
        </w:rPr>
        <w:t>试验</w:t>
      </w:r>
      <w:r>
        <w:rPr>
          <w:rFonts w:hint="eastAsia" w:ascii="黑体" w:hAnsi="黑体" w:eastAsia="黑体" w:cs="黑体"/>
          <w:color w:val="auto"/>
          <w:sz w:val="18"/>
          <w:szCs w:val="18"/>
          <w:highlight w:val="none"/>
          <w:shd w:val="clear" w:fill="auto"/>
          <w:lang w:val="en-US" w:eastAsia="zh-CN"/>
        </w:rPr>
        <w:t>示意</w:t>
      </w:r>
    </w:p>
    <w:p w14:paraId="2710888F">
      <w:pPr>
        <w:adjustRightInd w:val="0"/>
        <w:snapToGrid w:val="0"/>
        <w:jc w:val="center"/>
        <w:rPr>
          <w:color w:val="auto"/>
          <w:sz w:val="18"/>
          <w:szCs w:val="18"/>
          <w:highlight w:val="none"/>
          <w:shd w:val="clear" w:fill="auto"/>
        </w:rPr>
      </w:pPr>
      <w:r>
        <w:rPr>
          <w:rFonts w:hint="eastAsia"/>
          <w:color w:val="auto"/>
          <w:sz w:val="18"/>
          <w:szCs w:val="18"/>
          <w:highlight w:val="none"/>
          <w:shd w:val="clear" w:fill="auto"/>
        </w:rPr>
        <w:t>Fig.1  Schematic diagram of electrocoagulation setup</w:t>
      </w:r>
    </w:p>
    <w:p w14:paraId="282B440A">
      <w:pPr>
        <w:adjustRightInd w:val="0"/>
        <w:snapToGrid w:val="0"/>
        <w:ind w:firstLine="420" w:firstLineChars="200"/>
        <w:rPr>
          <w:rFonts w:hint="eastAsia"/>
          <w:color w:val="auto"/>
          <w:szCs w:val="18"/>
          <w:highlight w:val="none"/>
          <w:shd w:val="clear" w:fill="auto"/>
        </w:rPr>
      </w:pPr>
      <w:r>
        <w:rPr>
          <w:rFonts w:hint="eastAsia"/>
          <w:color w:val="auto"/>
          <w:szCs w:val="18"/>
          <w:highlight w:val="none"/>
          <w:shd w:val="clear" w:fill="auto"/>
        </w:rPr>
        <w:t>在电絮凝试验前，电极板经砂纸打磨去除氧化层，然后用0.1mol/L的盐酸、去离子水冲至中性，再以乙醇脱脂并自然晾干。电絮凝试验在恒压通电条件下进行</w:t>
      </w:r>
      <w:r>
        <w:rPr>
          <w:rFonts w:hint="eastAsia"/>
          <w:color w:val="auto"/>
          <w:szCs w:val="18"/>
          <w:highlight w:val="none"/>
          <w:shd w:val="clear" w:fill="auto"/>
          <w:lang w:eastAsia="zh-CN"/>
        </w:rPr>
        <w:t>。通电阶段搅拌，通电结束后静置沉降</w:t>
      </w:r>
      <w:r>
        <w:rPr>
          <w:rFonts w:hint="eastAsia"/>
          <w:color w:val="auto"/>
          <w:szCs w:val="18"/>
          <w:highlight w:val="none"/>
          <w:shd w:val="clear" w:fill="auto"/>
        </w:rPr>
        <w:t>，并选择浓度为0.5g/L的聚乙烯颗粒溶液作为处理对象。为获得稳定均匀的PE悬浮体系，向反应器中加入SDBS（0.2g/L）作为分散剂，并加入NaCl作为支撑电解质（基准浓度0.0</w:t>
      </w:r>
      <w:r>
        <w:rPr>
          <w:rFonts w:hint="eastAsia"/>
          <w:color w:val="auto"/>
          <w:szCs w:val="18"/>
          <w:highlight w:val="none"/>
          <w:shd w:val="clear" w:fill="auto"/>
          <w:lang w:val="en-US" w:eastAsia="zh-CN"/>
        </w:rPr>
        <w:t>1</w:t>
      </w:r>
      <w:r>
        <w:rPr>
          <w:rFonts w:hint="eastAsia"/>
          <w:color w:val="auto"/>
          <w:szCs w:val="18"/>
          <w:highlight w:val="none"/>
          <w:shd w:val="clear" w:fill="auto"/>
        </w:rPr>
        <w:t>mol/L）。随后在恒压条件下通电反应30min，电极间距保持3.5cm。在单因素</w:t>
      </w:r>
      <w:r>
        <w:rPr>
          <w:rFonts w:hint="eastAsia"/>
          <w:color w:val="auto"/>
          <w:szCs w:val="18"/>
          <w:highlight w:val="none"/>
          <w:shd w:val="clear" w:fill="auto"/>
          <w:lang w:eastAsia="zh-CN"/>
        </w:rPr>
        <w:t>试验</w:t>
      </w:r>
      <w:r>
        <w:rPr>
          <w:rFonts w:hint="eastAsia"/>
          <w:color w:val="auto"/>
          <w:szCs w:val="18"/>
          <w:highlight w:val="none"/>
          <w:shd w:val="clear" w:fill="auto"/>
        </w:rPr>
        <w:t>中分别考察外加电压（2.0V、2.5V、3.0V、4.0V）、初始pH（3、5、7、10；使用0.1mol/L</w:t>
      </w:r>
      <w:r>
        <w:rPr>
          <w:rFonts w:hint="eastAsia"/>
          <w:color w:val="auto"/>
          <w:szCs w:val="18"/>
          <w:highlight w:val="none"/>
          <w:shd w:val="clear" w:fill="auto"/>
          <w:lang w:val="en-US" w:eastAsia="zh-CN"/>
        </w:rPr>
        <w:t xml:space="preserve"> </w:t>
      </w:r>
      <w:r>
        <w:rPr>
          <w:rFonts w:hint="eastAsia"/>
          <w:color w:val="auto"/>
          <w:szCs w:val="18"/>
          <w:highlight w:val="none"/>
          <w:shd w:val="clear" w:fill="auto"/>
        </w:rPr>
        <w:t>HCl或NaOH调节）对微塑料去除效果的影响；同时改变NaCl浓度（</w:t>
      </w:r>
      <w:r>
        <w:rPr>
          <w:rFonts w:hint="eastAsia"/>
          <w:color w:val="auto"/>
          <w:szCs w:val="18"/>
          <w:highlight w:val="none"/>
          <w:shd w:val="clear" w:fill="auto"/>
          <w:lang w:val="en-US" w:eastAsia="zh-CN"/>
        </w:rPr>
        <w:t>0.01</w:t>
      </w:r>
      <w:r>
        <w:rPr>
          <w:rFonts w:hint="eastAsia"/>
          <w:color w:val="auto"/>
          <w:szCs w:val="18"/>
          <w:highlight w:val="none"/>
          <w:shd w:val="clear" w:fill="auto"/>
        </w:rPr>
        <w:t>mol/L、</w:t>
      </w:r>
      <w:r>
        <w:rPr>
          <w:rFonts w:hint="eastAsia"/>
          <w:color w:val="auto"/>
          <w:szCs w:val="18"/>
          <w:highlight w:val="none"/>
          <w:shd w:val="clear" w:fill="auto"/>
          <w:lang w:val="en-US" w:eastAsia="zh-CN"/>
        </w:rPr>
        <w:t>0.02</w:t>
      </w:r>
      <w:r>
        <w:rPr>
          <w:rFonts w:hint="eastAsia"/>
          <w:color w:val="auto"/>
          <w:szCs w:val="18"/>
          <w:highlight w:val="none"/>
          <w:shd w:val="clear" w:fill="auto"/>
        </w:rPr>
        <w:t>mol/L、</w:t>
      </w:r>
      <w:r>
        <w:rPr>
          <w:rFonts w:hint="eastAsia"/>
          <w:color w:val="auto"/>
          <w:szCs w:val="18"/>
          <w:highlight w:val="none"/>
          <w:shd w:val="clear" w:fill="auto"/>
          <w:lang w:val="en-US" w:eastAsia="zh-CN"/>
        </w:rPr>
        <w:t>0.04</w:t>
      </w:r>
      <w:r>
        <w:rPr>
          <w:rFonts w:hint="eastAsia"/>
          <w:color w:val="auto"/>
          <w:szCs w:val="18"/>
          <w:highlight w:val="none"/>
          <w:shd w:val="clear" w:fill="auto"/>
        </w:rPr>
        <w:t>mol/L</w:t>
      </w:r>
      <w:r>
        <w:rPr>
          <w:rFonts w:hint="eastAsia"/>
          <w:color w:val="auto"/>
          <w:szCs w:val="18"/>
          <w:highlight w:val="none"/>
          <w:shd w:val="clear" w:fill="auto"/>
          <w:lang w:val="en-US" w:eastAsia="zh-CN"/>
        </w:rPr>
        <w:t>、0.08</w:t>
      </w:r>
      <w:r>
        <w:rPr>
          <w:rFonts w:hint="eastAsia"/>
          <w:color w:val="auto"/>
          <w:szCs w:val="18"/>
          <w:highlight w:val="none"/>
          <w:shd w:val="clear" w:fill="auto"/>
        </w:rPr>
        <w:t>mol/L）与PE初始浓度（</w:t>
      </w:r>
      <w:r>
        <w:rPr>
          <w:rFonts w:hint="eastAsia"/>
          <w:color w:val="auto"/>
          <w:szCs w:val="18"/>
          <w:highlight w:val="none"/>
          <w:shd w:val="clear" w:fill="auto"/>
          <w:lang w:val="en-US" w:eastAsia="zh-CN"/>
        </w:rPr>
        <w:t>0.3</w:t>
      </w:r>
      <w:r>
        <w:rPr>
          <w:rFonts w:hint="eastAsia"/>
          <w:color w:val="auto"/>
          <w:szCs w:val="18"/>
          <w:highlight w:val="none"/>
          <w:shd w:val="clear" w:fill="auto"/>
        </w:rPr>
        <w:t>g/L、</w:t>
      </w:r>
      <w:r>
        <w:rPr>
          <w:rFonts w:hint="eastAsia"/>
          <w:color w:val="auto"/>
          <w:szCs w:val="18"/>
          <w:highlight w:val="none"/>
          <w:shd w:val="clear" w:fill="auto"/>
          <w:lang w:val="en-US" w:eastAsia="zh-CN"/>
        </w:rPr>
        <w:t>0.5</w:t>
      </w:r>
      <w:r>
        <w:rPr>
          <w:rFonts w:hint="eastAsia"/>
          <w:color w:val="auto"/>
          <w:szCs w:val="18"/>
          <w:highlight w:val="none"/>
          <w:shd w:val="clear" w:fill="auto"/>
        </w:rPr>
        <w:t>g/L、</w:t>
      </w:r>
      <w:r>
        <w:rPr>
          <w:rFonts w:hint="eastAsia"/>
          <w:color w:val="auto"/>
          <w:szCs w:val="18"/>
          <w:highlight w:val="none"/>
          <w:shd w:val="clear" w:fill="auto"/>
          <w:lang w:val="en-US" w:eastAsia="zh-CN"/>
        </w:rPr>
        <w:t>0.7</w:t>
      </w:r>
      <w:r>
        <w:rPr>
          <w:rFonts w:hint="eastAsia"/>
          <w:color w:val="auto"/>
          <w:szCs w:val="18"/>
          <w:highlight w:val="none"/>
          <w:shd w:val="clear" w:fill="auto"/>
        </w:rPr>
        <w:t>g/L</w:t>
      </w:r>
      <w:r>
        <w:rPr>
          <w:rFonts w:hint="eastAsia"/>
          <w:color w:val="auto"/>
          <w:szCs w:val="18"/>
          <w:highlight w:val="none"/>
          <w:shd w:val="clear" w:fill="auto"/>
          <w:lang w:val="en-US" w:eastAsia="zh-CN"/>
        </w:rPr>
        <w:t>、0.9</w:t>
      </w:r>
      <w:r>
        <w:rPr>
          <w:rFonts w:hint="eastAsia"/>
          <w:color w:val="auto"/>
          <w:szCs w:val="18"/>
          <w:highlight w:val="none"/>
          <w:shd w:val="clear" w:fill="auto"/>
        </w:rPr>
        <w:t>g/L）以评估电解质与投加量的作用。</w:t>
      </w:r>
      <w:r>
        <w:rPr>
          <w:rFonts w:hint="eastAsia"/>
          <w:color w:val="auto"/>
          <w:szCs w:val="18"/>
          <w:highlight w:val="none"/>
          <w:shd w:val="clear" w:fill="auto"/>
          <w:lang w:eastAsia="zh-CN"/>
        </w:rPr>
        <w:t>试验</w:t>
      </w:r>
      <w:r>
        <w:rPr>
          <w:rFonts w:hint="eastAsia"/>
          <w:color w:val="auto"/>
          <w:szCs w:val="18"/>
          <w:highlight w:val="none"/>
          <w:shd w:val="clear" w:fill="auto"/>
        </w:rPr>
        <w:t>在室温、200rpm搅拌下进行，</w:t>
      </w:r>
      <w:r>
        <w:rPr>
          <w:rFonts w:hint="eastAsia"/>
          <w:color w:val="auto"/>
          <w:szCs w:val="18"/>
          <w:highlight w:val="none"/>
          <w:shd w:val="clear" w:fill="auto"/>
          <w:lang w:val="en-US" w:eastAsia="zh-CN"/>
        </w:rPr>
        <w:t>电絮凝</w:t>
      </w:r>
      <w:r>
        <w:rPr>
          <w:rFonts w:hint="eastAsia"/>
          <w:color w:val="auto"/>
          <w:szCs w:val="18"/>
          <w:highlight w:val="none"/>
          <w:shd w:val="clear" w:fill="auto"/>
        </w:rPr>
        <w:t>产生的絮体均匀分布并附着微小颗粒。</w:t>
      </w:r>
      <w:r>
        <w:rPr>
          <w:rFonts w:hint="eastAsia"/>
          <w:color w:val="auto"/>
          <w:szCs w:val="18"/>
          <w:highlight w:val="none"/>
          <w:shd w:val="clear" w:fill="auto"/>
          <w:lang w:eastAsia="zh-CN"/>
        </w:rPr>
        <w:t>试验</w:t>
      </w:r>
      <w:r>
        <w:rPr>
          <w:rFonts w:hint="eastAsia"/>
          <w:color w:val="auto"/>
          <w:szCs w:val="18"/>
          <w:highlight w:val="none"/>
          <w:shd w:val="clear" w:fill="auto"/>
        </w:rPr>
        <w:t>后静置16小时，反应器内物质沉降，形成的絮凝毯沉降到反应器底部。</w:t>
      </w:r>
    </w:p>
    <w:p w14:paraId="3702C42E">
      <w:pPr>
        <w:adjustRightInd w:val="0"/>
        <w:snapToGrid w:val="0"/>
        <w:ind w:firstLine="420" w:firstLineChars="200"/>
        <w:rPr>
          <w:color w:val="auto"/>
          <w:highlight w:val="none"/>
          <w:shd w:val="clear" w:fill="auto"/>
        </w:rPr>
      </w:pPr>
      <w:r>
        <w:rPr>
          <w:rFonts w:hint="eastAsia"/>
          <w:color w:val="auto"/>
          <w:szCs w:val="18"/>
          <w:highlight w:val="none"/>
          <w:shd w:val="clear" w:fill="auto"/>
        </w:rPr>
        <w:t>试验中，微塑料去除率采用“质量差法（以残余量计）+显微镜核查”联合测定：通过过滤获得处理后上清液中的残余微塑料质量，并以显微镜观察验证微塑料的形态与数量变化。通电结束后取上清液，经0.45</w:t>
      </w:r>
      <w:r>
        <w:rPr>
          <w:rFonts w:hint="default" w:ascii="Times New Roman" w:hAnsi="Times New Roman" w:cs="Times New Roman"/>
          <w:color w:val="auto"/>
          <w:szCs w:val="18"/>
          <w:highlight w:val="none"/>
          <w:shd w:val="clear" w:fill="auto"/>
        </w:rPr>
        <w:t>μ</w:t>
      </w:r>
      <w:r>
        <w:rPr>
          <w:rFonts w:hint="eastAsia"/>
          <w:color w:val="auto"/>
          <w:szCs w:val="18"/>
          <w:highlight w:val="none"/>
          <w:shd w:val="clear" w:fill="auto"/>
        </w:rPr>
        <w:t>m预先恒重的微孔滤膜过滤；为避免铝系絮体残留对称量造成干扰，过滤后可用稀盐酸（如0.1mol/L）快速冲洗滤膜以溶解无机絮体，再以去离子水冲洗至中性，60</w:t>
      </w:r>
      <w:r>
        <w:rPr>
          <w:rFonts w:hint="default" w:ascii="Times New Roman" w:hAnsi="Times New Roman" w:cs="Times New Roman"/>
          <w:color w:val="auto"/>
          <w:szCs w:val="18"/>
          <w:highlight w:val="none"/>
          <w:shd w:val="clear" w:fill="auto"/>
        </w:rPr>
        <w:t>℃</w:t>
      </w:r>
      <w:r>
        <w:rPr>
          <w:rFonts w:hint="eastAsia"/>
          <w:color w:val="auto"/>
          <w:szCs w:val="18"/>
          <w:highlight w:val="none"/>
          <w:shd w:val="clear" w:fill="auto"/>
        </w:rPr>
        <w:t>烘干至恒重后称量残余微塑料质量。微塑料去除率按式（1）计算；单位去除量能耗</w:t>
      </w:r>
      <w:r>
        <w:rPr>
          <w:rFonts w:hint="eastAsia"/>
          <w:i/>
          <w:iCs/>
          <w:color w:val="auto"/>
          <w:szCs w:val="18"/>
          <w:highlight w:val="none"/>
          <w:shd w:val="clear" w:fill="auto"/>
        </w:rPr>
        <w:t>E</w:t>
      </w:r>
      <w:r>
        <w:rPr>
          <w:rFonts w:hint="eastAsia"/>
          <w:i w:val="0"/>
          <w:iCs w:val="0"/>
          <w:color w:val="auto"/>
          <w:szCs w:val="18"/>
          <w:highlight w:val="none"/>
          <w:shd w:val="clear" w:fill="auto"/>
        </w:rPr>
        <w:t>（kWh/(kg MPs)）</w:t>
      </w:r>
      <w:r>
        <w:rPr>
          <w:rFonts w:hint="eastAsia"/>
          <w:color w:val="auto"/>
          <w:szCs w:val="18"/>
          <w:highlight w:val="none"/>
          <w:shd w:val="clear" w:fill="auto"/>
        </w:rPr>
        <w:t>按式（2）计算。另取典型样品在光学显微镜下观察过滤前后微塑料的形态与数量变化，用于对称量结果进行核查。</w:t>
      </w:r>
    </w:p>
    <w:p w14:paraId="4CD742EE">
      <w:pPr>
        <w:pStyle w:val="36"/>
        <w:jc w:val="center"/>
        <w:rPr>
          <w:color w:val="auto"/>
          <w:highlight w:val="none"/>
          <w:shd w:val="clear" w:fill="auto"/>
        </w:rPr>
      </w:pPr>
      <w:r>
        <w:rPr>
          <w:color w:val="auto"/>
          <w:position w:val="-30"/>
          <w:highlight w:val="none"/>
          <w:shd w:val="clear" w:fill="auto"/>
        </w:rPr>
        <w:object>
          <v:shape id="_x0000_i1025" o:spt="75" type="#_x0000_t75" style="height:35.25pt;width:62.35pt;" o:ole="t" filled="f" o:preferrelative="t" stroked="f" coordsize="21600,21600">
            <v:path/>
            <v:fill on="f" focussize="0,0"/>
            <v:stroke on="f"/>
            <v:imagedata r:id="rId9" o:title=""/>
            <o:lock v:ext="edit" aspectratio="t"/>
            <w10:wrap type="none"/>
            <w10:anchorlock/>
          </v:shape>
          <o:OLEObject Type="Embed" ProgID="Equation.DSMT4" ShapeID="_x0000_i1025" DrawAspect="Content" ObjectID="_1468075725" r:id="rId8">
            <o:LockedField>false</o:LockedField>
          </o:OLEObject>
        </w:object>
      </w:r>
      <w:r>
        <w:rPr>
          <w:color w:val="auto"/>
          <w:highlight w:val="none"/>
          <w:shd w:val="clear" w:fill="auto"/>
        </w:rPr>
        <w:tab/>
      </w:r>
      <w:r>
        <w:rPr>
          <w:rFonts w:hint="eastAsia"/>
          <w:i w:val="0"/>
          <w:iCs/>
          <w:color w:val="auto"/>
          <w:highlight w:val="none"/>
          <w:shd w:val="clear" w:fill="auto"/>
          <w:lang w:eastAsia="zh-CN"/>
        </w:rPr>
        <w:t>（</w:t>
      </w:r>
      <w:r>
        <w:rPr>
          <w:rFonts w:hint="eastAsia"/>
          <w:i w:val="0"/>
          <w:iCs/>
          <w:color w:val="auto"/>
          <w:highlight w:val="none"/>
          <w:shd w:val="clear" w:fill="auto"/>
          <w:lang w:val="en-US" w:eastAsia="zh-CN"/>
        </w:rPr>
        <w:t>1</w:t>
      </w:r>
      <w:r>
        <w:rPr>
          <w:rFonts w:hint="eastAsia"/>
          <w:i w:val="0"/>
          <w:iCs/>
          <w:color w:val="auto"/>
          <w:highlight w:val="none"/>
          <w:shd w:val="clear" w:fill="auto"/>
          <w:lang w:eastAsia="zh-CN"/>
        </w:rPr>
        <w:t>）</w:t>
      </w:r>
    </w:p>
    <w:p w14:paraId="7295E47F">
      <w:pPr>
        <w:adjustRightInd w:val="0"/>
        <w:snapToGrid w:val="0"/>
        <w:ind w:firstLine="0" w:firstLineChars="0"/>
        <w:rPr>
          <w:rFonts w:hint="default" w:ascii="Times New Roman" w:hAnsi="Times New Roman" w:cs="Times New Roman"/>
          <w:color w:val="auto"/>
          <w:szCs w:val="18"/>
          <w:highlight w:val="none"/>
          <w:shd w:val="clear" w:fill="auto"/>
        </w:rPr>
      </w:pPr>
      <w:r>
        <w:rPr>
          <w:rFonts w:hint="default" w:ascii="Times New Roman" w:hAnsi="Times New Roman" w:cs="Times New Roman"/>
          <w:color w:val="auto"/>
          <w:szCs w:val="18"/>
          <w:highlight w:val="none"/>
          <w:shd w:val="clear" w:fill="auto"/>
        </w:rPr>
        <w:t>式中，</w:t>
      </w:r>
      <w:r>
        <w:rPr>
          <w:rFonts w:hint="default" w:ascii="Times New Roman" w:hAnsi="Times New Roman" w:cs="Times New Roman"/>
          <w:i/>
          <w:iCs/>
          <w:color w:val="auto"/>
          <w:szCs w:val="18"/>
          <w:highlight w:val="none"/>
          <w:shd w:val="clear" w:fill="auto"/>
        </w:rPr>
        <w:t>η</w:t>
      </w:r>
      <w:r>
        <w:rPr>
          <w:rFonts w:hint="default" w:ascii="Times New Roman" w:hAnsi="Times New Roman" w:cs="Times New Roman"/>
          <w:color w:val="auto"/>
          <w:szCs w:val="18"/>
          <w:highlight w:val="none"/>
          <w:shd w:val="clear" w:fill="auto"/>
        </w:rPr>
        <w:t>为电絮凝过程中微塑料去除率（%）；</w:t>
      </w:r>
      <w:r>
        <w:rPr>
          <w:rFonts w:hint="default" w:ascii="Times New Roman" w:hAnsi="Times New Roman" w:cs="Times New Roman"/>
          <w:i/>
          <w:iCs/>
          <w:color w:val="auto"/>
          <w:szCs w:val="18"/>
          <w:highlight w:val="none"/>
          <w:shd w:val="clear" w:fill="auto"/>
        </w:rPr>
        <w:t>m₀</w:t>
      </w:r>
      <w:r>
        <w:rPr>
          <w:rFonts w:hint="default" w:ascii="Times New Roman" w:hAnsi="Times New Roman" w:cs="Times New Roman"/>
          <w:color w:val="auto"/>
          <w:szCs w:val="18"/>
          <w:highlight w:val="none"/>
          <w:shd w:val="clear" w:fill="auto"/>
        </w:rPr>
        <w:t>为体系初始投加的微塑料质量（mg），</w:t>
      </w:r>
      <w:r>
        <w:rPr>
          <w:rFonts w:hint="default" w:ascii="Times New Roman" w:hAnsi="Times New Roman" w:cs="Times New Roman"/>
          <w:i/>
          <w:iCs/>
          <w:color w:val="auto"/>
          <w:szCs w:val="18"/>
          <w:highlight w:val="none"/>
          <w:shd w:val="clear" w:fill="auto"/>
        </w:rPr>
        <w:t>mₜ</w:t>
      </w:r>
      <w:r>
        <w:rPr>
          <w:rFonts w:hint="default" w:ascii="Times New Roman" w:hAnsi="Times New Roman" w:cs="Times New Roman"/>
          <w:color w:val="auto"/>
          <w:szCs w:val="18"/>
          <w:highlight w:val="none"/>
          <w:shd w:val="clear" w:fill="auto"/>
        </w:rPr>
        <w:t>为处理后上清液中残余微塑料质量（mg）。</w:t>
      </w:r>
    </w:p>
    <w:p w14:paraId="6BC84E7A">
      <w:pPr>
        <w:pStyle w:val="36"/>
        <w:ind w:left="0" w:leftChars="0" w:firstLine="0" w:firstLineChars="0"/>
        <w:jc w:val="center"/>
        <w:rPr>
          <w:color w:val="auto"/>
          <w:szCs w:val="18"/>
          <w:highlight w:val="none"/>
          <w:shd w:val="clear" w:fill="auto"/>
        </w:rPr>
      </w:pPr>
      <w:r>
        <w:rPr>
          <w:color w:val="auto"/>
          <w:position w:val="-32"/>
          <w:highlight w:val="none"/>
          <w:shd w:val="clear" w:fill="auto"/>
        </w:rPr>
        <w:object>
          <v:shape id="_x0000_i1026" o:spt="75" type="#_x0000_t75" style="height:35pt;width:99pt;" o:ole="t" filled="f" o:preferrelative="t" stroked="f" coordsize="21600,21600">
            <v:path/>
            <v:fill on="f" focussize="0,0"/>
            <v:stroke on="f" joinstyle="miter"/>
            <v:imagedata r:id="rId11" o:title=""/>
            <o:lock v:ext="edit" aspectratio="t"/>
            <w10:wrap type="none"/>
            <w10:anchorlock/>
          </v:shape>
          <o:OLEObject Type="Embed" ProgID="Equation.DSMT4" ShapeID="_x0000_i1026" DrawAspect="Content" ObjectID="_1468075726" r:id="rId10">
            <o:LockedField>false</o:LockedField>
          </o:OLEObject>
        </w:object>
      </w:r>
      <w:r>
        <w:rPr>
          <w:color w:val="auto"/>
          <w:highlight w:val="none"/>
          <w:shd w:val="clear" w:fill="auto"/>
        </w:rPr>
        <w:tab/>
      </w:r>
      <w:r>
        <w:rPr>
          <w:rFonts w:hint="eastAsia"/>
          <w:color w:val="auto"/>
          <w:highlight w:val="none"/>
          <w:shd w:val="clear" w:fill="auto"/>
          <w:lang w:val="en-US" w:eastAsia="zh-CN"/>
        </w:rPr>
        <w:t xml:space="preserve">  </w:t>
      </w:r>
      <w:r>
        <w:rPr>
          <w:rFonts w:hint="eastAsia"/>
          <w:i w:val="0"/>
          <w:iCs/>
          <w:color w:val="auto"/>
          <w:highlight w:val="none"/>
          <w:shd w:val="clear" w:fill="auto"/>
          <w:lang w:val="en-US" w:eastAsia="zh-CN"/>
        </w:rPr>
        <w:t>（2）</w:t>
      </w:r>
    </w:p>
    <w:p w14:paraId="7BB0CE90">
      <w:pPr>
        <w:adjustRightInd w:val="0"/>
        <w:snapToGrid w:val="0"/>
        <w:ind w:firstLine="0" w:firstLineChars="0"/>
        <w:rPr>
          <w:color w:val="auto"/>
          <w:sz w:val="24"/>
          <w:highlight w:val="none"/>
          <w:shd w:val="clear" w:fill="auto"/>
        </w:rPr>
      </w:pPr>
      <w:r>
        <w:rPr>
          <w:rFonts w:hint="eastAsia"/>
          <w:color w:val="auto"/>
          <w:szCs w:val="18"/>
          <w:highlight w:val="none"/>
          <w:shd w:val="clear" w:fill="auto"/>
          <w:lang w:val="en-US" w:eastAsia="zh-CN"/>
        </w:rPr>
        <w:t>式中，</w:t>
      </w:r>
      <w:r>
        <w:rPr>
          <w:i/>
          <w:iCs/>
          <w:color w:val="auto"/>
          <w:szCs w:val="18"/>
          <w:highlight w:val="none"/>
          <w:shd w:val="clear" w:fill="auto"/>
        </w:rPr>
        <w:t>U</w:t>
      </w:r>
      <w:r>
        <w:rPr>
          <w:color w:val="auto"/>
          <w:szCs w:val="18"/>
          <w:highlight w:val="none"/>
          <w:shd w:val="clear" w:fill="auto"/>
        </w:rPr>
        <w:t>为外加电压（V）；</w:t>
      </w:r>
      <w:r>
        <w:rPr>
          <w:i/>
          <w:iCs/>
          <w:color w:val="auto"/>
          <w:szCs w:val="18"/>
          <w:highlight w:val="none"/>
          <w:shd w:val="clear" w:fill="auto"/>
        </w:rPr>
        <w:t>I</w:t>
      </w:r>
      <w:r>
        <w:rPr>
          <w:color w:val="auto"/>
          <w:szCs w:val="18"/>
          <w:highlight w:val="none"/>
          <w:shd w:val="clear" w:fill="auto"/>
        </w:rPr>
        <w:t>为电流（A）；</w:t>
      </w:r>
      <w:r>
        <w:rPr>
          <w:i/>
          <w:iCs/>
          <w:color w:val="auto"/>
          <w:szCs w:val="18"/>
          <w:highlight w:val="none"/>
          <w:shd w:val="clear" w:fill="auto"/>
        </w:rPr>
        <w:t>t</w:t>
      </w:r>
      <w:r>
        <w:rPr>
          <w:color w:val="auto"/>
          <w:szCs w:val="18"/>
          <w:highlight w:val="none"/>
          <w:shd w:val="clear" w:fill="auto"/>
        </w:rPr>
        <w:t>为通电时间（h）；</w:t>
      </w:r>
      <w:r>
        <w:rPr>
          <w:rFonts w:hint="eastAsia"/>
          <w:i/>
          <w:iCs/>
          <w:color w:val="auto"/>
          <w:szCs w:val="18"/>
          <w:highlight w:val="none"/>
          <w:shd w:val="clear" w:fill="auto"/>
          <w:lang w:val="en-US" w:eastAsia="zh-CN"/>
        </w:rPr>
        <w:t>c</w:t>
      </w:r>
      <w:r>
        <w:rPr>
          <w:color w:val="auto"/>
          <w:szCs w:val="18"/>
          <w:highlight w:val="none"/>
          <w:shd w:val="clear" w:fill="auto"/>
          <w:vertAlign w:val="subscript"/>
        </w:rPr>
        <w:t>0</w:t>
      </w:r>
      <w:r>
        <w:rPr>
          <w:color w:val="auto"/>
          <w:szCs w:val="18"/>
          <w:highlight w:val="none"/>
          <w:shd w:val="clear" w:fill="auto"/>
        </w:rPr>
        <w:t>为微塑料初始浓度（g/L）；</w:t>
      </w:r>
      <w:r>
        <w:rPr>
          <w:rFonts w:hint="eastAsia"/>
          <w:i/>
          <w:iCs/>
          <w:color w:val="auto"/>
          <w:szCs w:val="18"/>
          <w:highlight w:val="none"/>
          <w:shd w:val="clear" w:fill="auto"/>
          <w:lang w:val="en-US" w:eastAsia="zh-CN"/>
        </w:rPr>
        <w:t>c</w:t>
      </w:r>
      <w:r>
        <w:rPr>
          <w:i/>
          <w:iCs/>
          <w:color w:val="auto"/>
          <w:szCs w:val="18"/>
          <w:highlight w:val="none"/>
          <w:shd w:val="clear" w:fill="auto"/>
          <w:vertAlign w:val="subscript"/>
        </w:rPr>
        <w:t>t</w:t>
      </w:r>
      <w:r>
        <w:rPr>
          <w:color w:val="auto"/>
          <w:szCs w:val="18"/>
          <w:highlight w:val="none"/>
          <w:shd w:val="clear" w:fill="auto"/>
        </w:rPr>
        <w:t>为微塑料电解后浓度（g/L）；</w:t>
      </w:r>
      <w:r>
        <w:rPr>
          <w:i/>
          <w:iCs/>
          <w:color w:val="auto"/>
          <w:szCs w:val="18"/>
          <w:highlight w:val="none"/>
          <w:shd w:val="clear" w:fill="auto"/>
        </w:rPr>
        <w:t>V</w:t>
      </w:r>
      <w:r>
        <w:rPr>
          <w:color w:val="auto"/>
          <w:szCs w:val="18"/>
          <w:highlight w:val="none"/>
          <w:shd w:val="clear" w:fill="auto"/>
        </w:rPr>
        <w:t>为溶液体积（L）</w:t>
      </w:r>
    </w:p>
    <w:p w14:paraId="6A251A78">
      <w:pPr>
        <w:adjustRightInd w:val="0"/>
        <w:snapToGrid w:val="0"/>
        <w:rPr>
          <w:rFonts w:hint="eastAsia" w:eastAsia="黑体"/>
          <w:color w:val="auto"/>
          <w:sz w:val="28"/>
          <w:szCs w:val="28"/>
          <w:highlight w:val="none"/>
          <w:shd w:val="clear" w:fill="auto"/>
          <w:lang w:eastAsia="zh-CN"/>
        </w:rPr>
      </w:pPr>
      <w:r>
        <w:rPr>
          <w:rFonts w:hint="eastAsia" w:eastAsia="黑体"/>
          <w:b/>
          <w:color w:val="auto"/>
          <w:sz w:val="28"/>
          <w:szCs w:val="28"/>
          <w:highlight w:val="none"/>
          <w:shd w:val="clear" w:fill="auto"/>
          <w:lang w:val="en-US" w:eastAsia="zh-CN"/>
        </w:rPr>
        <w:t>2</w:t>
      </w:r>
      <w:r>
        <w:rPr>
          <w:rFonts w:eastAsia="黑体"/>
          <w:color w:val="auto"/>
          <w:sz w:val="28"/>
          <w:szCs w:val="28"/>
          <w:highlight w:val="none"/>
          <w:shd w:val="clear" w:fill="auto"/>
        </w:rPr>
        <w:t xml:space="preserve"> </w:t>
      </w:r>
      <w:r>
        <w:rPr>
          <w:rFonts w:hint="eastAsia" w:eastAsia="黑体"/>
          <w:color w:val="auto"/>
          <w:sz w:val="28"/>
          <w:szCs w:val="28"/>
          <w:highlight w:val="none"/>
          <w:shd w:val="clear" w:fill="auto"/>
        </w:rPr>
        <w:t xml:space="preserve"> 结果</w:t>
      </w:r>
      <w:r>
        <w:rPr>
          <w:rFonts w:hint="eastAsia" w:eastAsia="黑体"/>
          <w:color w:val="auto"/>
          <w:sz w:val="28"/>
          <w:szCs w:val="28"/>
          <w:highlight w:val="none"/>
          <w:shd w:val="clear" w:fill="auto"/>
          <w:lang w:val="en-US" w:eastAsia="zh-CN"/>
        </w:rPr>
        <w:t>分析</w:t>
      </w:r>
    </w:p>
    <w:p w14:paraId="7FA88D26">
      <w:pPr>
        <w:adjustRightInd w:val="0"/>
        <w:snapToGrid w:val="0"/>
        <w:rPr>
          <w:rFonts w:eastAsia="黑体"/>
          <w:color w:val="auto"/>
          <w:sz w:val="21"/>
          <w:szCs w:val="21"/>
          <w:highlight w:val="none"/>
          <w:shd w:val="clear" w:fill="auto"/>
        </w:rPr>
      </w:pPr>
      <w:r>
        <w:rPr>
          <w:rFonts w:hint="eastAsia" w:eastAsia="黑体"/>
          <w:b/>
          <w:bCs/>
          <w:color w:val="auto"/>
          <w:sz w:val="21"/>
          <w:szCs w:val="21"/>
          <w:highlight w:val="none"/>
          <w:shd w:val="clear" w:fill="auto"/>
          <w:lang w:val="en-US" w:eastAsia="zh-CN"/>
        </w:rPr>
        <w:t>2</w:t>
      </w:r>
      <w:r>
        <w:rPr>
          <w:rFonts w:eastAsia="黑体"/>
          <w:b/>
          <w:bCs/>
          <w:color w:val="auto"/>
          <w:sz w:val="21"/>
          <w:szCs w:val="21"/>
          <w:highlight w:val="none"/>
          <w:shd w:val="clear" w:fill="auto"/>
        </w:rPr>
        <w:t>.1</w:t>
      </w:r>
      <w:r>
        <w:rPr>
          <w:rFonts w:hint="eastAsia" w:eastAsia="黑体"/>
          <w:color w:val="auto"/>
          <w:sz w:val="21"/>
          <w:szCs w:val="21"/>
          <w:highlight w:val="none"/>
          <w:shd w:val="clear" w:fill="auto"/>
        </w:rPr>
        <w:t xml:space="preserve">  </w:t>
      </w:r>
      <w:r>
        <w:rPr>
          <w:rFonts w:eastAsia="黑体"/>
          <w:color w:val="auto"/>
          <w:sz w:val="21"/>
          <w:szCs w:val="21"/>
          <w:highlight w:val="none"/>
          <w:shd w:val="clear" w:fill="auto"/>
        </w:rPr>
        <w:t>外加电压对聚乙烯去除效果的影响</w:t>
      </w:r>
    </w:p>
    <w:p w14:paraId="73FDBF77">
      <w:pPr>
        <w:adjustRightInd w:val="0"/>
        <w:snapToGrid w:val="0"/>
        <w:ind w:firstLine="420" w:firstLineChars="200"/>
        <w:rPr>
          <w:rFonts w:hint="eastAsia" w:eastAsia="宋体"/>
          <w:color w:val="auto"/>
          <w:szCs w:val="18"/>
          <w:highlight w:val="none"/>
          <w:shd w:val="clear" w:fill="auto"/>
          <w:lang w:eastAsia="zh-CN"/>
        </w:rPr>
      </w:pPr>
      <w:r>
        <w:rPr>
          <w:rFonts w:hint="eastAsia"/>
          <w:color w:val="auto"/>
          <w:szCs w:val="18"/>
          <w:highlight w:val="none"/>
          <w:shd w:val="clear" w:fill="auto"/>
        </w:rPr>
        <w:t>为考察外加电压对PE微塑料去除效果的影响，在2.0V、2.5V、3.0V和4.0V条件下开展对比试验；除电压外，其余条件保持一致：PE初始浓度0.5g/L、初始pH=7、NaCl</w:t>
      </w:r>
      <w:r>
        <w:rPr>
          <w:rFonts w:hint="eastAsia"/>
          <w:color w:val="auto"/>
          <w:szCs w:val="18"/>
          <w:highlight w:val="none"/>
          <w:shd w:val="clear" w:fill="auto"/>
          <w:lang w:val="en-US" w:eastAsia="zh-CN"/>
        </w:rPr>
        <w:t xml:space="preserve"> </w:t>
      </w:r>
      <w:r>
        <w:rPr>
          <w:rFonts w:hint="eastAsia"/>
          <w:color w:val="auto"/>
          <w:szCs w:val="18"/>
          <w:highlight w:val="none"/>
          <w:shd w:val="clear" w:fill="auto"/>
        </w:rPr>
        <w:t>0.01mol/L（及SDBS 0.2g/L、电极间距3.5cm、通电30min、搅拌200r/min、室温</w:t>
      </w:r>
      <w:r>
        <w:rPr>
          <w:rFonts w:hint="eastAsia"/>
          <w:color w:val="auto"/>
          <w:szCs w:val="18"/>
          <w:highlight w:val="none"/>
          <w:shd w:val="clear" w:fill="auto"/>
          <w:lang w:eastAsia="zh-CN"/>
        </w:rPr>
        <w:t>）。</w:t>
      </w:r>
      <w:r>
        <w:rPr>
          <w:rFonts w:hint="eastAsia"/>
          <w:color w:val="auto"/>
          <w:szCs w:val="18"/>
          <w:highlight w:val="none"/>
          <w:shd w:val="clear" w:fill="auto"/>
          <w:lang w:val="en-US" w:eastAsia="zh-CN"/>
        </w:rPr>
        <w:t>如图2（a）所示</w:t>
      </w:r>
      <w:r>
        <w:rPr>
          <w:rFonts w:hint="eastAsia"/>
          <w:color w:val="auto"/>
          <w:szCs w:val="18"/>
          <w:highlight w:val="none"/>
          <w:shd w:val="clear" w:fill="auto"/>
        </w:rPr>
        <w:t>，在</w:t>
      </w:r>
      <w:r>
        <w:rPr>
          <w:rFonts w:hint="default" w:ascii="Times New Roman" w:hAnsi="Times New Roman" w:cs="Times New Roman"/>
          <w:color w:val="auto"/>
          <w:szCs w:val="18"/>
          <w:highlight w:val="none"/>
          <w:shd w:val="clear" w:fill="auto"/>
        </w:rPr>
        <w:t>0</w:t>
      </w:r>
      <w:r>
        <w:rPr>
          <w:rFonts w:hint="eastAsia" w:cs="Times New Roman"/>
          <w:color w:val="auto"/>
          <w:szCs w:val="18"/>
          <w:highlight w:val="none"/>
          <w:shd w:val="clear" w:fill="auto"/>
          <w:lang w:val="en-US" w:eastAsia="zh-CN"/>
        </w:rPr>
        <w:t>~</w:t>
      </w:r>
      <w:r>
        <w:rPr>
          <w:rFonts w:hint="default" w:ascii="Times New Roman" w:hAnsi="Times New Roman" w:cs="Times New Roman"/>
          <w:color w:val="auto"/>
          <w:szCs w:val="18"/>
          <w:highlight w:val="none"/>
          <w:shd w:val="clear" w:fill="auto"/>
        </w:rPr>
        <w:t>30min内PE去除率随时间总体升高，且在考察范围内随外加电压提高呈总体增强趋势；高电压条件下去除率在反</w:t>
      </w:r>
      <w:r>
        <w:rPr>
          <w:rFonts w:hint="eastAsia"/>
          <w:color w:val="auto"/>
          <w:szCs w:val="18"/>
          <w:highlight w:val="none"/>
          <w:shd w:val="clear" w:fill="auto"/>
        </w:rPr>
        <w:t>应前期提升更为迅速</w:t>
      </w:r>
      <w:r>
        <w:rPr>
          <w:rFonts w:hint="eastAsia"/>
          <w:color w:val="auto"/>
          <w:szCs w:val="18"/>
          <w:highlight w:val="none"/>
          <w:shd w:val="clear" w:fill="auto"/>
          <w:lang w:val="en-US" w:eastAsia="zh-CN"/>
        </w:rPr>
        <w:t>,</w:t>
      </w:r>
      <w:r>
        <w:rPr>
          <w:rFonts w:hint="eastAsia"/>
          <w:color w:val="auto"/>
          <w:szCs w:val="18"/>
          <w:highlight w:val="none"/>
          <w:shd w:val="clear" w:fill="auto"/>
        </w:rPr>
        <w:t>其中4.0V通电30min时去除率最高，约为96.7%。在通电时间相同的条件下，外加电压升高通常会使体系电流（或电流密度）增大，从而提高单位时间内的通电电量；依据法拉第定律</w:t>
      </w:r>
      <w:r>
        <w:rPr>
          <w:rFonts w:hint="eastAsia"/>
          <w:color w:val="auto"/>
          <w:szCs w:val="18"/>
          <w:highlight w:val="none"/>
          <w:shd w:val="clear" w:fill="auto"/>
          <w:vertAlign w:val="superscript"/>
        </w:rPr>
        <w:t>[1</w:t>
      </w:r>
      <w:r>
        <w:rPr>
          <w:rFonts w:hint="eastAsia"/>
          <w:color w:val="auto"/>
          <w:szCs w:val="18"/>
          <w:highlight w:val="none"/>
          <w:shd w:val="clear" w:fill="auto"/>
          <w:vertAlign w:val="superscript"/>
          <w:lang w:val="en-US" w:eastAsia="zh-CN"/>
        </w:rPr>
        <w:t>8</w:t>
      </w:r>
      <w:r>
        <w:rPr>
          <w:rFonts w:hint="eastAsia"/>
          <w:color w:val="auto"/>
          <w:szCs w:val="18"/>
          <w:highlight w:val="none"/>
          <w:shd w:val="clear" w:fill="auto"/>
          <w:vertAlign w:val="superscript"/>
        </w:rPr>
        <w:t>]</w:t>
      </w:r>
      <w:r>
        <w:rPr>
          <w:rFonts w:hint="eastAsia"/>
          <w:color w:val="auto"/>
          <w:szCs w:val="18"/>
          <w:highlight w:val="none"/>
          <w:shd w:val="clear" w:fill="auto"/>
        </w:rPr>
        <w:t>，阳极铝的溶出量及原位生成的铝基絮凝剂随之增加，同时阴极产氢气泡的产生速率与气泡通量增大，从而强化颗粒的聚集与分离过程。此外，气泡上升过程中</w:t>
      </w:r>
      <w:r>
        <w:rPr>
          <w:rFonts w:hint="eastAsia"/>
          <w:color w:val="auto"/>
          <w:szCs w:val="18"/>
          <w:highlight w:val="none"/>
          <w:shd w:val="clear" w:fill="auto"/>
          <w:lang w:val="en-US" w:eastAsia="zh-CN"/>
        </w:rPr>
        <w:t>可能</w:t>
      </w:r>
      <w:r>
        <w:rPr>
          <w:rFonts w:hint="eastAsia"/>
          <w:color w:val="auto"/>
          <w:szCs w:val="18"/>
          <w:highlight w:val="none"/>
          <w:shd w:val="clear" w:fill="auto"/>
        </w:rPr>
        <w:t>附着并携带负载PE的絮体向液面迁移，形成电浮选效应，从而促进微塑料的上浮分离并提高总体去除效率</w:t>
      </w:r>
      <w:r>
        <w:rPr>
          <w:rFonts w:hint="eastAsia"/>
          <w:color w:val="auto"/>
          <w:szCs w:val="18"/>
          <w:highlight w:val="none"/>
          <w:shd w:val="clear" w:fill="auto"/>
          <w:vertAlign w:val="superscript"/>
        </w:rPr>
        <w:t>[</w:t>
      </w:r>
      <w:r>
        <w:rPr>
          <w:rFonts w:hint="eastAsia"/>
          <w:color w:val="auto"/>
          <w:szCs w:val="18"/>
          <w:highlight w:val="none"/>
          <w:shd w:val="clear" w:fill="auto"/>
          <w:vertAlign w:val="superscript"/>
          <w:lang w:val="en-US" w:eastAsia="zh-CN"/>
        </w:rPr>
        <w:t>19</w:t>
      </w:r>
      <w:r>
        <w:rPr>
          <w:rFonts w:hint="eastAsia"/>
          <w:color w:val="auto"/>
          <w:szCs w:val="18"/>
          <w:highlight w:val="none"/>
          <w:shd w:val="clear" w:fill="auto"/>
          <w:vertAlign w:val="superscript"/>
        </w:rPr>
        <w:t>]</w:t>
      </w:r>
      <w:r>
        <w:rPr>
          <w:rFonts w:hint="eastAsia"/>
          <w:color w:val="auto"/>
          <w:szCs w:val="18"/>
          <w:highlight w:val="none"/>
          <w:shd w:val="clear" w:fill="auto"/>
        </w:rPr>
        <w:t>。同时，各电压条件下去除率均随通电时间延长而提高，这主要归因于累计通电电量增加使铝基絮凝剂与气泡的累计生成量增加</w:t>
      </w:r>
      <w:r>
        <w:rPr>
          <w:rFonts w:hint="eastAsia"/>
          <w:color w:val="auto"/>
          <w:szCs w:val="18"/>
          <w:highlight w:val="none"/>
          <w:shd w:val="clear" w:fill="auto"/>
          <w:vertAlign w:val="superscript"/>
          <w:lang w:eastAsia="zh-CN"/>
        </w:rPr>
        <w:t>[2</w:t>
      </w:r>
      <w:r>
        <w:rPr>
          <w:rFonts w:hint="eastAsia"/>
          <w:color w:val="auto"/>
          <w:szCs w:val="18"/>
          <w:highlight w:val="none"/>
          <w:shd w:val="clear" w:fill="auto"/>
          <w:vertAlign w:val="superscript"/>
          <w:lang w:val="en-US" w:eastAsia="zh-CN"/>
        </w:rPr>
        <w:t>0</w:t>
      </w:r>
      <w:r>
        <w:rPr>
          <w:rFonts w:hint="eastAsia"/>
          <w:color w:val="auto"/>
          <w:szCs w:val="18"/>
          <w:highlight w:val="none"/>
          <w:shd w:val="clear" w:fill="auto"/>
          <w:vertAlign w:val="superscript"/>
          <w:lang w:eastAsia="zh-CN"/>
        </w:rPr>
        <w:t>]</w:t>
      </w:r>
      <w:r>
        <w:rPr>
          <w:rFonts w:hint="eastAsia"/>
          <w:color w:val="auto"/>
          <w:szCs w:val="18"/>
          <w:highlight w:val="none"/>
          <w:shd w:val="clear" w:fill="auto"/>
        </w:rPr>
        <w:t>，从而增强对PE颗粒的电中和、卷扫网捕及上浮分离作用，促进其持续去除。</w:t>
      </w:r>
      <w:r>
        <w:rPr>
          <w:rFonts w:hint="eastAsia"/>
          <w:color w:val="auto"/>
          <w:szCs w:val="18"/>
          <w:highlight w:val="none"/>
          <w:shd w:val="clear" w:fill="auto"/>
          <w:lang w:val="en-US" w:eastAsia="zh-CN"/>
        </w:rPr>
        <w:t>如图2（b）所示</w:t>
      </w:r>
      <w:r>
        <w:rPr>
          <w:rFonts w:hint="eastAsia"/>
          <w:color w:val="auto"/>
          <w:szCs w:val="18"/>
          <w:highlight w:val="none"/>
          <w:shd w:val="clear" w:fill="auto"/>
        </w:rPr>
        <w:t>，外加电压升高会显著增加单位质量PE的处理能耗（</w:t>
      </w:r>
      <w:r>
        <w:rPr>
          <w:rFonts w:hint="eastAsia"/>
          <w:i/>
          <w:iCs/>
          <w:color w:val="auto"/>
          <w:szCs w:val="18"/>
          <w:highlight w:val="none"/>
          <w:shd w:val="clear" w:fill="auto"/>
        </w:rPr>
        <w:t>E</w:t>
      </w:r>
      <w:r>
        <w:rPr>
          <w:rFonts w:hint="eastAsia"/>
          <w:color w:val="auto"/>
          <w:szCs w:val="18"/>
          <w:highlight w:val="none"/>
          <w:shd w:val="clear" w:fill="auto"/>
        </w:rPr>
        <w:t>），</w:t>
      </w:r>
      <w:r>
        <w:rPr>
          <w:rFonts w:hint="eastAsia"/>
          <w:color w:val="auto"/>
          <w:szCs w:val="18"/>
          <w:highlight w:val="none"/>
          <w:shd w:val="clear" w:fill="auto"/>
          <w:lang w:val="en-US" w:eastAsia="zh-CN"/>
        </w:rPr>
        <w:t>表明</w:t>
      </w:r>
      <w:r>
        <w:rPr>
          <w:rFonts w:hint="eastAsia"/>
          <w:color w:val="auto"/>
          <w:szCs w:val="18"/>
          <w:highlight w:val="none"/>
          <w:shd w:val="clear" w:fill="auto"/>
        </w:rPr>
        <w:t>效率提升伴随更高的能量投入；与此同时，高电压条件下电极极化与表面钝化可能加剧</w:t>
      </w:r>
      <w:r>
        <w:rPr>
          <w:rFonts w:hint="eastAsia"/>
          <w:color w:val="auto"/>
          <w:szCs w:val="18"/>
          <w:highlight w:val="none"/>
          <w:shd w:val="clear" w:fill="auto"/>
          <w:vertAlign w:val="superscript"/>
        </w:rPr>
        <w:t>[2</w:t>
      </w:r>
      <w:r>
        <w:rPr>
          <w:rFonts w:hint="eastAsia"/>
          <w:color w:val="auto"/>
          <w:szCs w:val="18"/>
          <w:highlight w:val="none"/>
          <w:shd w:val="clear" w:fill="auto"/>
          <w:vertAlign w:val="superscript"/>
          <w:lang w:val="en-US" w:eastAsia="zh-CN"/>
        </w:rPr>
        <w:t>1</w:t>
      </w:r>
      <w:r>
        <w:rPr>
          <w:rFonts w:hint="eastAsia"/>
          <w:color w:val="auto"/>
          <w:szCs w:val="18"/>
          <w:highlight w:val="none"/>
          <w:shd w:val="clear" w:fill="auto"/>
          <w:vertAlign w:val="superscript"/>
        </w:rPr>
        <w:t>]</w:t>
      </w:r>
      <w:r>
        <w:rPr>
          <w:rFonts w:hint="eastAsia"/>
          <w:color w:val="auto"/>
          <w:szCs w:val="18"/>
          <w:highlight w:val="none"/>
          <w:shd w:val="clear" w:fill="auto"/>
        </w:rPr>
        <w:t>，不利于长期稳定运行，并可能增加电极消耗与维护成本。综合去除率与能耗结果，3.0V条件下去除效果已接近4.0V，但能耗显著低于4.0V，因此在本研究条件下选取3.0V为后续</w:t>
      </w:r>
      <w:r>
        <w:rPr>
          <w:rFonts w:hint="eastAsia"/>
          <w:color w:val="auto"/>
          <w:szCs w:val="18"/>
          <w:highlight w:val="none"/>
          <w:shd w:val="clear" w:fill="auto"/>
          <w:lang w:eastAsia="zh-CN"/>
        </w:rPr>
        <w:t>试验</w:t>
      </w:r>
      <w:r>
        <w:rPr>
          <w:rFonts w:hint="eastAsia"/>
          <w:color w:val="auto"/>
          <w:szCs w:val="18"/>
          <w:highlight w:val="none"/>
          <w:shd w:val="clear" w:fill="auto"/>
        </w:rPr>
        <w:t>的优选电压参数。</w:t>
      </w:r>
    </w:p>
    <w:p w14:paraId="63E2203F">
      <w:pPr>
        <w:adjustRightInd w:val="0"/>
        <w:snapToGrid w:val="0"/>
        <w:jc w:val="center"/>
        <w:rPr>
          <w:rFonts w:hint="eastAsia" w:eastAsia="宋体"/>
          <w:color w:val="auto"/>
          <w:szCs w:val="18"/>
          <w:highlight w:val="none"/>
          <w:shd w:val="clear" w:fill="auto"/>
          <w:lang w:eastAsia="zh-CN"/>
        </w:rPr>
      </w:pPr>
      <w:r>
        <w:rPr>
          <w:rFonts w:hint="eastAsia" w:eastAsia="宋体"/>
          <w:color w:val="auto"/>
          <w:szCs w:val="18"/>
          <w:highlight w:val="none"/>
          <w:shd w:val="clear" w:fill="auto"/>
          <w:lang w:eastAsia="zh-CN"/>
        </w:rPr>
        <w:drawing>
          <wp:inline distT="0" distB="0" distL="114300" distR="114300">
            <wp:extent cx="6057900" cy="2853055"/>
            <wp:effectExtent l="0" t="0" r="0" b="4445"/>
            <wp:docPr id="2" name="图片 2" descr="1电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电压"/>
                    <pic:cNvPicPr>
                      <a:picLocks noChangeAspect="1"/>
                    </pic:cNvPicPr>
                  </pic:nvPicPr>
                  <pic:blipFill>
                    <a:blip r:embed="rId12"/>
                    <a:stretch>
                      <a:fillRect/>
                    </a:stretch>
                  </pic:blipFill>
                  <pic:spPr>
                    <a:xfrm>
                      <a:off x="0" y="0"/>
                      <a:ext cx="6057900" cy="2853055"/>
                    </a:xfrm>
                    <a:prstGeom prst="rect">
                      <a:avLst/>
                    </a:prstGeom>
                  </pic:spPr>
                </pic:pic>
              </a:graphicData>
            </a:graphic>
          </wp:inline>
        </w:drawing>
      </w:r>
    </w:p>
    <w:p w14:paraId="2DFAB88F">
      <w:pPr>
        <w:adjustRightInd w:val="0"/>
        <w:snapToGrid w:val="0"/>
        <w:jc w:val="center"/>
        <w:rPr>
          <w:rFonts w:hint="eastAsia"/>
          <w:color w:val="auto"/>
          <w:sz w:val="18"/>
          <w:szCs w:val="18"/>
          <w:highlight w:val="none"/>
          <w:shd w:val="clear" w:fill="auto"/>
        </w:rPr>
      </w:pPr>
      <w:r>
        <w:rPr>
          <w:rFonts w:hint="eastAsia"/>
          <w:color w:val="auto"/>
          <w:sz w:val="18"/>
          <w:szCs w:val="18"/>
          <w:highlight w:val="none"/>
          <w:shd w:val="clear" w:fill="auto"/>
        </w:rPr>
        <w:t>图2 外加电压对PE微塑料去除过程的影响</w:t>
      </w:r>
    </w:p>
    <w:p w14:paraId="2EBD78F7">
      <w:pPr>
        <w:adjustRightInd w:val="0"/>
        <w:snapToGrid w:val="0"/>
        <w:jc w:val="center"/>
        <w:rPr>
          <w:rFonts w:hint="default" w:eastAsia="宋体"/>
          <w:color w:val="auto"/>
          <w:sz w:val="18"/>
          <w:szCs w:val="18"/>
          <w:highlight w:val="none"/>
          <w:shd w:val="clear" w:fill="auto"/>
          <w:lang w:val="en-US" w:eastAsia="zh-CN"/>
        </w:rPr>
      </w:pPr>
      <w:r>
        <w:rPr>
          <w:rFonts w:hint="eastAsia"/>
          <w:color w:val="auto"/>
          <w:sz w:val="18"/>
          <w:szCs w:val="18"/>
          <w:highlight w:val="none"/>
          <w:shd w:val="clear" w:fill="auto"/>
          <w:lang w:val="en-US" w:eastAsia="zh-CN"/>
        </w:rPr>
        <w:t>Fig.2  Effect of applied voltage on removal process of PE microplastics</w:t>
      </w:r>
    </w:p>
    <w:p w14:paraId="57BFF0DE">
      <w:pPr>
        <w:adjustRightInd w:val="0"/>
        <w:snapToGrid w:val="0"/>
        <w:rPr>
          <w:color w:val="auto"/>
          <w:sz w:val="21"/>
          <w:szCs w:val="21"/>
          <w:highlight w:val="none"/>
          <w:shd w:val="clear" w:fill="auto"/>
        </w:rPr>
      </w:pPr>
      <w:r>
        <w:rPr>
          <w:rFonts w:hint="eastAsia" w:eastAsia="黑体"/>
          <w:b/>
          <w:bCs/>
          <w:color w:val="auto"/>
          <w:sz w:val="21"/>
          <w:szCs w:val="21"/>
          <w:highlight w:val="none"/>
          <w:shd w:val="clear" w:fill="auto"/>
          <w:lang w:val="en-US" w:eastAsia="zh-CN"/>
        </w:rPr>
        <w:t>2</w:t>
      </w:r>
      <w:r>
        <w:rPr>
          <w:rFonts w:eastAsia="黑体"/>
          <w:b/>
          <w:bCs/>
          <w:color w:val="auto"/>
          <w:sz w:val="21"/>
          <w:szCs w:val="21"/>
          <w:highlight w:val="none"/>
          <w:shd w:val="clear" w:fill="auto"/>
        </w:rPr>
        <w:t>.2</w:t>
      </w:r>
      <w:r>
        <w:rPr>
          <w:rFonts w:eastAsia="黑体"/>
          <w:color w:val="auto"/>
          <w:sz w:val="21"/>
          <w:szCs w:val="21"/>
          <w:highlight w:val="none"/>
          <w:shd w:val="clear" w:fill="auto"/>
        </w:rPr>
        <w:t xml:space="preserve"> </w:t>
      </w:r>
      <w:r>
        <w:rPr>
          <w:rFonts w:hint="eastAsia" w:eastAsia="黑体"/>
          <w:color w:val="auto"/>
          <w:sz w:val="21"/>
          <w:szCs w:val="21"/>
          <w:highlight w:val="none"/>
          <w:shd w:val="clear" w:fill="auto"/>
        </w:rPr>
        <w:t xml:space="preserve"> </w:t>
      </w:r>
      <w:r>
        <w:rPr>
          <w:rFonts w:eastAsia="黑体"/>
          <w:color w:val="auto"/>
          <w:sz w:val="21"/>
          <w:szCs w:val="21"/>
          <w:highlight w:val="none"/>
          <w:shd w:val="clear" w:fill="auto"/>
        </w:rPr>
        <w:t>初始pH值对聚乙烯去除效果的影响</w:t>
      </w:r>
    </w:p>
    <w:p w14:paraId="4DFFBE0F">
      <w:pPr>
        <w:adjustRightInd w:val="0"/>
        <w:snapToGrid w:val="0"/>
        <w:ind w:left="0" w:leftChars="0" w:firstLine="420" w:firstLineChars="200"/>
        <w:jc w:val="both"/>
        <w:rPr>
          <w:rFonts w:hint="default" w:ascii="Times New Roman" w:hAnsi="Times New Roman" w:cs="Times New Roman"/>
          <w:color w:val="auto"/>
          <w:szCs w:val="18"/>
          <w:highlight w:val="none"/>
          <w:shd w:val="clear" w:fill="auto"/>
        </w:rPr>
      </w:pPr>
      <w:r>
        <w:rPr>
          <w:rFonts w:hint="default" w:ascii="Times New Roman" w:hAnsi="Times New Roman" w:cs="Times New Roman"/>
          <w:color w:val="auto"/>
          <w:szCs w:val="18"/>
          <w:highlight w:val="none"/>
          <w:shd w:val="clear" w:fill="auto"/>
        </w:rPr>
        <w:t>通过设置初始pH=3、5、7、10四组对比</w:t>
      </w:r>
      <w:r>
        <w:rPr>
          <w:rFonts w:hint="eastAsia"/>
          <w:color w:val="auto"/>
          <w:szCs w:val="18"/>
          <w:highlight w:val="none"/>
          <w:shd w:val="clear" w:fill="auto"/>
        </w:rPr>
        <w:t>试验</w:t>
      </w:r>
      <w:r>
        <w:rPr>
          <w:rFonts w:hint="default" w:ascii="Times New Roman" w:hAnsi="Times New Roman" w:cs="Times New Roman"/>
          <w:color w:val="auto"/>
          <w:szCs w:val="18"/>
          <w:highlight w:val="none"/>
          <w:shd w:val="clear" w:fill="auto"/>
        </w:rPr>
        <w:t>，探究溶液酸碱度对PE微塑料去除效果的影响；除初始pH外，其余条件保持一致：PE初始浓度0.5g/L、外加电压3.0V、NaCl 0.01mol/L（及SDBS 0.2g/L、电极间距3.5cm、通电30min、搅拌200r/min、室温</w:t>
      </w:r>
      <w:r>
        <w:rPr>
          <w:rFonts w:hint="default" w:ascii="Times New Roman" w:hAnsi="Times New Roman" w:cs="Times New Roman"/>
          <w:color w:val="auto"/>
          <w:szCs w:val="18"/>
          <w:highlight w:val="none"/>
          <w:shd w:val="clear" w:fill="auto"/>
          <w:lang w:eastAsia="zh-CN"/>
        </w:rPr>
        <w:t>）</w:t>
      </w:r>
      <w:r>
        <w:rPr>
          <w:rFonts w:hint="default" w:ascii="Times New Roman" w:hAnsi="Times New Roman" w:cs="Times New Roman"/>
          <w:color w:val="auto"/>
          <w:szCs w:val="18"/>
          <w:highlight w:val="none"/>
          <w:shd w:val="clear" w:fill="auto"/>
        </w:rPr>
        <w:t>。</w:t>
      </w:r>
      <w:r>
        <w:rPr>
          <w:rFonts w:hint="eastAsia"/>
          <w:color w:val="auto"/>
          <w:szCs w:val="18"/>
          <w:highlight w:val="none"/>
          <w:shd w:val="clear" w:fill="auto"/>
          <w:lang w:val="en-US" w:eastAsia="zh-CN"/>
        </w:rPr>
        <w:t>如图3（a）所示</w:t>
      </w:r>
      <w:r>
        <w:rPr>
          <w:rFonts w:hint="default" w:ascii="Times New Roman" w:hAnsi="Times New Roman" w:cs="Times New Roman"/>
          <w:color w:val="auto"/>
          <w:szCs w:val="18"/>
          <w:highlight w:val="none"/>
          <w:shd w:val="clear" w:fill="auto"/>
        </w:rPr>
        <w:t>，在初始pH=3、5、7、10条件下，PE去除率均随通电时间延长而提高；在通电30min时，各条件去除率约为67%</w:t>
      </w:r>
      <w:r>
        <w:rPr>
          <w:rFonts w:hint="eastAsia" w:cs="Times New Roman"/>
          <w:color w:val="auto"/>
          <w:szCs w:val="18"/>
          <w:highlight w:val="none"/>
          <w:shd w:val="clear" w:fill="auto"/>
          <w:lang w:val="en-US" w:eastAsia="zh-CN"/>
        </w:rPr>
        <w:t>~</w:t>
      </w:r>
      <w:r>
        <w:rPr>
          <w:rFonts w:hint="default" w:ascii="Times New Roman" w:hAnsi="Times New Roman" w:cs="Times New Roman"/>
          <w:color w:val="auto"/>
          <w:szCs w:val="18"/>
          <w:highlight w:val="none"/>
          <w:shd w:val="clear" w:fill="auto"/>
        </w:rPr>
        <w:t>97%，表明电絮凝在本研究考察的pH范围内均可实现PE的有效去除，但不同pH下去除效果差异显著。相比酸性与中性条件，初始pH=10时最终去除率最低，这可能与铝氢氧化物在高pH条件下呈两性、易转化为可溶的Al(OH)</w:t>
      </w:r>
      <w:r>
        <w:rPr>
          <w:rFonts w:hint="eastAsia" w:cs="Times New Roman"/>
          <w:color w:val="auto"/>
          <w:szCs w:val="18"/>
          <w:highlight w:val="none"/>
          <w:shd w:val="clear" w:fill="auto"/>
          <w:vertAlign w:val="subscript"/>
          <w:lang w:val="en-US" w:eastAsia="zh-CN"/>
        </w:rPr>
        <w:t>4</w:t>
      </w:r>
      <w:r>
        <w:rPr>
          <w:rFonts w:hint="default" w:ascii="Times New Roman" w:hAnsi="Times New Roman" w:cs="Times New Roman"/>
          <w:color w:val="auto"/>
          <w:szCs w:val="18"/>
          <w:highlight w:val="none"/>
          <w:shd w:val="clear" w:fill="auto"/>
          <w:vertAlign w:val="superscript"/>
        </w:rPr>
        <w:t>⁻</w:t>
      </w:r>
      <w:r>
        <w:rPr>
          <w:rFonts w:hint="default" w:ascii="Times New Roman" w:hAnsi="Times New Roman" w:cs="Times New Roman"/>
          <w:color w:val="auto"/>
          <w:szCs w:val="18"/>
          <w:highlight w:val="none"/>
          <w:shd w:val="clear" w:fill="auto"/>
        </w:rPr>
        <w:t>有关</w:t>
      </w:r>
      <w:r>
        <w:rPr>
          <w:rFonts w:hint="default" w:ascii="Times New Roman" w:hAnsi="Times New Roman" w:cs="Times New Roman"/>
          <w:color w:val="auto"/>
          <w:szCs w:val="18"/>
          <w:highlight w:val="none"/>
          <w:shd w:val="clear" w:fill="auto"/>
          <w:vertAlign w:val="superscript"/>
          <w:lang w:val="en-US"/>
        </w:rPr>
        <w:t>[2</w:t>
      </w:r>
      <w:r>
        <w:rPr>
          <w:rFonts w:hint="eastAsia" w:cs="Times New Roman"/>
          <w:color w:val="auto"/>
          <w:szCs w:val="18"/>
          <w:highlight w:val="none"/>
          <w:shd w:val="clear" w:fill="auto"/>
          <w:vertAlign w:val="superscript"/>
          <w:lang w:val="en-US" w:eastAsia="zh-CN"/>
        </w:rPr>
        <w:t>2</w:t>
      </w:r>
      <w:r>
        <w:rPr>
          <w:rFonts w:hint="default" w:ascii="Times New Roman" w:hAnsi="Times New Roman" w:cs="Times New Roman"/>
          <w:color w:val="auto"/>
          <w:szCs w:val="18"/>
          <w:highlight w:val="none"/>
          <w:shd w:val="clear" w:fill="auto"/>
          <w:vertAlign w:val="superscript"/>
          <w:lang w:val="en-US"/>
        </w:rPr>
        <w:t>]</w:t>
      </w:r>
      <w:r>
        <w:rPr>
          <w:rFonts w:hint="default" w:ascii="Times New Roman" w:hAnsi="Times New Roman" w:cs="Times New Roman"/>
          <w:color w:val="auto"/>
          <w:szCs w:val="18"/>
          <w:highlight w:val="none"/>
          <w:shd w:val="clear" w:fill="auto"/>
        </w:rPr>
        <w:t>，从而削弱以Al(OH)</w:t>
      </w:r>
      <w:r>
        <w:rPr>
          <w:rFonts w:hint="eastAsia" w:cs="Times New Roman"/>
          <w:color w:val="auto"/>
          <w:szCs w:val="18"/>
          <w:highlight w:val="none"/>
          <w:shd w:val="clear" w:fill="auto"/>
          <w:vertAlign w:val="subscript"/>
          <w:lang w:val="en-US" w:eastAsia="zh-CN"/>
        </w:rPr>
        <w:t>3</w:t>
      </w:r>
      <w:r>
        <w:rPr>
          <w:rFonts w:hint="default" w:ascii="Times New Roman" w:hAnsi="Times New Roman" w:cs="Times New Roman"/>
          <w:color w:val="auto"/>
          <w:szCs w:val="18"/>
          <w:highlight w:val="none"/>
          <w:shd w:val="clear" w:fill="auto"/>
        </w:rPr>
        <w:t>(s)为主的絮凝/卷扫作用。</w:t>
      </w:r>
    </w:p>
    <w:p w14:paraId="4A985A90">
      <w:pPr>
        <w:adjustRightInd w:val="0"/>
        <w:snapToGrid w:val="0"/>
        <w:ind w:left="0" w:leftChars="0" w:firstLine="420" w:firstLineChars="200"/>
        <w:jc w:val="both"/>
        <w:rPr>
          <w:rFonts w:hint="default" w:ascii="Times New Roman" w:hAnsi="Times New Roman" w:cs="Times New Roman"/>
          <w:color w:val="auto"/>
          <w:szCs w:val="18"/>
          <w:highlight w:val="none"/>
          <w:shd w:val="clear" w:fill="auto"/>
        </w:rPr>
      </w:pPr>
      <w:r>
        <w:rPr>
          <w:rFonts w:hint="eastAsia"/>
          <w:color w:val="auto"/>
          <w:szCs w:val="18"/>
          <w:highlight w:val="none"/>
          <w:shd w:val="clear" w:fill="auto"/>
          <w:lang w:val="en-US" w:eastAsia="zh-CN"/>
        </w:rPr>
        <w:t>如图3（b）所示</w:t>
      </w:r>
      <w:r>
        <w:rPr>
          <w:rFonts w:hint="default" w:ascii="Times New Roman" w:hAnsi="Times New Roman" w:cs="Times New Roman"/>
          <w:color w:val="auto"/>
          <w:szCs w:val="18"/>
          <w:highlight w:val="none"/>
          <w:shd w:val="clear" w:fill="auto"/>
        </w:rPr>
        <w:t>，酸性初始条件（pH=3、5）下通电过程中溶液pH上升更明显，主要由于阴极析氢反应持续生成O</w:t>
      </w:r>
      <w:r>
        <w:rPr>
          <w:rFonts w:hint="eastAsia" w:cs="Times New Roman"/>
          <w:color w:val="auto"/>
          <w:szCs w:val="18"/>
          <w:highlight w:val="none"/>
          <w:shd w:val="clear" w:fill="auto"/>
          <w:lang w:val="en-US" w:eastAsia="zh-CN"/>
        </w:rPr>
        <w:t>H</w:t>
      </w:r>
      <w:r>
        <w:rPr>
          <w:rFonts w:hint="eastAsia" w:cs="Times New Roman"/>
          <w:color w:val="auto"/>
          <w:szCs w:val="18"/>
          <w:highlight w:val="none"/>
          <w:shd w:val="clear" w:fill="auto"/>
          <w:vertAlign w:val="superscript"/>
          <w:lang w:val="en-US" w:eastAsia="zh-CN"/>
        </w:rPr>
        <w:t>—</w:t>
      </w:r>
      <w:r>
        <w:rPr>
          <w:rFonts w:hint="default" w:ascii="Times New Roman" w:hAnsi="Times New Roman" w:cs="Times New Roman"/>
          <w:color w:val="auto"/>
          <w:szCs w:val="18"/>
          <w:highlight w:val="none"/>
          <w:shd w:val="clear" w:fill="auto"/>
        </w:rPr>
        <w:t>中和H</w:t>
      </w:r>
      <w:r>
        <w:rPr>
          <w:rFonts w:hint="eastAsia" w:cs="Times New Roman"/>
          <w:color w:val="auto"/>
          <w:szCs w:val="18"/>
          <w:highlight w:val="none"/>
          <w:shd w:val="clear" w:fill="auto"/>
          <w:vertAlign w:val="superscript"/>
          <w:lang w:val="en-US" w:eastAsia="zh-CN"/>
        </w:rPr>
        <w:t>+</w:t>
      </w:r>
      <w:r>
        <w:rPr>
          <w:rFonts w:hint="default" w:ascii="Times New Roman" w:hAnsi="Times New Roman" w:cs="Times New Roman"/>
          <w:color w:val="auto"/>
          <w:szCs w:val="18"/>
          <w:highlight w:val="none"/>
          <w:shd w:val="clear" w:fill="auto"/>
          <w:vertAlign w:val="superscript"/>
          <w:lang w:val="en-US"/>
        </w:rPr>
        <w:t>[2</w:t>
      </w:r>
      <w:r>
        <w:rPr>
          <w:rFonts w:hint="eastAsia" w:cs="Times New Roman"/>
          <w:color w:val="auto"/>
          <w:szCs w:val="18"/>
          <w:highlight w:val="none"/>
          <w:shd w:val="clear" w:fill="auto"/>
          <w:vertAlign w:val="superscript"/>
          <w:lang w:val="en-US" w:eastAsia="zh-CN"/>
        </w:rPr>
        <w:t>3</w:t>
      </w:r>
      <w:r>
        <w:rPr>
          <w:rFonts w:hint="default" w:ascii="Times New Roman" w:hAnsi="Times New Roman" w:cs="Times New Roman"/>
          <w:color w:val="auto"/>
          <w:szCs w:val="18"/>
          <w:highlight w:val="none"/>
          <w:shd w:val="clear" w:fill="auto"/>
          <w:vertAlign w:val="superscript"/>
          <w:lang w:val="en-US"/>
        </w:rPr>
        <w:t>]</w:t>
      </w:r>
      <w:r>
        <w:rPr>
          <w:rFonts w:hint="default" w:ascii="Times New Roman" w:hAnsi="Times New Roman" w:cs="Times New Roman"/>
          <w:color w:val="auto"/>
          <w:szCs w:val="18"/>
          <w:highlight w:val="none"/>
          <w:shd w:val="clear" w:fill="auto"/>
        </w:rPr>
        <w:t>，推动体系pH向中性移动；同时酸性介质可溶解电极表面钝化层并在一定程度上缓解钝化</w:t>
      </w:r>
      <w:r>
        <w:rPr>
          <w:rFonts w:hint="default" w:ascii="Times New Roman" w:hAnsi="Times New Roman" w:cs="Times New Roman"/>
          <w:color w:val="auto"/>
          <w:szCs w:val="18"/>
          <w:highlight w:val="none"/>
          <w:shd w:val="clear" w:fill="auto"/>
          <w:vertAlign w:val="superscript"/>
        </w:rPr>
        <w:t>[2</w:t>
      </w:r>
      <w:r>
        <w:rPr>
          <w:rFonts w:hint="eastAsia" w:cs="Times New Roman"/>
          <w:color w:val="auto"/>
          <w:szCs w:val="18"/>
          <w:highlight w:val="none"/>
          <w:shd w:val="clear" w:fill="auto"/>
          <w:vertAlign w:val="superscript"/>
          <w:lang w:val="en-US" w:eastAsia="zh-CN"/>
        </w:rPr>
        <w:t>4</w:t>
      </w:r>
      <w:r>
        <w:rPr>
          <w:rFonts w:hint="default" w:ascii="Times New Roman" w:hAnsi="Times New Roman" w:cs="Times New Roman"/>
          <w:color w:val="auto"/>
          <w:szCs w:val="18"/>
          <w:highlight w:val="none"/>
          <w:shd w:val="clear" w:fill="auto"/>
          <w:vertAlign w:val="superscript"/>
        </w:rPr>
        <w:t>]</w:t>
      </w:r>
      <w:r>
        <w:rPr>
          <w:rFonts w:hint="default" w:ascii="Times New Roman" w:hAnsi="Times New Roman" w:cs="Times New Roman"/>
          <w:color w:val="auto"/>
          <w:szCs w:val="18"/>
          <w:highlight w:val="none"/>
          <w:shd w:val="clear" w:fill="auto"/>
        </w:rPr>
        <w:t>，有利于维持阳极活性并促进铝的电化学溶出</w:t>
      </w:r>
      <w:r>
        <w:rPr>
          <w:rFonts w:hint="eastAsia" w:cs="Times New Roman"/>
          <w:color w:val="auto"/>
          <w:szCs w:val="18"/>
          <w:highlight w:val="none"/>
          <w:shd w:val="clear" w:fill="auto"/>
          <w:lang w:eastAsia="zh-CN"/>
        </w:rPr>
        <w:t>。</w:t>
      </w:r>
      <w:r>
        <w:rPr>
          <w:rFonts w:hint="default" w:ascii="Times New Roman" w:hAnsi="Times New Roman" w:cs="Times New Roman"/>
          <w:color w:val="auto"/>
          <w:szCs w:val="18"/>
          <w:highlight w:val="none"/>
          <w:shd w:val="clear" w:fill="auto"/>
        </w:rPr>
        <w:t>过强酸性条件下Al(OH)</w:t>
      </w:r>
      <w:r>
        <w:rPr>
          <w:rFonts w:hint="eastAsia" w:cs="Times New Roman"/>
          <w:color w:val="auto"/>
          <w:szCs w:val="18"/>
          <w:highlight w:val="none"/>
          <w:shd w:val="clear" w:fill="auto"/>
          <w:vertAlign w:val="subscript"/>
          <w:lang w:val="en-US" w:eastAsia="zh-CN"/>
        </w:rPr>
        <w:t>3</w:t>
      </w:r>
      <w:r>
        <w:rPr>
          <w:rFonts w:hint="default" w:ascii="Times New Roman" w:hAnsi="Times New Roman" w:cs="Times New Roman"/>
          <w:color w:val="auto"/>
          <w:szCs w:val="18"/>
          <w:highlight w:val="none"/>
          <w:shd w:val="clear" w:fill="auto"/>
        </w:rPr>
        <w:t>(s)絮体的形成可能受限，因此其去除效果未必优于近中性条件。初始pH=10时，溶液pH仅轻微下降后趋于稳定，可能是由于阳极生成的Al</w:t>
      </w:r>
      <w:r>
        <w:rPr>
          <w:rFonts w:hint="eastAsia" w:cs="Times New Roman"/>
          <w:color w:val="auto"/>
          <w:szCs w:val="18"/>
          <w:highlight w:val="none"/>
          <w:shd w:val="clear" w:fill="auto"/>
          <w:vertAlign w:val="superscript"/>
          <w:lang w:val="en-US" w:eastAsia="zh-CN"/>
        </w:rPr>
        <w:t>3+</w:t>
      </w:r>
      <w:r>
        <w:rPr>
          <w:rFonts w:hint="default" w:ascii="Times New Roman" w:hAnsi="Times New Roman" w:cs="Times New Roman"/>
          <w:color w:val="auto"/>
          <w:szCs w:val="18"/>
          <w:highlight w:val="none"/>
          <w:shd w:val="clear" w:fill="auto"/>
        </w:rPr>
        <w:t>在碱性条件下迅速与OH⁻反应形成Al(OH)</w:t>
      </w:r>
      <w:r>
        <w:rPr>
          <w:rFonts w:hint="eastAsia" w:cs="Times New Roman"/>
          <w:color w:val="auto"/>
          <w:szCs w:val="18"/>
          <w:highlight w:val="none"/>
          <w:shd w:val="clear" w:fill="auto"/>
          <w:vertAlign w:val="subscript"/>
          <w:lang w:val="en-US" w:eastAsia="zh-CN"/>
        </w:rPr>
        <w:t>3</w:t>
      </w:r>
      <w:r>
        <w:rPr>
          <w:rFonts w:hint="default" w:ascii="Times New Roman" w:hAnsi="Times New Roman" w:cs="Times New Roman"/>
          <w:color w:val="auto"/>
          <w:szCs w:val="18"/>
          <w:highlight w:val="none"/>
          <w:shd w:val="clear" w:fill="auto"/>
        </w:rPr>
        <w:t>并进一步转化为Al(OH)</w:t>
      </w:r>
      <w:r>
        <w:rPr>
          <w:rFonts w:hint="eastAsia" w:cs="Times New Roman"/>
          <w:color w:val="auto"/>
          <w:szCs w:val="18"/>
          <w:highlight w:val="none"/>
          <w:shd w:val="clear" w:fill="auto"/>
          <w:vertAlign w:val="subscript"/>
          <w:lang w:val="en-US" w:eastAsia="zh-CN"/>
        </w:rPr>
        <w:t>4</w:t>
      </w:r>
      <w:r>
        <w:rPr>
          <w:rFonts w:hint="default" w:ascii="Times New Roman" w:hAnsi="Times New Roman" w:cs="Times New Roman"/>
          <w:color w:val="auto"/>
          <w:szCs w:val="18"/>
          <w:highlight w:val="none"/>
          <w:shd w:val="clear" w:fill="auto"/>
          <w:vertAlign w:val="superscript"/>
        </w:rPr>
        <w:t>⁻</w:t>
      </w:r>
      <w:r>
        <w:rPr>
          <w:rFonts w:hint="default" w:ascii="Times New Roman" w:hAnsi="Times New Roman" w:cs="Times New Roman"/>
          <w:color w:val="auto"/>
          <w:szCs w:val="18"/>
          <w:highlight w:val="none"/>
          <w:shd w:val="clear" w:fill="auto"/>
        </w:rPr>
        <w:t>，初期消耗部分OH⁻导致pH略有下降；随后阴极析氢反应持续产生OH</w:t>
      </w:r>
      <w:r>
        <w:rPr>
          <w:rFonts w:hint="default" w:ascii="Times New Roman" w:hAnsi="Times New Roman" w:cs="Times New Roman"/>
          <w:color w:val="auto"/>
          <w:szCs w:val="18"/>
          <w:highlight w:val="none"/>
          <w:shd w:val="clear" w:fill="auto"/>
          <w:vertAlign w:val="superscript"/>
        </w:rPr>
        <w:t>⁻</w:t>
      </w:r>
      <w:r>
        <w:rPr>
          <w:rFonts w:hint="default" w:ascii="Times New Roman" w:hAnsi="Times New Roman" w:cs="Times New Roman"/>
          <w:color w:val="auto"/>
          <w:szCs w:val="18"/>
          <w:highlight w:val="none"/>
          <w:shd w:val="clear" w:fill="auto"/>
        </w:rPr>
        <w:t>，与水解消耗作用逐渐达到动态平衡，使体系pH维持在相对稳定状态。在该条件下，Al(OH)</w:t>
      </w:r>
      <w:r>
        <w:rPr>
          <w:rFonts w:hint="eastAsia" w:cs="Times New Roman"/>
          <w:color w:val="auto"/>
          <w:szCs w:val="18"/>
          <w:highlight w:val="none"/>
          <w:shd w:val="clear" w:fill="auto"/>
          <w:vertAlign w:val="subscript"/>
          <w:lang w:val="en-US" w:eastAsia="zh-CN"/>
        </w:rPr>
        <w:t>4</w:t>
      </w:r>
      <w:r>
        <w:rPr>
          <w:rFonts w:hint="default" w:ascii="Times New Roman" w:hAnsi="Times New Roman" w:cs="Times New Roman"/>
          <w:color w:val="auto"/>
          <w:szCs w:val="18"/>
          <w:highlight w:val="none"/>
          <w:shd w:val="clear" w:fill="auto"/>
          <w:vertAlign w:val="superscript"/>
        </w:rPr>
        <w:t>⁻</w:t>
      </w:r>
      <w:r>
        <w:rPr>
          <w:rFonts w:hint="default" w:ascii="Times New Roman" w:hAnsi="Times New Roman" w:cs="Times New Roman"/>
          <w:color w:val="auto"/>
          <w:szCs w:val="18"/>
          <w:highlight w:val="none"/>
          <w:shd w:val="clear" w:fill="auto"/>
        </w:rPr>
        <w:t>比例升高，体系中有效絮体含量相对减少，削弱了絮凝沉降与分离过程，因此去除率最低。不同初始pH条件下电絮凝过程中溶液pH会发生动态变化，而pH的波动可能影响铝水解产物形态及絮凝性能，从而对微塑料去除效果的稳定性产生一定影响。相较之下，初始pH=7条件下去除率最高（约96.7%），可能归因于近中性环境更有利于铝溶出后水解生成无定形Al(OH)</w:t>
      </w:r>
      <w:r>
        <w:rPr>
          <w:rFonts w:hint="eastAsia" w:cs="Times New Roman"/>
          <w:color w:val="auto"/>
          <w:szCs w:val="18"/>
          <w:highlight w:val="none"/>
          <w:shd w:val="clear" w:fill="auto"/>
          <w:vertAlign w:val="subscript"/>
          <w:lang w:val="en-US" w:eastAsia="zh-CN"/>
        </w:rPr>
        <w:t>3</w:t>
      </w:r>
      <w:r>
        <w:rPr>
          <w:rFonts w:hint="default" w:ascii="Times New Roman" w:hAnsi="Times New Roman" w:cs="Times New Roman"/>
          <w:color w:val="auto"/>
          <w:szCs w:val="18"/>
          <w:highlight w:val="none"/>
          <w:shd w:val="clear" w:fill="auto"/>
        </w:rPr>
        <w:t>(s)絮体，从而强化电中和与卷扫网捕等作用并提升微塑料去除效率</w:t>
      </w:r>
      <w:r>
        <w:rPr>
          <w:rFonts w:hint="default" w:ascii="Times New Roman" w:hAnsi="Times New Roman" w:cs="Times New Roman"/>
          <w:color w:val="auto"/>
          <w:szCs w:val="18"/>
          <w:highlight w:val="none"/>
          <w:shd w:val="clear" w:fill="auto"/>
          <w:vertAlign w:val="superscript"/>
        </w:rPr>
        <w:t>[16]</w:t>
      </w:r>
      <w:r>
        <w:rPr>
          <w:rFonts w:hint="default" w:ascii="Times New Roman" w:hAnsi="Times New Roman" w:cs="Times New Roman"/>
          <w:color w:val="auto"/>
          <w:szCs w:val="18"/>
          <w:highlight w:val="none"/>
          <w:shd w:val="clear" w:fill="auto"/>
        </w:rPr>
        <w:t>。综合上述结果，在本研究条件下选取初始pH=7作为后续</w:t>
      </w:r>
      <w:r>
        <w:rPr>
          <w:rFonts w:hint="eastAsia" w:cs="Times New Roman"/>
          <w:color w:val="auto"/>
          <w:szCs w:val="18"/>
          <w:highlight w:val="none"/>
          <w:shd w:val="clear" w:fill="auto"/>
          <w:lang w:eastAsia="zh-CN"/>
        </w:rPr>
        <w:t>试验</w:t>
      </w:r>
      <w:r>
        <w:rPr>
          <w:rFonts w:hint="default" w:ascii="Times New Roman" w:hAnsi="Times New Roman" w:cs="Times New Roman"/>
          <w:color w:val="auto"/>
          <w:szCs w:val="18"/>
          <w:highlight w:val="none"/>
          <w:shd w:val="clear" w:fill="auto"/>
        </w:rPr>
        <w:t>的优选参数。</w:t>
      </w:r>
    </w:p>
    <w:p w14:paraId="1B1A5405">
      <w:pPr>
        <w:adjustRightInd w:val="0"/>
        <w:snapToGrid w:val="0"/>
        <w:jc w:val="both"/>
        <w:rPr>
          <w:color w:val="auto"/>
          <w:highlight w:val="none"/>
          <w:shd w:val="clear" w:fill="auto"/>
        </w:rPr>
      </w:pPr>
    </w:p>
    <w:p w14:paraId="086F848C">
      <w:pPr>
        <w:adjustRightInd w:val="0"/>
        <w:snapToGrid w:val="0"/>
        <w:jc w:val="center"/>
        <w:rPr>
          <w:rFonts w:hint="eastAsia" w:eastAsia="宋体"/>
          <w:color w:val="auto"/>
          <w:highlight w:val="none"/>
          <w:shd w:val="clear" w:fill="auto"/>
          <w:lang w:eastAsia="zh-CN"/>
        </w:rPr>
      </w:pPr>
      <w:r>
        <w:rPr>
          <w:rFonts w:hint="eastAsia" w:eastAsia="宋体"/>
          <w:color w:val="auto"/>
          <w:highlight w:val="none"/>
          <w:shd w:val="clear" w:fill="auto"/>
          <w:lang w:eastAsia="zh-CN"/>
        </w:rPr>
        <w:drawing>
          <wp:inline distT="0" distB="0" distL="114300" distR="114300">
            <wp:extent cx="6057900" cy="2776855"/>
            <wp:effectExtent l="0" t="0" r="0" b="4445"/>
            <wp:docPr id="3" name="图片 3" descr="1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PH"/>
                    <pic:cNvPicPr>
                      <a:picLocks noChangeAspect="1"/>
                    </pic:cNvPicPr>
                  </pic:nvPicPr>
                  <pic:blipFill>
                    <a:blip r:embed="rId13"/>
                    <a:stretch>
                      <a:fillRect/>
                    </a:stretch>
                  </pic:blipFill>
                  <pic:spPr>
                    <a:xfrm>
                      <a:off x="0" y="0"/>
                      <a:ext cx="6057900" cy="2776855"/>
                    </a:xfrm>
                    <a:prstGeom prst="rect">
                      <a:avLst/>
                    </a:prstGeom>
                  </pic:spPr>
                </pic:pic>
              </a:graphicData>
            </a:graphic>
          </wp:inline>
        </w:drawing>
      </w:r>
    </w:p>
    <w:p w14:paraId="2F6F6DA1">
      <w:pPr>
        <w:adjustRightInd w:val="0"/>
        <w:snapToGrid w:val="0"/>
        <w:jc w:val="center"/>
        <w:rPr>
          <w:color w:val="auto"/>
          <w:highlight w:val="none"/>
          <w:shd w:val="clear" w:fill="auto"/>
        </w:rPr>
      </w:pPr>
    </w:p>
    <w:p w14:paraId="118F3937">
      <w:pPr>
        <w:adjustRightInd w:val="0"/>
        <w:snapToGrid w:val="0"/>
        <w:jc w:val="center"/>
        <w:rPr>
          <w:rFonts w:hint="eastAsia"/>
          <w:color w:val="auto"/>
          <w:sz w:val="18"/>
          <w:szCs w:val="18"/>
          <w:highlight w:val="none"/>
          <w:shd w:val="clear" w:fill="auto"/>
        </w:rPr>
      </w:pPr>
      <w:r>
        <w:rPr>
          <w:rFonts w:hint="eastAsia"/>
          <w:color w:val="auto"/>
          <w:sz w:val="18"/>
          <w:szCs w:val="18"/>
          <w:highlight w:val="none"/>
          <w:shd w:val="clear" w:fill="auto"/>
        </w:rPr>
        <w:t>图3 不同初始pH条件下PE微塑料去除率与体系pH的时间变化</w:t>
      </w:r>
    </w:p>
    <w:p w14:paraId="01BFDF49">
      <w:pPr>
        <w:adjustRightInd w:val="0"/>
        <w:snapToGrid w:val="0"/>
        <w:jc w:val="center"/>
        <w:rPr>
          <w:color w:val="auto"/>
          <w:sz w:val="18"/>
          <w:szCs w:val="18"/>
          <w:highlight w:val="none"/>
          <w:shd w:val="clear" w:fill="auto"/>
        </w:rPr>
      </w:pPr>
      <w:r>
        <w:rPr>
          <w:rFonts w:hint="eastAsia"/>
          <w:color w:val="auto"/>
          <w:sz w:val="18"/>
          <w:szCs w:val="18"/>
          <w:highlight w:val="none"/>
          <w:shd w:val="clear" w:fill="auto"/>
        </w:rPr>
        <w:t>Fig.3</w:t>
      </w:r>
      <w:r>
        <w:rPr>
          <w:rFonts w:hint="eastAsia"/>
          <w:color w:val="auto"/>
          <w:sz w:val="18"/>
          <w:szCs w:val="18"/>
          <w:highlight w:val="none"/>
          <w:shd w:val="clear" w:fill="auto"/>
          <w:lang w:val="en-US" w:eastAsia="zh-CN"/>
        </w:rPr>
        <w:t xml:space="preserve"> </w:t>
      </w:r>
      <w:r>
        <w:rPr>
          <w:rFonts w:hint="eastAsia"/>
          <w:color w:val="auto"/>
          <w:sz w:val="18"/>
          <w:szCs w:val="18"/>
          <w:highlight w:val="none"/>
          <w:shd w:val="clear" w:fill="auto"/>
        </w:rPr>
        <w:t xml:space="preserve"> Temporal variations in PE microplastic removal efficiency and pH evolution at different initial pH values</w:t>
      </w:r>
    </w:p>
    <w:p w14:paraId="589154CC">
      <w:pPr>
        <w:adjustRightInd w:val="0"/>
        <w:snapToGrid w:val="0"/>
        <w:rPr>
          <w:b/>
          <w:bCs/>
          <w:color w:val="auto"/>
          <w:sz w:val="21"/>
          <w:szCs w:val="21"/>
          <w:highlight w:val="none"/>
          <w:shd w:val="clear" w:fill="auto"/>
        </w:rPr>
      </w:pPr>
    </w:p>
    <w:p w14:paraId="2CF80BB8">
      <w:pPr>
        <w:adjustRightInd w:val="0"/>
        <w:snapToGrid w:val="0"/>
        <w:rPr>
          <w:color w:val="auto"/>
          <w:sz w:val="21"/>
          <w:szCs w:val="21"/>
          <w:highlight w:val="none"/>
          <w:shd w:val="clear" w:fill="auto"/>
        </w:rPr>
      </w:pPr>
      <w:r>
        <w:rPr>
          <w:rFonts w:hint="eastAsia"/>
          <w:b/>
          <w:bCs/>
          <w:color w:val="auto"/>
          <w:sz w:val="21"/>
          <w:szCs w:val="21"/>
          <w:highlight w:val="none"/>
          <w:shd w:val="clear" w:fill="auto"/>
          <w:lang w:val="en-US" w:eastAsia="zh-CN"/>
        </w:rPr>
        <w:t>2</w:t>
      </w:r>
      <w:r>
        <w:rPr>
          <w:b/>
          <w:bCs/>
          <w:color w:val="auto"/>
          <w:sz w:val="21"/>
          <w:szCs w:val="21"/>
          <w:highlight w:val="none"/>
          <w:shd w:val="clear" w:fill="auto"/>
        </w:rPr>
        <w:t>.3</w:t>
      </w:r>
      <w:r>
        <w:rPr>
          <w:rFonts w:hint="eastAsia"/>
          <w:b/>
          <w:bCs/>
          <w:color w:val="auto"/>
          <w:sz w:val="21"/>
          <w:szCs w:val="21"/>
          <w:highlight w:val="none"/>
          <w:shd w:val="clear" w:fill="auto"/>
        </w:rPr>
        <w:t xml:space="preserve"> </w:t>
      </w:r>
      <w:r>
        <w:rPr>
          <w:color w:val="auto"/>
          <w:sz w:val="21"/>
          <w:szCs w:val="21"/>
          <w:highlight w:val="none"/>
          <w:shd w:val="clear" w:fill="auto"/>
        </w:rPr>
        <w:t xml:space="preserve"> </w:t>
      </w:r>
      <w:r>
        <w:rPr>
          <w:rFonts w:hint="eastAsia" w:ascii="黑体" w:hAnsi="黑体" w:eastAsia="黑体" w:cs="黑体"/>
          <w:color w:val="auto"/>
          <w:sz w:val="21"/>
          <w:szCs w:val="21"/>
          <w:highlight w:val="none"/>
          <w:shd w:val="clear" w:fill="auto"/>
        </w:rPr>
        <w:t>电解质浓度对聚乙烯去除效果的影响</w:t>
      </w:r>
    </w:p>
    <w:p w14:paraId="0ACFC1BA">
      <w:pPr>
        <w:adjustRightInd w:val="0"/>
        <w:snapToGrid w:val="0"/>
        <w:ind w:firstLine="420" w:firstLineChars="200"/>
        <w:rPr>
          <w:rFonts w:hint="default" w:ascii="Times New Roman" w:hAnsi="Times New Roman" w:cs="Times New Roman"/>
          <w:color w:val="auto"/>
          <w:szCs w:val="18"/>
          <w:highlight w:val="none"/>
          <w:shd w:val="clear" w:fill="auto"/>
        </w:rPr>
      </w:pPr>
      <w:r>
        <w:rPr>
          <w:rFonts w:hint="default" w:ascii="Times New Roman" w:hAnsi="Times New Roman" w:cs="Times New Roman"/>
          <w:color w:val="auto"/>
          <w:szCs w:val="18"/>
          <w:highlight w:val="none"/>
          <w:shd w:val="clear" w:fill="auto"/>
        </w:rPr>
        <w:t>为考察电解质（NaCl）浓度对电絮凝去除PE微塑料的影响，设置NaCl</w:t>
      </w:r>
      <w:r>
        <w:rPr>
          <w:rFonts w:hint="eastAsia" w:cs="Times New Roman"/>
          <w:color w:val="auto"/>
          <w:szCs w:val="18"/>
          <w:highlight w:val="none"/>
          <w:shd w:val="clear" w:fill="auto"/>
          <w:lang w:val="en-US" w:eastAsia="zh-CN"/>
        </w:rPr>
        <w:t>浓度</w:t>
      </w:r>
      <w:r>
        <w:rPr>
          <w:rFonts w:hint="default" w:ascii="Times New Roman" w:hAnsi="Times New Roman" w:cs="Times New Roman"/>
          <w:color w:val="auto"/>
          <w:szCs w:val="18"/>
          <w:highlight w:val="none"/>
          <w:shd w:val="clear" w:fill="auto"/>
        </w:rPr>
        <w:t>为0.01mol/L、0.02mol/L、0.04mol/L和0.08mol/L四个水平；除电解质浓度外，其余条件保持一致：PE初始浓度0.5g/L、外加电压3.0V、初始pH=7</w:t>
      </w:r>
      <w:r>
        <w:rPr>
          <w:rFonts w:hint="eastAsia"/>
          <w:color w:val="auto"/>
          <w:szCs w:val="18"/>
          <w:highlight w:val="none"/>
          <w:shd w:val="clear" w:fill="auto"/>
        </w:rPr>
        <w:t>（及SDBS 0.2g/L、电极间距3.5cm、通电30min、搅拌200r/min、室温</w:t>
      </w:r>
      <w:r>
        <w:rPr>
          <w:rFonts w:hint="eastAsia"/>
          <w:color w:val="auto"/>
          <w:szCs w:val="18"/>
          <w:highlight w:val="none"/>
          <w:shd w:val="clear" w:fill="auto"/>
          <w:lang w:eastAsia="zh-CN"/>
        </w:rPr>
        <w:t>）</w:t>
      </w:r>
      <w:r>
        <w:rPr>
          <w:rFonts w:hint="default" w:ascii="Times New Roman" w:hAnsi="Times New Roman" w:cs="Times New Roman"/>
          <w:color w:val="auto"/>
          <w:szCs w:val="18"/>
          <w:highlight w:val="none"/>
          <w:shd w:val="clear" w:fill="auto"/>
        </w:rPr>
        <w:t>。如图</w:t>
      </w:r>
      <w:r>
        <w:rPr>
          <w:rFonts w:hint="eastAsia" w:cs="Times New Roman"/>
          <w:color w:val="auto"/>
          <w:szCs w:val="18"/>
          <w:highlight w:val="none"/>
          <w:shd w:val="clear" w:fill="auto"/>
          <w:lang w:val="en-US" w:eastAsia="zh-CN"/>
        </w:rPr>
        <w:t>4</w:t>
      </w:r>
      <w:r>
        <w:rPr>
          <w:rFonts w:hint="default" w:ascii="Times New Roman" w:hAnsi="Times New Roman" w:cs="Times New Roman"/>
          <w:color w:val="auto"/>
          <w:szCs w:val="18"/>
          <w:highlight w:val="none"/>
          <w:shd w:val="clear" w:fill="auto"/>
        </w:rPr>
        <w:t>所示，在各NaCl浓度条件下，PE去除率均随通电时间延长而</w:t>
      </w:r>
      <w:r>
        <w:rPr>
          <w:rFonts w:hint="eastAsia" w:cs="Times New Roman"/>
          <w:color w:val="auto"/>
          <w:szCs w:val="18"/>
          <w:highlight w:val="none"/>
          <w:shd w:val="clear" w:fill="auto"/>
          <w:lang w:val="en-US" w:eastAsia="zh-CN"/>
        </w:rPr>
        <w:t>升高</w:t>
      </w:r>
      <w:r>
        <w:rPr>
          <w:rFonts w:hint="default" w:ascii="Times New Roman" w:hAnsi="Times New Roman" w:cs="Times New Roman"/>
          <w:color w:val="auto"/>
          <w:szCs w:val="18"/>
          <w:highlight w:val="none"/>
          <w:shd w:val="clear" w:fill="auto"/>
        </w:rPr>
        <w:t>，表明电絮凝过程具有累积增强效应；同时，不同NaCl浓度对应的去除曲线明显分层，说明电解质浓度对总体去除效率具有显著影响。当NaCl浓度为0.01mol/L时去除效果最佳，通电30min去除率约为94.7%；随着NaCl浓度由0.01mol/L增至0.08mol/L，去除率整体呈下降趋势，在0.08mol/L下通电30min的去除率约为66.7%。该现象可能与电解质改变体系电导、欧姆压降以及颗粒表面电性与絮体形成过程有关</w:t>
      </w:r>
      <w:r>
        <w:rPr>
          <w:rFonts w:hint="default"/>
          <w:color w:val="auto"/>
          <w:highlight w:val="none"/>
          <w:shd w:val="clear" w:fill="auto"/>
          <w:vertAlign w:val="superscript"/>
          <w:lang w:val="en-US"/>
        </w:rPr>
        <w:t>[2</w:t>
      </w:r>
      <w:r>
        <w:rPr>
          <w:rFonts w:hint="eastAsia"/>
          <w:color w:val="auto"/>
          <w:highlight w:val="none"/>
          <w:shd w:val="clear" w:fill="auto"/>
          <w:vertAlign w:val="superscript"/>
          <w:lang w:val="en-US" w:eastAsia="zh-CN"/>
        </w:rPr>
        <w:t>5</w:t>
      </w:r>
      <w:r>
        <w:rPr>
          <w:rFonts w:hint="default"/>
          <w:color w:val="auto"/>
          <w:highlight w:val="none"/>
          <w:shd w:val="clear" w:fill="auto"/>
          <w:vertAlign w:val="superscript"/>
          <w:lang w:val="en-US"/>
        </w:rPr>
        <w:t>]</w:t>
      </w:r>
      <w:r>
        <w:rPr>
          <w:rFonts w:hint="default" w:ascii="Times New Roman" w:hAnsi="Times New Roman" w:cs="Times New Roman"/>
          <w:color w:val="auto"/>
          <w:szCs w:val="18"/>
          <w:highlight w:val="none"/>
          <w:shd w:val="clear" w:fill="auto"/>
        </w:rPr>
        <w:t>：在一定范围内，提高NaCl浓度可降低溶液电阻并减小欧姆压降，使恒压运行下更易获得较高电流（或电流密度），从而促进阳极铝溶出并水解生成Al(OH)</w:t>
      </w:r>
      <w:r>
        <w:rPr>
          <w:rFonts w:hint="eastAsia" w:cs="Times New Roman"/>
          <w:color w:val="auto"/>
          <w:szCs w:val="18"/>
          <w:highlight w:val="none"/>
          <w:shd w:val="clear" w:fill="auto"/>
          <w:vertAlign w:val="subscript"/>
          <w:lang w:val="en-US" w:eastAsia="zh-CN"/>
        </w:rPr>
        <w:t>3</w:t>
      </w:r>
      <w:r>
        <w:rPr>
          <w:rFonts w:hint="default" w:ascii="Times New Roman" w:hAnsi="Times New Roman" w:cs="Times New Roman"/>
          <w:color w:val="auto"/>
          <w:szCs w:val="18"/>
          <w:highlight w:val="none"/>
          <w:shd w:val="clear" w:fill="auto"/>
        </w:rPr>
        <w:t>(s)絮体，提高絮凝网捕能力；此外，在本研究考察范围内，较低NaCl浓度（0.01mol/L）可能通过压缩颗粒双电层、降低静电排斥并增强电荷中和效应</w:t>
      </w:r>
      <w:r>
        <w:rPr>
          <w:rFonts w:hint="default" w:ascii="Times New Roman" w:hAnsi="Times New Roman" w:cs="Times New Roman"/>
          <w:color w:val="auto"/>
          <w:szCs w:val="18"/>
          <w:highlight w:val="none"/>
          <w:shd w:val="clear" w:fill="auto"/>
          <w:vertAlign w:val="superscript"/>
        </w:rPr>
        <w:t>[2</w:t>
      </w:r>
      <w:r>
        <w:rPr>
          <w:rFonts w:hint="eastAsia" w:cs="Times New Roman"/>
          <w:color w:val="auto"/>
          <w:szCs w:val="18"/>
          <w:highlight w:val="none"/>
          <w:shd w:val="clear" w:fill="auto"/>
          <w:vertAlign w:val="superscript"/>
          <w:lang w:val="en-US" w:eastAsia="zh-CN"/>
        </w:rPr>
        <w:t>6</w:t>
      </w:r>
      <w:r>
        <w:rPr>
          <w:rFonts w:hint="default" w:ascii="Times New Roman" w:hAnsi="Times New Roman" w:cs="Times New Roman"/>
          <w:color w:val="auto"/>
          <w:szCs w:val="18"/>
          <w:highlight w:val="none"/>
          <w:shd w:val="clear" w:fill="auto"/>
          <w:vertAlign w:val="superscript"/>
        </w:rPr>
        <w:t>]</w:t>
      </w:r>
      <w:r>
        <w:rPr>
          <w:rFonts w:hint="default" w:ascii="Times New Roman" w:hAnsi="Times New Roman" w:cs="Times New Roman"/>
          <w:color w:val="auto"/>
          <w:szCs w:val="18"/>
          <w:highlight w:val="none"/>
          <w:shd w:val="clear" w:fill="auto"/>
        </w:rPr>
        <w:t>，促进微塑料与絮体间聚集，从而获得更高去除率。相反，当NaCl浓度进一步升高时，较高离子强度可能引起过强的电荷屏蔽与双电层压缩</w:t>
      </w:r>
      <w:r>
        <w:rPr>
          <w:rFonts w:hint="default" w:ascii="Times New Roman" w:hAnsi="Times New Roman" w:cs="Times New Roman"/>
          <w:color w:val="auto"/>
          <w:szCs w:val="18"/>
          <w:highlight w:val="none"/>
          <w:shd w:val="clear" w:fill="auto"/>
          <w:vertAlign w:val="superscript"/>
        </w:rPr>
        <w:t>[2</w:t>
      </w:r>
      <w:r>
        <w:rPr>
          <w:rFonts w:hint="eastAsia" w:cs="Times New Roman"/>
          <w:color w:val="auto"/>
          <w:szCs w:val="18"/>
          <w:highlight w:val="none"/>
          <w:shd w:val="clear" w:fill="auto"/>
          <w:vertAlign w:val="superscript"/>
          <w:lang w:val="en-US" w:eastAsia="zh-CN"/>
        </w:rPr>
        <w:t>7</w:t>
      </w:r>
      <w:r>
        <w:rPr>
          <w:rFonts w:hint="default" w:ascii="Times New Roman" w:hAnsi="Times New Roman" w:cs="Times New Roman"/>
          <w:color w:val="auto"/>
          <w:szCs w:val="18"/>
          <w:highlight w:val="none"/>
          <w:shd w:val="clear" w:fill="auto"/>
          <w:vertAlign w:val="superscript"/>
        </w:rPr>
        <w:t>]</w:t>
      </w:r>
      <w:r>
        <w:rPr>
          <w:rFonts w:hint="default" w:ascii="Times New Roman" w:hAnsi="Times New Roman" w:cs="Times New Roman"/>
          <w:color w:val="auto"/>
          <w:szCs w:val="18"/>
          <w:highlight w:val="none"/>
          <w:shd w:val="clear" w:fill="auto"/>
        </w:rPr>
        <w:t>，改变颗粒—絮体相互作用与絮体结构特征，降低对PE的捕集效率；同时高离子强度下电极极化与表面膜层演化可能加剧，增加钝化风险并降低电极反应活性与运行稳定性，从而不利于持续生成有效絮凝剂与气泡，导致去除效果下降。综上，在本研究考察范围（0.01</w:t>
      </w:r>
      <w:r>
        <w:rPr>
          <w:rFonts w:hint="eastAsia" w:cs="Times New Roman"/>
          <w:color w:val="auto"/>
          <w:szCs w:val="18"/>
          <w:highlight w:val="none"/>
          <w:shd w:val="clear" w:fill="auto"/>
          <w:lang w:val="en-US" w:eastAsia="zh-CN"/>
        </w:rPr>
        <w:t>~</w:t>
      </w:r>
      <w:r>
        <w:rPr>
          <w:rFonts w:hint="default" w:ascii="Times New Roman" w:hAnsi="Times New Roman" w:cs="Times New Roman"/>
          <w:color w:val="auto"/>
          <w:szCs w:val="18"/>
          <w:highlight w:val="none"/>
          <w:shd w:val="clear" w:fill="auto"/>
        </w:rPr>
        <w:t>0.08mol/L）内，较低NaCl浓度（0.01mol/L）即可满足体系导电需求并获得最高去除率，而继续升高电解质浓度反而降低去除效率，因此实际应用中应结合目标水体离子背景与能耗需求优化电解质投加水平，以实现更优的微塑料去除效果与运行经济性。</w:t>
      </w:r>
    </w:p>
    <w:p w14:paraId="79877742">
      <w:pPr>
        <w:adjustRightInd w:val="0"/>
        <w:snapToGrid w:val="0"/>
        <w:jc w:val="center"/>
        <w:rPr>
          <w:color w:val="auto"/>
          <w:szCs w:val="18"/>
          <w:highlight w:val="none"/>
          <w:shd w:val="clear" w:fill="auto"/>
        </w:rPr>
      </w:pPr>
      <w:r>
        <w:rPr>
          <w:color w:val="auto"/>
          <w:highlight w:val="none"/>
          <w:shd w:val="clear" w:fill="auto"/>
        </w:rPr>
        <w:drawing>
          <wp:inline distT="0" distB="0" distL="114300" distR="114300">
            <wp:extent cx="2879725" cy="2373630"/>
            <wp:effectExtent l="0" t="0" r="3175" b="1270"/>
            <wp:docPr id="1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pic:cNvPicPr>
                      <a:picLocks noChangeAspect="1"/>
                    </pic:cNvPicPr>
                  </pic:nvPicPr>
                  <pic:blipFill>
                    <a:blip r:embed="rId14"/>
                    <a:stretch>
                      <a:fillRect/>
                    </a:stretch>
                  </pic:blipFill>
                  <pic:spPr>
                    <a:xfrm>
                      <a:off x="0" y="0"/>
                      <a:ext cx="2879725" cy="2373630"/>
                    </a:xfrm>
                    <a:prstGeom prst="rect">
                      <a:avLst/>
                    </a:prstGeom>
                    <a:noFill/>
                    <a:ln>
                      <a:noFill/>
                    </a:ln>
                  </pic:spPr>
                </pic:pic>
              </a:graphicData>
            </a:graphic>
          </wp:inline>
        </w:drawing>
      </w:r>
    </w:p>
    <w:p w14:paraId="3FEDFD9C">
      <w:pPr>
        <w:adjustRightInd w:val="0"/>
        <w:snapToGrid w:val="0"/>
        <w:jc w:val="center"/>
        <w:rPr>
          <w:rFonts w:hint="default" w:ascii="Times New Roman" w:hAnsi="Times New Roman" w:cs="Times New Roman"/>
          <w:color w:val="auto"/>
          <w:sz w:val="18"/>
          <w:szCs w:val="18"/>
          <w:highlight w:val="none"/>
          <w:shd w:val="clear" w:fill="auto"/>
        </w:rPr>
      </w:pPr>
      <w:r>
        <w:rPr>
          <w:rFonts w:hint="default" w:ascii="Times New Roman" w:hAnsi="Times New Roman" w:eastAsia="黑体" w:cs="Times New Roman"/>
          <w:color w:val="auto"/>
          <w:sz w:val="18"/>
          <w:szCs w:val="18"/>
          <w:highlight w:val="none"/>
          <w:shd w:val="clear" w:fill="auto"/>
        </w:rPr>
        <w:t>图</w:t>
      </w:r>
      <w:r>
        <w:rPr>
          <w:rFonts w:hint="default" w:ascii="Times New Roman" w:hAnsi="Times New Roman" w:eastAsia="黑体" w:cs="Times New Roman"/>
          <w:color w:val="auto"/>
          <w:sz w:val="18"/>
          <w:szCs w:val="18"/>
          <w:highlight w:val="none"/>
          <w:shd w:val="clear" w:fill="auto"/>
          <w:lang w:val="en-US" w:eastAsia="zh-CN"/>
        </w:rPr>
        <w:t>4</w:t>
      </w:r>
      <w:r>
        <w:rPr>
          <w:rFonts w:hint="default" w:ascii="Times New Roman" w:hAnsi="Times New Roman" w:eastAsia="黑体" w:cs="Times New Roman"/>
          <w:color w:val="auto"/>
          <w:sz w:val="18"/>
          <w:szCs w:val="18"/>
          <w:highlight w:val="none"/>
          <w:shd w:val="clear" w:fill="auto"/>
        </w:rPr>
        <w:t xml:space="preserve">  电解质浓度对聚乙烯去除率的影响</w:t>
      </w:r>
    </w:p>
    <w:p w14:paraId="0014461D">
      <w:pPr>
        <w:adjustRightInd w:val="0"/>
        <w:snapToGrid w:val="0"/>
        <w:jc w:val="center"/>
        <w:rPr>
          <w:rFonts w:hint="default" w:ascii="Times New Roman" w:hAnsi="Times New Roman" w:cs="Times New Roman"/>
          <w:color w:val="auto"/>
          <w:sz w:val="18"/>
          <w:szCs w:val="18"/>
          <w:highlight w:val="none"/>
          <w:shd w:val="clear" w:fill="auto"/>
        </w:rPr>
      </w:pPr>
      <w:r>
        <w:rPr>
          <w:rFonts w:hint="default" w:ascii="Times New Roman" w:hAnsi="Times New Roman" w:cs="Times New Roman"/>
          <w:color w:val="auto"/>
          <w:sz w:val="18"/>
          <w:szCs w:val="18"/>
          <w:highlight w:val="none"/>
          <w:shd w:val="clear" w:fill="auto"/>
        </w:rPr>
        <w:t>Fig.</w:t>
      </w:r>
      <w:r>
        <w:rPr>
          <w:rFonts w:hint="default" w:ascii="Times New Roman" w:hAnsi="Times New Roman" w:cs="Times New Roman"/>
          <w:color w:val="auto"/>
          <w:sz w:val="18"/>
          <w:szCs w:val="18"/>
          <w:highlight w:val="none"/>
          <w:shd w:val="clear" w:fill="auto"/>
          <w:lang w:val="en-US" w:eastAsia="zh-CN"/>
        </w:rPr>
        <w:t>4</w:t>
      </w:r>
      <w:r>
        <w:rPr>
          <w:rFonts w:hint="default" w:ascii="Times New Roman" w:hAnsi="Times New Roman" w:cs="Times New Roman"/>
          <w:color w:val="auto"/>
          <w:sz w:val="18"/>
          <w:szCs w:val="18"/>
          <w:highlight w:val="none"/>
          <w:shd w:val="clear" w:fill="auto"/>
        </w:rPr>
        <w:t xml:space="preserve">  Effect of electrolyte concentration on</w:t>
      </w:r>
      <w:r>
        <w:rPr>
          <w:rFonts w:hint="eastAsia" w:cs="Times New Roman"/>
          <w:color w:val="auto"/>
          <w:sz w:val="18"/>
          <w:szCs w:val="18"/>
          <w:highlight w:val="none"/>
          <w:shd w:val="clear" w:fill="auto"/>
          <w:lang w:val="en-US" w:eastAsia="zh-CN"/>
        </w:rPr>
        <w:t xml:space="preserve"> polyethylene</w:t>
      </w:r>
      <w:r>
        <w:rPr>
          <w:rFonts w:hint="default" w:ascii="Times New Roman" w:hAnsi="Times New Roman" w:cs="Times New Roman"/>
          <w:color w:val="auto"/>
          <w:sz w:val="18"/>
          <w:szCs w:val="18"/>
          <w:highlight w:val="none"/>
          <w:shd w:val="clear" w:fill="auto"/>
        </w:rPr>
        <w:t xml:space="preserve"> removal efficiency</w:t>
      </w:r>
    </w:p>
    <w:p w14:paraId="19D972CE">
      <w:pPr>
        <w:adjustRightInd w:val="0"/>
        <w:snapToGrid w:val="0"/>
        <w:jc w:val="center"/>
        <w:rPr>
          <w:color w:val="auto"/>
          <w:sz w:val="18"/>
          <w:szCs w:val="18"/>
          <w:highlight w:val="none"/>
          <w:shd w:val="clear" w:fill="auto"/>
        </w:rPr>
      </w:pPr>
    </w:p>
    <w:p w14:paraId="0C09822C">
      <w:pPr>
        <w:adjustRightInd w:val="0"/>
        <w:snapToGrid w:val="0"/>
        <w:rPr>
          <w:color w:val="auto"/>
          <w:sz w:val="24"/>
          <w:highlight w:val="none"/>
          <w:shd w:val="clear" w:fill="auto"/>
        </w:rPr>
      </w:pPr>
      <w:r>
        <w:rPr>
          <w:rFonts w:hint="eastAsia"/>
          <w:b/>
          <w:bCs/>
          <w:color w:val="auto"/>
          <w:sz w:val="21"/>
          <w:szCs w:val="21"/>
          <w:highlight w:val="none"/>
          <w:shd w:val="clear" w:fill="auto"/>
          <w:lang w:val="en-US" w:eastAsia="zh-CN"/>
        </w:rPr>
        <w:t>2</w:t>
      </w:r>
      <w:r>
        <w:rPr>
          <w:b/>
          <w:bCs/>
          <w:color w:val="auto"/>
          <w:sz w:val="21"/>
          <w:szCs w:val="21"/>
          <w:highlight w:val="none"/>
          <w:shd w:val="clear" w:fill="auto"/>
        </w:rPr>
        <w:t>.4</w:t>
      </w:r>
      <w:r>
        <w:rPr>
          <w:color w:val="auto"/>
          <w:sz w:val="21"/>
          <w:szCs w:val="21"/>
          <w:highlight w:val="none"/>
          <w:shd w:val="clear" w:fill="auto"/>
        </w:rPr>
        <w:t xml:space="preserve"> </w:t>
      </w:r>
      <w:r>
        <w:rPr>
          <w:rFonts w:hint="eastAsia"/>
          <w:color w:val="auto"/>
          <w:sz w:val="21"/>
          <w:szCs w:val="21"/>
          <w:highlight w:val="none"/>
          <w:shd w:val="clear" w:fill="auto"/>
        </w:rPr>
        <w:t xml:space="preserve"> </w:t>
      </w:r>
      <w:r>
        <w:rPr>
          <w:rFonts w:hint="eastAsia" w:ascii="黑体" w:hAnsi="黑体" w:eastAsia="黑体" w:cs="黑体"/>
          <w:color w:val="auto"/>
          <w:sz w:val="21"/>
          <w:szCs w:val="21"/>
          <w:highlight w:val="none"/>
          <w:shd w:val="clear" w:fill="auto"/>
        </w:rPr>
        <w:t>聚乙烯初始浓度对去除效果的影响</w:t>
      </w:r>
    </w:p>
    <w:p w14:paraId="7212C3C5">
      <w:pPr>
        <w:adjustRightInd w:val="0"/>
        <w:snapToGrid w:val="0"/>
        <w:ind w:firstLine="420" w:firstLineChars="200"/>
        <w:jc w:val="both"/>
        <w:rPr>
          <w:rFonts w:hint="eastAsia"/>
          <w:color w:val="auto"/>
          <w:highlight w:val="none"/>
          <w:shd w:val="clear" w:fill="auto"/>
        </w:rPr>
      </w:pPr>
      <w:r>
        <w:rPr>
          <w:rFonts w:hint="default" w:ascii="Times New Roman" w:hAnsi="Times New Roman" w:cs="Times New Roman"/>
          <w:color w:val="auto"/>
          <w:highlight w:val="none"/>
          <w:shd w:val="clear" w:fill="auto"/>
        </w:rPr>
        <w:t>保持外加电压3.0V、初始pH=7、NaCl浓度0.01mol/L</w:t>
      </w:r>
      <w:r>
        <w:rPr>
          <w:rFonts w:hint="default" w:ascii="Times New Roman" w:hAnsi="Times New Roman" w:cs="Times New Roman"/>
          <w:color w:val="auto"/>
          <w:szCs w:val="18"/>
          <w:highlight w:val="none"/>
          <w:shd w:val="clear" w:fill="auto"/>
        </w:rPr>
        <w:t>（及SDBS 0.2g/L、电极间距3.5cm、通电30min、搅拌200r/min、室温</w:t>
      </w:r>
      <w:r>
        <w:rPr>
          <w:rFonts w:hint="default" w:ascii="Times New Roman" w:hAnsi="Times New Roman" w:cs="Times New Roman"/>
          <w:color w:val="auto"/>
          <w:highlight w:val="none"/>
          <w:shd w:val="clear" w:fill="auto"/>
        </w:rPr>
        <w:t>）等条件不变的前提下，设置PE初始浓度为0.3g/L、0.5g/L、0.7g/L和0.9g/L，探究其对电絮凝去除效果的影响。如图</w:t>
      </w:r>
      <w:r>
        <w:rPr>
          <w:rFonts w:hint="eastAsia" w:cs="Times New Roman"/>
          <w:color w:val="auto"/>
          <w:highlight w:val="none"/>
          <w:shd w:val="clear" w:fill="auto"/>
          <w:lang w:val="en-US" w:eastAsia="zh-CN"/>
        </w:rPr>
        <w:t>5</w:t>
      </w:r>
      <w:r>
        <w:rPr>
          <w:rFonts w:hint="default" w:ascii="Times New Roman" w:hAnsi="Times New Roman" w:cs="Times New Roman"/>
          <w:color w:val="auto"/>
          <w:highlight w:val="none"/>
          <w:shd w:val="clear" w:fill="auto"/>
        </w:rPr>
        <w:t>所示，在不同初始浓度下，PE去除率均随通电时间延长而</w:t>
      </w:r>
      <w:r>
        <w:rPr>
          <w:rFonts w:hint="eastAsia" w:cs="Times New Roman"/>
          <w:color w:val="auto"/>
          <w:highlight w:val="none"/>
          <w:shd w:val="clear" w:fill="auto"/>
          <w:lang w:val="en-US" w:eastAsia="zh-CN"/>
        </w:rPr>
        <w:t>升高</w:t>
      </w:r>
      <w:r>
        <w:rPr>
          <w:rFonts w:hint="default" w:ascii="Times New Roman" w:hAnsi="Times New Roman" w:cs="Times New Roman"/>
          <w:color w:val="auto"/>
          <w:highlight w:val="none"/>
          <w:shd w:val="clear" w:fill="auto"/>
        </w:rPr>
        <w:t>；同时，初始浓度变化对去除效果</w:t>
      </w:r>
      <w:r>
        <w:rPr>
          <w:rFonts w:hint="eastAsia" w:cs="Times New Roman"/>
          <w:color w:val="auto"/>
          <w:highlight w:val="none"/>
          <w:shd w:val="clear" w:fill="auto"/>
          <w:lang w:eastAsia="zh-CN"/>
        </w:rPr>
        <w:t>的</w:t>
      </w:r>
      <w:r>
        <w:rPr>
          <w:rFonts w:hint="default" w:ascii="Times New Roman" w:hAnsi="Times New Roman" w:cs="Times New Roman"/>
          <w:color w:val="auto"/>
          <w:highlight w:val="none"/>
          <w:shd w:val="clear" w:fill="auto"/>
        </w:rPr>
        <w:t>影响</w:t>
      </w:r>
      <w:r>
        <w:rPr>
          <w:rFonts w:hint="eastAsia" w:cs="Times New Roman"/>
          <w:color w:val="auto"/>
          <w:highlight w:val="none"/>
          <w:shd w:val="clear" w:fill="auto"/>
          <w:lang w:val="en-US" w:eastAsia="zh-CN"/>
        </w:rPr>
        <w:t>明显</w:t>
      </w:r>
      <w:r>
        <w:rPr>
          <w:rFonts w:hint="default" w:ascii="Times New Roman" w:hAnsi="Times New Roman" w:cs="Times New Roman"/>
          <w:color w:val="auto"/>
          <w:highlight w:val="none"/>
          <w:shd w:val="clear" w:fill="auto"/>
        </w:rPr>
        <w:t>。当PE初始浓度为0.3g/L时，通电30min的去除率最高，约为95.6%；随着初始浓度增加，去除率整体呈下降趋势，在0.9g/L时最低，通电30min的去除率约为69.6%。该现象可能与恒定运行条件下单位体积生成的铝基絮凝剂与气泡量相对固定，而微塑料颗粒负荷增加导致</w:t>
      </w:r>
      <w:r>
        <w:rPr>
          <w:rFonts w:hint="eastAsia" w:cs="Times New Roman"/>
          <w:color w:val="auto"/>
          <w:highlight w:val="none"/>
          <w:shd w:val="clear" w:fill="auto"/>
          <w:lang w:eastAsia="zh-CN"/>
        </w:rPr>
        <w:t>“</w:t>
      </w:r>
      <w:r>
        <w:rPr>
          <w:rFonts w:hint="default" w:ascii="Times New Roman" w:hAnsi="Times New Roman" w:cs="Times New Roman"/>
          <w:color w:val="auto"/>
          <w:highlight w:val="none"/>
          <w:shd w:val="clear" w:fill="auto"/>
        </w:rPr>
        <w:t>絮凝剂/颗粒</w:t>
      </w:r>
      <w:r>
        <w:rPr>
          <w:rFonts w:hint="eastAsia" w:cs="Times New Roman"/>
          <w:color w:val="auto"/>
          <w:highlight w:val="none"/>
          <w:shd w:val="clear" w:fill="auto"/>
          <w:lang w:eastAsia="zh-CN"/>
        </w:rPr>
        <w:t>”</w:t>
      </w:r>
      <w:r>
        <w:rPr>
          <w:rFonts w:hint="default" w:ascii="Times New Roman" w:hAnsi="Times New Roman" w:cs="Times New Roman"/>
          <w:color w:val="auto"/>
          <w:highlight w:val="none"/>
          <w:shd w:val="clear" w:fill="auto"/>
        </w:rPr>
        <w:t>比例降低有关：在较低至适中的PE浓度下，体系中生成的</w:t>
      </w:r>
      <w:r>
        <w:rPr>
          <w:rFonts w:hint="default" w:ascii="Times New Roman" w:hAnsi="Times New Roman" w:cs="Times New Roman"/>
          <w:color w:val="auto"/>
          <w:szCs w:val="18"/>
          <w:highlight w:val="none"/>
          <w:shd w:val="clear" w:fill="auto"/>
        </w:rPr>
        <w:t>Al(OH)</w:t>
      </w:r>
      <w:r>
        <w:rPr>
          <w:rFonts w:hint="eastAsia" w:cs="Times New Roman"/>
          <w:color w:val="auto"/>
          <w:szCs w:val="18"/>
          <w:highlight w:val="none"/>
          <w:shd w:val="clear" w:fill="auto"/>
          <w:vertAlign w:val="subscript"/>
          <w:lang w:val="en-US" w:eastAsia="zh-CN"/>
        </w:rPr>
        <w:t>3</w:t>
      </w:r>
      <w:r>
        <w:rPr>
          <w:rFonts w:hint="default" w:ascii="Times New Roman" w:hAnsi="Times New Roman" w:cs="Times New Roman"/>
          <w:color w:val="auto"/>
          <w:highlight w:val="none"/>
          <w:shd w:val="clear" w:fill="auto"/>
        </w:rPr>
        <w:t>(s)絮体可较充分地实现电中和、卷扫网捕与架桥作用，促进颗粒聚集并获得较高去除率；当PE初始浓度较高（如0.7g/L和0.9g/L）时，单位体积生成的絮凝剂量相对不足，可能难以充分中和并捕集全部颗粒</w:t>
      </w:r>
      <w:r>
        <w:rPr>
          <w:rFonts w:hint="default" w:ascii="Times New Roman" w:hAnsi="Times New Roman" w:cs="Times New Roman"/>
          <w:color w:val="auto"/>
          <w:highlight w:val="none"/>
          <w:shd w:val="clear" w:fill="auto"/>
          <w:vertAlign w:val="superscript"/>
        </w:rPr>
        <w:t>[2</w:t>
      </w:r>
      <w:r>
        <w:rPr>
          <w:rFonts w:hint="eastAsia" w:cs="Times New Roman"/>
          <w:color w:val="auto"/>
          <w:highlight w:val="none"/>
          <w:shd w:val="clear" w:fill="auto"/>
          <w:vertAlign w:val="superscript"/>
          <w:lang w:val="en-US" w:eastAsia="zh-CN"/>
        </w:rPr>
        <w:t>8</w:t>
      </w:r>
      <w:r>
        <w:rPr>
          <w:rFonts w:hint="default" w:ascii="Times New Roman" w:hAnsi="Times New Roman" w:cs="Times New Roman"/>
          <w:color w:val="auto"/>
          <w:highlight w:val="none"/>
          <w:shd w:val="clear" w:fill="auto"/>
          <w:vertAlign w:val="superscript"/>
        </w:rPr>
        <w:t>]</w:t>
      </w:r>
      <w:r>
        <w:rPr>
          <w:rFonts w:hint="default" w:ascii="Times New Roman" w:hAnsi="Times New Roman" w:cs="Times New Roman"/>
          <w:color w:val="auto"/>
          <w:highlight w:val="none"/>
          <w:shd w:val="clear" w:fill="auto"/>
        </w:rPr>
        <w:t>，从而降低絮凝沉降及气泡携带上浮（电浮选）等分离效率，导致去除率下降。较高的微塑料浓度可能加剧颗粒间相互碰撞与局部团聚，但在表面电荷未充分中和的情况下，颗粒间静电排斥仍可能限制大尺寸、稳定絮体的形成</w:t>
      </w:r>
      <w:r>
        <w:rPr>
          <w:rFonts w:hint="default" w:ascii="Times New Roman" w:hAnsi="Times New Roman" w:cs="Times New Roman"/>
          <w:color w:val="auto"/>
          <w:highlight w:val="none"/>
          <w:shd w:val="clear" w:fill="auto"/>
          <w:vertAlign w:val="superscript"/>
          <w:lang w:val="en-US"/>
        </w:rPr>
        <w:t>[</w:t>
      </w:r>
      <w:r>
        <w:rPr>
          <w:rFonts w:hint="eastAsia" w:cs="Times New Roman"/>
          <w:color w:val="auto"/>
          <w:highlight w:val="none"/>
          <w:shd w:val="clear" w:fill="auto"/>
          <w:vertAlign w:val="superscript"/>
          <w:lang w:val="en-US" w:eastAsia="zh-CN"/>
        </w:rPr>
        <w:t>29</w:t>
      </w:r>
      <w:r>
        <w:rPr>
          <w:rFonts w:hint="default" w:ascii="Times New Roman" w:hAnsi="Times New Roman" w:cs="Times New Roman"/>
          <w:color w:val="auto"/>
          <w:highlight w:val="none"/>
          <w:shd w:val="clear" w:fill="auto"/>
          <w:vertAlign w:val="superscript"/>
          <w:lang w:val="en-US"/>
        </w:rPr>
        <w:t>]</w:t>
      </w:r>
      <w:r>
        <w:rPr>
          <w:rFonts w:hint="default" w:ascii="Times New Roman" w:hAnsi="Times New Roman" w:cs="Times New Roman"/>
          <w:color w:val="auto"/>
          <w:highlight w:val="none"/>
          <w:shd w:val="clear" w:fill="auto"/>
        </w:rPr>
        <w:t>，从而不利于进一步去除。综上，在本研究考察范围内，较低的PE初始浓度（如0.3</w:t>
      </w:r>
      <w:r>
        <w:rPr>
          <w:rFonts w:hint="eastAsia" w:cs="Times New Roman"/>
          <w:color w:val="auto"/>
          <w:highlight w:val="none"/>
          <w:shd w:val="clear" w:fill="auto"/>
          <w:lang w:val="en-US" w:eastAsia="zh-CN"/>
        </w:rPr>
        <w:t>~</w:t>
      </w:r>
      <w:r>
        <w:rPr>
          <w:rFonts w:hint="default" w:ascii="Times New Roman" w:hAnsi="Times New Roman" w:cs="Times New Roman"/>
          <w:color w:val="auto"/>
          <w:highlight w:val="none"/>
          <w:shd w:val="clear" w:fill="auto"/>
        </w:rPr>
        <w:t>0.5g/L）更有利于获得较高去除率；因此，实际应用中应在目标微塑料负荷与通电条件之间进行匹配优化，使絮凝剂/颗粒比保持在合理范围，以避免高负荷条件下去除效率下降。</w:t>
      </w:r>
    </w:p>
    <w:p w14:paraId="4B086DF1">
      <w:pPr>
        <w:adjustRightInd w:val="0"/>
        <w:snapToGrid w:val="0"/>
        <w:jc w:val="both"/>
        <w:rPr>
          <w:rFonts w:hint="eastAsia"/>
          <w:color w:val="auto"/>
          <w:highlight w:val="none"/>
          <w:shd w:val="clear" w:fill="auto"/>
        </w:rPr>
      </w:pPr>
    </w:p>
    <w:p w14:paraId="115782FC">
      <w:pPr>
        <w:adjustRightInd w:val="0"/>
        <w:snapToGrid w:val="0"/>
        <w:jc w:val="center"/>
        <w:rPr>
          <w:color w:val="auto"/>
          <w:szCs w:val="18"/>
          <w:highlight w:val="none"/>
          <w:shd w:val="clear" w:fill="auto"/>
        </w:rPr>
      </w:pPr>
      <w:r>
        <w:rPr>
          <w:color w:val="auto"/>
          <w:highlight w:val="none"/>
          <w:shd w:val="clear" w:fill="auto"/>
        </w:rPr>
        <w:drawing>
          <wp:inline distT="0" distB="0" distL="114300" distR="114300">
            <wp:extent cx="2879725" cy="2350135"/>
            <wp:effectExtent l="0" t="0" r="3175" b="12065"/>
            <wp:docPr id="1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1"/>
                    <pic:cNvPicPr>
                      <a:picLocks noChangeAspect="1"/>
                    </pic:cNvPicPr>
                  </pic:nvPicPr>
                  <pic:blipFill>
                    <a:blip r:embed="rId15"/>
                    <a:stretch>
                      <a:fillRect/>
                    </a:stretch>
                  </pic:blipFill>
                  <pic:spPr>
                    <a:xfrm>
                      <a:off x="0" y="0"/>
                      <a:ext cx="2879725" cy="2350135"/>
                    </a:xfrm>
                    <a:prstGeom prst="rect">
                      <a:avLst/>
                    </a:prstGeom>
                    <a:noFill/>
                    <a:ln>
                      <a:noFill/>
                    </a:ln>
                  </pic:spPr>
                </pic:pic>
              </a:graphicData>
            </a:graphic>
          </wp:inline>
        </w:drawing>
      </w:r>
    </w:p>
    <w:p w14:paraId="33145F62">
      <w:pPr>
        <w:adjustRightInd w:val="0"/>
        <w:snapToGrid w:val="0"/>
        <w:jc w:val="center"/>
        <w:rPr>
          <w:rFonts w:hint="default" w:ascii="Times New Roman" w:hAnsi="Times New Roman" w:eastAsia="黑体" w:cs="Times New Roman"/>
          <w:color w:val="auto"/>
          <w:sz w:val="18"/>
          <w:szCs w:val="18"/>
          <w:highlight w:val="none"/>
          <w:shd w:val="clear" w:fill="auto"/>
        </w:rPr>
      </w:pPr>
      <w:r>
        <w:rPr>
          <w:rFonts w:hint="default" w:ascii="Times New Roman" w:hAnsi="Times New Roman" w:eastAsia="黑体" w:cs="Times New Roman"/>
          <w:color w:val="auto"/>
          <w:sz w:val="18"/>
          <w:szCs w:val="18"/>
          <w:highlight w:val="none"/>
          <w:shd w:val="clear" w:fill="auto"/>
        </w:rPr>
        <w:t>图</w:t>
      </w:r>
      <w:r>
        <w:rPr>
          <w:rFonts w:hint="eastAsia" w:eastAsia="黑体" w:cs="Times New Roman"/>
          <w:color w:val="auto"/>
          <w:sz w:val="18"/>
          <w:szCs w:val="18"/>
          <w:highlight w:val="none"/>
          <w:shd w:val="clear" w:fill="auto"/>
          <w:lang w:val="en-US" w:eastAsia="zh-CN"/>
        </w:rPr>
        <w:t>5</w:t>
      </w:r>
      <w:r>
        <w:rPr>
          <w:rFonts w:hint="default" w:ascii="Times New Roman" w:hAnsi="Times New Roman" w:eastAsia="黑体" w:cs="Times New Roman"/>
          <w:color w:val="auto"/>
          <w:sz w:val="18"/>
          <w:szCs w:val="18"/>
          <w:highlight w:val="none"/>
          <w:shd w:val="clear" w:fill="auto"/>
        </w:rPr>
        <w:t xml:space="preserve">  聚乙烯初始浓度对聚乙烯去除率的影响</w:t>
      </w:r>
    </w:p>
    <w:p w14:paraId="6C259A41">
      <w:pPr>
        <w:adjustRightInd w:val="0"/>
        <w:snapToGrid w:val="0"/>
        <w:jc w:val="center"/>
        <w:rPr>
          <w:rFonts w:hint="eastAsia" w:eastAsia="宋体"/>
          <w:color w:val="auto"/>
          <w:sz w:val="18"/>
          <w:szCs w:val="18"/>
          <w:highlight w:val="none"/>
          <w:shd w:val="clear" w:fill="auto"/>
          <w:lang w:val="en-US" w:eastAsia="zh-CN"/>
        </w:rPr>
      </w:pPr>
      <w:r>
        <w:rPr>
          <w:color w:val="auto"/>
          <w:sz w:val="18"/>
          <w:szCs w:val="18"/>
          <w:highlight w:val="none"/>
          <w:shd w:val="clear" w:fill="auto"/>
        </w:rPr>
        <w:t>Fig</w:t>
      </w:r>
      <w:r>
        <w:rPr>
          <w:rFonts w:hint="eastAsia"/>
          <w:color w:val="auto"/>
          <w:sz w:val="18"/>
          <w:szCs w:val="18"/>
          <w:highlight w:val="none"/>
          <w:shd w:val="clear" w:fill="auto"/>
        </w:rPr>
        <w:t>.</w:t>
      </w:r>
      <w:r>
        <w:rPr>
          <w:rFonts w:hint="eastAsia"/>
          <w:color w:val="auto"/>
          <w:sz w:val="18"/>
          <w:szCs w:val="18"/>
          <w:highlight w:val="none"/>
          <w:shd w:val="clear" w:fill="auto"/>
          <w:lang w:val="en-US" w:eastAsia="zh-CN"/>
        </w:rPr>
        <w:t>5</w:t>
      </w:r>
      <w:r>
        <w:rPr>
          <w:color w:val="auto"/>
          <w:sz w:val="18"/>
          <w:szCs w:val="18"/>
          <w:highlight w:val="none"/>
          <w:shd w:val="clear" w:fill="auto"/>
        </w:rPr>
        <w:t xml:space="preserve"> </w:t>
      </w:r>
      <w:r>
        <w:rPr>
          <w:rFonts w:hint="eastAsia"/>
          <w:color w:val="auto"/>
          <w:sz w:val="18"/>
          <w:szCs w:val="18"/>
          <w:highlight w:val="none"/>
          <w:shd w:val="clear" w:fill="auto"/>
        </w:rPr>
        <w:t xml:space="preserve"> </w:t>
      </w:r>
      <w:r>
        <w:rPr>
          <w:rFonts w:hint="eastAsia"/>
          <w:color w:val="auto"/>
          <w:sz w:val="18"/>
          <w:szCs w:val="18"/>
          <w:highlight w:val="none"/>
          <w:shd w:val="clear" w:fill="auto"/>
          <w:lang w:val="en-US" w:eastAsia="zh-CN"/>
        </w:rPr>
        <w:t>Effect</w:t>
      </w:r>
      <w:r>
        <w:rPr>
          <w:color w:val="auto"/>
          <w:sz w:val="18"/>
          <w:szCs w:val="18"/>
          <w:highlight w:val="none"/>
          <w:shd w:val="clear" w:fill="auto"/>
        </w:rPr>
        <w:t xml:space="preserve"> of initial polyethylene concentration on polyethylene removal efficiency</w:t>
      </w:r>
    </w:p>
    <w:p w14:paraId="75FD5F47">
      <w:pPr>
        <w:adjustRightInd w:val="0"/>
        <w:snapToGrid w:val="0"/>
        <w:jc w:val="center"/>
        <w:rPr>
          <w:color w:val="auto"/>
          <w:sz w:val="18"/>
          <w:szCs w:val="18"/>
          <w:highlight w:val="none"/>
          <w:shd w:val="clear" w:fill="auto"/>
        </w:rPr>
      </w:pPr>
    </w:p>
    <w:p w14:paraId="642DAD50">
      <w:pPr>
        <w:adjustRightInd w:val="0"/>
        <w:snapToGrid w:val="0"/>
        <w:rPr>
          <w:color w:val="auto"/>
          <w:sz w:val="21"/>
          <w:szCs w:val="21"/>
          <w:highlight w:val="none"/>
          <w:shd w:val="clear" w:fill="auto"/>
        </w:rPr>
      </w:pPr>
      <w:r>
        <w:rPr>
          <w:rFonts w:hint="eastAsia"/>
          <w:b/>
          <w:bCs/>
          <w:color w:val="auto"/>
          <w:sz w:val="21"/>
          <w:szCs w:val="21"/>
          <w:highlight w:val="none"/>
          <w:shd w:val="clear" w:fill="auto"/>
          <w:lang w:val="en-US" w:eastAsia="zh-CN"/>
        </w:rPr>
        <w:t>2</w:t>
      </w:r>
      <w:r>
        <w:rPr>
          <w:b/>
          <w:bCs/>
          <w:color w:val="auto"/>
          <w:sz w:val="21"/>
          <w:szCs w:val="21"/>
          <w:highlight w:val="none"/>
          <w:shd w:val="clear" w:fill="auto"/>
        </w:rPr>
        <w:t>.5</w:t>
      </w:r>
      <w:r>
        <w:rPr>
          <w:rFonts w:hint="eastAsia"/>
          <w:b/>
          <w:bCs/>
          <w:color w:val="auto"/>
          <w:sz w:val="21"/>
          <w:szCs w:val="21"/>
          <w:highlight w:val="none"/>
          <w:shd w:val="clear" w:fill="auto"/>
        </w:rPr>
        <w:t xml:space="preserve"> </w:t>
      </w:r>
      <w:r>
        <w:rPr>
          <w:color w:val="auto"/>
          <w:sz w:val="21"/>
          <w:szCs w:val="21"/>
          <w:highlight w:val="none"/>
          <w:shd w:val="clear" w:fill="auto"/>
        </w:rPr>
        <w:t xml:space="preserve"> </w:t>
      </w:r>
      <w:r>
        <w:rPr>
          <w:rFonts w:hint="eastAsia" w:ascii="黑体" w:hAnsi="黑体" w:eastAsia="黑体" w:cs="黑体"/>
          <w:color w:val="auto"/>
          <w:sz w:val="21"/>
          <w:szCs w:val="21"/>
          <w:highlight w:val="none"/>
          <w:shd w:val="clear" w:fill="auto"/>
        </w:rPr>
        <w:t>电絮凝去除聚乙烯机理</w:t>
      </w:r>
    </w:p>
    <w:p w14:paraId="73D2421E">
      <w:pPr>
        <w:adjustRightInd w:val="0"/>
        <w:snapToGrid w:val="0"/>
        <w:ind w:firstLine="420" w:firstLineChars="200"/>
        <w:rPr>
          <w:rFonts w:hint="eastAsia" w:ascii="Times New Roman" w:hAnsi="Times New Roman" w:eastAsia="宋体" w:cs="Times New Roman"/>
          <w:color w:val="auto"/>
          <w:szCs w:val="18"/>
          <w:highlight w:val="none"/>
          <w:shd w:val="clear" w:fill="auto"/>
          <w:lang w:eastAsia="zh-CN"/>
        </w:rPr>
      </w:pPr>
      <w:r>
        <w:rPr>
          <w:rFonts w:hint="default" w:ascii="Times New Roman" w:hAnsi="Times New Roman" w:cs="Times New Roman"/>
          <w:color w:val="auto"/>
          <w:szCs w:val="18"/>
          <w:highlight w:val="none"/>
          <w:shd w:val="clear" w:fill="auto"/>
        </w:rPr>
        <w:t>电絮凝去除PE微塑料的过程可概括为</w:t>
      </w:r>
      <w:r>
        <w:rPr>
          <w:rFonts w:hint="eastAsia" w:cs="Times New Roman"/>
          <w:color w:val="auto"/>
          <w:szCs w:val="18"/>
          <w:highlight w:val="none"/>
          <w:shd w:val="clear" w:fill="auto"/>
          <w:lang w:eastAsia="zh-CN"/>
        </w:rPr>
        <w:t>“</w:t>
      </w:r>
      <w:r>
        <w:rPr>
          <w:rFonts w:hint="default" w:ascii="Times New Roman" w:hAnsi="Times New Roman" w:cs="Times New Roman"/>
          <w:color w:val="auto"/>
          <w:szCs w:val="18"/>
          <w:highlight w:val="none"/>
          <w:shd w:val="clear" w:fill="auto"/>
        </w:rPr>
        <w:t>絮凝捕集—沉降/气泡携带上浮</w:t>
      </w:r>
      <w:r>
        <w:rPr>
          <w:rFonts w:hint="eastAsia" w:cs="Times New Roman"/>
          <w:color w:val="auto"/>
          <w:szCs w:val="18"/>
          <w:highlight w:val="none"/>
          <w:shd w:val="clear" w:fill="auto"/>
          <w:lang w:eastAsia="zh-CN"/>
        </w:rPr>
        <w:t>”</w:t>
      </w:r>
      <w:r>
        <w:rPr>
          <w:rFonts w:hint="default" w:ascii="Times New Roman" w:hAnsi="Times New Roman" w:cs="Times New Roman"/>
          <w:color w:val="auto"/>
          <w:szCs w:val="18"/>
          <w:highlight w:val="none"/>
          <w:shd w:val="clear" w:fill="auto"/>
        </w:rPr>
        <w:t>的双路径协同分离。在阳极，铝电极发生电化学溶出生成Al</w:t>
      </w:r>
      <w:r>
        <w:rPr>
          <w:rFonts w:hint="eastAsia" w:cs="Times New Roman"/>
          <w:color w:val="auto"/>
          <w:szCs w:val="18"/>
          <w:highlight w:val="none"/>
          <w:shd w:val="clear" w:fill="auto"/>
          <w:vertAlign w:val="superscript"/>
          <w:lang w:val="en-US" w:eastAsia="zh-CN"/>
        </w:rPr>
        <w:t>3+</w:t>
      </w:r>
      <w:r>
        <w:rPr>
          <w:rFonts w:hint="default" w:ascii="Times New Roman" w:hAnsi="Times New Roman" w:cs="Times New Roman"/>
          <w:color w:val="auto"/>
          <w:szCs w:val="18"/>
          <w:highlight w:val="none"/>
          <w:shd w:val="clear" w:fill="auto"/>
        </w:rPr>
        <w:t>（Al→Al</w:t>
      </w:r>
      <w:r>
        <w:rPr>
          <w:rFonts w:hint="eastAsia" w:cs="Times New Roman"/>
          <w:color w:val="auto"/>
          <w:szCs w:val="18"/>
          <w:highlight w:val="none"/>
          <w:shd w:val="clear" w:fill="auto"/>
          <w:vertAlign w:val="superscript"/>
          <w:lang w:val="en-US" w:eastAsia="zh-CN"/>
        </w:rPr>
        <w:t>3+</w:t>
      </w:r>
      <w:r>
        <w:rPr>
          <w:rFonts w:hint="default" w:ascii="Times New Roman" w:hAnsi="Times New Roman" w:cs="Times New Roman"/>
          <w:color w:val="auto"/>
          <w:szCs w:val="18"/>
          <w:highlight w:val="none"/>
          <w:shd w:val="clear" w:fill="auto"/>
        </w:rPr>
        <w:t>+3e</w:t>
      </w:r>
      <w:r>
        <w:rPr>
          <w:rFonts w:hint="eastAsia" w:cs="Times New Roman"/>
          <w:color w:val="auto"/>
          <w:szCs w:val="18"/>
          <w:highlight w:val="none"/>
          <w:shd w:val="clear" w:fill="auto"/>
          <w:vertAlign w:val="superscript"/>
          <w:lang w:eastAsia="zh-CN"/>
        </w:rPr>
        <w:t>—</w:t>
      </w:r>
      <w:r>
        <w:rPr>
          <w:rFonts w:hint="default" w:ascii="Times New Roman" w:hAnsi="Times New Roman" w:cs="Times New Roman"/>
          <w:color w:val="auto"/>
          <w:szCs w:val="18"/>
          <w:highlight w:val="none"/>
          <w:shd w:val="clear" w:fill="auto"/>
        </w:rPr>
        <w:t>）；在阴极，水还原（析氢）产生OH</w:t>
      </w:r>
      <w:r>
        <w:rPr>
          <w:rFonts w:hint="eastAsia" w:cs="Times New Roman"/>
          <w:color w:val="auto"/>
          <w:szCs w:val="18"/>
          <w:highlight w:val="none"/>
          <w:shd w:val="clear" w:fill="auto"/>
          <w:vertAlign w:val="superscript"/>
          <w:lang w:eastAsia="zh-CN"/>
        </w:rPr>
        <w:t>—</w:t>
      </w:r>
      <w:r>
        <w:rPr>
          <w:rFonts w:hint="default" w:ascii="Times New Roman" w:hAnsi="Times New Roman" w:cs="Times New Roman"/>
          <w:color w:val="auto"/>
          <w:szCs w:val="18"/>
          <w:highlight w:val="none"/>
          <w:shd w:val="clear" w:fill="auto"/>
        </w:rPr>
        <w:t>与H</w:t>
      </w:r>
      <w:r>
        <w:rPr>
          <w:rFonts w:hint="eastAsia" w:cs="Times New Roman"/>
          <w:color w:val="auto"/>
          <w:szCs w:val="18"/>
          <w:highlight w:val="none"/>
          <w:shd w:val="clear" w:fill="auto"/>
          <w:vertAlign w:val="subscript"/>
          <w:lang w:val="en-US" w:eastAsia="zh-CN"/>
        </w:rPr>
        <w:t>2</w:t>
      </w:r>
      <w:r>
        <w:rPr>
          <w:rFonts w:hint="default" w:ascii="Times New Roman" w:hAnsi="Times New Roman" w:cs="Times New Roman"/>
          <w:color w:val="auto"/>
          <w:szCs w:val="18"/>
          <w:highlight w:val="none"/>
          <w:shd w:val="clear" w:fill="auto"/>
        </w:rPr>
        <w:t>气泡（2H</w:t>
      </w:r>
      <w:r>
        <w:rPr>
          <w:rFonts w:hint="eastAsia" w:cs="Times New Roman"/>
          <w:color w:val="auto"/>
          <w:szCs w:val="18"/>
          <w:highlight w:val="none"/>
          <w:shd w:val="clear" w:fill="auto"/>
          <w:vertAlign w:val="subscript"/>
          <w:lang w:val="en-US" w:eastAsia="zh-CN"/>
        </w:rPr>
        <w:t>2</w:t>
      </w:r>
      <w:r>
        <w:rPr>
          <w:rFonts w:hint="default" w:ascii="Times New Roman" w:hAnsi="Times New Roman" w:cs="Times New Roman"/>
          <w:color w:val="auto"/>
          <w:szCs w:val="18"/>
          <w:highlight w:val="none"/>
          <w:shd w:val="clear" w:fill="auto"/>
        </w:rPr>
        <w:t>O+2e</w:t>
      </w:r>
      <w:r>
        <w:rPr>
          <w:rFonts w:hint="eastAsia" w:cs="Times New Roman"/>
          <w:color w:val="auto"/>
          <w:szCs w:val="18"/>
          <w:highlight w:val="none"/>
          <w:shd w:val="clear" w:fill="auto"/>
          <w:vertAlign w:val="superscript"/>
          <w:lang w:eastAsia="zh-CN"/>
        </w:rPr>
        <w:t>—</w:t>
      </w:r>
      <w:r>
        <w:rPr>
          <w:rFonts w:hint="default" w:ascii="Times New Roman" w:hAnsi="Times New Roman" w:cs="Times New Roman"/>
          <w:color w:val="auto"/>
          <w:szCs w:val="18"/>
          <w:highlight w:val="none"/>
          <w:shd w:val="clear" w:fill="auto"/>
        </w:rPr>
        <w:t>→H</w:t>
      </w:r>
      <w:r>
        <w:rPr>
          <w:rFonts w:hint="eastAsia" w:cs="Times New Roman"/>
          <w:color w:val="auto"/>
          <w:szCs w:val="18"/>
          <w:highlight w:val="none"/>
          <w:shd w:val="clear" w:fill="auto"/>
          <w:vertAlign w:val="subscript"/>
          <w:lang w:val="en-US" w:eastAsia="zh-CN"/>
        </w:rPr>
        <w:t>2</w:t>
      </w:r>
      <w:r>
        <w:rPr>
          <w:rFonts w:hint="default" w:ascii="Times New Roman" w:hAnsi="Times New Roman" w:cs="Times New Roman"/>
          <w:color w:val="auto"/>
          <w:szCs w:val="18"/>
          <w:highlight w:val="none"/>
          <w:shd w:val="clear" w:fill="auto"/>
        </w:rPr>
        <w:t>+2OH</w:t>
      </w:r>
      <w:r>
        <w:rPr>
          <w:rFonts w:hint="eastAsia" w:cs="Times New Roman"/>
          <w:color w:val="auto"/>
          <w:szCs w:val="18"/>
          <w:highlight w:val="none"/>
          <w:shd w:val="clear" w:fill="auto"/>
          <w:vertAlign w:val="superscript"/>
          <w:lang w:eastAsia="zh-CN"/>
        </w:rPr>
        <w:t>—</w:t>
      </w:r>
      <w:r>
        <w:rPr>
          <w:rFonts w:hint="default" w:ascii="Times New Roman" w:hAnsi="Times New Roman" w:cs="Times New Roman"/>
          <w:color w:val="auto"/>
          <w:szCs w:val="18"/>
          <w:highlight w:val="none"/>
          <w:shd w:val="clear" w:fill="auto"/>
        </w:rPr>
        <w:t>）。随后，Al</w:t>
      </w:r>
      <w:r>
        <w:rPr>
          <w:rFonts w:hint="eastAsia" w:cs="Times New Roman"/>
          <w:color w:val="auto"/>
          <w:szCs w:val="18"/>
          <w:highlight w:val="none"/>
          <w:shd w:val="clear" w:fill="auto"/>
          <w:vertAlign w:val="superscript"/>
          <w:lang w:val="en-US" w:eastAsia="zh-CN"/>
        </w:rPr>
        <w:t>3+</w:t>
      </w:r>
      <w:r>
        <w:rPr>
          <w:rFonts w:hint="default" w:ascii="Times New Roman" w:hAnsi="Times New Roman" w:cs="Times New Roman"/>
          <w:color w:val="auto"/>
          <w:szCs w:val="18"/>
          <w:highlight w:val="none"/>
          <w:shd w:val="clear" w:fill="auto"/>
        </w:rPr>
        <w:t>在体系中发生水解与聚合，形成以Al(OH)</w:t>
      </w:r>
      <w:r>
        <w:rPr>
          <w:rFonts w:hint="eastAsia" w:cs="Times New Roman"/>
          <w:color w:val="auto"/>
          <w:szCs w:val="18"/>
          <w:highlight w:val="none"/>
          <w:shd w:val="clear" w:fill="auto"/>
          <w:vertAlign w:val="subscript"/>
          <w:lang w:val="en-US" w:eastAsia="zh-CN"/>
        </w:rPr>
        <w:t>3</w:t>
      </w:r>
      <w:r>
        <w:rPr>
          <w:rFonts w:hint="default" w:ascii="Times New Roman" w:hAnsi="Times New Roman" w:cs="Times New Roman"/>
          <w:color w:val="auto"/>
          <w:szCs w:val="18"/>
          <w:highlight w:val="none"/>
          <w:shd w:val="clear" w:fill="auto"/>
        </w:rPr>
        <w:t>(s)为主的铝基水解产物/絮体，其可通过电中和、卷扫网捕与架桥作用吸附并捕集PE颗粒</w:t>
      </w:r>
      <w:r>
        <w:rPr>
          <w:rFonts w:hint="default" w:ascii="Times New Roman" w:hAnsi="Times New Roman" w:cs="Times New Roman"/>
          <w:color w:val="auto"/>
          <w:szCs w:val="18"/>
          <w:highlight w:val="none"/>
          <w:shd w:val="clear" w:fill="auto"/>
          <w:vertAlign w:val="superscript"/>
        </w:rPr>
        <w:t>[3</w:t>
      </w:r>
      <w:r>
        <w:rPr>
          <w:rFonts w:hint="eastAsia" w:cs="Times New Roman"/>
          <w:color w:val="auto"/>
          <w:szCs w:val="18"/>
          <w:highlight w:val="none"/>
          <w:shd w:val="clear" w:fill="auto"/>
          <w:vertAlign w:val="superscript"/>
          <w:lang w:val="en-US" w:eastAsia="zh-CN"/>
        </w:rPr>
        <w:t>0</w:t>
      </w:r>
      <w:r>
        <w:rPr>
          <w:rFonts w:hint="default" w:ascii="Times New Roman" w:hAnsi="Times New Roman" w:cs="Times New Roman"/>
          <w:color w:val="auto"/>
          <w:szCs w:val="18"/>
          <w:highlight w:val="none"/>
          <w:shd w:val="clear" w:fill="auto"/>
          <w:vertAlign w:val="superscript"/>
        </w:rPr>
        <w:t>]</w:t>
      </w:r>
      <w:r>
        <w:rPr>
          <w:rFonts w:hint="default" w:ascii="Times New Roman" w:hAnsi="Times New Roman" w:cs="Times New Roman"/>
          <w:color w:val="auto"/>
          <w:szCs w:val="18"/>
          <w:highlight w:val="none"/>
          <w:shd w:val="clear" w:fill="auto"/>
        </w:rPr>
        <w:t>。同时，部分负载PE的絮体可附着于阴极析出的H</w:t>
      </w:r>
      <w:r>
        <w:rPr>
          <w:rFonts w:hint="eastAsia" w:cs="Times New Roman"/>
          <w:color w:val="auto"/>
          <w:szCs w:val="18"/>
          <w:highlight w:val="none"/>
          <w:shd w:val="clear" w:fill="auto"/>
          <w:vertAlign w:val="subscript"/>
          <w:lang w:val="en-US" w:eastAsia="zh-CN"/>
        </w:rPr>
        <w:t>2</w:t>
      </w:r>
      <w:r>
        <w:rPr>
          <w:rFonts w:hint="default" w:ascii="Times New Roman" w:hAnsi="Times New Roman" w:cs="Times New Roman"/>
          <w:color w:val="auto"/>
          <w:szCs w:val="18"/>
          <w:highlight w:val="none"/>
          <w:shd w:val="clear" w:fill="auto"/>
        </w:rPr>
        <w:t>气泡并随气泡上升发生上浮分离（电浮选），从而形成</w:t>
      </w:r>
      <w:r>
        <w:rPr>
          <w:rFonts w:hint="eastAsia" w:cs="Times New Roman"/>
          <w:color w:val="auto"/>
          <w:szCs w:val="18"/>
          <w:highlight w:val="none"/>
          <w:shd w:val="clear" w:fill="auto"/>
          <w:lang w:eastAsia="zh-CN"/>
        </w:rPr>
        <w:t>“</w:t>
      </w:r>
      <w:r>
        <w:rPr>
          <w:rFonts w:hint="default" w:ascii="Times New Roman" w:hAnsi="Times New Roman" w:cs="Times New Roman"/>
          <w:color w:val="auto"/>
          <w:szCs w:val="18"/>
          <w:highlight w:val="none"/>
          <w:shd w:val="clear" w:fill="auto"/>
        </w:rPr>
        <w:t>沉降</w:t>
      </w:r>
      <w:r>
        <w:rPr>
          <w:rFonts w:hint="eastAsia" w:cs="Times New Roman"/>
          <w:color w:val="auto"/>
          <w:szCs w:val="18"/>
          <w:highlight w:val="none"/>
          <w:shd w:val="clear" w:fill="auto"/>
          <w:lang w:val="en-US" w:eastAsia="zh-CN"/>
        </w:rPr>
        <w:t>-</w:t>
      </w:r>
      <w:r>
        <w:rPr>
          <w:rFonts w:hint="default" w:ascii="Times New Roman" w:hAnsi="Times New Roman" w:cs="Times New Roman"/>
          <w:color w:val="auto"/>
          <w:szCs w:val="18"/>
          <w:highlight w:val="none"/>
          <w:shd w:val="clear" w:fill="auto"/>
        </w:rPr>
        <w:t>上浮并存</w:t>
      </w:r>
      <w:r>
        <w:rPr>
          <w:rFonts w:hint="eastAsia" w:cs="Times New Roman"/>
          <w:color w:val="auto"/>
          <w:szCs w:val="18"/>
          <w:highlight w:val="none"/>
          <w:shd w:val="clear" w:fill="auto"/>
          <w:lang w:eastAsia="zh-CN"/>
        </w:rPr>
        <w:t>”</w:t>
      </w:r>
      <w:r>
        <w:rPr>
          <w:rFonts w:hint="default" w:ascii="Times New Roman" w:hAnsi="Times New Roman" w:cs="Times New Roman"/>
          <w:color w:val="auto"/>
          <w:szCs w:val="18"/>
          <w:highlight w:val="none"/>
          <w:shd w:val="clear" w:fill="auto"/>
        </w:rPr>
        <w:t>的协同去除路径</w:t>
      </w:r>
      <w:r>
        <w:rPr>
          <w:rFonts w:hint="default" w:ascii="Times New Roman" w:hAnsi="Times New Roman" w:cs="Times New Roman"/>
          <w:color w:val="auto"/>
          <w:szCs w:val="18"/>
          <w:highlight w:val="none"/>
          <w:shd w:val="clear" w:fill="auto"/>
          <w:vertAlign w:val="superscript"/>
        </w:rPr>
        <w:t>[3</w:t>
      </w:r>
      <w:r>
        <w:rPr>
          <w:rFonts w:hint="eastAsia" w:cs="Times New Roman"/>
          <w:color w:val="auto"/>
          <w:szCs w:val="18"/>
          <w:highlight w:val="none"/>
          <w:shd w:val="clear" w:fill="auto"/>
          <w:vertAlign w:val="superscript"/>
          <w:lang w:val="en-US" w:eastAsia="zh-CN"/>
        </w:rPr>
        <w:t>1</w:t>
      </w:r>
      <w:r>
        <w:rPr>
          <w:rFonts w:hint="default" w:ascii="Times New Roman" w:hAnsi="Times New Roman" w:cs="Times New Roman"/>
          <w:color w:val="auto"/>
          <w:szCs w:val="18"/>
          <w:highlight w:val="none"/>
          <w:shd w:val="clear" w:fill="auto"/>
          <w:vertAlign w:val="superscript"/>
          <w:lang w:val="en-US"/>
        </w:rPr>
        <w:t>]</w:t>
      </w:r>
      <w:r>
        <w:rPr>
          <w:rFonts w:hint="default" w:ascii="Times New Roman" w:hAnsi="Times New Roman" w:cs="Times New Roman"/>
          <w:color w:val="auto"/>
          <w:szCs w:val="18"/>
          <w:highlight w:val="none"/>
          <w:shd w:val="clear" w:fill="auto"/>
        </w:rPr>
        <w:t>（</w:t>
      </w:r>
      <w:r>
        <w:rPr>
          <w:rFonts w:hint="eastAsia" w:cs="Times New Roman"/>
          <w:color w:val="auto"/>
          <w:szCs w:val="18"/>
          <w:highlight w:val="none"/>
          <w:shd w:val="clear" w:fill="auto"/>
          <w:lang w:val="en-US" w:eastAsia="zh-CN"/>
        </w:rPr>
        <w:t>见</w:t>
      </w:r>
      <w:r>
        <w:rPr>
          <w:rFonts w:hint="default" w:ascii="Times New Roman" w:hAnsi="Times New Roman" w:cs="Times New Roman"/>
          <w:color w:val="auto"/>
          <w:szCs w:val="18"/>
          <w:highlight w:val="none"/>
          <w:shd w:val="clear" w:fill="auto"/>
        </w:rPr>
        <w:t>图</w:t>
      </w:r>
      <w:r>
        <w:rPr>
          <w:rFonts w:hint="eastAsia" w:cs="Times New Roman"/>
          <w:color w:val="auto"/>
          <w:szCs w:val="18"/>
          <w:highlight w:val="none"/>
          <w:shd w:val="clear" w:fill="auto"/>
          <w:lang w:val="en-US" w:eastAsia="zh-CN"/>
        </w:rPr>
        <w:t>6</w:t>
      </w:r>
      <w:r>
        <w:rPr>
          <w:rFonts w:hint="default" w:ascii="Times New Roman" w:hAnsi="Times New Roman" w:cs="Times New Roman"/>
          <w:color w:val="auto"/>
          <w:szCs w:val="18"/>
          <w:highlight w:val="none"/>
          <w:shd w:val="clear" w:fill="auto"/>
        </w:rPr>
        <w:t>）。</w:t>
      </w:r>
      <w:r>
        <w:rPr>
          <w:rFonts w:hint="eastAsia" w:cs="Times New Roman"/>
          <w:color w:val="auto"/>
          <w:szCs w:val="18"/>
          <w:highlight w:val="none"/>
          <w:shd w:val="clear" w:fill="auto"/>
          <w:lang w:val="en-US" w:eastAsia="zh-CN"/>
        </w:rPr>
        <w:t>另外</w:t>
      </w:r>
      <w:r>
        <w:rPr>
          <w:rFonts w:hint="default" w:ascii="Times New Roman" w:hAnsi="Times New Roman" w:cs="Times New Roman"/>
          <w:color w:val="auto"/>
          <w:szCs w:val="18"/>
          <w:highlight w:val="none"/>
          <w:shd w:val="clear" w:fill="auto"/>
        </w:rPr>
        <w:t>在以NaCl为电解质的条件下，阳极除发生铝溶解反应外，Cl</w:t>
      </w:r>
      <w:r>
        <w:rPr>
          <w:rFonts w:hint="eastAsia" w:cs="Times New Roman"/>
          <w:color w:val="auto"/>
          <w:szCs w:val="18"/>
          <w:highlight w:val="none"/>
          <w:shd w:val="clear" w:fill="auto"/>
          <w:vertAlign w:val="superscript"/>
          <w:lang w:eastAsia="zh-CN"/>
        </w:rPr>
        <w:t>—</w:t>
      </w:r>
      <w:r>
        <w:rPr>
          <w:rFonts w:hint="default" w:ascii="Times New Roman" w:hAnsi="Times New Roman" w:cs="Times New Roman"/>
          <w:color w:val="auto"/>
          <w:szCs w:val="18"/>
          <w:highlight w:val="none"/>
          <w:shd w:val="clear" w:fill="auto"/>
        </w:rPr>
        <w:t>在一定电位下亦可能被氧化生成Cl</w:t>
      </w:r>
      <w:r>
        <w:rPr>
          <w:rFonts w:hint="eastAsia" w:cs="Times New Roman"/>
          <w:color w:val="auto"/>
          <w:szCs w:val="18"/>
          <w:highlight w:val="none"/>
          <w:shd w:val="clear" w:fill="auto"/>
          <w:vertAlign w:val="subscript"/>
          <w:lang w:val="en-US" w:eastAsia="zh-CN"/>
        </w:rPr>
        <w:t>2</w:t>
      </w:r>
      <w:r>
        <w:rPr>
          <w:rFonts w:hint="default" w:ascii="Times New Roman" w:hAnsi="Times New Roman" w:cs="Times New Roman"/>
          <w:color w:val="auto"/>
          <w:szCs w:val="18"/>
          <w:highlight w:val="none"/>
          <w:shd w:val="clear" w:fill="auto"/>
        </w:rPr>
        <w:t>（2Cl</w:t>
      </w:r>
      <w:r>
        <w:rPr>
          <w:rFonts w:hint="eastAsia" w:cs="Times New Roman"/>
          <w:color w:val="auto"/>
          <w:szCs w:val="18"/>
          <w:highlight w:val="none"/>
          <w:shd w:val="clear" w:fill="auto"/>
          <w:vertAlign w:val="superscript"/>
          <w:lang w:eastAsia="zh-CN"/>
        </w:rPr>
        <w:t>—</w:t>
      </w:r>
      <w:r>
        <w:rPr>
          <w:rFonts w:hint="default" w:ascii="Times New Roman" w:hAnsi="Times New Roman" w:cs="Times New Roman"/>
          <w:color w:val="auto"/>
          <w:szCs w:val="18"/>
          <w:highlight w:val="none"/>
          <w:shd w:val="clear" w:fill="auto"/>
        </w:rPr>
        <w:t>→Cl</w:t>
      </w:r>
      <w:r>
        <w:rPr>
          <w:rFonts w:hint="eastAsia" w:cs="Times New Roman"/>
          <w:color w:val="auto"/>
          <w:szCs w:val="18"/>
          <w:highlight w:val="none"/>
          <w:shd w:val="clear" w:fill="auto"/>
          <w:vertAlign w:val="subscript"/>
          <w:lang w:val="en-US" w:eastAsia="zh-CN"/>
        </w:rPr>
        <w:t>2</w:t>
      </w:r>
      <w:r>
        <w:rPr>
          <w:rFonts w:hint="default" w:ascii="Times New Roman" w:hAnsi="Times New Roman" w:cs="Times New Roman"/>
          <w:color w:val="auto"/>
          <w:szCs w:val="18"/>
          <w:highlight w:val="none"/>
          <w:shd w:val="clear" w:fill="auto"/>
        </w:rPr>
        <w:t>+2e</w:t>
      </w:r>
      <w:r>
        <w:rPr>
          <w:rFonts w:hint="eastAsia" w:cs="Times New Roman"/>
          <w:color w:val="auto"/>
          <w:szCs w:val="18"/>
          <w:highlight w:val="none"/>
          <w:shd w:val="clear" w:fill="auto"/>
          <w:vertAlign w:val="superscript"/>
          <w:lang w:eastAsia="zh-CN"/>
        </w:rPr>
        <w:t>—</w:t>
      </w:r>
      <w:r>
        <w:rPr>
          <w:rFonts w:hint="default" w:ascii="Times New Roman" w:hAnsi="Times New Roman" w:cs="Times New Roman"/>
          <w:color w:val="auto"/>
          <w:szCs w:val="18"/>
          <w:highlight w:val="none"/>
          <w:shd w:val="clear" w:fill="auto"/>
        </w:rPr>
        <w:t>），其进一步水解形成HOCl/OCl⁻等氯氧自由基</w:t>
      </w:r>
      <w:r>
        <w:rPr>
          <w:rFonts w:hint="eastAsia" w:cs="Times New Roman"/>
          <w:color w:val="auto"/>
          <w:szCs w:val="18"/>
          <w:highlight w:val="none"/>
          <w:shd w:val="clear" w:fill="auto"/>
          <w:lang w:eastAsia="zh-CN"/>
        </w:rPr>
        <w:t>，</w:t>
      </w:r>
      <w:r>
        <w:rPr>
          <w:rFonts w:hint="default" w:ascii="Times New Roman" w:hAnsi="Times New Roman" w:cs="Times New Roman"/>
          <w:color w:val="auto"/>
          <w:szCs w:val="18"/>
          <w:highlight w:val="none"/>
          <w:shd w:val="clear" w:fill="auto"/>
        </w:rPr>
        <w:t>这些</w:t>
      </w:r>
      <w:r>
        <w:rPr>
          <w:rFonts w:hint="eastAsia" w:cs="Times New Roman"/>
          <w:color w:val="auto"/>
          <w:szCs w:val="18"/>
          <w:highlight w:val="none"/>
          <w:shd w:val="clear" w:fill="auto"/>
          <w:lang w:val="en-US" w:eastAsia="zh-CN"/>
        </w:rPr>
        <w:t>自由基</w:t>
      </w:r>
      <w:r>
        <w:rPr>
          <w:rFonts w:hint="default" w:ascii="Times New Roman" w:hAnsi="Times New Roman" w:cs="Times New Roman"/>
          <w:color w:val="auto"/>
          <w:szCs w:val="18"/>
          <w:highlight w:val="none"/>
          <w:shd w:val="clear" w:fill="auto"/>
        </w:rPr>
        <w:t>在水体中可能产生一定的氧化能力，对有机污染物表面结构产生轻微氧化或官能化作用。在本研究所采用的电压和pH条件下未观察到明显降解产物，但氯氧自由基可能对PE表面产生一定程度的表面改性，从而增强其与铝基絮体之间的相互作用</w:t>
      </w:r>
      <w:r>
        <w:rPr>
          <w:rFonts w:hint="eastAsia" w:cs="Times New Roman"/>
          <w:color w:val="auto"/>
          <w:szCs w:val="18"/>
          <w:highlight w:val="none"/>
          <w:shd w:val="clear" w:fill="auto"/>
          <w:lang w:eastAsia="zh-CN"/>
        </w:rPr>
        <w:t>。总体而言，在本体系中铝基絮体的絮凝捕集与气泡辅助分离仍是PE去除的主要机制，而活性氯物种可能仅起到辅助促进作用。</w:t>
      </w:r>
    </w:p>
    <w:p w14:paraId="0AA5AF64">
      <w:pPr>
        <w:jc w:val="center"/>
        <w:rPr>
          <w:color w:val="auto"/>
          <w:highlight w:val="none"/>
          <w:shd w:val="clear" w:fill="auto"/>
        </w:rPr>
      </w:pPr>
      <w:r>
        <w:rPr>
          <w:rFonts w:hint="eastAsia" w:eastAsiaTheme="minorEastAsia"/>
          <w:color w:val="auto"/>
          <w:highlight w:val="none"/>
          <w:shd w:val="clear" w:fill="auto"/>
          <w:lang w:eastAsia="zh-CN"/>
        </w:rPr>
        <w:drawing>
          <wp:inline distT="0" distB="0" distL="114300" distR="114300">
            <wp:extent cx="2055495" cy="2160270"/>
            <wp:effectExtent l="0" t="0" r="1905" b="11430"/>
            <wp:docPr id="10" name="图片 10" descr="1747387683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1747387683502"/>
                    <pic:cNvPicPr>
                      <a:picLocks noChangeAspect="1"/>
                    </pic:cNvPicPr>
                  </pic:nvPicPr>
                  <pic:blipFill>
                    <a:blip r:embed="rId16"/>
                    <a:stretch>
                      <a:fillRect/>
                    </a:stretch>
                  </pic:blipFill>
                  <pic:spPr>
                    <a:xfrm>
                      <a:off x="0" y="0"/>
                      <a:ext cx="2055495" cy="2160270"/>
                    </a:xfrm>
                    <a:prstGeom prst="rect">
                      <a:avLst/>
                    </a:prstGeom>
                  </pic:spPr>
                </pic:pic>
              </a:graphicData>
            </a:graphic>
          </wp:inline>
        </w:drawing>
      </w:r>
    </w:p>
    <w:p w14:paraId="3168923A">
      <w:pPr>
        <w:jc w:val="center"/>
        <w:rPr>
          <w:rFonts w:hint="default" w:ascii="Times New Roman" w:hAnsi="Times New Roman" w:eastAsia="黑体" w:cs="Times New Roman"/>
          <w:color w:val="auto"/>
          <w:sz w:val="18"/>
          <w:szCs w:val="18"/>
          <w:highlight w:val="none"/>
          <w:shd w:val="clear" w:fill="auto"/>
        </w:rPr>
      </w:pPr>
      <w:r>
        <w:rPr>
          <w:rFonts w:hint="default" w:ascii="Times New Roman" w:hAnsi="Times New Roman" w:eastAsia="黑体" w:cs="Times New Roman"/>
          <w:color w:val="auto"/>
          <w:sz w:val="18"/>
          <w:szCs w:val="18"/>
          <w:highlight w:val="none"/>
          <w:shd w:val="clear" w:fill="auto"/>
        </w:rPr>
        <w:t>图</w:t>
      </w:r>
      <w:r>
        <w:rPr>
          <w:rFonts w:hint="eastAsia" w:eastAsia="黑体" w:cs="Times New Roman"/>
          <w:color w:val="auto"/>
          <w:sz w:val="18"/>
          <w:szCs w:val="18"/>
          <w:highlight w:val="none"/>
          <w:shd w:val="clear" w:fill="auto"/>
          <w:lang w:val="en-US" w:eastAsia="zh-CN"/>
        </w:rPr>
        <w:t>6</w:t>
      </w:r>
      <w:r>
        <w:rPr>
          <w:rFonts w:hint="default" w:ascii="Times New Roman" w:hAnsi="Times New Roman" w:eastAsia="黑体" w:cs="Times New Roman"/>
          <w:color w:val="auto"/>
          <w:sz w:val="18"/>
          <w:szCs w:val="18"/>
          <w:highlight w:val="none"/>
          <w:shd w:val="clear" w:fill="auto"/>
        </w:rPr>
        <w:t xml:space="preserve">  电絮凝去除聚乙烯机理</w:t>
      </w:r>
    </w:p>
    <w:p w14:paraId="30E92159">
      <w:pPr>
        <w:jc w:val="center"/>
        <w:rPr>
          <w:rFonts w:hint="default" w:ascii="Times New Roman" w:hAnsi="Times New Roman" w:cs="Times New Roman"/>
          <w:color w:val="auto"/>
          <w:sz w:val="18"/>
          <w:szCs w:val="18"/>
          <w:highlight w:val="none"/>
          <w:shd w:val="clear" w:fill="auto"/>
        </w:rPr>
      </w:pPr>
      <w:r>
        <w:rPr>
          <w:color w:val="auto"/>
          <w:sz w:val="18"/>
          <w:szCs w:val="18"/>
          <w:highlight w:val="none"/>
          <w:shd w:val="clear" w:fill="auto"/>
        </w:rPr>
        <w:t>Fig</w:t>
      </w:r>
      <w:r>
        <w:rPr>
          <w:rFonts w:hint="eastAsia"/>
          <w:color w:val="auto"/>
          <w:sz w:val="18"/>
          <w:szCs w:val="18"/>
          <w:highlight w:val="none"/>
          <w:shd w:val="clear" w:fill="auto"/>
        </w:rPr>
        <w:t>.</w:t>
      </w:r>
      <w:r>
        <w:rPr>
          <w:rFonts w:hint="eastAsia"/>
          <w:color w:val="auto"/>
          <w:sz w:val="18"/>
          <w:szCs w:val="18"/>
          <w:highlight w:val="none"/>
          <w:shd w:val="clear" w:fill="auto"/>
          <w:lang w:val="en-US" w:eastAsia="zh-CN"/>
        </w:rPr>
        <w:t>6</w:t>
      </w:r>
      <w:r>
        <w:rPr>
          <w:rFonts w:hint="eastAsia"/>
          <w:color w:val="auto"/>
          <w:sz w:val="18"/>
          <w:szCs w:val="18"/>
          <w:highlight w:val="none"/>
          <w:shd w:val="clear" w:fill="auto"/>
        </w:rPr>
        <w:t xml:space="preserve">  </w:t>
      </w:r>
      <w:r>
        <w:rPr>
          <w:color w:val="auto"/>
          <w:sz w:val="18"/>
          <w:szCs w:val="18"/>
          <w:highlight w:val="none"/>
          <w:shd w:val="clear" w:fill="auto"/>
        </w:rPr>
        <w:t>Mechanism of polyethylene removal by electrocoagulation</w:t>
      </w:r>
    </w:p>
    <w:p w14:paraId="2E806C0D">
      <w:pPr>
        <w:adjustRightInd w:val="0"/>
        <w:snapToGrid w:val="0"/>
        <w:ind w:firstLine="420" w:firstLineChars="200"/>
        <w:rPr>
          <w:rFonts w:hint="default" w:ascii="Times New Roman" w:hAnsi="Times New Roman" w:cs="Times New Roman"/>
          <w:color w:val="auto"/>
          <w:szCs w:val="18"/>
          <w:highlight w:val="none"/>
          <w:shd w:val="clear" w:fill="auto"/>
        </w:rPr>
      </w:pPr>
    </w:p>
    <w:p w14:paraId="01C81AA2">
      <w:pPr>
        <w:adjustRightInd w:val="0"/>
        <w:snapToGrid w:val="0"/>
        <w:ind w:firstLine="420" w:firstLineChars="200"/>
        <w:rPr>
          <w:rFonts w:hint="default" w:ascii="Times New Roman" w:hAnsi="Times New Roman" w:cs="Times New Roman"/>
          <w:color w:val="auto"/>
          <w:szCs w:val="18"/>
          <w:highlight w:val="none"/>
          <w:shd w:val="clear" w:fill="auto"/>
        </w:rPr>
      </w:pPr>
      <w:r>
        <w:rPr>
          <w:rFonts w:hint="default" w:ascii="Times New Roman" w:hAnsi="Times New Roman" w:cs="Times New Roman"/>
          <w:color w:val="auto"/>
          <w:szCs w:val="18"/>
          <w:highlight w:val="none"/>
          <w:shd w:val="clear" w:fill="auto"/>
        </w:rPr>
        <w:t>傅里叶红外光谱</w:t>
      </w:r>
      <w:r>
        <w:rPr>
          <w:rFonts w:hint="eastAsia" w:cs="Times New Roman"/>
          <w:color w:val="auto"/>
          <w:szCs w:val="18"/>
          <w:highlight w:val="none"/>
          <w:shd w:val="clear" w:fill="auto"/>
          <w:lang w:eastAsia="zh-CN"/>
        </w:rPr>
        <w:t>（</w:t>
      </w:r>
      <w:r>
        <w:rPr>
          <w:rFonts w:hint="default" w:ascii="Times New Roman" w:hAnsi="Times New Roman" w:cs="Times New Roman"/>
          <w:color w:val="auto"/>
          <w:szCs w:val="18"/>
          <w:highlight w:val="none"/>
          <w:shd w:val="clear" w:fill="auto"/>
        </w:rPr>
        <w:t>FTIR</w:t>
      </w:r>
      <w:r>
        <w:rPr>
          <w:rFonts w:hint="eastAsia" w:cs="Times New Roman"/>
          <w:color w:val="auto"/>
          <w:szCs w:val="18"/>
          <w:highlight w:val="none"/>
          <w:shd w:val="clear" w:fill="auto"/>
          <w:lang w:eastAsia="zh-CN"/>
        </w:rPr>
        <w:t>）</w:t>
      </w:r>
      <w:r>
        <w:rPr>
          <w:rFonts w:hint="default" w:ascii="Times New Roman" w:hAnsi="Times New Roman" w:cs="Times New Roman"/>
          <w:color w:val="auto"/>
          <w:szCs w:val="18"/>
          <w:highlight w:val="none"/>
          <w:shd w:val="clear" w:fill="auto"/>
        </w:rPr>
        <w:t>结果（</w:t>
      </w:r>
      <w:r>
        <w:rPr>
          <w:rFonts w:hint="eastAsia" w:cs="Times New Roman"/>
          <w:color w:val="auto"/>
          <w:szCs w:val="18"/>
          <w:highlight w:val="none"/>
          <w:shd w:val="clear" w:fill="auto"/>
          <w:lang w:val="en-US" w:eastAsia="zh-CN"/>
        </w:rPr>
        <w:t>见</w:t>
      </w:r>
      <w:r>
        <w:rPr>
          <w:rFonts w:hint="default" w:ascii="Times New Roman" w:hAnsi="Times New Roman" w:cs="Times New Roman"/>
          <w:color w:val="auto"/>
          <w:szCs w:val="18"/>
          <w:highlight w:val="none"/>
          <w:shd w:val="clear" w:fill="auto"/>
        </w:rPr>
        <w:t>图</w:t>
      </w:r>
      <w:r>
        <w:rPr>
          <w:rFonts w:hint="eastAsia" w:cs="Times New Roman"/>
          <w:color w:val="auto"/>
          <w:szCs w:val="18"/>
          <w:highlight w:val="none"/>
          <w:shd w:val="clear" w:fill="auto"/>
          <w:lang w:val="en-US" w:eastAsia="zh-CN"/>
        </w:rPr>
        <w:t>7</w:t>
      </w:r>
      <w:r>
        <w:rPr>
          <w:rFonts w:hint="default" w:ascii="Times New Roman" w:hAnsi="Times New Roman" w:cs="Times New Roman"/>
          <w:color w:val="auto"/>
          <w:szCs w:val="18"/>
          <w:highlight w:val="none"/>
          <w:shd w:val="clear" w:fill="auto"/>
        </w:rPr>
        <w:t>）为絮体沉积/包覆提供了佐证：絮凝前PE在2913cm</w:t>
      </w:r>
      <w:r>
        <w:rPr>
          <w:rFonts w:hint="eastAsia" w:cs="Times New Roman"/>
          <w:color w:val="auto"/>
          <w:szCs w:val="18"/>
          <w:highlight w:val="none"/>
          <w:shd w:val="clear" w:fill="auto"/>
          <w:vertAlign w:val="superscript"/>
          <w:lang w:val="en-US" w:eastAsia="zh-CN"/>
        </w:rPr>
        <w:t>-1</w:t>
      </w:r>
      <w:r>
        <w:rPr>
          <w:rFonts w:hint="default" w:ascii="Times New Roman" w:hAnsi="Times New Roman" w:cs="Times New Roman"/>
          <w:color w:val="auto"/>
          <w:szCs w:val="18"/>
          <w:highlight w:val="none"/>
          <w:shd w:val="clear" w:fill="auto"/>
        </w:rPr>
        <w:t>与2847cm</w:t>
      </w:r>
      <w:r>
        <w:rPr>
          <w:rFonts w:hint="eastAsia" w:cs="Times New Roman"/>
          <w:color w:val="auto"/>
          <w:szCs w:val="18"/>
          <w:highlight w:val="none"/>
          <w:shd w:val="clear" w:fill="auto"/>
          <w:vertAlign w:val="superscript"/>
          <w:lang w:val="en-US" w:eastAsia="zh-CN"/>
        </w:rPr>
        <w:t>-1</w:t>
      </w:r>
      <w:r>
        <w:rPr>
          <w:rFonts w:hint="default" w:ascii="Times New Roman" w:hAnsi="Times New Roman" w:cs="Times New Roman"/>
          <w:color w:val="auto"/>
          <w:szCs w:val="18"/>
          <w:highlight w:val="none"/>
          <w:shd w:val="clear" w:fill="auto"/>
        </w:rPr>
        <w:t>处分别表现为–CH</w:t>
      </w:r>
      <w:r>
        <w:rPr>
          <w:rFonts w:hint="eastAsia" w:cs="Times New Roman"/>
          <w:color w:val="auto"/>
          <w:szCs w:val="18"/>
          <w:highlight w:val="none"/>
          <w:shd w:val="clear" w:fill="auto"/>
          <w:vertAlign w:val="subscript"/>
          <w:lang w:val="en-US" w:eastAsia="zh-CN"/>
        </w:rPr>
        <w:t>2</w:t>
      </w:r>
      <w:r>
        <w:rPr>
          <w:rFonts w:hint="default" w:ascii="Times New Roman" w:hAnsi="Times New Roman" w:cs="Times New Roman"/>
          <w:color w:val="auto"/>
          <w:szCs w:val="18"/>
          <w:highlight w:val="none"/>
          <w:shd w:val="clear" w:fill="auto"/>
        </w:rPr>
        <w:t>–的不对称与对称伸缩振动峰；在约1466cm</w:t>
      </w:r>
      <w:r>
        <w:rPr>
          <w:rFonts w:hint="eastAsia" w:cs="Times New Roman"/>
          <w:color w:val="auto"/>
          <w:szCs w:val="18"/>
          <w:highlight w:val="none"/>
          <w:shd w:val="clear" w:fill="auto"/>
          <w:vertAlign w:val="superscript"/>
          <w:lang w:val="en-US" w:eastAsia="zh-CN"/>
        </w:rPr>
        <w:t>-1</w:t>
      </w:r>
      <w:r>
        <w:rPr>
          <w:rFonts w:hint="default" w:ascii="Times New Roman" w:hAnsi="Times New Roman" w:cs="Times New Roman"/>
          <w:color w:val="auto"/>
          <w:szCs w:val="18"/>
          <w:highlight w:val="none"/>
          <w:shd w:val="clear" w:fill="auto"/>
        </w:rPr>
        <w:t>与720cm</w:t>
      </w:r>
      <w:r>
        <w:rPr>
          <w:rFonts w:hint="eastAsia" w:cs="Times New Roman"/>
          <w:color w:val="auto"/>
          <w:szCs w:val="18"/>
          <w:highlight w:val="none"/>
          <w:shd w:val="clear" w:fill="auto"/>
          <w:vertAlign w:val="superscript"/>
          <w:lang w:val="en-US" w:eastAsia="zh-CN"/>
        </w:rPr>
        <w:t>-1</w:t>
      </w:r>
      <w:r>
        <w:rPr>
          <w:rFonts w:hint="default" w:ascii="Times New Roman" w:hAnsi="Times New Roman" w:cs="Times New Roman"/>
          <w:color w:val="auto"/>
          <w:szCs w:val="18"/>
          <w:highlight w:val="none"/>
          <w:shd w:val="clear" w:fill="auto"/>
        </w:rPr>
        <w:t>处出现–CH</w:t>
      </w:r>
      <w:r>
        <w:rPr>
          <w:rFonts w:hint="eastAsia" w:cs="Times New Roman"/>
          <w:color w:val="auto"/>
          <w:szCs w:val="18"/>
          <w:highlight w:val="none"/>
          <w:shd w:val="clear" w:fill="auto"/>
          <w:vertAlign w:val="subscript"/>
          <w:lang w:val="en-US" w:eastAsia="zh-CN"/>
        </w:rPr>
        <w:t>2</w:t>
      </w:r>
      <w:r>
        <w:rPr>
          <w:rFonts w:hint="default" w:ascii="Times New Roman" w:hAnsi="Times New Roman" w:cs="Times New Roman"/>
          <w:color w:val="auto"/>
          <w:szCs w:val="18"/>
          <w:highlight w:val="none"/>
          <w:shd w:val="clear" w:fill="auto"/>
        </w:rPr>
        <w:t>–的弯曲/摇摆振动特征峰</w:t>
      </w:r>
      <w:r>
        <w:rPr>
          <w:rFonts w:hint="eastAsia" w:cs="Times New Roman"/>
          <w:color w:val="auto"/>
          <w:szCs w:val="18"/>
          <w:highlight w:val="none"/>
          <w:shd w:val="clear" w:fill="auto"/>
          <w:lang w:eastAsia="zh-CN"/>
        </w:rPr>
        <w:t>；</w:t>
      </w:r>
      <w:r>
        <w:rPr>
          <w:rFonts w:hint="default" w:ascii="Times New Roman" w:hAnsi="Times New Roman" w:cs="Times New Roman"/>
          <w:color w:val="auto"/>
          <w:szCs w:val="18"/>
          <w:highlight w:val="none"/>
          <w:shd w:val="clear" w:fill="auto"/>
        </w:rPr>
        <w:t>絮凝后样品在约600cm</w:t>
      </w:r>
      <w:r>
        <w:rPr>
          <w:rFonts w:hint="eastAsia" w:cs="Times New Roman"/>
          <w:color w:val="auto"/>
          <w:szCs w:val="18"/>
          <w:highlight w:val="none"/>
          <w:shd w:val="clear" w:fill="auto"/>
          <w:vertAlign w:val="superscript"/>
          <w:lang w:val="en-US" w:eastAsia="zh-CN"/>
        </w:rPr>
        <w:t>-1</w:t>
      </w:r>
      <w:r>
        <w:rPr>
          <w:rFonts w:hint="default" w:ascii="Times New Roman" w:hAnsi="Times New Roman" w:cs="Times New Roman"/>
          <w:color w:val="auto"/>
          <w:szCs w:val="18"/>
          <w:highlight w:val="none"/>
          <w:shd w:val="clear" w:fill="auto"/>
        </w:rPr>
        <w:t>附近出现新的吸收特征，</w:t>
      </w:r>
      <w:r>
        <w:rPr>
          <w:rFonts w:hint="eastAsia" w:cs="Times New Roman"/>
          <w:color w:val="auto"/>
          <w:szCs w:val="18"/>
          <w:highlight w:val="none"/>
          <w:shd w:val="clear" w:fill="auto"/>
          <w:lang w:eastAsia="zh-CN"/>
        </w:rPr>
        <w:t>结合相关文献，</w:t>
      </w:r>
      <w:r>
        <w:rPr>
          <w:rFonts w:hint="default" w:ascii="Times New Roman" w:hAnsi="Times New Roman" w:cs="Times New Roman"/>
          <w:color w:val="auto"/>
          <w:szCs w:val="18"/>
          <w:highlight w:val="none"/>
          <w:shd w:val="clear" w:fill="auto"/>
        </w:rPr>
        <w:t>可归属于Al–O（或Al–O–Al）相关振动</w:t>
      </w:r>
      <w:r>
        <w:rPr>
          <w:rFonts w:hint="default" w:ascii="Times New Roman" w:hAnsi="Times New Roman" w:cs="Times New Roman"/>
          <w:color w:val="auto"/>
          <w:szCs w:val="18"/>
          <w:highlight w:val="none"/>
          <w:shd w:val="clear" w:fill="auto"/>
          <w:vertAlign w:val="superscript"/>
        </w:rPr>
        <w:t>[3</w:t>
      </w:r>
      <w:r>
        <w:rPr>
          <w:rFonts w:hint="eastAsia" w:cs="Times New Roman"/>
          <w:color w:val="auto"/>
          <w:szCs w:val="18"/>
          <w:highlight w:val="none"/>
          <w:shd w:val="clear" w:fill="auto"/>
          <w:vertAlign w:val="superscript"/>
          <w:lang w:val="en-US" w:eastAsia="zh-CN"/>
        </w:rPr>
        <w:t>2</w:t>
      </w:r>
      <w:r>
        <w:rPr>
          <w:rFonts w:hint="default" w:ascii="Times New Roman" w:hAnsi="Times New Roman" w:cs="Times New Roman"/>
          <w:color w:val="auto"/>
          <w:szCs w:val="18"/>
          <w:highlight w:val="none"/>
          <w:shd w:val="clear" w:fill="auto"/>
          <w:vertAlign w:val="superscript"/>
        </w:rPr>
        <w:t>]</w:t>
      </w:r>
      <w:r>
        <w:rPr>
          <w:rFonts w:hint="eastAsia" w:cs="Times New Roman"/>
          <w:color w:val="auto"/>
          <w:szCs w:val="18"/>
          <w:highlight w:val="none"/>
          <w:shd w:val="clear" w:fill="auto"/>
          <w:lang w:eastAsia="zh-CN"/>
        </w:rPr>
        <w:t>，提示样品表面存在铝基沉积层。</w:t>
      </w:r>
      <w:r>
        <w:rPr>
          <w:rFonts w:hint="eastAsia" w:cs="Times New Roman"/>
          <w:color w:val="auto"/>
          <w:szCs w:val="18"/>
          <w:highlight w:val="none"/>
          <w:shd w:val="clear" w:fill="auto"/>
          <w:lang w:val="en-US" w:eastAsia="zh-CN"/>
        </w:rPr>
        <w:t>MOLLAH</w:t>
      </w:r>
      <w:r>
        <w:rPr>
          <w:rFonts w:hint="default" w:ascii="Times New Roman" w:hAnsi="Times New Roman" w:cs="Times New Roman"/>
          <w:color w:val="auto"/>
          <w:szCs w:val="18"/>
          <w:highlight w:val="none"/>
          <w:shd w:val="clear" w:fill="auto"/>
        </w:rPr>
        <w:t>等</w:t>
      </w:r>
      <w:r>
        <w:rPr>
          <w:color w:val="auto"/>
          <w:highlight w:val="none"/>
          <w:shd w:val="clear" w:fill="auto"/>
          <w:vertAlign w:val="superscript"/>
        </w:rPr>
        <w:t>[3</w:t>
      </w:r>
      <w:r>
        <w:rPr>
          <w:rFonts w:hint="eastAsia"/>
          <w:color w:val="auto"/>
          <w:highlight w:val="none"/>
          <w:shd w:val="clear" w:fill="auto"/>
          <w:vertAlign w:val="superscript"/>
          <w:lang w:val="en-US" w:eastAsia="zh-CN"/>
        </w:rPr>
        <w:t>3</w:t>
      </w:r>
      <w:r>
        <w:rPr>
          <w:color w:val="auto"/>
          <w:highlight w:val="none"/>
          <w:shd w:val="clear" w:fill="auto"/>
          <w:vertAlign w:val="superscript"/>
        </w:rPr>
        <w:t>]</w:t>
      </w:r>
      <w:r>
        <w:rPr>
          <w:rFonts w:hint="default" w:ascii="Times New Roman" w:hAnsi="Times New Roman" w:cs="Times New Roman"/>
          <w:color w:val="auto"/>
          <w:szCs w:val="18"/>
          <w:highlight w:val="none"/>
          <w:shd w:val="clear" w:fill="auto"/>
        </w:rPr>
        <w:t>在系统研究铝电絮凝机理时，通过FTIR与XRD分析证实，铝阳极溶解后生成的Al</w:t>
      </w:r>
      <w:r>
        <w:rPr>
          <w:rFonts w:hint="eastAsia" w:cs="Times New Roman"/>
          <w:color w:val="auto"/>
          <w:szCs w:val="18"/>
          <w:highlight w:val="none"/>
          <w:shd w:val="clear" w:fill="auto"/>
          <w:vertAlign w:val="superscript"/>
          <w:lang w:val="en-US" w:eastAsia="zh-CN"/>
        </w:rPr>
        <w:t>3+</w:t>
      </w:r>
      <w:r>
        <w:rPr>
          <w:rFonts w:hint="default" w:ascii="Times New Roman" w:hAnsi="Times New Roman" w:cs="Times New Roman"/>
          <w:color w:val="auto"/>
          <w:szCs w:val="18"/>
          <w:highlight w:val="none"/>
          <w:shd w:val="clear" w:fill="auto"/>
        </w:rPr>
        <w:t>在近中性条件下水解形成无定形Al(OH)</w:t>
      </w:r>
      <w:r>
        <w:rPr>
          <w:rFonts w:hint="eastAsia" w:cs="Times New Roman"/>
          <w:color w:val="auto"/>
          <w:szCs w:val="18"/>
          <w:highlight w:val="none"/>
          <w:shd w:val="clear" w:fill="auto"/>
          <w:vertAlign w:val="subscript"/>
          <w:lang w:val="en-US" w:eastAsia="zh-CN"/>
        </w:rPr>
        <w:t>3</w:t>
      </w:r>
      <w:r>
        <w:rPr>
          <w:rFonts w:hint="default" w:ascii="Times New Roman" w:hAnsi="Times New Roman" w:cs="Times New Roman"/>
          <w:color w:val="auto"/>
          <w:szCs w:val="18"/>
          <w:highlight w:val="none"/>
          <w:shd w:val="clear" w:fill="auto"/>
        </w:rPr>
        <w:t>(s)，其结构中存在明显的Al–O振动吸收特征，并指出该水解产物是电絮凝去除颗粒污染物的主要活性组分。同时PE的–CH₂–特征峰强度相对减弱，</w:t>
      </w:r>
      <w:r>
        <w:rPr>
          <w:rFonts w:hint="eastAsia" w:cs="Times New Roman"/>
          <w:color w:val="auto"/>
          <w:szCs w:val="18"/>
          <w:highlight w:val="none"/>
          <w:shd w:val="clear" w:fill="auto"/>
          <w:lang w:val="en-US" w:eastAsia="zh-CN"/>
        </w:rPr>
        <w:t>说明</w:t>
      </w:r>
      <w:r>
        <w:rPr>
          <w:rFonts w:hint="default" w:ascii="Times New Roman" w:hAnsi="Times New Roman" w:cs="Times New Roman"/>
          <w:color w:val="auto"/>
          <w:szCs w:val="18"/>
          <w:highlight w:val="none"/>
          <w:shd w:val="clear" w:fill="auto"/>
        </w:rPr>
        <w:t>PE表面被铝基絮体覆盖，导致红外有效响应降低。</w:t>
      </w:r>
      <w:r>
        <w:rPr>
          <w:rFonts w:hint="eastAsia" w:cs="Times New Roman"/>
          <w:color w:val="auto"/>
          <w:szCs w:val="18"/>
          <w:highlight w:val="none"/>
          <w:shd w:val="clear" w:fill="auto"/>
          <w:lang w:val="en-US" w:eastAsia="zh-CN"/>
        </w:rPr>
        <w:t>ZHANG</w:t>
      </w:r>
      <w:r>
        <w:rPr>
          <w:rFonts w:hint="default" w:ascii="Times New Roman" w:hAnsi="Times New Roman" w:cs="Times New Roman"/>
          <w:color w:val="auto"/>
          <w:szCs w:val="18"/>
          <w:highlight w:val="none"/>
          <w:shd w:val="clear" w:fill="auto"/>
        </w:rPr>
        <w:t>等</w:t>
      </w:r>
      <w:r>
        <w:rPr>
          <w:rFonts w:hint="default"/>
          <w:color w:val="auto"/>
          <w:highlight w:val="none"/>
          <w:shd w:val="clear" w:fill="auto"/>
          <w:vertAlign w:val="superscript"/>
          <w:lang w:val="en-US"/>
        </w:rPr>
        <w:t>[2</w:t>
      </w:r>
      <w:r>
        <w:rPr>
          <w:rFonts w:hint="eastAsia"/>
          <w:color w:val="auto"/>
          <w:highlight w:val="none"/>
          <w:shd w:val="clear" w:fill="auto"/>
          <w:vertAlign w:val="superscript"/>
          <w:lang w:val="en-US" w:eastAsia="zh-CN"/>
        </w:rPr>
        <w:t>8</w:t>
      </w:r>
      <w:r>
        <w:rPr>
          <w:rFonts w:hint="default"/>
          <w:color w:val="auto"/>
          <w:highlight w:val="none"/>
          <w:shd w:val="clear" w:fill="auto"/>
          <w:vertAlign w:val="superscript"/>
          <w:lang w:val="en-US"/>
        </w:rPr>
        <w:t>]</w:t>
      </w:r>
      <w:r>
        <w:rPr>
          <w:rFonts w:hint="default" w:ascii="Times New Roman" w:hAnsi="Times New Roman" w:cs="Times New Roman"/>
          <w:color w:val="auto"/>
          <w:szCs w:val="18"/>
          <w:highlight w:val="none"/>
          <w:shd w:val="clear" w:fill="auto"/>
        </w:rPr>
        <w:t>研究了聚合氯化铝与不同助凝剂对聚对苯二甲酸乙二醇酯（PET）微塑料的混凝去除机理，FTIR分析显示随着絮凝剂量的增加，PET的特征谱峰强度减弱，这是由于无机絮体覆盖塑料颗粒表面而导致的信号遮蔽效应。</w:t>
      </w:r>
    </w:p>
    <w:p w14:paraId="40B2C427">
      <w:pPr>
        <w:adjustRightInd w:val="0"/>
        <w:snapToGrid w:val="0"/>
        <w:ind w:firstLine="420" w:firstLineChars="200"/>
        <w:rPr>
          <w:rFonts w:hint="default" w:ascii="Times New Roman" w:hAnsi="Times New Roman" w:cs="Times New Roman"/>
          <w:color w:val="auto"/>
          <w:szCs w:val="18"/>
          <w:highlight w:val="none"/>
          <w:shd w:val="clear" w:fill="auto"/>
        </w:rPr>
      </w:pPr>
      <w:r>
        <w:rPr>
          <w:rFonts w:hint="default" w:ascii="Times New Roman" w:hAnsi="Times New Roman" w:eastAsia="宋体" w:cs="Times New Roman"/>
          <w:b w:val="0"/>
          <w:bCs w:val="0"/>
          <w:color w:val="auto"/>
          <w:sz w:val="21"/>
          <w:szCs w:val="21"/>
          <w:highlight w:val="none"/>
          <w:shd w:val="clear" w:fill="auto"/>
        </w:rPr>
        <w:t>扫描电镜</w:t>
      </w:r>
      <w:r>
        <w:rPr>
          <w:rFonts w:hint="eastAsia" w:cs="Times New Roman"/>
          <w:b w:val="0"/>
          <w:bCs w:val="0"/>
          <w:color w:val="auto"/>
          <w:sz w:val="21"/>
          <w:szCs w:val="21"/>
          <w:highlight w:val="none"/>
          <w:shd w:val="clear" w:fill="auto"/>
          <w:lang w:eastAsia="zh-CN"/>
        </w:rPr>
        <w:t>（</w:t>
      </w:r>
      <w:r>
        <w:rPr>
          <w:rFonts w:hint="default" w:ascii="Times New Roman" w:hAnsi="Times New Roman" w:cs="Times New Roman"/>
          <w:color w:val="auto"/>
          <w:szCs w:val="18"/>
          <w:highlight w:val="none"/>
          <w:shd w:val="clear" w:fill="auto"/>
        </w:rPr>
        <w:t>SEM</w:t>
      </w:r>
      <w:r>
        <w:rPr>
          <w:rFonts w:hint="eastAsia" w:cs="Times New Roman"/>
          <w:b w:val="0"/>
          <w:bCs w:val="0"/>
          <w:color w:val="auto"/>
          <w:sz w:val="21"/>
          <w:szCs w:val="21"/>
          <w:highlight w:val="none"/>
          <w:shd w:val="clear" w:fill="auto"/>
          <w:lang w:eastAsia="zh-CN"/>
        </w:rPr>
        <w:t>）</w:t>
      </w:r>
      <w:r>
        <w:rPr>
          <w:rFonts w:hint="default" w:ascii="Times New Roman" w:hAnsi="Times New Roman" w:cs="Times New Roman"/>
          <w:color w:val="auto"/>
          <w:szCs w:val="18"/>
          <w:highlight w:val="none"/>
          <w:shd w:val="clear" w:fill="auto"/>
        </w:rPr>
        <w:t>图像进一步揭示了形貌差异：絮凝前</w:t>
      </w:r>
      <w:r>
        <w:rPr>
          <w:rFonts w:hint="eastAsia" w:cs="Times New Roman"/>
          <w:color w:val="auto"/>
          <w:szCs w:val="18"/>
          <w:highlight w:val="none"/>
          <w:shd w:val="clear" w:fill="auto"/>
          <w:lang w:val="en-US" w:eastAsia="zh-CN"/>
        </w:rPr>
        <w:t>[见</w:t>
      </w:r>
      <w:r>
        <w:rPr>
          <w:rFonts w:hint="default" w:ascii="Times New Roman" w:hAnsi="Times New Roman" w:cs="Times New Roman"/>
          <w:color w:val="auto"/>
          <w:szCs w:val="18"/>
          <w:highlight w:val="none"/>
          <w:shd w:val="clear" w:fill="auto"/>
        </w:rPr>
        <w:t>图</w:t>
      </w:r>
      <w:r>
        <w:rPr>
          <w:rFonts w:hint="eastAsia" w:cs="Times New Roman"/>
          <w:color w:val="auto"/>
          <w:szCs w:val="18"/>
          <w:highlight w:val="none"/>
          <w:shd w:val="clear" w:fill="auto"/>
          <w:lang w:val="en-US" w:eastAsia="zh-CN"/>
        </w:rPr>
        <w:t>8</w:t>
      </w:r>
      <w:r>
        <w:rPr>
          <w:rFonts w:hint="eastAsia" w:cs="Times New Roman"/>
          <w:color w:val="auto"/>
          <w:szCs w:val="18"/>
          <w:highlight w:val="none"/>
          <w:shd w:val="clear" w:fill="auto"/>
          <w:lang w:eastAsia="zh-CN"/>
        </w:rPr>
        <w:t>（</w:t>
      </w:r>
      <w:r>
        <w:rPr>
          <w:rFonts w:hint="eastAsia" w:cs="Times New Roman"/>
          <w:color w:val="auto"/>
          <w:szCs w:val="18"/>
          <w:highlight w:val="none"/>
          <w:shd w:val="clear" w:fill="auto"/>
          <w:lang w:val="en-US" w:eastAsia="zh-CN"/>
        </w:rPr>
        <w:t>a</w:t>
      </w:r>
      <w:r>
        <w:rPr>
          <w:rFonts w:hint="eastAsia" w:cs="Times New Roman"/>
          <w:color w:val="auto"/>
          <w:szCs w:val="18"/>
          <w:highlight w:val="none"/>
          <w:shd w:val="clear" w:fill="auto"/>
          <w:lang w:eastAsia="zh-CN"/>
        </w:rPr>
        <w:t>）</w:t>
      </w:r>
      <w:r>
        <w:rPr>
          <w:rFonts w:hint="eastAsia" w:cs="Times New Roman"/>
          <w:color w:val="auto"/>
          <w:szCs w:val="18"/>
          <w:highlight w:val="none"/>
          <w:shd w:val="clear" w:fill="auto"/>
          <w:lang w:val="en-US" w:eastAsia="zh-CN"/>
        </w:rPr>
        <w:t>]</w:t>
      </w:r>
      <w:r>
        <w:rPr>
          <w:rFonts w:hint="default" w:ascii="Times New Roman" w:hAnsi="Times New Roman" w:cs="Times New Roman"/>
          <w:color w:val="auto"/>
          <w:szCs w:val="18"/>
          <w:highlight w:val="none"/>
          <w:shd w:val="clear" w:fill="auto"/>
        </w:rPr>
        <w:t>PE颗粒表面纹理较明显、局部可见孔洞/褶皱；絮凝后</w:t>
      </w:r>
      <w:r>
        <w:rPr>
          <w:rFonts w:hint="eastAsia" w:cs="Times New Roman"/>
          <w:color w:val="auto"/>
          <w:szCs w:val="18"/>
          <w:highlight w:val="none"/>
          <w:shd w:val="clear" w:fill="auto"/>
          <w:lang w:val="en-US" w:eastAsia="zh-CN"/>
        </w:rPr>
        <w:t>[见</w:t>
      </w:r>
      <w:r>
        <w:rPr>
          <w:rFonts w:hint="default" w:ascii="Times New Roman" w:hAnsi="Times New Roman" w:cs="Times New Roman"/>
          <w:color w:val="auto"/>
          <w:szCs w:val="18"/>
          <w:highlight w:val="none"/>
          <w:shd w:val="clear" w:fill="auto"/>
        </w:rPr>
        <w:t>图</w:t>
      </w:r>
      <w:r>
        <w:rPr>
          <w:rFonts w:hint="eastAsia" w:cs="Times New Roman"/>
          <w:color w:val="auto"/>
          <w:szCs w:val="18"/>
          <w:highlight w:val="none"/>
          <w:shd w:val="clear" w:fill="auto"/>
          <w:lang w:val="en-US" w:eastAsia="zh-CN"/>
        </w:rPr>
        <w:t>8</w:t>
      </w:r>
      <w:r>
        <w:rPr>
          <w:rFonts w:hint="eastAsia" w:cs="Times New Roman"/>
          <w:color w:val="auto"/>
          <w:szCs w:val="18"/>
          <w:highlight w:val="none"/>
          <w:shd w:val="clear" w:fill="auto"/>
          <w:lang w:eastAsia="zh-CN"/>
        </w:rPr>
        <w:t>（</w:t>
      </w:r>
      <w:r>
        <w:rPr>
          <w:rFonts w:hint="eastAsia" w:cs="Times New Roman"/>
          <w:color w:val="auto"/>
          <w:szCs w:val="18"/>
          <w:highlight w:val="none"/>
          <w:shd w:val="clear" w:fill="auto"/>
          <w:lang w:val="en-US" w:eastAsia="zh-CN"/>
        </w:rPr>
        <w:t>b</w:t>
      </w:r>
      <w:r>
        <w:rPr>
          <w:rFonts w:hint="eastAsia" w:cs="Times New Roman"/>
          <w:color w:val="auto"/>
          <w:szCs w:val="18"/>
          <w:highlight w:val="none"/>
          <w:shd w:val="clear" w:fill="auto"/>
          <w:lang w:eastAsia="zh-CN"/>
        </w:rPr>
        <w:t>）</w:t>
      </w:r>
      <w:r>
        <w:rPr>
          <w:rFonts w:hint="eastAsia" w:cs="Times New Roman"/>
          <w:color w:val="auto"/>
          <w:szCs w:val="18"/>
          <w:highlight w:val="none"/>
          <w:shd w:val="clear" w:fill="auto"/>
          <w:lang w:val="en-US" w:eastAsia="zh-CN"/>
        </w:rPr>
        <w:t>]</w:t>
      </w:r>
      <w:r>
        <w:rPr>
          <w:rFonts w:hint="default" w:ascii="Times New Roman" w:hAnsi="Times New Roman" w:cs="Times New Roman"/>
          <w:color w:val="auto"/>
          <w:szCs w:val="18"/>
          <w:highlight w:val="none"/>
          <w:shd w:val="clear" w:fill="auto"/>
        </w:rPr>
        <w:t>颗粒表面出现连续覆盖的沉积层并趋于平整，表明电絮凝过程中生成的铝基絮体在PE表面发生沉积与包覆，从而促进颗粒捕集与分离。EDS分析（</w:t>
      </w:r>
      <w:r>
        <w:rPr>
          <w:rFonts w:hint="eastAsia" w:cs="Times New Roman"/>
          <w:color w:val="auto"/>
          <w:szCs w:val="18"/>
          <w:highlight w:val="none"/>
          <w:shd w:val="clear" w:fill="auto"/>
          <w:lang w:val="en-US" w:eastAsia="zh-CN"/>
        </w:rPr>
        <w:t>见</w:t>
      </w:r>
      <w:r>
        <w:rPr>
          <w:rFonts w:hint="default" w:ascii="Times New Roman" w:hAnsi="Times New Roman" w:cs="Times New Roman"/>
          <w:color w:val="auto"/>
          <w:szCs w:val="18"/>
          <w:highlight w:val="none"/>
          <w:shd w:val="clear" w:fill="auto"/>
        </w:rPr>
        <w:t>表）</w:t>
      </w:r>
      <w:r>
        <w:rPr>
          <w:rFonts w:hint="eastAsia" w:cs="Times New Roman"/>
          <w:color w:val="auto"/>
          <w:szCs w:val="18"/>
          <w:highlight w:val="none"/>
          <w:shd w:val="clear" w:fill="auto"/>
          <w:lang w:val="en-US" w:eastAsia="zh-CN"/>
        </w:rPr>
        <w:t>1</w:t>
      </w:r>
      <w:r>
        <w:rPr>
          <w:rFonts w:hint="default" w:ascii="Times New Roman" w:hAnsi="Times New Roman" w:cs="Times New Roman"/>
          <w:color w:val="auto"/>
          <w:szCs w:val="18"/>
          <w:highlight w:val="none"/>
          <w:shd w:val="clear" w:fill="auto"/>
        </w:rPr>
        <w:t>同样支持上述判断：絮凝后样品中Al与O含量升高，而C含量相应降低，说明PE表面形成了含Al–O组分的无机沉积/包覆层。已有研究表明，在电絮凝处理微塑料过程中，处理后颗粒表面Fe、Al等元素含量升高，可作为金属基絮体沉积于微塑料表面的证据之一</w:t>
      </w:r>
      <w:r>
        <w:rPr>
          <w:rFonts w:hint="default" w:ascii="Times New Roman" w:hAnsi="Times New Roman" w:cs="Times New Roman"/>
          <w:color w:val="auto"/>
          <w:szCs w:val="18"/>
          <w:highlight w:val="none"/>
          <w:shd w:val="clear" w:fill="auto"/>
          <w:vertAlign w:val="superscript"/>
          <w:lang w:val="en-US"/>
        </w:rPr>
        <w:t>[3</w:t>
      </w:r>
      <w:r>
        <w:rPr>
          <w:rFonts w:hint="eastAsia" w:cs="Times New Roman"/>
          <w:color w:val="auto"/>
          <w:szCs w:val="18"/>
          <w:highlight w:val="none"/>
          <w:shd w:val="clear" w:fill="auto"/>
          <w:vertAlign w:val="superscript"/>
          <w:lang w:val="en-US" w:eastAsia="zh-CN"/>
        </w:rPr>
        <w:t>4</w:t>
      </w:r>
      <w:r>
        <w:rPr>
          <w:rFonts w:hint="default" w:ascii="Times New Roman" w:hAnsi="Times New Roman" w:cs="Times New Roman"/>
          <w:color w:val="auto"/>
          <w:szCs w:val="18"/>
          <w:highlight w:val="none"/>
          <w:shd w:val="clear" w:fill="auto"/>
          <w:vertAlign w:val="superscript"/>
          <w:lang w:val="en-US"/>
        </w:rPr>
        <w:t>]</w:t>
      </w:r>
      <w:r>
        <w:rPr>
          <w:rFonts w:hint="eastAsia" w:cs="Times New Roman"/>
          <w:color w:val="auto"/>
          <w:szCs w:val="18"/>
          <w:highlight w:val="none"/>
          <w:shd w:val="clear" w:fill="auto"/>
          <w:vertAlign w:val="baseline"/>
          <w:lang w:val="en-US" w:eastAsia="zh-CN"/>
        </w:rPr>
        <w:t>，</w:t>
      </w:r>
      <w:r>
        <w:rPr>
          <w:rFonts w:hint="default" w:ascii="Times New Roman" w:hAnsi="Times New Roman" w:cs="Times New Roman"/>
          <w:color w:val="auto"/>
          <w:szCs w:val="18"/>
          <w:highlight w:val="none"/>
          <w:shd w:val="clear" w:fill="auto"/>
        </w:rPr>
        <w:t>本研究中Al元素由0增至0.63wt%，结合FTIR中Al–O特征峰的出现，可进一步说明PE表面形成了铝基沉积/包覆层。</w:t>
      </w:r>
    </w:p>
    <w:p w14:paraId="23C68479">
      <w:pPr>
        <w:adjustRightInd w:val="0"/>
        <w:snapToGrid w:val="0"/>
        <w:ind w:firstLine="420" w:firstLineChars="200"/>
        <w:rPr>
          <w:rFonts w:hint="eastAsia" w:ascii="Times New Roman" w:hAnsi="Times New Roman" w:eastAsia="宋体" w:cs="Times New Roman"/>
          <w:color w:val="auto"/>
          <w:szCs w:val="18"/>
          <w:highlight w:val="none"/>
          <w:shd w:val="clear" w:fill="auto"/>
          <w:lang w:val="en-US" w:eastAsia="zh-CN"/>
        </w:rPr>
      </w:pPr>
      <w:r>
        <w:rPr>
          <w:rFonts w:hint="default" w:ascii="Times New Roman" w:hAnsi="Times New Roman" w:cs="Times New Roman"/>
          <w:color w:val="auto"/>
          <w:szCs w:val="18"/>
          <w:highlight w:val="none"/>
          <w:shd w:val="clear" w:fill="auto"/>
        </w:rPr>
        <w:t>综上，电絮凝通过阳极溶解生成的铝基水解絮体与阴极析出气泡的协同作用，实现了对PE微塑料的高效捕集与分离</w:t>
      </w:r>
      <w:r>
        <w:rPr>
          <w:rFonts w:hint="eastAsia" w:cs="Times New Roman"/>
          <w:color w:val="auto"/>
          <w:szCs w:val="18"/>
          <w:highlight w:val="none"/>
          <w:shd w:val="clear" w:fill="auto"/>
          <w:lang w:eastAsia="zh-CN"/>
        </w:rPr>
        <w:t>。</w:t>
      </w:r>
    </w:p>
    <w:p w14:paraId="09884B7B">
      <w:pPr>
        <w:jc w:val="center"/>
        <w:rPr>
          <w:rFonts w:hint="default" w:ascii="Times New Roman" w:hAnsi="Times New Roman" w:eastAsia="宋体" w:cs="Times New Roman"/>
          <w:color w:val="auto"/>
          <w:sz w:val="18"/>
          <w:szCs w:val="18"/>
          <w:highlight w:val="none"/>
          <w:shd w:val="clear" w:fill="auto"/>
          <w:lang w:val="en-US" w:eastAsia="zh-CN"/>
        </w:rPr>
      </w:pPr>
      <w:r>
        <w:rPr>
          <w:rFonts w:hint="default" w:ascii="Times New Roman" w:hAnsi="Times New Roman" w:eastAsia="宋体" w:cs="Times New Roman"/>
          <w:color w:val="auto"/>
          <w:sz w:val="18"/>
          <w:szCs w:val="18"/>
          <w:highlight w:val="none"/>
          <w:shd w:val="clear" w:fill="auto"/>
          <w:lang w:val="en-US" w:eastAsia="zh-CN"/>
        </w:rPr>
        <w:t>表1  PE微塑料絮凝前后EDS</w:t>
      </w:r>
    </w:p>
    <w:p w14:paraId="29AF4FB4">
      <w:pPr>
        <w:jc w:val="center"/>
        <w:rPr>
          <w:rFonts w:hint="default" w:ascii="Times New Roman" w:hAnsi="Times New Roman" w:eastAsia="宋体" w:cs="Times New Roman"/>
          <w:color w:val="auto"/>
          <w:sz w:val="18"/>
          <w:szCs w:val="18"/>
          <w:highlight w:val="none"/>
          <w:shd w:val="clear" w:fill="auto"/>
          <w:lang w:val="en-US" w:eastAsia="zh-CN"/>
        </w:rPr>
      </w:pPr>
      <w:r>
        <w:rPr>
          <w:rFonts w:hint="eastAsia" w:cs="Times New Roman"/>
          <w:color w:val="auto"/>
          <w:sz w:val="18"/>
          <w:szCs w:val="18"/>
          <w:highlight w:val="none"/>
          <w:shd w:val="clear" w:fill="auto"/>
          <w:lang w:val="en-US" w:eastAsia="zh-CN"/>
        </w:rPr>
        <w:t xml:space="preserve">Table </w:t>
      </w:r>
      <w:r>
        <w:rPr>
          <w:rFonts w:hint="default" w:ascii="Times New Roman" w:hAnsi="Times New Roman" w:eastAsia="宋体" w:cs="Times New Roman"/>
          <w:color w:val="auto"/>
          <w:sz w:val="18"/>
          <w:szCs w:val="18"/>
          <w:highlight w:val="none"/>
          <w:shd w:val="clear" w:fill="auto"/>
          <w:lang w:val="en-US" w:eastAsia="zh-CN"/>
        </w:rPr>
        <w:t>1  EDS analysis of PE microplastics before and after flocculation</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3"/>
        <w:gridCol w:w="1490"/>
        <w:gridCol w:w="1900"/>
        <w:gridCol w:w="1690"/>
        <w:gridCol w:w="1462"/>
      </w:tblGrid>
      <w:tr w14:paraId="210FC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3" w:type="dxa"/>
            <w:vMerge w:val="restart"/>
            <w:tcBorders>
              <w:top w:val="single" w:color="auto" w:sz="12" w:space="0"/>
              <w:left w:val="nil"/>
              <w:right w:val="nil"/>
            </w:tcBorders>
            <w:vAlign w:val="top"/>
          </w:tcPr>
          <w:p w14:paraId="205FD7DB">
            <w:pPr>
              <w:jc w:val="center"/>
              <w:rPr>
                <w:rFonts w:hint="default" w:ascii="Times New Roman" w:hAnsi="Times New Roman" w:cs="Times New Roman" w:eastAsiaTheme="minorEastAsia"/>
                <w:color w:val="auto"/>
                <w:highlight w:val="none"/>
                <w:shd w:val="clear" w:fill="auto"/>
                <w:vertAlign w:val="baseline"/>
                <w:lang w:val="en-US" w:eastAsia="zh-CN"/>
              </w:rPr>
            </w:pPr>
            <w:r>
              <w:rPr>
                <w:rFonts w:hint="default" w:ascii="Times New Roman" w:hAnsi="Times New Roman" w:cs="Times New Roman" w:eastAsiaTheme="minorEastAsia"/>
                <w:color w:val="auto"/>
                <w:highlight w:val="none"/>
                <w:shd w:val="clear" w:fill="auto"/>
                <w:vertAlign w:val="baseline"/>
                <w:lang w:val="en-US" w:eastAsia="zh-CN"/>
              </w:rPr>
              <w:t>元素</w:t>
            </w:r>
          </w:p>
        </w:tc>
        <w:tc>
          <w:tcPr>
            <w:tcW w:w="3390" w:type="dxa"/>
            <w:gridSpan w:val="2"/>
            <w:tcBorders>
              <w:top w:val="single" w:color="auto" w:sz="12" w:space="0"/>
              <w:left w:val="nil"/>
              <w:bottom w:val="single" w:color="auto" w:sz="4" w:space="0"/>
              <w:right w:val="nil"/>
            </w:tcBorders>
            <w:vAlign w:val="top"/>
          </w:tcPr>
          <w:p w14:paraId="13335307">
            <w:pPr>
              <w:jc w:val="center"/>
              <w:rPr>
                <w:rFonts w:hint="default" w:eastAsiaTheme="minorEastAsia"/>
                <w:color w:val="auto"/>
                <w:highlight w:val="none"/>
                <w:shd w:val="clear" w:fill="auto"/>
                <w:vertAlign w:val="baseline"/>
                <w:lang w:val="en-US" w:eastAsia="zh-CN"/>
              </w:rPr>
            </w:pPr>
            <w:r>
              <w:rPr>
                <w:rFonts w:hint="eastAsia" w:eastAsiaTheme="minorEastAsia"/>
                <w:color w:val="auto"/>
                <w:highlight w:val="none"/>
                <w:shd w:val="clear" w:fill="auto"/>
                <w:vertAlign w:val="baseline"/>
                <w:lang w:val="en-US" w:eastAsia="zh-CN"/>
              </w:rPr>
              <w:t>絮凝前</w:t>
            </w:r>
          </w:p>
        </w:tc>
        <w:tc>
          <w:tcPr>
            <w:tcW w:w="3152" w:type="dxa"/>
            <w:gridSpan w:val="2"/>
            <w:tcBorders>
              <w:top w:val="single" w:color="auto" w:sz="12" w:space="0"/>
              <w:left w:val="nil"/>
              <w:bottom w:val="single" w:color="auto" w:sz="4" w:space="0"/>
              <w:right w:val="nil"/>
            </w:tcBorders>
            <w:vAlign w:val="top"/>
          </w:tcPr>
          <w:p w14:paraId="12D9A128">
            <w:pPr>
              <w:jc w:val="center"/>
              <w:rPr>
                <w:rFonts w:hint="default" w:eastAsiaTheme="minorEastAsia"/>
                <w:color w:val="auto"/>
                <w:highlight w:val="none"/>
                <w:shd w:val="clear" w:fill="auto"/>
                <w:vertAlign w:val="baseline"/>
                <w:lang w:val="en-US" w:eastAsia="zh-CN"/>
              </w:rPr>
            </w:pPr>
            <w:r>
              <w:rPr>
                <w:rFonts w:hint="eastAsia" w:eastAsiaTheme="minorEastAsia"/>
                <w:color w:val="auto"/>
                <w:highlight w:val="none"/>
                <w:shd w:val="clear" w:fill="auto"/>
                <w:vertAlign w:val="baseline"/>
                <w:lang w:val="en-US" w:eastAsia="zh-CN"/>
              </w:rPr>
              <w:t>絮凝后</w:t>
            </w:r>
          </w:p>
        </w:tc>
      </w:tr>
      <w:tr w14:paraId="568AB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3" w:type="dxa"/>
            <w:vMerge w:val="continue"/>
            <w:tcBorders>
              <w:left w:val="nil"/>
              <w:bottom w:val="nil"/>
              <w:right w:val="nil"/>
            </w:tcBorders>
            <w:vAlign w:val="top"/>
          </w:tcPr>
          <w:p w14:paraId="47F64D45">
            <w:pPr>
              <w:jc w:val="center"/>
              <w:rPr>
                <w:rFonts w:hint="default" w:ascii="Times New Roman" w:hAnsi="Times New Roman" w:cs="Times New Roman" w:eastAsiaTheme="minorEastAsia"/>
                <w:color w:val="auto"/>
                <w:highlight w:val="none"/>
                <w:shd w:val="clear" w:fill="auto"/>
                <w:vertAlign w:val="baseline"/>
                <w:lang w:val="en-US" w:eastAsia="zh-CN"/>
              </w:rPr>
            </w:pPr>
          </w:p>
        </w:tc>
        <w:tc>
          <w:tcPr>
            <w:tcW w:w="1490" w:type="dxa"/>
            <w:tcBorders>
              <w:top w:val="single" w:color="auto" w:sz="4" w:space="0"/>
              <w:left w:val="nil"/>
              <w:bottom w:val="nil"/>
              <w:right w:val="nil"/>
            </w:tcBorders>
            <w:vAlign w:val="top"/>
          </w:tcPr>
          <w:p w14:paraId="26D25C9F">
            <w:pPr>
              <w:jc w:val="center"/>
              <w:rPr>
                <w:rFonts w:hint="default" w:ascii="Times New Roman" w:hAnsi="Times New Roman" w:cs="Times New Roman" w:eastAsiaTheme="minorEastAsia"/>
                <w:color w:val="auto"/>
                <w:highlight w:val="none"/>
                <w:shd w:val="clear" w:fill="auto"/>
                <w:vertAlign w:val="baseline"/>
                <w:lang w:val="en-US" w:eastAsia="zh-CN"/>
              </w:rPr>
            </w:pPr>
            <w:r>
              <w:rPr>
                <w:rFonts w:hint="default" w:ascii="Times New Roman" w:hAnsi="Times New Roman" w:cs="Times New Roman" w:eastAsiaTheme="minorEastAsia"/>
                <w:color w:val="auto"/>
                <w:highlight w:val="none"/>
                <w:shd w:val="clear" w:fill="auto"/>
                <w:vertAlign w:val="baseline"/>
                <w:lang w:val="en-US" w:eastAsia="zh-CN"/>
              </w:rPr>
              <w:t>重量百分比/%</w:t>
            </w:r>
          </w:p>
        </w:tc>
        <w:tc>
          <w:tcPr>
            <w:tcW w:w="1900" w:type="dxa"/>
            <w:tcBorders>
              <w:top w:val="single" w:color="auto" w:sz="4" w:space="0"/>
              <w:left w:val="nil"/>
              <w:bottom w:val="nil"/>
              <w:right w:val="nil"/>
            </w:tcBorders>
            <w:vAlign w:val="top"/>
          </w:tcPr>
          <w:p w14:paraId="56625EF1">
            <w:pPr>
              <w:jc w:val="center"/>
              <w:rPr>
                <w:rFonts w:hint="default" w:ascii="Times New Roman" w:hAnsi="Times New Roman" w:cs="Times New Roman" w:eastAsiaTheme="minorEastAsia"/>
                <w:color w:val="auto"/>
                <w:highlight w:val="none"/>
                <w:shd w:val="clear" w:fill="auto"/>
                <w:vertAlign w:val="baseline"/>
                <w:lang w:val="en-US" w:eastAsia="zh-CN"/>
              </w:rPr>
            </w:pPr>
            <w:r>
              <w:rPr>
                <w:rFonts w:hint="default" w:ascii="Times New Roman" w:hAnsi="Times New Roman" w:cs="Times New Roman" w:eastAsiaTheme="minorEastAsia"/>
                <w:color w:val="auto"/>
                <w:highlight w:val="none"/>
                <w:shd w:val="clear" w:fill="auto"/>
                <w:vertAlign w:val="baseline"/>
                <w:lang w:val="en-US" w:eastAsia="zh-CN"/>
              </w:rPr>
              <w:t>原子百分比/%</w:t>
            </w:r>
          </w:p>
        </w:tc>
        <w:tc>
          <w:tcPr>
            <w:tcW w:w="1690" w:type="dxa"/>
            <w:tcBorders>
              <w:top w:val="single" w:color="auto" w:sz="4" w:space="0"/>
              <w:left w:val="nil"/>
              <w:bottom w:val="nil"/>
              <w:right w:val="nil"/>
            </w:tcBorders>
            <w:shd w:val="clear" w:color="auto" w:fill="auto"/>
            <w:vAlign w:val="top"/>
          </w:tcPr>
          <w:p w14:paraId="12EC24E3">
            <w:pPr>
              <w:jc w:val="center"/>
              <w:rPr>
                <w:rFonts w:hint="default" w:ascii="Times New Roman" w:hAnsi="Times New Roman" w:cs="Times New Roman" w:eastAsiaTheme="minorEastAsia"/>
                <w:color w:val="auto"/>
                <w:kern w:val="2"/>
                <w:sz w:val="21"/>
                <w:szCs w:val="24"/>
                <w:highlight w:val="none"/>
                <w:shd w:val="clear" w:fill="auto"/>
                <w:vertAlign w:val="baseline"/>
                <w:lang w:val="en-US" w:eastAsia="zh-CN" w:bidi="ar-SA"/>
              </w:rPr>
            </w:pPr>
            <w:r>
              <w:rPr>
                <w:rFonts w:hint="default" w:ascii="Times New Roman" w:hAnsi="Times New Roman" w:cs="Times New Roman" w:eastAsiaTheme="minorEastAsia"/>
                <w:color w:val="auto"/>
                <w:highlight w:val="none"/>
                <w:shd w:val="clear" w:fill="auto"/>
                <w:vertAlign w:val="baseline"/>
                <w:lang w:val="en-US" w:eastAsia="zh-CN"/>
              </w:rPr>
              <w:t>重量百分比/%</w:t>
            </w:r>
          </w:p>
        </w:tc>
        <w:tc>
          <w:tcPr>
            <w:tcW w:w="1462" w:type="dxa"/>
            <w:tcBorders>
              <w:top w:val="single" w:color="auto" w:sz="4" w:space="0"/>
              <w:left w:val="nil"/>
              <w:bottom w:val="nil"/>
              <w:right w:val="nil"/>
            </w:tcBorders>
            <w:shd w:val="clear" w:color="auto" w:fill="auto"/>
            <w:vAlign w:val="top"/>
          </w:tcPr>
          <w:p w14:paraId="3CBFF00A">
            <w:pPr>
              <w:jc w:val="center"/>
              <w:rPr>
                <w:rFonts w:hint="default" w:ascii="Times New Roman" w:hAnsi="Times New Roman" w:cs="Times New Roman" w:eastAsiaTheme="minorEastAsia"/>
                <w:color w:val="auto"/>
                <w:kern w:val="2"/>
                <w:sz w:val="21"/>
                <w:szCs w:val="24"/>
                <w:highlight w:val="none"/>
                <w:shd w:val="clear" w:fill="auto"/>
                <w:vertAlign w:val="baseline"/>
                <w:lang w:val="en-US" w:eastAsia="zh-CN" w:bidi="ar-SA"/>
              </w:rPr>
            </w:pPr>
            <w:r>
              <w:rPr>
                <w:rFonts w:hint="default" w:ascii="Times New Roman" w:hAnsi="Times New Roman" w:cs="Times New Roman" w:eastAsiaTheme="minorEastAsia"/>
                <w:color w:val="auto"/>
                <w:highlight w:val="none"/>
                <w:shd w:val="clear" w:fill="auto"/>
                <w:vertAlign w:val="baseline"/>
                <w:lang w:val="en-US" w:eastAsia="zh-CN"/>
              </w:rPr>
              <w:t>原子百分比/%</w:t>
            </w:r>
          </w:p>
        </w:tc>
      </w:tr>
      <w:tr w14:paraId="0B25D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3" w:type="dxa"/>
            <w:tcBorders>
              <w:top w:val="nil"/>
              <w:left w:val="nil"/>
              <w:bottom w:val="nil"/>
              <w:right w:val="nil"/>
            </w:tcBorders>
            <w:vAlign w:val="top"/>
          </w:tcPr>
          <w:p w14:paraId="26141B44">
            <w:pPr>
              <w:jc w:val="center"/>
              <w:rPr>
                <w:rFonts w:hint="default" w:ascii="Times New Roman" w:hAnsi="Times New Roman" w:cs="Times New Roman" w:eastAsiaTheme="minorEastAsia"/>
                <w:color w:val="auto"/>
                <w:highlight w:val="none"/>
                <w:shd w:val="clear" w:fill="auto"/>
                <w:vertAlign w:val="baseline"/>
                <w:lang w:val="en-US" w:eastAsia="zh-CN"/>
              </w:rPr>
            </w:pPr>
            <w:r>
              <w:rPr>
                <w:rFonts w:hint="default" w:ascii="Times New Roman" w:hAnsi="Times New Roman" w:cs="Times New Roman" w:eastAsiaTheme="minorEastAsia"/>
                <w:color w:val="auto"/>
                <w:highlight w:val="none"/>
                <w:shd w:val="clear" w:fill="auto"/>
                <w:vertAlign w:val="baseline"/>
                <w:lang w:val="en-US" w:eastAsia="zh-CN"/>
              </w:rPr>
              <w:t>C</w:t>
            </w:r>
          </w:p>
        </w:tc>
        <w:tc>
          <w:tcPr>
            <w:tcW w:w="1490" w:type="dxa"/>
            <w:tcBorders>
              <w:top w:val="nil"/>
              <w:left w:val="nil"/>
              <w:bottom w:val="nil"/>
              <w:right w:val="nil"/>
            </w:tcBorders>
            <w:vAlign w:val="top"/>
          </w:tcPr>
          <w:p w14:paraId="3C1B5AE1">
            <w:pPr>
              <w:jc w:val="center"/>
              <w:rPr>
                <w:rFonts w:hint="default" w:ascii="Times New Roman" w:hAnsi="Times New Roman" w:cs="Times New Roman" w:eastAsiaTheme="minorEastAsia"/>
                <w:color w:val="auto"/>
                <w:highlight w:val="none"/>
                <w:shd w:val="clear" w:fill="auto"/>
                <w:vertAlign w:val="baseline"/>
                <w:lang w:val="en-US" w:eastAsia="zh-CN"/>
              </w:rPr>
            </w:pPr>
            <w:r>
              <w:rPr>
                <w:rFonts w:hint="default" w:ascii="Times New Roman" w:hAnsi="Times New Roman" w:cs="Times New Roman" w:eastAsiaTheme="minorEastAsia"/>
                <w:color w:val="auto"/>
                <w:highlight w:val="none"/>
                <w:shd w:val="clear" w:fill="auto"/>
                <w:vertAlign w:val="baseline"/>
                <w:lang w:val="en-US" w:eastAsia="zh-CN"/>
              </w:rPr>
              <w:t>99.62</w:t>
            </w:r>
          </w:p>
        </w:tc>
        <w:tc>
          <w:tcPr>
            <w:tcW w:w="1900" w:type="dxa"/>
            <w:tcBorders>
              <w:top w:val="nil"/>
              <w:left w:val="nil"/>
              <w:bottom w:val="nil"/>
              <w:right w:val="nil"/>
            </w:tcBorders>
            <w:vAlign w:val="top"/>
          </w:tcPr>
          <w:p w14:paraId="6F0EE0AC">
            <w:pPr>
              <w:jc w:val="center"/>
              <w:rPr>
                <w:rFonts w:hint="default" w:ascii="Times New Roman" w:hAnsi="Times New Roman" w:cs="Times New Roman" w:eastAsiaTheme="minorEastAsia"/>
                <w:color w:val="auto"/>
                <w:highlight w:val="none"/>
                <w:shd w:val="clear" w:fill="auto"/>
                <w:vertAlign w:val="baseline"/>
                <w:lang w:val="en-US" w:eastAsia="zh-CN"/>
              </w:rPr>
            </w:pPr>
            <w:r>
              <w:rPr>
                <w:rFonts w:hint="default" w:ascii="Times New Roman" w:hAnsi="Times New Roman" w:cs="Times New Roman" w:eastAsiaTheme="minorEastAsia"/>
                <w:color w:val="auto"/>
                <w:highlight w:val="none"/>
                <w:shd w:val="clear" w:fill="auto"/>
                <w:vertAlign w:val="baseline"/>
                <w:lang w:val="en-US" w:eastAsia="zh-CN"/>
              </w:rPr>
              <w:t>99.72</w:t>
            </w:r>
          </w:p>
        </w:tc>
        <w:tc>
          <w:tcPr>
            <w:tcW w:w="1690" w:type="dxa"/>
            <w:tcBorders>
              <w:top w:val="nil"/>
              <w:left w:val="nil"/>
              <w:bottom w:val="nil"/>
              <w:right w:val="nil"/>
            </w:tcBorders>
            <w:vAlign w:val="top"/>
          </w:tcPr>
          <w:p w14:paraId="54AEF046">
            <w:pPr>
              <w:jc w:val="center"/>
              <w:rPr>
                <w:rFonts w:hint="default" w:ascii="Times New Roman" w:hAnsi="Times New Roman" w:cs="Times New Roman" w:eastAsiaTheme="minorEastAsia"/>
                <w:color w:val="auto"/>
                <w:highlight w:val="none"/>
                <w:shd w:val="clear" w:fill="auto"/>
                <w:vertAlign w:val="baseline"/>
                <w:lang w:val="en-US" w:eastAsia="zh-CN"/>
              </w:rPr>
            </w:pPr>
            <w:r>
              <w:rPr>
                <w:rFonts w:hint="default" w:ascii="Times New Roman" w:hAnsi="Times New Roman" w:cs="Times New Roman" w:eastAsiaTheme="minorEastAsia"/>
                <w:color w:val="auto"/>
                <w:highlight w:val="none"/>
                <w:shd w:val="clear" w:fill="auto"/>
                <w:vertAlign w:val="baseline"/>
                <w:lang w:val="en-US" w:eastAsia="zh-CN"/>
              </w:rPr>
              <w:t>95.29</w:t>
            </w:r>
          </w:p>
        </w:tc>
        <w:tc>
          <w:tcPr>
            <w:tcW w:w="1462" w:type="dxa"/>
            <w:tcBorders>
              <w:top w:val="nil"/>
              <w:left w:val="nil"/>
              <w:bottom w:val="nil"/>
              <w:right w:val="nil"/>
            </w:tcBorders>
            <w:vAlign w:val="top"/>
          </w:tcPr>
          <w:p w14:paraId="5A314D0C">
            <w:pPr>
              <w:jc w:val="center"/>
              <w:rPr>
                <w:rFonts w:hint="default" w:ascii="Times New Roman" w:hAnsi="Times New Roman" w:cs="Times New Roman" w:eastAsiaTheme="minorEastAsia"/>
                <w:color w:val="auto"/>
                <w:highlight w:val="none"/>
                <w:shd w:val="clear" w:fill="auto"/>
                <w:vertAlign w:val="baseline"/>
                <w:lang w:val="en-US" w:eastAsia="zh-CN"/>
              </w:rPr>
            </w:pPr>
            <w:r>
              <w:rPr>
                <w:rFonts w:hint="default" w:ascii="Times New Roman" w:hAnsi="Times New Roman" w:cs="Times New Roman" w:eastAsiaTheme="minorEastAsia"/>
                <w:color w:val="auto"/>
                <w:highlight w:val="none"/>
                <w:shd w:val="clear" w:fill="auto"/>
                <w:vertAlign w:val="baseline"/>
                <w:lang w:val="en-US" w:eastAsia="zh-CN"/>
              </w:rPr>
              <w:t>96.61</w:t>
            </w:r>
          </w:p>
        </w:tc>
      </w:tr>
      <w:tr w14:paraId="18E10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3" w:type="dxa"/>
            <w:tcBorders>
              <w:top w:val="nil"/>
              <w:left w:val="nil"/>
              <w:bottom w:val="nil"/>
              <w:right w:val="nil"/>
            </w:tcBorders>
            <w:vAlign w:val="top"/>
          </w:tcPr>
          <w:p w14:paraId="7675FCD5">
            <w:pPr>
              <w:jc w:val="center"/>
              <w:rPr>
                <w:rFonts w:hint="default" w:ascii="Times New Roman" w:hAnsi="Times New Roman" w:cs="Times New Roman" w:eastAsiaTheme="minorEastAsia"/>
                <w:color w:val="auto"/>
                <w:highlight w:val="none"/>
                <w:shd w:val="clear" w:fill="auto"/>
                <w:vertAlign w:val="baseline"/>
                <w:lang w:val="en-US" w:eastAsia="zh-CN"/>
              </w:rPr>
            </w:pPr>
            <w:r>
              <w:rPr>
                <w:rFonts w:hint="default" w:ascii="Times New Roman" w:hAnsi="Times New Roman" w:cs="Times New Roman" w:eastAsiaTheme="minorEastAsia"/>
                <w:color w:val="auto"/>
                <w:highlight w:val="none"/>
                <w:shd w:val="clear" w:fill="auto"/>
                <w:vertAlign w:val="baseline"/>
                <w:lang w:val="en-US" w:eastAsia="zh-CN"/>
              </w:rPr>
              <w:t>O</w:t>
            </w:r>
          </w:p>
        </w:tc>
        <w:tc>
          <w:tcPr>
            <w:tcW w:w="1490" w:type="dxa"/>
            <w:tcBorders>
              <w:top w:val="nil"/>
              <w:left w:val="nil"/>
              <w:bottom w:val="nil"/>
              <w:right w:val="nil"/>
            </w:tcBorders>
            <w:vAlign w:val="top"/>
          </w:tcPr>
          <w:p w14:paraId="5FAA5CDC">
            <w:pPr>
              <w:jc w:val="center"/>
              <w:rPr>
                <w:rFonts w:hint="default" w:ascii="Times New Roman" w:hAnsi="Times New Roman" w:cs="Times New Roman" w:eastAsiaTheme="minorEastAsia"/>
                <w:color w:val="auto"/>
                <w:highlight w:val="none"/>
                <w:shd w:val="clear" w:fill="auto"/>
                <w:vertAlign w:val="baseline"/>
                <w:lang w:val="en-US" w:eastAsia="zh-CN"/>
              </w:rPr>
            </w:pPr>
            <w:r>
              <w:rPr>
                <w:rFonts w:hint="default" w:ascii="Times New Roman" w:hAnsi="Times New Roman" w:cs="Times New Roman" w:eastAsiaTheme="minorEastAsia"/>
                <w:color w:val="auto"/>
                <w:highlight w:val="none"/>
                <w:shd w:val="clear" w:fill="auto"/>
                <w:vertAlign w:val="baseline"/>
                <w:lang w:val="en-US" w:eastAsia="zh-CN"/>
              </w:rPr>
              <w:t>0.36</w:t>
            </w:r>
          </w:p>
        </w:tc>
        <w:tc>
          <w:tcPr>
            <w:tcW w:w="1900" w:type="dxa"/>
            <w:tcBorders>
              <w:top w:val="nil"/>
              <w:left w:val="nil"/>
              <w:bottom w:val="nil"/>
              <w:right w:val="nil"/>
            </w:tcBorders>
            <w:vAlign w:val="top"/>
          </w:tcPr>
          <w:p w14:paraId="59C5CE4E">
            <w:pPr>
              <w:jc w:val="center"/>
              <w:rPr>
                <w:rFonts w:hint="default" w:ascii="Times New Roman" w:hAnsi="Times New Roman" w:cs="Times New Roman" w:eastAsiaTheme="minorEastAsia"/>
                <w:color w:val="auto"/>
                <w:highlight w:val="none"/>
                <w:shd w:val="clear" w:fill="auto"/>
                <w:vertAlign w:val="baseline"/>
                <w:lang w:val="en-US" w:eastAsia="zh-CN"/>
              </w:rPr>
            </w:pPr>
            <w:r>
              <w:rPr>
                <w:rFonts w:hint="default" w:ascii="Times New Roman" w:hAnsi="Times New Roman" w:cs="Times New Roman" w:eastAsiaTheme="minorEastAsia"/>
                <w:color w:val="auto"/>
                <w:highlight w:val="none"/>
                <w:shd w:val="clear" w:fill="auto"/>
                <w:vertAlign w:val="baseline"/>
                <w:lang w:val="en-US" w:eastAsia="zh-CN"/>
              </w:rPr>
              <w:t>0.27</w:t>
            </w:r>
          </w:p>
        </w:tc>
        <w:tc>
          <w:tcPr>
            <w:tcW w:w="1690" w:type="dxa"/>
            <w:tcBorders>
              <w:top w:val="nil"/>
              <w:left w:val="nil"/>
              <w:bottom w:val="nil"/>
              <w:right w:val="nil"/>
            </w:tcBorders>
            <w:vAlign w:val="top"/>
          </w:tcPr>
          <w:p w14:paraId="05E530BF">
            <w:pPr>
              <w:jc w:val="center"/>
              <w:rPr>
                <w:rFonts w:hint="default" w:ascii="Times New Roman" w:hAnsi="Times New Roman" w:cs="Times New Roman" w:eastAsiaTheme="minorEastAsia"/>
                <w:color w:val="auto"/>
                <w:highlight w:val="none"/>
                <w:shd w:val="clear" w:fill="auto"/>
                <w:vertAlign w:val="baseline"/>
                <w:lang w:val="en-US" w:eastAsia="zh-CN"/>
              </w:rPr>
            </w:pPr>
            <w:r>
              <w:rPr>
                <w:rFonts w:hint="default" w:ascii="Times New Roman" w:hAnsi="Times New Roman" w:cs="Times New Roman" w:eastAsiaTheme="minorEastAsia"/>
                <w:color w:val="auto"/>
                <w:highlight w:val="none"/>
                <w:shd w:val="clear" w:fill="auto"/>
                <w:vertAlign w:val="baseline"/>
                <w:lang w:val="en-US" w:eastAsia="zh-CN"/>
              </w:rPr>
              <w:t>4.07</w:t>
            </w:r>
          </w:p>
        </w:tc>
        <w:tc>
          <w:tcPr>
            <w:tcW w:w="1462" w:type="dxa"/>
            <w:tcBorders>
              <w:top w:val="nil"/>
              <w:left w:val="nil"/>
              <w:bottom w:val="nil"/>
              <w:right w:val="nil"/>
            </w:tcBorders>
            <w:vAlign w:val="top"/>
          </w:tcPr>
          <w:p w14:paraId="5E56873C">
            <w:pPr>
              <w:jc w:val="center"/>
              <w:rPr>
                <w:rFonts w:hint="default" w:ascii="Times New Roman" w:hAnsi="Times New Roman" w:cs="Times New Roman" w:eastAsiaTheme="minorEastAsia"/>
                <w:color w:val="auto"/>
                <w:highlight w:val="none"/>
                <w:shd w:val="clear" w:fill="auto"/>
                <w:vertAlign w:val="baseline"/>
                <w:lang w:val="en-US" w:eastAsia="zh-CN"/>
              </w:rPr>
            </w:pPr>
            <w:r>
              <w:rPr>
                <w:rFonts w:hint="default" w:ascii="Times New Roman" w:hAnsi="Times New Roman" w:cs="Times New Roman" w:eastAsiaTheme="minorEastAsia"/>
                <w:color w:val="auto"/>
                <w:highlight w:val="none"/>
                <w:shd w:val="clear" w:fill="auto"/>
                <w:vertAlign w:val="baseline"/>
                <w:lang w:val="en-US" w:eastAsia="zh-CN"/>
              </w:rPr>
              <w:t>3.10</w:t>
            </w:r>
          </w:p>
        </w:tc>
      </w:tr>
      <w:tr w14:paraId="43A23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3" w:type="dxa"/>
            <w:tcBorders>
              <w:top w:val="nil"/>
              <w:left w:val="nil"/>
              <w:bottom w:val="single" w:color="auto" w:sz="12" w:space="0"/>
              <w:right w:val="nil"/>
            </w:tcBorders>
            <w:vAlign w:val="top"/>
          </w:tcPr>
          <w:p w14:paraId="3111A096">
            <w:pPr>
              <w:jc w:val="center"/>
              <w:rPr>
                <w:rFonts w:hint="default" w:ascii="Times New Roman" w:hAnsi="Times New Roman" w:cs="Times New Roman" w:eastAsiaTheme="minorEastAsia"/>
                <w:color w:val="auto"/>
                <w:highlight w:val="none"/>
                <w:shd w:val="clear" w:fill="auto"/>
                <w:vertAlign w:val="baseline"/>
                <w:lang w:val="en-US" w:eastAsia="zh-CN"/>
              </w:rPr>
            </w:pPr>
            <w:r>
              <w:rPr>
                <w:rFonts w:hint="default" w:ascii="Times New Roman" w:hAnsi="Times New Roman" w:cs="Times New Roman" w:eastAsiaTheme="minorEastAsia"/>
                <w:color w:val="auto"/>
                <w:highlight w:val="none"/>
                <w:shd w:val="clear" w:fill="auto"/>
                <w:vertAlign w:val="baseline"/>
                <w:lang w:val="en-US" w:eastAsia="zh-CN"/>
              </w:rPr>
              <w:t>Al</w:t>
            </w:r>
          </w:p>
        </w:tc>
        <w:tc>
          <w:tcPr>
            <w:tcW w:w="1490" w:type="dxa"/>
            <w:tcBorders>
              <w:top w:val="nil"/>
              <w:left w:val="nil"/>
              <w:bottom w:val="single" w:color="auto" w:sz="12" w:space="0"/>
              <w:right w:val="nil"/>
            </w:tcBorders>
            <w:vAlign w:val="top"/>
          </w:tcPr>
          <w:p w14:paraId="4A1B194D">
            <w:pPr>
              <w:jc w:val="center"/>
              <w:rPr>
                <w:rFonts w:hint="default" w:ascii="Times New Roman" w:hAnsi="Times New Roman" w:cs="Times New Roman" w:eastAsiaTheme="minorEastAsia"/>
                <w:color w:val="auto"/>
                <w:highlight w:val="none"/>
                <w:shd w:val="clear" w:fill="auto"/>
                <w:vertAlign w:val="baseline"/>
                <w:lang w:val="en-US" w:eastAsia="zh-CN"/>
              </w:rPr>
            </w:pPr>
            <w:r>
              <w:rPr>
                <w:rFonts w:hint="default" w:ascii="Times New Roman" w:hAnsi="Times New Roman" w:cs="Times New Roman" w:eastAsiaTheme="minorEastAsia"/>
                <w:color w:val="auto"/>
                <w:highlight w:val="none"/>
                <w:shd w:val="clear" w:fill="auto"/>
                <w:vertAlign w:val="baseline"/>
                <w:lang w:val="en-US" w:eastAsia="zh-CN"/>
              </w:rPr>
              <w:t>0.00</w:t>
            </w:r>
          </w:p>
        </w:tc>
        <w:tc>
          <w:tcPr>
            <w:tcW w:w="1900" w:type="dxa"/>
            <w:tcBorders>
              <w:top w:val="nil"/>
              <w:left w:val="nil"/>
              <w:bottom w:val="single" w:color="auto" w:sz="12" w:space="0"/>
              <w:right w:val="nil"/>
            </w:tcBorders>
            <w:vAlign w:val="top"/>
          </w:tcPr>
          <w:p w14:paraId="17B4BB4D">
            <w:pPr>
              <w:jc w:val="center"/>
              <w:rPr>
                <w:rFonts w:hint="default" w:ascii="Times New Roman" w:hAnsi="Times New Roman" w:cs="Times New Roman" w:eastAsiaTheme="minorEastAsia"/>
                <w:color w:val="auto"/>
                <w:highlight w:val="none"/>
                <w:shd w:val="clear" w:fill="auto"/>
                <w:vertAlign w:val="baseline"/>
                <w:lang w:val="en-US" w:eastAsia="zh-CN"/>
              </w:rPr>
            </w:pPr>
            <w:r>
              <w:rPr>
                <w:rFonts w:hint="default" w:ascii="Times New Roman" w:hAnsi="Times New Roman" w:cs="Times New Roman" w:eastAsiaTheme="minorEastAsia"/>
                <w:color w:val="auto"/>
                <w:highlight w:val="none"/>
                <w:shd w:val="clear" w:fill="auto"/>
                <w:vertAlign w:val="baseline"/>
                <w:lang w:val="en-US" w:eastAsia="zh-CN"/>
              </w:rPr>
              <w:t>0.00</w:t>
            </w:r>
          </w:p>
        </w:tc>
        <w:tc>
          <w:tcPr>
            <w:tcW w:w="1690" w:type="dxa"/>
            <w:tcBorders>
              <w:top w:val="nil"/>
              <w:left w:val="nil"/>
              <w:bottom w:val="single" w:color="auto" w:sz="12" w:space="0"/>
              <w:right w:val="nil"/>
            </w:tcBorders>
            <w:vAlign w:val="top"/>
          </w:tcPr>
          <w:p w14:paraId="2DC4D5AB">
            <w:pPr>
              <w:jc w:val="center"/>
              <w:rPr>
                <w:rFonts w:hint="default" w:ascii="Times New Roman" w:hAnsi="Times New Roman" w:cs="Times New Roman" w:eastAsiaTheme="minorEastAsia"/>
                <w:color w:val="auto"/>
                <w:highlight w:val="none"/>
                <w:shd w:val="clear" w:fill="auto"/>
                <w:vertAlign w:val="baseline"/>
                <w:lang w:val="en-US" w:eastAsia="zh-CN"/>
              </w:rPr>
            </w:pPr>
            <w:r>
              <w:rPr>
                <w:rFonts w:hint="default" w:ascii="Times New Roman" w:hAnsi="Times New Roman" w:cs="Times New Roman" w:eastAsiaTheme="minorEastAsia"/>
                <w:color w:val="auto"/>
                <w:highlight w:val="none"/>
                <w:shd w:val="clear" w:fill="auto"/>
                <w:vertAlign w:val="baseline"/>
                <w:lang w:val="en-US" w:eastAsia="zh-CN"/>
              </w:rPr>
              <w:t>0.63</w:t>
            </w:r>
          </w:p>
        </w:tc>
        <w:tc>
          <w:tcPr>
            <w:tcW w:w="1462" w:type="dxa"/>
            <w:tcBorders>
              <w:top w:val="nil"/>
              <w:left w:val="nil"/>
              <w:bottom w:val="single" w:color="auto" w:sz="12" w:space="0"/>
              <w:right w:val="nil"/>
            </w:tcBorders>
            <w:vAlign w:val="top"/>
          </w:tcPr>
          <w:p w14:paraId="32C5FAA7">
            <w:pPr>
              <w:jc w:val="center"/>
              <w:rPr>
                <w:rFonts w:hint="default" w:ascii="Times New Roman" w:hAnsi="Times New Roman" w:cs="Times New Roman" w:eastAsiaTheme="minorEastAsia"/>
                <w:color w:val="auto"/>
                <w:highlight w:val="none"/>
                <w:shd w:val="clear" w:fill="auto"/>
                <w:vertAlign w:val="baseline"/>
                <w:lang w:val="en-US" w:eastAsia="zh-CN"/>
              </w:rPr>
            </w:pPr>
            <w:r>
              <w:rPr>
                <w:rFonts w:hint="default" w:ascii="Times New Roman" w:hAnsi="Times New Roman" w:cs="Times New Roman" w:eastAsiaTheme="minorEastAsia"/>
                <w:color w:val="auto"/>
                <w:highlight w:val="none"/>
                <w:shd w:val="clear" w:fill="auto"/>
                <w:vertAlign w:val="baseline"/>
                <w:lang w:val="en-US" w:eastAsia="zh-CN"/>
              </w:rPr>
              <w:t>0.29</w:t>
            </w:r>
          </w:p>
        </w:tc>
      </w:tr>
    </w:tbl>
    <w:p w14:paraId="784B11B8">
      <w:pPr>
        <w:jc w:val="center"/>
        <w:rPr>
          <w:color w:val="auto"/>
          <w:highlight w:val="none"/>
          <w:shd w:val="clear" w:fill="auto"/>
        </w:rPr>
      </w:pPr>
    </w:p>
    <w:p w14:paraId="0F2B5EFE">
      <w:pPr>
        <w:jc w:val="center"/>
        <w:rPr>
          <w:color w:val="auto"/>
          <w:highlight w:val="none"/>
          <w:shd w:val="clear" w:fill="auto"/>
        </w:rPr>
      </w:pPr>
      <w:r>
        <w:rPr>
          <w:color w:val="auto"/>
          <w:highlight w:val="none"/>
          <w:shd w:val="clear" w:fill="auto"/>
        </w:rPr>
        <w:drawing>
          <wp:inline distT="0" distB="0" distL="114300" distR="114300">
            <wp:extent cx="2879725" cy="2317115"/>
            <wp:effectExtent l="0" t="0" r="3175" b="6985"/>
            <wp:docPr id="1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
                    <pic:cNvPicPr>
                      <a:picLocks noChangeAspect="1"/>
                    </pic:cNvPicPr>
                  </pic:nvPicPr>
                  <pic:blipFill>
                    <a:blip r:embed="rId17"/>
                    <a:stretch>
                      <a:fillRect/>
                    </a:stretch>
                  </pic:blipFill>
                  <pic:spPr>
                    <a:xfrm>
                      <a:off x="0" y="0"/>
                      <a:ext cx="2879725" cy="2317115"/>
                    </a:xfrm>
                    <a:prstGeom prst="rect">
                      <a:avLst/>
                    </a:prstGeom>
                    <a:noFill/>
                    <a:ln>
                      <a:noFill/>
                    </a:ln>
                  </pic:spPr>
                </pic:pic>
              </a:graphicData>
            </a:graphic>
          </wp:inline>
        </w:drawing>
      </w:r>
    </w:p>
    <w:p w14:paraId="55299909">
      <w:pPr>
        <w:jc w:val="center"/>
        <w:rPr>
          <w:color w:val="auto"/>
          <w:sz w:val="18"/>
          <w:szCs w:val="18"/>
          <w:highlight w:val="none"/>
          <w:shd w:val="clear" w:fill="auto"/>
        </w:rPr>
      </w:pPr>
      <w:r>
        <w:rPr>
          <w:rFonts w:hint="eastAsia" w:eastAsiaTheme="minorEastAsia"/>
          <w:color w:val="auto"/>
          <w:sz w:val="18"/>
          <w:szCs w:val="18"/>
          <w:highlight w:val="none"/>
          <w:shd w:val="clear" w:fill="auto"/>
          <w:lang w:val="en-US" w:eastAsia="zh-CN"/>
        </w:rPr>
        <w:t xml:space="preserve">图7  </w:t>
      </w:r>
      <w:r>
        <w:rPr>
          <w:rFonts w:hint="default" w:ascii="Times New Roman" w:hAnsi="Times New Roman" w:cs="Times New Roman" w:eastAsiaTheme="minorEastAsia"/>
          <w:color w:val="auto"/>
          <w:sz w:val="18"/>
          <w:szCs w:val="18"/>
          <w:highlight w:val="none"/>
          <w:shd w:val="clear" w:fill="auto"/>
          <w:lang w:val="en-US" w:eastAsia="zh-CN"/>
        </w:rPr>
        <w:t>PE微塑料</w:t>
      </w:r>
      <w:r>
        <w:rPr>
          <w:rFonts w:hint="default" w:ascii="Times New Roman" w:hAnsi="Times New Roman" w:cs="Times New Roman"/>
          <w:color w:val="auto"/>
          <w:sz w:val="18"/>
          <w:szCs w:val="18"/>
          <w:highlight w:val="none"/>
          <w:shd w:val="clear" w:fill="auto"/>
        </w:rPr>
        <w:t>FTIR</w:t>
      </w:r>
    </w:p>
    <w:p w14:paraId="64539FBE">
      <w:pPr>
        <w:jc w:val="center"/>
        <w:rPr>
          <w:rFonts w:hint="eastAsia"/>
          <w:color w:val="auto"/>
          <w:sz w:val="18"/>
          <w:szCs w:val="18"/>
          <w:highlight w:val="none"/>
          <w:shd w:val="clear" w:fill="auto"/>
          <w:lang w:val="en-US" w:eastAsia="zh-CN"/>
        </w:rPr>
      </w:pPr>
      <w:r>
        <w:rPr>
          <w:rFonts w:hint="eastAsia" w:eastAsiaTheme="minorEastAsia"/>
          <w:color w:val="auto"/>
          <w:sz w:val="18"/>
          <w:szCs w:val="18"/>
          <w:highlight w:val="none"/>
          <w:shd w:val="clear" w:fill="auto"/>
          <w:lang w:eastAsia="zh-CN"/>
        </w:rPr>
        <w:t>Fig</w:t>
      </w:r>
      <w:r>
        <w:rPr>
          <w:rFonts w:hint="eastAsia" w:eastAsiaTheme="minorEastAsia"/>
          <w:color w:val="auto"/>
          <w:sz w:val="18"/>
          <w:szCs w:val="18"/>
          <w:highlight w:val="none"/>
          <w:shd w:val="clear" w:fill="auto"/>
          <w:lang w:val="en-US" w:eastAsia="zh-CN"/>
        </w:rPr>
        <w:t xml:space="preserve">.7 </w:t>
      </w:r>
      <w:r>
        <w:rPr>
          <w:rFonts w:hint="eastAsia" w:eastAsiaTheme="minorEastAsia"/>
          <w:color w:val="auto"/>
          <w:sz w:val="18"/>
          <w:szCs w:val="18"/>
          <w:highlight w:val="none"/>
          <w:shd w:val="clear" w:fill="auto"/>
          <w:lang w:eastAsia="zh-CN"/>
        </w:rPr>
        <w:t xml:space="preserve"> FTIR spectrum of PE microplastics</w:t>
      </w:r>
      <w:r>
        <w:rPr>
          <w:rFonts w:hint="eastAsia"/>
          <w:color w:val="auto"/>
          <w:sz w:val="18"/>
          <w:szCs w:val="18"/>
          <w:highlight w:val="none"/>
          <w:shd w:val="clear" w:fill="auto"/>
          <w:lang w:val="en-US" w:eastAsia="zh-CN"/>
        </w:rPr>
        <w:t xml:space="preserve"> </w:t>
      </w:r>
    </w:p>
    <w:p w14:paraId="5FE2EB13">
      <w:pPr>
        <w:jc w:val="center"/>
        <w:rPr>
          <w:rFonts w:hint="eastAsia" w:eastAsia="宋体"/>
          <w:color w:val="auto"/>
          <w:highlight w:val="none"/>
          <w:shd w:val="clear" w:fill="auto"/>
          <w:lang w:eastAsia="zh-CN"/>
        </w:rPr>
      </w:pPr>
      <w:r>
        <w:rPr>
          <w:rFonts w:hint="eastAsia" w:eastAsia="宋体"/>
          <w:color w:val="auto"/>
          <w:highlight w:val="none"/>
          <w:shd w:val="clear" w:fill="auto"/>
          <w:lang w:eastAsia="zh-CN"/>
        </w:rPr>
        <w:drawing>
          <wp:inline distT="0" distB="0" distL="114300" distR="114300">
            <wp:extent cx="6057900" cy="2530475"/>
            <wp:effectExtent l="0" t="0" r="0" b="9525"/>
            <wp:docPr id="4" name="图片 4" descr="1絮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絮凝"/>
                    <pic:cNvPicPr>
                      <a:picLocks noChangeAspect="1"/>
                    </pic:cNvPicPr>
                  </pic:nvPicPr>
                  <pic:blipFill>
                    <a:blip r:embed="rId18"/>
                    <a:stretch>
                      <a:fillRect/>
                    </a:stretch>
                  </pic:blipFill>
                  <pic:spPr>
                    <a:xfrm>
                      <a:off x="0" y="0"/>
                      <a:ext cx="6057900" cy="2530475"/>
                    </a:xfrm>
                    <a:prstGeom prst="rect">
                      <a:avLst/>
                    </a:prstGeom>
                  </pic:spPr>
                </pic:pic>
              </a:graphicData>
            </a:graphic>
          </wp:inline>
        </w:drawing>
      </w:r>
    </w:p>
    <w:p w14:paraId="7763980F">
      <w:pPr>
        <w:jc w:val="center"/>
        <w:rPr>
          <w:rFonts w:hint="default" w:cs="Times New Roman"/>
          <w:color w:val="auto"/>
          <w:sz w:val="18"/>
          <w:szCs w:val="18"/>
          <w:highlight w:val="none"/>
          <w:shd w:val="clear" w:fill="auto"/>
          <w:lang w:val="en-US" w:eastAsia="zh-CN"/>
        </w:rPr>
      </w:pPr>
      <w:r>
        <w:rPr>
          <w:rFonts w:hint="eastAsia" w:cs="Times New Roman"/>
          <w:color w:val="auto"/>
          <w:sz w:val="18"/>
          <w:szCs w:val="18"/>
          <w:highlight w:val="none"/>
          <w:shd w:val="clear" w:fill="auto"/>
          <w:lang w:val="en-US" w:eastAsia="zh-CN"/>
        </w:rPr>
        <w:t>图8  PE微塑料絮凝前后SEM</w:t>
      </w:r>
    </w:p>
    <w:p w14:paraId="0C1FF4B5">
      <w:pPr>
        <w:jc w:val="center"/>
        <w:rPr>
          <w:rFonts w:hint="default" w:eastAsiaTheme="minorEastAsia"/>
          <w:color w:val="auto"/>
          <w:sz w:val="18"/>
          <w:szCs w:val="18"/>
          <w:highlight w:val="none"/>
          <w:shd w:val="clear" w:fill="auto"/>
          <w:lang w:val="en-US" w:eastAsia="zh-CN"/>
        </w:rPr>
      </w:pPr>
      <w:r>
        <w:rPr>
          <w:rFonts w:hint="eastAsia" w:eastAsiaTheme="minorEastAsia"/>
          <w:color w:val="auto"/>
          <w:sz w:val="18"/>
          <w:szCs w:val="18"/>
          <w:highlight w:val="none"/>
          <w:shd w:val="clear" w:fill="auto"/>
          <w:lang w:val="en-US" w:eastAsia="zh-CN"/>
        </w:rPr>
        <w:t>Fig.8  SEM images of PE microplastics before and after flocculation</w:t>
      </w:r>
    </w:p>
    <w:p w14:paraId="402E8389">
      <w:pPr>
        <w:adjustRightInd w:val="0"/>
        <w:snapToGrid w:val="0"/>
        <w:rPr>
          <w:rFonts w:hint="eastAsia" w:eastAsia="黑体"/>
          <w:color w:val="auto"/>
          <w:sz w:val="24"/>
          <w:szCs w:val="24"/>
          <w:highlight w:val="none"/>
          <w:shd w:val="clear" w:fill="auto"/>
          <w:lang w:val="en-US" w:eastAsia="zh-CN"/>
        </w:rPr>
      </w:pPr>
      <w:r>
        <w:rPr>
          <w:rFonts w:hint="eastAsia" w:eastAsia="黑体"/>
          <w:b/>
          <w:color w:val="auto"/>
          <w:sz w:val="24"/>
          <w:szCs w:val="24"/>
          <w:highlight w:val="none"/>
          <w:shd w:val="clear" w:fill="auto"/>
          <w:lang w:val="en-US" w:eastAsia="zh-CN"/>
        </w:rPr>
        <w:t>3</w:t>
      </w:r>
      <w:r>
        <w:rPr>
          <w:rFonts w:eastAsia="黑体"/>
          <w:color w:val="auto"/>
          <w:sz w:val="24"/>
          <w:szCs w:val="24"/>
          <w:highlight w:val="none"/>
          <w:shd w:val="clear" w:fill="auto"/>
        </w:rPr>
        <w:t xml:space="preserve"> </w:t>
      </w:r>
      <w:r>
        <w:rPr>
          <w:rFonts w:hint="eastAsia" w:eastAsia="黑体"/>
          <w:color w:val="auto"/>
          <w:sz w:val="24"/>
          <w:szCs w:val="24"/>
          <w:highlight w:val="none"/>
          <w:shd w:val="clear" w:fill="auto"/>
        </w:rPr>
        <w:t xml:space="preserve"> </w:t>
      </w:r>
      <w:r>
        <w:rPr>
          <w:rFonts w:hint="eastAsia" w:eastAsia="黑体"/>
          <w:color w:val="auto"/>
          <w:sz w:val="24"/>
          <w:szCs w:val="24"/>
          <w:highlight w:val="none"/>
          <w:shd w:val="clear" w:fill="auto"/>
          <w:lang w:val="en-US" w:eastAsia="zh-CN"/>
        </w:rPr>
        <w:t>结果讨论</w:t>
      </w:r>
    </w:p>
    <w:p w14:paraId="20D93F05">
      <w:pPr>
        <w:adjustRightInd w:val="0"/>
        <w:snapToGrid w:val="0"/>
        <w:rPr>
          <w:rFonts w:hint="default" w:ascii="Times New Roman" w:hAnsi="Times New Roman" w:cs="Times New Roman"/>
          <w:color w:val="auto"/>
          <w:szCs w:val="21"/>
          <w:highlight w:val="none"/>
          <w:shd w:val="clear" w:fill="auto"/>
        </w:rPr>
      </w:pPr>
      <w:r>
        <w:rPr>
          <w:rFonts w:hint="eastAsia" w:cs="Times New Roman"/>
          <w:color w:val="auto"/>
          <w:szCs w:val="21"/>
          <w:highlight w:val="none"/>
          <w:shd w:val="clear" w:fill="auto"/>
          <w:lang w:val="en-US" w:eastAsia="zh-CN"/>
        </w:rPr>
        <w:t>3</w:t>
      </w:r>
      <w:r>
        <w:rPr>
          <w:rFonts w:hint="default" w:ascii="Times New Roman" w:hAnsi="Times New Roman" w:cs="Times New Roman"/>
          <w:color w:val="auto"/>
          <w:szCs w:val="21"/>
          <w:highlight w:val="none"/>
          <w:shd w:val="clear" w:fill="auto"/>
        </w:rPr>
        <w:t>.1 与其他微塑料去除方法的比较</w:t>
      </w:r>
    </w:p>
    <w:p w14:paraId="5E402907">
      <w:pPr>
        <w:adjustRightInd w:val="0"/>
        <w:snapToGrid w:val="0"/>
        <w:ind w:firstLine="420" w:firstLineChars="200"/>
        <w:rPr>
          <w:rFonts w:hint="default" w:ascii="Times New Roman" w:hAnsi="Times New Roman" w:cs="Times New Roman"/>
          <w:color w:val="auto"/>
          <w:szCs w:val="21"/>
          <w:highlight w:val="none"/>
          <w:shd w:val="clear" w:fill="auto"/>
        </w:rPr>
      </w:pPr>
      <w:r>
        <w:rPr>
          <w:rFonts w:hint="default" w:ascii="Times New Roman" w:hAnsi="Times New Roman" w:cs="Times New Roman"/>
          <w:color w:val="auto"/>
          <w:szCs w:val="21"/>
          <w:highlight w:val="none"/>
          <w:shd w:val="clear" w:fill="auto"/>
        </w:rPr>
        <w:t>通过与主流微塑料去除技术进行多维度的比较，可以全面评估本方法的综合性能</w:t>
      </w:r>
      <w:r>
        <w:rPr>
          <w:rFonts w:hint="eastAsia" w:cs="Times New Roman"/>
          <w:color w:val="auto"/>
          <w:szCs w:val="21"/>
          <w:highlight w:val="none"/>
          <w:shd w:val="clear" w:fill="auto"/>
          <w:lang w:eastAsia="zh-CN"/>
        </w:rPr>
        <w:t>，如</w:t>
      </w:r>
      <w:r>
        <w:rPr>
          <w:rFonts w:hint="eastAsia" w:cs="Times New Roman"/>
          <w:color w:val="auto"/>
          <w:szCs w:val="21"/>
          <w:highlight w:val="none"/>
          <w:shd w:val="clear" w:fill="auto"/>
          <w:lang w:val="en-US" w:eastAsia="zh-CN"/>
        </w:rPr>
        <w:t>表2所列</w:t>
      </w:r>
      <w:r>
        <w:rPr>
          <w:rFonts w:hint="default" w:ascii="Times New Roman" w:hAnsi="Times New Roman" w:cs="Times New Roman"/>
          <w:color w:val="auto"/>
          <w:szCs w:val="21"/>
          <w:highlight w:val="none"/>
          <w:shd w:val="clear" w:fill="auto"/>
        </w:rPr>
        <w:t>。</w:t>
      </w:r>
    </w:p>
    <w:p w14:paraId="3112D9C0">
      <w:pPr>
        <w:adjustRightInd w:val="0"/>
        <w:snapToGrid w:val="0"/>
        <w:jc w:val="center"/>
        <w:rPr>
          <w:rFonts w:hint="default" w:ascii="Times New Roman" w:hAnsi="Times New Roman" w:cs="Times New Roman"/>
          <w:color w:val="auto"/>
          <w:sz w:val="18"/>
          <w:szCs w:val="18"/>
          <w:highlight w:val="none"/>
          <w:shd w:val="clear" w:fill="auto"/>
        </w:rPr>
      </w:pPr>
      <w:r>
        <w:rPr>
          <w:rFonts w:hint="default" w:ascii="Times New Roman" w:hAnsi="Times New Roman" w:cs="Times New Roman"/>
          <w:color w:val="auto"/>
          <w:sz w:val="18"/>
          <w:szCs w:val="18"/>
          <w:highlight w:val="none"/>
          <w:shd w:val="clear" w:fill="auto"/>
        </w:rPr>
        <w:t>表</w:t>
      </w:r>
      <w:r>
        <w:rPr>
          <w:rFonts w:hint="eastAsia" w:cs="Times New Roman"/>
          <w:color w:val="auto"/>
          <w:sz w:val="18"/>
          <w:szCs w:val="18"/>
          <w:highlight w:val="none"/>
          <w:shd w:val="clear" w:fill="auto"/>
          <w:lang w:val="en-US" w:eastAsia="zh-CN"/>
        </w:rPr>
        <w:t xml:space="preserve">2  </w:t>
      </w:r>
      <w:r>
        <w:rPr>
          <w:rFonts w:hint="default" w:ascii="Times New Roman" w:hAnsi="Times New Roman" w:cs="Times New Roman"/>
          <w:color w:val="auto"/>
          <w:sz w:val="18"/>
          <w:szCs w:val="18"/>
          <w:highlight w:val="none"/>
          <w:shd w:val="clear" w:fill="auto"/>
        </w:rPr>
        <w:t>电絮凝与其他微塑料去除方法的综合比较</w:t>
      </w:r>
    </w:p>
    <w:p w14:paraId="6A442A77">
      <w:pPr>
        <w:adjustRightInd w:val="0"/>
        <w:snapToGrid w:val="0"/>
        <w:jc w:val="center"/>
        <w:rPr>
          <w:rFonts w:hint="default" w:ascii="Times New Roman" w:hAnsi="Times New Roman" w:cs="Times New Roman"/>
          <w:color w:val="auto"/>
          <w:szCs w:val="21"/>
          <w:highlight w:val="none"/>
          <w:shd w:val="clear" w:fill="auto"/>
        </w:rPr>
      </w:pPr>
      <w:r>
        <w:rPr>
          <w:rFonts w:hint="eastAsia" w:eastAsiaTheme="minorEastAsia"/>
          <w:color w:val="auto"/>
          <w:sz w:val="18"/>
          <w:szCs w:val="18"/>
          <w:highlight w:val="none"/>
          <w:shd w:val="clear" w:fill="auto"/>
          <w:lang w:val="en-US" w:eastAsia="zh-CN"/>
        </w:rPr>
        <w:t>Table 2  Comprehensive comparison of electrocoagulation with other methods for microplastic removal</w:t>
      </w:r>
      <w:r>
        <w:rPr>
          <w:rFonts w:hint="default" w:eastAsiaTheme="minorEastAsia"/>
          <w:color w:val="auto"/>
          <w:sz w:val="18"/>
          <w:szCs w:val="18"/>
          <w:highlight w:val="none"/>
          <w:shd w:val="clear" w:fill="auto"/>
          <w:lang w:val="en-US" w:eastAsia="zh-CN"/>
        </w:rPr>
        <w:t xml:space="preserve"> </w:t>
      </w:r>
    </w:p>
    <w:tbl>
      <w:tblPr>
        <w:tblStyle w:val="10"/>
        <w:tblW w:w="0" w:type="auto"/>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94"/>
        <w:gridCol w:w="2139"/>
        <w:gridCol w:w="1508"/>
        <w:gridCol w:w="1258"/>
        <w:gridCol w:w="1159"/>
        <w:gridCol w:w="1325"/>
        <w:gridCol w:w="1308"/>
      </w:tblGrid>
      <w:tr w14:paraId="16D4CAA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094" w:type="dxa"/>
            <w:tcBorders>
              <w:bottom w:val="single" w:color="auto" w:sz="4" w:space="0"/>
            </w:tcBorders>
            <w:vAlign w:val="center"/>
          </w:tcPr>
          <w:p w14:paraId="7E719BB8">
            <w:pPr>
              <w:adjustRightInd w:val="0"/>
              <w:snapToGrid w:val="0"/>
              <w:jc w:val="center"/>
              <w:rPr>
                <w:rFonts w:hint="default" w:ascii="Times New Roman" w:hAnsi="Times New Roman" w:eastAsia="宋体" w:cs="Times New Roman"/>
                <w:color w:val="auto"/>
                <w:szCs w:val="21"/>
                <w:highlight w:val="none"/>
                <w:shd w:val="clear" w:fill="auto"/>
                <w:vertAlign w:val="baseline"/>
                <w:lang w:val="en-US" w:eastAsia="zh-CN"/>
              </w:rPr>
            </w:pPr>
            <w:r>
              <w:rPr>
                <w:rFonts w:hint="eastAsia" w:cs="Times New Roman"/>
                <w:color w:val="auto"/>
                <w:szCs w:val="21"/>
                <w:highlight w:val="none"/>
                <w:shd w:val="clear" w:fill="auto"/>
                <w:vertAlign w:val="baseline"/>
                <w:lang w:val="en-US" w:eastAsia="zh-CN"/>
              </w:rPr>
              <w:t>比较维度</w:t>
            </w:r>
          </w:p>
        </w:tc>
        <w:tc>
          <w:tcPr>
            <w:tcW w:w="2139" w:type="dxa"/>
            <w:tcBorders>
              <w:bottom w:val="single" w:color="auto" w:sz="4" w:space="0"/>
            </w:tcBorders>
            <w:vAlign w:val="center"/>
          </w:tcPr>
          <w:p w14:paraId="4C81CA42">
            <w:pPr>
              <w:adjustRightInd w:val="0"/>
              <w:snapToGrid w:val="0"/>
              <w:jc w:val="center"/>
              <w:rPr>
                <w:rFonts w:hint="eastAsia" w:ascii="Times New Roman" w:hAnsi="Times New Roman" w:eastAsia="宋体" w:cs="Times New Roman"/>
                <w:color w:val="auto"/>
                <w:szCs w:val="21"/>
                <w:highlight w:val="none"/>
                <w:shd w:val="clear" w:fill="auto"/>
                <w:vertAlign w:val="baseline"/>
                <w:lang w:val="en-US" w:eastAsia="zh-CN"/>
              </w:rPr>
            </w:pPr>
            <w:r>
              <w:rPr>
                <w:rFonts w:hint="eastAsia" w:cs="Times New Roman"/>
                <w:color w:val="auto"/>
                <w:szCs w:val="21"/>
                <w:highlight w:val="none"/>
                <w:shd w:val="clear" w:fill="auto"/>
                <w:vertAlign w:val="baseline"/>
                <w:lang w:val="en-US" w:eastAsia="zh-CN"/>
              </w:rPr>
              <w:t>电絮凝</w:t>
            </w:r>
          </w:p>
        </w:tc>
        <w:tc>
          <w:tcPr>
            <w:tcW w:w="1508" w:type="dxa"/>
            <w:tcBorders>
              <w:bottom w:val="single" w:color="auto" w:sz="4" w:space="0"/>
            </w:tcBorders>
            <w:vAlign w:val="center"/>
          </w:tcPr>
          <w:p w14:paraId="4CEBE7D8">
            <w:pPr>
              <w:adjustRightInd w:val="0"/>
              <w:snapToGrid w:val="0"/>
              <w:jc w:val="center"/>
              <w:rPr>
                <w:rFonts w:hint="default" w:ascii="Times New Roman" w:hAnsi="Times New Roman" w:eastAsia="宋体" w:cs="Times New Roman"/>
                <w:color w:val="auto"/>
                <w:szCs w:val="21"/>
                <w:highlight w:val="none"/>
                <w:shd w:val="clear" w:fill="auto"/>
                <w:vertAlign w:val="baseline"/>
                <w:lang w:val="en-US" w:eastAsia="zh-CN"/>
              </w:rPr>
            </w:pPr>
            <w:r>
              <w:rPr>
                <w:rFonts w:hint="eastAsia" w:cs="Times New Roman"/>
                <w:color w:val="auto"/>
                <w:szCs w:val="21"/>
                <w:highlight w:val="none"/>
                <w:shd w:val="clear" w:fill="auto"/>
                <w:vertAlign w:val="baseline"/>
                <w:lang w:val="en-US" w:eastAsia="zh-CN"/>
              </w:rPr>
              <w:t>化学混凝</w:t>
            </w:r>
          </w:p>
        </w:tc>
        <w:tc>
          <w:tcPr>
            <w:tcW w:w="1258" w:type="dxa"/>
            <w:tcBorders>
              <w:bottom w:val="single" w:color="auto" w:sz="4" w:space="0"/>
            </w:tcBorders>
            <w:vAlign w:val="center"/>
          </w:tcPr>
          <w:p w14:paraId="5EDAAD16">
            <w:pPr>
              <w:adjustRightInd w:val="0"/>
              <w:snapToGrid w:val="0"/>
              <w:jc w:val="center"/>
              <w:rPr>
                <w:rFonts w:hint="eastAsia" w:ascii="Times New Roman" w:hAnsi="Times New Roman" w:eastAsia="宋体" w:cs="Times New Roman"/>
                <w:color w:val="auto"/>
                <w:szCs w:val="21"/>
                <w:highlight w:val="none"/>
                <w:shd w:val="clear" w:fill="auto"/>
                <w:vertAlign w:val="baseline"/>
                <w:lang w:val="en-US" w:eastAsia="zh-CN"/>
              </w:rPr>
            </w:pPr>
            <w:r>
              <w:rPr>
                <w:rFonts w:hint="eastAsia" w:cs="Times New Roman"/>
                <w:color w:val="auto"/>
                <w:szCs w:val="21"/>
                <w:highlight w:val="none"/>
                <w:shd w:val="clear" w:fill="auto"/>
                <w:vertAlign w:val="baseline"/>
                <w:lang w:val="en-US" w:eastAsia="zh-CN"/>
              </w:rPr>
              <w:t>膜分离</w:t>
            </w:r>
          </w:p>
        </w:tc>
        <w:tc>
          <w:tcPr>
            <w:tcW w:w="1159" w:type="dxa"/>
            <w:tcBorders>
              <w:bottom w:val="single" w:color="auto" w:sz="4" w:space="0"/>
            </w:tcBorders>
            <w:vAlign w:val="center"/>
          </w:tcPr>
          <w:p w14:paraId="064889EC">
            <w:pPr>
              <w:adjustRightInd w:val="0"/>
              <w:snapToGrid w:val="0"/>
              <w:jc w:val="center"/>
              <w:rPr>
                <w:rFonts w:hint="eastAsia" w:ascii="Times New Roman" w:hAnsi="Times New Roman" w:eastAsia="宋体" w:cs="Times New Roman"/>
                <w:color w:val="auto"/>
                <w:szCs w:val="21"/>
                <w:highlight w:val="none"/>
                <w:shd w:val="clear" w:fill="auto"/>
                <w:vertAlign w:val="baseline"/>
                <w:lang w:val="en-US" w:eastAsia="zh-CN"/>
              </w:rPr>
            </w:pPr>
            <w:r>
              <w:rPr>
                <w:rFonts w:hint="eastAsia" w:cs="Times New Roman"/>
                <w:color w:val="auto"/>
                <w:szCs w:val="21"/>
                <w:highlight w:val="none"/>
                <w:shd w:val="clear" w:fill="auto"/>
                <w:vertAlign w:val="baseline"/>
                <w:lang w:val="en-US" w:eastAsia="zh-CN"/>
              </w:rPr>
              <w:t>气浮</w:t>
            </w:r>
          </w:p>
        </w:tc>
        <w:tc>
          <w:tcPr>
            <w:tcW w:w="1325" w:type="dxa"/>
            <w:tcBorders>
              <w:bottom w:val="single" w:color="auto" w:sz="4" w:space="0"/>
            </w:tcBorders>
            <w:vAlign w:val="center"/>
          </w:tcPr>
          <w:p w14:paraId="2231694D">
            <w:pPr>
              <w:adjustRightInd w:val="0"/>
              <w:snapToGrid w:val="0"/>
              <w:jc w:val="center"/>
              <w:rPr>
                <w:rFonts w:hint="default" w:ascii="Times New Roman" w:hAnsi="Times New Roman" w:eastAsia="宋体" w:cs="Times New Roman"/>
                <w:color w:val="auto"/>
                <w:szCs w:val="21"/>
                <w:highlight w:val="none"/>
                <w:shd w:val="clear" w:fill="auto"/>
                <w:vertAlign w:val="baseline"/>
                <w:lang w:val="en-US" w:eastAsia="zh-CN"/>
              </w:rPr>
            </w:pPr>
            <w:r>
              <w:rPr>
                <w:rFonts w:hint="eastAsia" w:cs="Times New Roman"/>
                <w:color w:val="auto"/>
                <w:szCs w:val="21"/>
                <w:highlight w:val="none"/>
                <w:shd w:val="clear" w:fill="auto"/>
                <w:vertAlign w:val="baseline"/>
                <w:lang w:val="en-US" w:eastAsia="zh-CN"/>
              </w:rPr>
              <w:t>高级氧化</w:t>
            </w:r>
          </w:p>
        </w:tc>
        <w:tc>
          <w:tcPr>
            <w:tcW w:w="1308" w:type="dxa"/>
            <w:tcBorders>
              <w:bottom w:val="single" w:color="auto" w:sz="4" w:space="0"/>
            </w:tcBorders>
            <w:vAlign w:val="center"/>
          </w:tcPr>
          <w:p w14:paraId="5D799B3D">
            <w:pPr>
              <w:adjustRightInd w:val="0"/>
              <w:snapToGrid w:val="0"/>
              <w:jc w:val="center"/>
              <w:rPr>
                <w:rFonts w:hint="default" w:ascii="Times New Roman" w:hAnsi="Times New Roman" w:eastAsia="宋体" w:cs="Times New Roman"/>
                <w:color w:val="auto"/>
                <w:szCs w:val="21"/>
                <w:highlight w:val="none"/>
                <w:shd w:val="clear" w:fill="auto"/>
                <w:vertAlign w:val="baseline"/>
                <w:lang w:val="en-US" w:eastAsia="zh-CN"/>
              </w:rPr>
            </w:pPr>
            <w:r>
              <w:rPr>
                <w:rFonts w:hint="eastAsia" w:cs="Times New Roman"/>
                <w:color w:val="auto"/>
                <w:szCs w:val="21"/>
                <w:highlight w:val="none"/>
                <w:shd w:val="clear" w:fill="auto"/>
                <w:vertAlign w:val="baseline"/>
                <w:lang w:val="en-US" w:eastAsia="zh-CN"/>
              </w:rPr>
              <w:t>生物降解</w:t>
            </w:r>
          </w:p>
        </w:tc>
      </w:tr>
      <w:tr w14:paraId="3E695E3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094" w:type="dxa"/>
            <w:tcBorders>
              <w:top w:val="single" w:color="auto" w:sz="4" w:space="0"/>
              <w:tl2br w:val="nil"/>
              <w:tr2bl w:val="nil"/>
            </w:tcBorders>
            <w:vAlign w:val="center"/>
          </w:tcPr>
          <w:p w14:paraId="6A98A8A5">
            <w:pPr>
              <w:adjustRightInd w:val="0"/>
              <w:snapToGrid w:val="0"/>
              <w:jc w:val="center"/>
              <w:rPr>
                <w:rFonts w:hint="default" w:ascii="Times New Roman" w:hAnsi="Times New Roman" w:cs="Times New Roman"/>
                <w:color w:val="auto"/>
                <w:szCs w:val="21"/>
                <w:highlight w:val="none"/>
                <w:shd w:val="clear" w:fill="auto"/>
                <w:vertAlign w:val="baseline"/>
              </w:rPr>
            </w:pPr>
            <w:r>
              <w:rPr>
                <w:rFonts w:hint="default" w:ascii="Times New Roman" w:hAnsi="Times New Roman" w:cs="Times New Roman"/>
                <w:color w:val="auto"/>
                <w:szCs w:val="21"/>
                <w:highlight w:val="none"/>
                <w:shd w:val="clear" w:fill="auto"/>
                <w:vertAlign w:val="baseline"/>
              </w:rPr>
              <w:t>作用机理</w:t>
            </w:r>
          </w:p>
        </w:tc>
        <w:tc>
          <w:tcPr>
            <w:tcW w:w="2139" w:type="dxa"/>
            <w:tcBorders>
              <w:top w:val="single" w:color="auto" w:sz="4" w:space="0"/>
              <w:tl2br w:val="nil"/>
              <w:tr2bl w:val="nil"/>
            </w:tcBorders>
            <w:vAlign w:val="center"/>
          </w:tcPr>
          <w:p w14:paraId="2B7C4782">
            <w:pPr>
              <w:adjustRightInd w:val="0"/>
              <w:snapToGrid w:val="0"/>
              <w:jc w:val="center"/>
              <w:rPr>
                <w:rFonts w:hint="default" w:ascii="Times New Roman" w:hAnsi="Times New Roman" w:cs="Times New Roman"/>
                <w:color w:val="auto"/>
                <w:szCs w:val="21"/>
                <w:highlight w:val="none"/>
                <w:shd w:val="clear" w:fill="auto"/>
                <w:vertAlign w:val="baseline"/>
              </w:rPr>
            </w:pPr>
            <w:r>
              <w:rPr>
                <w:rFonts w:hint="default" w:ascii="Times New Roman" w:hAnsi="Times New Roman" w:cs="Times New Roman"/>
                <w:color w:val="auto"/>
                <w:szCs w:val="21"/>
                <w:highlight w:val="none"/>
                <w:shd w:val="clear" w:fill="auto"/>
                <w:vertAlign w:val="baseline"/>
              </w:rPr>
              <w:t>原位生成金属氢氧化物絮体，电中和+卷扫网捕+电浮选协同</w:t>
            </w:r>
          </w:p>
        </w:tc>
        <w:tc>
          <w:tcPr>
            <w:tcW w:w="1508" w:type="dxa"/>
            <w:tcBorders>
              <w:top w:val="single" w:color="auto" w:sz="4" w:space="0"/>
              <w:tl2br w:val="nil"/>
              <w:tr2bl w:val="nil"/>
            </w:tcBorders>
            <w:vAlign w:val="center"/>
          </w:tcPr>
          <w:p w14:paraId="313476BC">
            <w:pPr>
              <w:adjustRightInd w:val="0"/>
              <w:snapToGrid w:val="0"/>
              <w:jc w:val="center"/>
              <w:rPr>
                <w:rFonts w:hint="default" w:ascii="Times New Roman" w:hAnsi="Times New Roman" w:cs="Times New Roman"/>
                <w:color w:val="auto"/>
                <w:szCs w:val="21"/>
                <w:highlight w:val="none"/>
                <w:shd w:val="clear" w:fill="auto"/>
                <w:vertAlign w:val="baseline"/>
              </w:rPr>
            </w:pPr>
            <w:r>
              <w:rPr>
                <w:rFonts w:hint="default" w:ascii="Times New Roman" w:hAnsi="Times New Roman" w:cs="Times New Roman"/>
                <w:color w:val="auto"/>
                <w:szCs w:val="21"/>
                <w:highlight w:val="none"/>
                <w:shd w:val="clear" w:fill="auto"/>
                <w:vertAlign w:val="baseline"/>
              </w:rPr>
              <w:t>外加混凝剂电中和与架桥</w:t>
            </w:r>
          </w:p>
        </w:tc>
        <w:tc>
          <w:tcPr>
            <w:tcW w:w="1258" w:type="dxa"/>
            <w:tcBorders>
              <w:top w:val="single" w:color="auto" w:sz="4" w:space="0"/>
              <w:tl2br w:val="nil"/>
              <w:tr2bl w:val="nil"/>
            </w:tcBorders>
            <w:vAlign w:val="center"/>
          </w:tcPr>
          <w:p w14:paraId="1D2EF574">
            <w:pPr>
              <w:adjustRightInd w:val="0"/>
              <w:snapToGrid w:val="0"/>
              <w:jc w:val="center"/>
              <w:rPr>
                <w:rFonts w:hint="default" w:ascii="Times New Roman" w:hAnsi="Times New Roman" w:cs="Times New Roman"/>
                <w:color w:val="auto"/>
                <w:szCs w:val="21"/>
                <w:highlight w:val="none"/>
                <w:shd w:val="clear" w:fill="auto"/>
                <w:vertAlign w:val="baseline"/>
              </w:rPr>
            </w:pPr>
            <w:r>
              <w:rPr>
                <w:rFonts w:hint="default" w:ascii="Times New Roman" w:hAnsi="Times New Roman" w:cs="Times New Roman"/>
                <w:color w:val="auto"/>
                <w:szCs w:val="21"/>
                <w:highlight w:val="none"/>
                <w:shd w:val="clear" w:fill="auto"/>
                <w:vertAlign w:val="baseline"/>
              </w:rPr>
              <w:t>物理筛分截留</w:t>
            </w:r>
          </w:p>
        </w:tc>
        <w:tc>
          <w:tcPr>
            <w:tcW w:w="1159" w:type="dxa"/>
            <w:tcBorders>
              <w:top w:val="single" w:color="auto" w:sz="4" w:space="0"/>
              <w:tl2br w:val="nil"/>
              <w:tr2bl w:val="nil"/>
            </w:tcBorders>
            <w:vAlign w:val="center"/>
          </w:tcPr>
          <w:p w14:paraId="4CCDC4E3">
            <w:pPr>
              <w:adjustRightInd w:val="0"/>
              <w:snapToGrid w:val="0"/>
              <w:jc w:val="center"/>
              <w:rPr>
                <w:rFonts w:hint="default" w:ascii="Times New Roman" w:hAnsi="Times New Roman" w:cs="Times New Roman"/>
                <w:color w:val="auto"/>
                <w:szCs w:val="21"/>
                <w:highlight w:val="none"/>
                <w:shd w:val="clear" w:fill="auto"/>
                <w:vertAlign w:val="baseline"/>
              </w:rPr>
            </w:pPr>
            <w:r>
              <w:rPr>
                <w:rFonts w:hint="default" w:ascii="Times New Roman" w:hAnsi="Times New Roman" w:cs="Times New Roman"/>
                <w:color w:val="auto"/>
                <w:szCs w:val="21"/>
                <w:highlight w:val="none"/>
                <w:shd w:val="clear" w:fill="auto"/>
                <w:vertAlign w:val="baseline"/>
              </w:rPr>
              <w:t>微气泡附着颗粒上浮</w:t>
            </w:r>
          </w:p>
        </w:tc>
        <w:tc>
          <w:tcPr>
            <w:tcW w:w="1325" w:type="dxa"/>
            <w:tcBorders>
              <w:top w:val="single" w:color="auto" w:sz="4" w:space="0"/>
              <w:tl2br w:val="nil"/>
              <w:tr2bl w:val="nil"/>
            </w:tcBorders>
            <w:vAlign w:val="center"/>
          </w:tcPr>
          <w:p w14:paraId="6EAC0F46">
            <w:pPr>
              <w:adjustRightInd w:val="0"/>
              <w:snapToGrid w:val="0"/>
              <w:jc w:val="center"/>
              <w:rPr>
                <w:rFonts w:hint="default" w:ascii="Times New Roman" w:hAnsi="Times New Roman" w:cs="Times New Roman"/>
                <w:color w:val="auto"/>
                <w:szCs w:val="21"/>
                <w:highlight w:val="none"/>
                <w:shd w:val="clear" w:fill="auto"/>
                <w:vertAlign w:val="baseline"/>
              </w:rPr>
            </w:pPr>
            <w:r>
              <w:rPr>
                <w:rFonts w:hint="default" w:ascii="Times New Roman" w:hAnsi="Times New Roman" w:cs="Times New Roman"/>
                <w:color w:val="auto"/>
                <w:szCs w:val="21"/>
                <w:highlight w:val="none"/>
                <w:shd w:val="clear" w:fill="auto"/>
                <w:vertAlign w:val="baseline"/>
              </w:rPr>
              <w:t>强氧化自由基</w:t>
            </w:r>
            <w:r>
              <w:rPr>
                <w:rFonts w:hint="eastAsia" w:cs="Times New Roman"/>
                <w:color w:val="auto"/>
                <w:szCs w:val="21"/>
                <w:highlight w:val="none"/>
                <w:shd w:val="clear" w:fill="auto"/>
                <w:vertAlign w:val="baseline"/>
                <w:lang w:val="en-US" w:eastAsia="zh-CN"/>
              </w:rPr>
              <w:t>氧化</w:t>
            </w:r>
            <w:r>
              <w:rPr>
                <w:rFonts w:hint="default" w:ascii="Times New Roman" w:hAnsi="Times New Roman" w:cs="Times New Roman"/>
                <w:color w:val="auto"/>
                <w:szCs w:val="21"/>
                <w:highlight w:val="none"/>
                <w:shd w:val="clear" w:fill="auto"/>
                <w:vertAlign w:val="baseline"/>
              </w:rPr>
              <w:t>聚合物链</w:t>
            </w:r>
          </w:p>
        </w:tc>
        <w:tc>
          <w:tcPr>
            <w:tcW w:w="1308" w:type="dxa"/>
            <w:tcBorders>
              <w:top w:val="single" w:color="auto" w:sz="4" w:space="0"/>
              <w:tl2br w:val="nil"/>
              <w:tr2bl w:val="nil"/>
            </w:tcBorders>
            <w:vAlign w:val="center"/>
          </w:tcPr>
          <w:p w14:paraId="73F8AD32">
            <w:pPr>
              <w:adjustRightInd w:val="0"/>
              <w:snapToGrid w:val="0"/>
              <w:jc w:val="center"/>
              <w:rPr>
                <w:rFonts w:hint="default" w:ascii="Times New Roman" w:hAnsi="Times New Roman" w:cs="Times New Roman"/>
                <w:color w:val="auto"/>
                <w:szCs w:val="21"/>
                <w:highlight w:val="none"/>
                <w:shd w:val="clear" w:fill="auto"/>
                <w:vertAlign w:val="baseline"/>
              </w:rPr>
            </w:pPr>
            <w:r>
              <w:rPr>
                <w:rFonts w:hint="default" w:ascii="Times New Roman" w:hAnsi="Times New Roman" w:cs="Times New Roman"/>
                <w:color w:val="auto"/>
                <w:szCs w:val="21"/>
                <w:highlight w:val="none"/>
                <w:shd w:val="clear" w:fill="auto"/>
                <w:vertAlign w:val="baseline"/>
              </w:rPr>
              <w:t>微生物酶促降解</w:t>
            </w:r>
          </w:p>
        </w:tc>
      </w:tr>
      <w:tr w14:paraId="360FA83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094" w:type="dxa"/>
            <w:tcBorders>
              <w:tl2br w:val="nil"/>
              <w:tr2bl w:val="nil"/>
            </w:tcBorders>
            <w:vAlign w:val="center"/>
          </w:tcPr>
          <w:p w14:paraId="799F1720">
            <w:pPr>
              <w:adjustRightInd w:val="0"/>
              <w:snapToGrid w:val="0"/>
              <w:jc w:val="center"/>
              <w:rPr>
                <w:rFonts w:hint="default" w:ascii="Times New Roman" w:hAnsi="Times New Roman" w:cs="Times New Roman"/>
                <w:color w:val="auto"/>
                <w:szCs w:val="21"/>
                <w:highlight w:val="none"/>
                <w:shd w:val="clear" w:fill="auto"/>
                <w:vertAlign w:val="baseline"/>
              </w:rPr>
            </w:pPr>
            <w:r>
              <w:rPr>
                <w:rFonts w:hint="default" w:ascii="Times New Roman" w:hAnsi="Times New Roman" w:cs="Times New Roman"/>
                <w:color w:val="auto"/>
                <w:szCs w:val="21"/>
                <w:highlight w:val="none"/>
                <w:shd w:val="clear" w:fill="auto"/>
                <w:vertAlign w:val="baseline"/>
              </w:rPr>
              <w:t>去除/处理方式</w:t>
            </w:r>
          </w:p>
        </w:tc>
        <w:tc>
          <w:tcPr>
            <w:tcW w:w="2139" w:type="dxa"/>
            <w:tcBorders>
              <w:tl2br w:val="nil"/>
              <w:tr2bl w:val="nil"/>
            </w:tcBorders>
            <w:vAlign w:val="center"/>
          </w:tcPr>
          <w:p w14:paraId="64922C09">
            <w:pPr>
              <w:adjustRightInd w:val="0"/>
              <w:snapToGrid w:val="0"/>
              <w:jc w:val="center"/>
              <w:rPr>
                <w:rFonts w:hint="default" w:ascii="Times New Roman" w:hAnsi="Times New Roman" w:cs="Times New Roman"/>
                <w:color w:val="auto"/>
                <w:szCs w:val="21"/>
                <w:highlight w:val="none"/>
                <w:shd w:val="clear" w:fill="auto"/>
                <w:vertAlign w:val="baseline"/>
              </w:rPr>
            </w:pPr>
            <w:r>
              <w:rPr>
                <w:rFonts w:hint="default" w:ascii="Times New Roman" w:hAnsi="Times New Roman" w:cs="Times New Roman"/>
                <w:color w:val="auto"/>
                <w:szCs w:val="21"/>
                <w:highlight w:val="none"/>
                <w:shd w:val="clear" w:fill="auto"/>
                <w:vertAlign w:val="baseline"/>
              </w:rPr>
              <w:t>分离为主</w:t>
            </w:r>
          </w:p>
        </w:tc>
        <w:tc>
          <w:tcPr>
            <w:tcW w:w="1508" w:type="dxa"/>
            <w:tcBorders>
              <w:tl2br w:val="nil"/>
              <w:tr2bl w:val="nil"/>
            </w:tcBorders>
            <w:vAlign w:val="center"/>
          </w:tcPr>
          <w:p w14:paraId="13B31248">
            <w:pPr>
              <w:adjustRightInd w:val="0"/>
              <w:snapToGrid w:val="0"/>
              <w:jc w:val="center"/>
              <w:rPr>
                <w:rFonts w:hint="default" w:ascii="Times New Roman" w:hAnsi="Times New Roman" w:cs="Times New Roman"/>
                <w:color w:val="auto"/>
                <w:szCs w:val="21"/>
                <w:highlight w:val="none"/>
                <w:shd w:val="clear" w:fill="auto"/>
                <w:vertAlign w:val="baseline"/>
              </w:rPr>
            </w:pPr>
            <w:r>
              <w:rPr>
                <w:rFonts w:hint="default" w:ascii="Times New Roman" w:hAnsi="Times New Roman" w:cs="Times New Roman"/>
                <w:color w:val="auto"/>
                <w:szCs w:val="21"/>
                <w:highlight w:val="none"/>
                <w:shd w:val="clear" w:fill="auto"/>
                <w:vertAlign w:val="baseline"/>
              </w:rPr>
              <w:t>分离为主</w:t>
            </w:r>
          </w:p>
        </w:tc>
        <w:tc>
          <w:tcPr>
            <w:tcW w:w="1258" w:type="dxa"/>
            <w:tcBorders>
              <w:tl2br w:val="nil"/>
              <w:tr2bl w:val="nil"/>
            </w:tcBorders>
            <w:vAlign w:val="center"/>
          </w:tcPr>
          <w:p w14:paraId="0EDD7516">
            <w:pPr>
              <w:adjustRightInd w:val="0"/>
              <w:snapToGrid w:val="0"/>
              <w:jc w:val="center"/>
              <w:rPr>
                <w:rFonts w:hint="default" w:ascii="Times New Roman" w:hAnsi="Times New Roman" w:cs="Times New Roman"/>
                <w:color w:val="auto"/>
                <w:szCs w:val="21"/>
                <w:highlight w:val="none"/>
                <w:shd w:val="clear" w:fill="auto"/>
                <w:vertAlign w:val="baseline"/>
              </w:rPr>
            </w:pPr>
            <w:r>
              <w:rPr>
                <w:rFonts w:hint="default" w:ascii="Times New Roman" w:hAnsi="Times New Roman" w:cs="Times New Roman"/>
                <w:color w:val="auto"/>
                <w:szCs w:val="21"/>
                <w:highlight w:val="none"/>
                <w:shd w:val="clear" w:fill="auto"/>
                <w:vertAlign w:val="baseline"/>
              </w:rPr>
              <w:t>截留分离</w:t>
            </w:r>
          </w:p>
        </w:tc>
        <w:tc>
          <w:tcPr>
            <w:tcW w:w="1159" w:type="dxa"/>
            <w:tcBorders>
              <w:tl2br w:val="nil"/>
              <w:tr2bl w:val="nil"/>
            </w:tcBorders>
            <w:vAlign w:val="center"/>
          </w:tcPr>
          <w:p w14:paraId="4FF76530">
            <w:pPr>
              <w:adjustRightInd w:val="0"/>
              <w:snapToGrid w:val="0"/>
              <w:jc w:val="center"/>
              <w:rPr>
                <w:rFonts w:hint="default" w:ascii="Times New Roman" w:hAnsi="Times New Roman" w:cs="Times New Roman"/>
                <w:color w:val="auto"/>
                <w:szCs w:val="21"/>
                <w:highlight w:val="none"/>
                <w:shd w:val="clear" w:fill="auto"/>
                <w:vertAlign w:val="baseline"/>
              </w:rPr>
            </w:pPr>
            <w:r>
              <w:rPr>
                <w:rFonts w:hint="default" w:ascii="Times New Roman" w:hAnsi="Times New Roman" w:cs="Times New Roman"/>
                <w:color w:val="auto"/>
                <w:szCs w:val="21"/>
                <w:highlight w:val="none"/>
                <w:shd w:val="clear" w:fill="auto"/>
                <w:vertAlign w:val="baseline"/>
              </w:rPr>
              <w:t>分离为主</w:t>
            </w:r>
          </w:p>
        </w:tc>
        <w:tc>
          <w:tcPr>
            <w:tcW w:w="1325" w:type="dxa"/>
            <w:tcBorders>
              <w:tl2br w:val="nil"/>
              <w:tr2bl w:val="nil"/>
            </w:tcBorders>
            <w:vAlign w:val="center"/>
          </w:tcPr>
          <w:p w14:paraId="6D2B9AB8">
            <w:pPr>
              <w:adjustRightInd w:val="0"/>
              <w:snapToGrid w:val="0"/>
              <w:jc w:val="center"/>
              <w:rPr>
                <w:rFonts w:hint="default" w:ascii="Times New Roman" w:hAnsi="Times New Roman" w:cs="Times New Roman"/>
                <w:color w:val="auto"/>
                <w:szCs w:val="21"/>
                <w:highlight w:val="none"/>
                <w:shd w:val="clear" w:fill="auto"/>
                <w:vertAlign w:val="baseline"/>
              </w:rPr>
            </w:pPr>
            <w:r>
              <w:rPr>
                <w:rFonts w:hint="default" w:ascii="Times New Roman" w:hAnsi="Times New Roman" w:cs="Times New Roman"/>
                <w:color w:val="auto"/>
                <w:szCs w:val="21"/>
                <w:highlight w:val="none"/>
                <w:shd w:val="clear" w:fill="auto"/>
                <w:vertAlign w:val="baseline"/>
              </w:rPr>
              <w:t>降解为主</w:t>
            </w:r>
          </w:p>
        </w:tc>
        <w:tc>
          <w:tcPr>
            <w:tcW w:w="1308" w:type="dxa"/>
            <w:tcBorders>
              <w:tl2br w:val="nil"/>
              <w:tr2bl w:val="nil"/>
            </w:tcBorders>
            <w:vAlign w:val="center"/>
          </w:tcPr>
          <w:p w14:paraId="2688C2F7">
            <w:pPr>
              <w:adjustRightInd w:val="0"/>
              <w:snapToGrid w:val="0"/>
              <w:jc w:val="center"/>
              <w:rPr>
                <w:rFonts w:hint="default" w:ascii="Times New Roman" w:hAnsi="Times New Roman" w:eastAsia="宋体" w:cs="Times New Roman"/>
                <w:color w:val="auto"/>
                <w:szCs w:val="21"/>
                <w:highlight w:val="none"/>
                <w:shd w:val="clear" w:fill="auto"/>
                <w:vertAlign w:val="baseline"/>
                <w:lang w:val="en-US" w:eastAsia="zh-CN"/>
              </w:rPr>
            </w:pPr>
            <w:r>
              <w:rPr>
                <w:rFonts w:hint="eastAsia" w:cs="Times New Roman"/>
                <w:color w:val="auto"/>
                <w:szCs w:val="21"/>
                <w:highlight w:val="none"/>
                <w:shd w:val="clear" w:fill="auto"/>
                <w:vertAlign w:val="baseline"/>
                <w:lang w:val="en-US" w:eastAsia="zh-CN"/>
              </w:rPr>
              <w:t>缓慢降解</w:t>
            </w:r>
          </w:p>
        </w:tc>
      </w:tr>
      <w:tr w14:paraId="5C8FB16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094" w:type="dxa"/>
            <w:tcBorders>
              <w:tl2br w:val="nil"/>
              <w:tr2bl w:val="nil"/>
            </w:tcBorders>
            <w:vAlign w:val="center"/>
          </w:tcPr>
          <w:p w14:paraId="6AB17F06">
            <w:pPr>
              <w:adjustRightInd w:val="0"/>
              <w:snapToGrid w:val="0"/>
              <w:jc w:val="center"/>
              <w:rPr>
                <w:rFonts w:hint="default" w:ascii="Times New Roman" w:hAnsi="Times New Roman" w:cs="Times New Roman"/>
                <w:color w:val="auto"/>
                <w:szCs w:val="21"/>
                <w:highlight w:val="none"/>
                <w:shd w:val="clear" w:fill="auto"/>
                <w:vertAlign w:val="baseline"/>
              </w:rPr>
            </w:pPr>
            <w:r>
              <w:rPr>
                <w:rFonts w:hint="default" w:ascii="Times New Roman" w:hAnsi="Times New Roman" w:cs="Times New Roman"/>
                <w:color w:val="auto"/>
                <w:szCs w:val="21"/>
                <w:highlight w:val="none"/>
                <w:shd w:val="clear" w:fill="auto"/>
                <w:vertAlign w:val="baseline"/>
              </w:rPr>
              <w:t>对粒径适应性</w:t>
            </w:r>
          </w:p>
        </w:tc>
        <w:tc>
          <w:tcPr>
            <w:tcW w:w="2139" w:type="dxa"/>
            <w:tcBorders>
              <w:tl2br w:val="nil"/>
              <w:tr2bl w:val="nil"/>
            </w:tcBorders>
            <w:vAlign w:val="center"/>
          </w:tcPr>
          <w:p w14:paraId="1C483012">
            <w:pPr>
              <w:adjustRightInd w:val="0"/>
              <w:snapToGrid w:val="0"/>
              <w:jc w:val="center"/>
              <w:rPr>
                <w:rFonts w:hint="default" w:ascii="Times New Roman" w:hAnsi="Times New Roman" w:cs="Times New Roman"/>
                <w:color w:val="auto"/>
                <w:szCs w:val="21"/>
                <w:highlight w:val="none"/>
                <w:shd w:val="clear" w:fill="auto"/>
                <w:vertAlign w:val="baseline"/>
              </w:rPr>
            </w:pPr>
            <w:r>
              <w:rPr>
                <w:rFonts w:hint="default" w:ascii="Times New Roman" w:hAnsi="Times New Roman" w:cs="Times New Roman"/>
                <w:color w:val="auto"/>
                <w:szCs w:val="21"/>
                <w:highlight w:val="none"/>
                <w:shd w:val="clear" w:fill="auto"/>
                <w:vertAlign w:val="baseline"/>
              </w:rPr>
              <w:t>中等粒径</w:t>
            </w:r>
          </w:p>
        </w:tc>
        <w:tc>
          <w:tcPr>
            <w:tcW w:w="1508" w:type="dxa"/>
            <w:tcBorders>
              <w:tl2br w:val="nil"/>
              <w:tr2bl w:val="nil"/>
            </w:tcBorders>
            <w:vAlign w:val="center"/>
          </w:tcPr>
          <w:p w14:paraId="2409B18D">
            <w:pPr>
              <w:adjustRightInd w:val="0"/>
              <w:snapToGrid w:val="0"/>
              <w:jc w:val="center"/>
              <w:rPr>
                <w:rFonts w:hint="default" w:ascii="Times New Roman" w:hAnsi="Times New Roman" w:cs="Times New Roman"/>
                <w:color w:val="auto"/>
                <w:szCs w:val="21"/>
                <w:highlight w:val="none"/>
                <w:shd w:val="clear" w:fill="auto"/>
                <w:vertAlign w:val="baseline"/>
              </w:rPr>
            </w:pPr>
            <w:r>
              <w:rPr>
                <w:rFonts w:hint="default" w:ascii="Times New Roman" w:hAnsi="Times New Roman" w:cs="Times New Roman"/>
                <w:color w:val="auto"/>
                <w:szCs w:val="21"/>
                <w:highlight w:val="none"/>
                <w:shd w:val="clear" w:fill="auto"/>
                <w:vertAlign w:val="baseline"/>
              </w:rPr>
              <w:t>依赖剂量与颗粒特性</w:t>
            </w:r>
          </w:p>
        </w:tc>
        <w:tc>
          <w:tcPr>
            <w:tcW w:w="1258" w:type="dxa"/>
            <w:tcBorders>
              <w:tl2br w:val="nil"/>
              <w:tr2bl w:val="nil"/>
            </w:tcBorders>
            <w:vAlign w:val="center"/>
          </w:tcPr>
          <w:p w14:paraId="28F5E0F3">
            <w:pPr>
              <w:adjustRightInd w:val="0"/>
              <w:snapToGrid w:val="0"/>
              <w:jc w:val="center"/>
              <w:rPr>
                <w:rFonts w:hint="default" w:ascii="Times New Roman" w:hAnsi="Times New Roman" w:cs="Times New Roman"/>
                <w:color w:val="auto"/>
                <w:szCs w:val="21"/>
                <w:highlight w:val="none"/>
                <w:shd w:val="clear" w:fill="auto"/>
                <w:vertAlign w:val="baseline"/>
              </w:rPr>
            </w:pPr>
            <w:r>
              <w:rPr>
                <w:rFonts w:hint="default" w:ascii="Times New Roman" w:hAnsi="Times New Roman" w:cs="Times New Roman"/>
                <w:color w:val="auto"/>
                <w:szCs w:val="21"/>
                <w:highlight w:val="none"/>
                <w:shd w:val="clear" w:fill="auto"/>
                <w:vertAlign w:val="baseline"/>
              </w:rPr>
              <w:t>微/纳米级颗粒</w:t>
            </w:r>
          </w:p>
        </w:tc>
        <w:tc>
          <w:tcPr>
            <w:tcW w:w="1159" w:type="dxa"/>
            <w:tcBorders>
              <w:tl2br w:val="nil"/>
              <w:tr2bl w:val="nil"/>
            </w:tcBorders>
            <w:vAlign w:val="center"/>
          </w:tcPr>
          <w:p w14:paraId="20D675B1">
            <w:pPr>
              <w:adjustRightInd w:val="0"/>
              <w:snapToGrid w:val="0"/>
              <w:jc w:val="center"/>
              <w:rPr>
                <w:rFonts w:hint="default" w:ascii="Times New Roman" w:hAnsi="Times New Roman" w:cs="Times New Roman"/>
                <w:color w:val="auto"/>
                <w:szCs w:val="21"/>
                <w:highlight w:val="none"/>
                <w:shd w:val="clear" w:fill="auto"/>
                <w:vertAlign w:val="baseline"/>
              </w:rPr>
            </w:pPr>
            <w:r>
              <w:rPr>
                <w:rFonts w:hint="default" w:ascii="Times New Roman" w:hAnsi="Times New Roman" w:cs="Times New Roman"/>
                <w:color w:val="auto"/>
                <w:szCs w:val="21"/>
                <w:highlight w:val="none"/>
                <w:shd w:val="clear" w:fill="auto"/>
                <w:vertAlign w:val="baseline"/>
              </w:rPr>
              <w:t>低密度颗粒</w:t>
            </w:r>
          </w:p>
        </w:tc>
        <w:tc>
          <w:tcPr>
            <w:tcW w:w="1325" w:type="dxa"/>
            <w:tcBorders>
              <w:tl2br w:val="nil"/>
              <w:tr2bl w:val="nil"/>
            </w:tcBorders>
            <w:vAlign w:val="center"/>
          </w:tcPr>
          <w:p w14:paraId="62205F53">
            <w:pPr>
              <w:adjustRightInd w:val="0"/>
              <w:snapToGrid w:val="0"/>
              <w:jc w:val="center"/>
              <w:rPr>
                <w:rFonts w:hint="default" w:ascii="Times New Roman" w:hAnsi="Times New Roman" w:cs="Times New Roman"/>
                <w:color w:val="auto"/>
                <w:szCs w:val="21"/>
                <w:highlight w:val="none"/>
                <w:shd w:val="clear" w:fill="auto"/>
                <w:vertAlign w:val="baseline"/>
              </w:rPr>
            </w:pPr>
            <w:r>
              <w:rPr>
                <w:rFonts w:hint="default" w:ascii="Times New Roman" w:hAnsi="Times New Roman" w:cs="Times New Roman"/>
                <w:color w:val="auto"/>
                <w:szCs w:val="21"/>
                <w:highlight w:val="none"/>
                <w:shd w:val="clear" w:fill="auto"/>
                <w:vertAlign w:val="baseline"/>
              </w:rPr>
              <w:t>与粒径关系较弱</w:t>
            </w:r>
          </w:p>
        </w:tc>
        <w:tc>
          <w:tcPr>
            <w:tcW w:w="1308" w:type="dxa"/>
            <w:tcBorders>
              <w:tl2br w:val="nil"/>
              <w:tr2bl w:val="nil"/>
            </w:tcBorders>
            <w:vAlign w:val="center"/>
          </w:tcPr>
          <w:p w14:paraId="77571A1F">
            <w:pPr>
              <w:adjustRightInd w:val="0"/>
              <w:snapToGrid w:val="0"/>
              <w:jc w:val="center"/>
              <w:rPr>
                <w:rFonts w:hint="default" w:ascii="Times New Roman" w:hAnsi="Times New Roman" w:cs="Times New Roman"/>
                <w:color w:val="auto"/>
                <w:szCs w:val="21"/>
                <w:highlight w:val="none"/>
                <w:shd w:val="clear" w:fill="auto"/>
                <w:vertAlign w:val="baseline"/>
              </w:rPr>
            </w:pPr>
            <w:r>
              <w:rPr>
                <w:rFonts w:hint="default" w:ascii="Times New Roman" w:hAnsi="Times New Roman" w:cs="Times New Roman"/>
                <w:color w:val="auto"/>
                <w:szCs w:val="21"/>
                <w:highlight w:val="none"/>
                <w:shd w:val="clear" w:fill="auto"/>
                <w:vertAlign w:val="baseline"/>
              </w:rPr>
              <w:t>可降解聚合物</w:t>
            </w:r>
          </w:p>
        </w:tc>
      </w:tr>
      <w:tr w14:paraId="1AE11CC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094" w:type="dxa"/>
            <w:tcBorders>
              <w:tl2br w:val="nil"/>
              <w:tr2bl w:val="nil"/>
            </w:tcBorders>
            <w:vAlign w:val="center"/>
          </w:tcPr>
          <w:p w14:paraId="2F8938AA">
            <w:pPr>
              <w:adjustRightInd w:val="0"/>
              <w:snapToGrid w:val="0"/>
              <w:jc w:val="center"/>
              <w:rPr>
                <w:rFonts w:hint="default" w:ascii="Times New Roman" w:hAnsi="Times New Roman" w:cs="Times New Roman"/>
                <w:color w:val="auto"/>
                <w:szCs w:val="21"/>
                <w:highlight w:val="none"/>
                <w:shd w:val="clear" w:fill="auto"/>
                <w:vertAlign w:val="baseline"/>
              </w:rPr>
            </w:pPr>
            <w:r>
              <w:rPr>
                <w:rFonts w:hint="default" w:ascii="Times New Roman" w:hAnsi="Times New Roman" w:cs="Times New Roman"/>
                <w:color w:val="auto"/>
                <w:szCs w:val="21"/>
                <w:highlight w:val="none"/>
                <w:shd w:val="clear" w:fill="auto"/>
                <w:vertAlign w:val="baseline"/>
              </w:rPr>
              <w:t>二次污染风险</w:t>
            </w:r>
          </w:p>
        </w:tc>
        <w:tc>
          <w:tcPr>
            <w:tcW w:w="2139" w:type="dxa"/>
            <w:tcBorders>
              <w:tl2br w:val="nil"/>
              <w:tr2bl w:val="nil"/>
            </w:tcBorders>
            <w:vAlign w:val="center"/>
          </w:tcPr>
          <w:p w14:paraId="3F42537E">
            <w:pPr>
              <w:adjustRightInd w:val="0"/>
              <w:snapToGrid w:val="0"/>
              <w:jc w:val="center"/>
              <w:rPr>
                <w:rFonts w:hint="default" w:ascii="Times New Roman" w:hAnsi="Times New Roman" w:cs="Times New Roman"/>
                <w:color w:val="auto"/>
                <w:szCs w:val="21"/>
                <w:highlight w:val="none"/>
                <w:shd w:val="clear" w:fill="auto"/>
                <w:vertAlign w:val="baseline"/>
              </w:rPr>
            </w:pPr>
            <w:r>
              <w:rPr>
                <w:rFonts w:hint="default" w:ascii="Times New Roman" w:hAnsi="Times New Roman" w:cs="Times New Roman"/>
                <w:color w:val="auto"/>
                <w:szCs w:val="21"/>
                <w:highlight w:val="none"/>
                <w:shd w:val="clear" w:fill="auto"/>
                <w:vertAlign w:val="baseline"/>
              </w:rPr>
              <w:t>残余金属离子</w:t>
            </w:r>
          </w:p>
        </w:tc>
        <w:tc>
          <w:tcPr>
            <w:tcW w:w="1508" w:type="dxa"/>
            <w:tcBorders>
              <w:tl2br w:val="nil"/>
              <w:tr2bl w:val="nil"/>
            </w:tcBorders>
            <w:vAlign w:val="center"/>
          </w:tcPr>
          <w:p w14:paraId="63F4ADBD">
            <w:pPr>
              <w:adjustRightInd w:val="0"/>
              <w:snapToGrid w:val="0"/>
              <w:jc w:val="center"/>
              <w:rPr>
                <w:rFonts w:hint="default" w:ascii="Times New Roman" w:hAnsi="Times New Roman" w:cs="Times New Roman"/>
                <w:color w:val="auto"/>
                <w:szCs w:val="21"/>
                <w:highlight w:val="none"/>
                <w:shd w:val="clear" w:fill="auto"/>
                <w:vertAlign w:val="baseline"/>
              </w:rPr>
            </w:pPr>
            <w:r>
              <w:rPr>
                <w:rFonts w:hint="default" w:ascii="Times New Roman" w:hAnsi="Times New Roman" w:cs="Times New Roman"/>
                <w:color w:val="auto"/>
                <w:szCs w:val="21"/>
                <w:highlight w:val="none"/>
                <w:shd w:val="clear" w:fill="auto"/>
                <w:vertAlign w:val="baseline"/>
              </w:rPr>
              <w:t>化学污泥产量</w:t>
            </w:r>
          </w:p>
        </w:tc>
        <w:tc>
          <w:tcPr>
            <w:tcW w:w="1258" w:type="dxa"/>
            <w:tcBorders>
              <w:tl2br w:val="nil"/>
              <w:tr2bl w:val="nil"/>
            </w:tcBorders>
            <w:vAlign w:val="center"/>
          </w:tcPr>
          <w:p w14:paraId="04EC7AAB">
            <w:pPr>
              <w:adjustRightInd w:val="0"/>
              <w:snapToGrid w:val="0"/>
              <w:jc w:val="center"/>
              <w:rPr>
                <w:rFonts w:hint="default" w:ascii="Times New Roman" w:hAnsi="Times New Roman" w:cs="Times New Roman"/>
                <w:color w:val="auto"/>
                <w:szCs w:val="21"/>
                <w:highlight w:val="none"/>
                <w:shd w:val="clear" w:fill="auto"/>
                <w:vertAlign w:val="baseline"/>
              </w:rPr>
            </w:pPr>
            <w:r>
              <w:rPr>
                <w:rFonts w:hint="default" w:ascii="Times New Roman" w:hAnsi="Times New Roman" w:cs="Times New Roman"/>
                <w:color w:val="auto"/>
                <w:szCs w:val="21"/>
                <w:highlight w:val="none"/>
                <w:shd w:val="clear" w:fill="auto"/>
                <w:vertAlign w:val="baseline"/>
              </w:rPr>
              <w:t>浓缩液需处理</w:t>
            </w:r>
          </w:p>
        </w:tc>
        <w:tc>
          <w:tcPr>
            <w:tcW w:w="1159" w:type="dxa"/>
            <w:tcBorders>
              <w:tl2br w:val="nil"/>
              <w:tr2bl w:val="nil"/>
            </w:tcBorders>
            <w:vAlign w:val="center"/>
          </w:tcPr>
          <w:p w14:paraId="62303983">
            <w:pPr>
              <w:adjustRightInd w:val="0"/>
              <w:snapToGrid w:val="0"/>
              <w:jc w:val="center"/>
              <w:rPr>
                <w:rFonts w:hint="default" w:ascii="Times New Roman" w:hAnsi="Times New Roman" w:cs="Times New Roman"/>
                <w:color w:val="auto"/>
                <w:szCs w:val="21"/>
                <w:highlight w:val="none"/>
                <w:shd w:val="clear" w:fill="auto"/>
                <w:vertAlign w:val="baseline"/>
              </w:rPr>
            </w:pPr>
            <w:r>
              <w:rPr>
                <w:rFonts w:hint="default" w:ascii="Times New Roman" w:hAnsi="Times New Roman" w:cs="Times New Roman"/>
                <w:color w:val="auto"/>
                <w:szCs w:val="21"/>
                <w:highlight w:val="none"/>
                <w:shd w:val="clear" w:fill="auto"/>
                <w:vertAlign w:val="baseline"/>
              </w:rPr>
              <w:t>浮渣需处置</w:t>
            </w:r>
          </w:p>
        </w:tc>
        <w:tc>
          <w:tcPr>
            <w:tcW w:w="1325" w:type="dxa"/>
            <w:tcBorders>
              <w:tl2br w:val="nil"/>
              <w:tr2bl w:val="nil"/>
            </w:tcBorders>
            <w:vAlign w:val="center"/>
          </w:tcPr>
          <w:p w14:paraId="6DAB53A8">
            <w:pPr>
              <w:adjustRightInd w:val="0"/>
              <w:snapToGrid w:val="0"/>
              <w:jc w:val="center"/>
              <w:rPr>
                <w:rFonts w:hint="default" w:ascii="Times New Roman" w:hAnsi="Times New Roman" w:cs="Times New Roman"/>
                <w:color w:val="auto"/>
                <w:szCs w:val="21"/>
                <w:highlight w:val="none"/>
                <w:shd w:val="clear" w:fill="auto"/>
                <w:vertAlign w:val="baseline"/>
              </w:rPr>
            </w:pPr>
            <w:r>
              <w:rPr>
                <w:rFonts w:hint="default" w:ascii="Times New Roman" w:hAnsi="Times New Roman" w:cs="Times New Roman"/>
                <w:color w:val="auto"/>
                <w:szCs w:val="21"/>
                <w:highlight w:val="none"/>
                <w:shd w:val="clear" w:fill="auto"/>
                <w:vertAlign w:val="baseline"/>
              </w:rPr>
              <w:t>生成氧化副产物</w:t>
            </w:r>
          </w:p>
        </w:tc>
        <w:tc>
          <w:tcPr>
            <w:tcW w:w="1308" w:type="dxa"/>
            <w:tcBorders>
              <w:tl2br w:val="nil"/>
              <w:tr2bl w:val="nil"/>
            </w:tcBorders>
            <w:vAlign w:val="center"/>
          </w:tcPr>
          <w:p w14:paraId="5BBFD8C1">
            <w:pPr>
              <w:adjustRightInd w:val="0"/>
              <w:snapToGrid w:val="0"/>
              <w:jc w:val="center"/>
              <w:rPr>
                <w:rFonts w:hint="default" w:ascii="Times New Roman" w:hAnsi="Times New Roman" w:cs="Times New Roman"/>
                <w:color w:val="auto"/>
                <w:szCs w:val="21"/>
                <w:highlight w:val="none"/>
                <w:shd w:val="clear" w:fill="auto"/>
                <w:vertAlign w:val="baseline"/>
              </w:rPr>
            </w:pPr>
            <w:r>
              <w:rPr>
                <w:rFonts w:hint="default" w:ascii="Times New Roman" w:hAnsi="Times New Roman" w:cs="Times New Roman"/>
                <w:color w:val="auto"/>
                <w:szCs w:val="21"/>
                <w:highlight w:val="none"/>
                <w:shd w:val="clear" w:fill="auto"/>
                <w:vertAlign w:val="baseline"/>
              </w:rPr>
              <w:t>微生物体系稳定性问题</w:t>
            </w:r>
          </w:p>
        </w:tc>
      </w:tr>
      <w:tr w14:paraId="4E4DD5E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094" w:type="dxa"/>
            <w:tcBorders>
              <w:tl2br w:val="nil"/>
              <w:tr2bl w:val="nil"/>
            </w:tcBorders>
            <w:vAlign w:val="center"/>
          </w:tcPr>
          <w:p w14:paraId="57DABF42">
            <w:pPr>
              <w:adjustRightInd w:val="0"/>
              <w:snapToGrid w:val="0"/>
              <w:jc w:val="center"/>
              <w:rPr>
                <w:rFonts w:hint="default" w:ascii="Times New Roman" w:hAnsi="Times New Roman" w:cs="Times New Roman"/>
                <w:color w:val="auto"/>
                <w:szCs w:val="21"/>
                <w:highlight w:val="none"/>
                <w:shd w:val="clear" w:fill="auto"/>
                <w:vertAlign w:val="baseline"/>
              </w:rPr>
            </w:pPr>
            <w:r>
              <w:rPr>
                <w:rFonts w:hint="default" w:ascii="Times New Roman" w:hAnsi="Times New Roman" w:cs="Times New Roman"/>
                <w:color w:val="auto"/>
                <w:szCs w:val="21"/>
                <w:highlight w:val="none"/>
                <w:shd w:val="clear" w:fill="auto"/>
                <w:vertAlign w:val="baseline"/>
              </w:rPr>
              <w:t>适用场景</w:t>
            </w:r>
          </w:p>
        </w:tc>
        <w:tc>
          <w:tcPr>
            <w:tcW w:w="2139" w:type="dxa"/>
            <w:tcBorders>
              <w:tl2br w:val="nil"/>
              <w:tr2bl w:val="nil"/>
            </w:tcBorders>
            <w:vAlign w:val="center"/>
          </w:tcPr>
          <w:p w14:paraId="395D3C86">
            <w:pPr>
              <w:adjustRightInd w:val="0"/>
              <w:snapToGrid w:val="0"/>
              <w:jc w:val="center"/>
              <w:rPr>
                <w:rFonts w:hint="default" w:ascii="Times New Roman" w:hAnsi="Times New Roman" w:cs="Times New Roman"/>
                <w:color w:val="auto"/>
                <w:szCs w:val="21"/>
                <w:highlight w:val="none"/>
                <w:shd w:val="clear" w:fill="auto"/>
                <w:vertAlign w:val="baseline"/>
              </w:rPr>
            </w:pPr>
            <w:r>
              <w:rPr>
                <w:rFonts w:hint="default" w:ascii="Times New Roman" w:hAnsi="Times New Roman" w:cs="Times New Roman"/>
                <w:color w:val="auto"/>
                <w:szCs w:val="21"/>
                <w:highlight w:val="none"/>
                <w:shd w:val="clear" w:fill="auto"/>
                <w:vertAlign w:val="baseline"/>
              </w:rPr>
              <w:t>预处理、中小规模系统</w:t>
            </w:r>
          </w:p>
        </w:tc>
        <w:tc>
          <w:tcPr>
            <w:tcW w:w="1508" w:type="dxa"/>
            <w:tcBorders>
              <w:tl2br w:val="nil"/>
              <w:tr2bl w:val="nil"/>
            </w:tcBorders>
            <w:vAlign w:val="center"/>
          </w:tcPr>
          <w:p w14:paraId="030DB109">
            <w:pPr>
              <w:adjustRightInd w:val="0"/>
              <w:snapToGrid w:val="0"/>
              <w:jc w:val="center"/>
              <w:rPr>
                <w:rFonts w:hint="default" w:ascii="Times New Roman" w:hAnsi="Times New Roman" w:cs="Times New Roman"/>
                <w:color w:val="auto"/>
                <w:szCs w:val="21"/>
                <w:highlight w:val="none"/>
                <w:shd w:val="clear" w:fill="auto"/>
                <w:vertAlign w:val="baseline"/>
              </w:rPr>
            </w:pPr>
            <w:r>
              <w:rPr>
                <w:rFonts w:hint="default" w:ascii="Times New Roman" w:hAnsi="Times New Roman" w:cs="Times New Roman"/>
                <w:color w:val="auto"/>
                <w:szCs w:val="21"/>
                <w:highlight w:val="none"/>
                <w:shd w:val="clear" w:fill="auto"/>
                <w:vertAlign w:val="baseline"/>
              </w:rPr>
              <w:t>常规水处理</w:t>
            </w:r>
          </w:p>
        </w:tc>
        <w:tc>
          <w:tcPr>
            <w:tcW w:w="1258" w:type="dxa"/>
            <w:tcBorders>
              <w:tl2br w:val="nil"/>
              <w:tr2bl w:val="nil"/>
            </w:tcBorders>
            <w:vAlign w:val="center"/>
          </w:tcPr>
          <w:p w14:paraId="466BEFF1">
            <w:pPr>
              <w:adjustRightInd w:val="0"/>
              <w:snapToGrid w:val="0"/>
              <w:jc w:val="center"/>
              <w:rPr>
                <w:rFonts w:hint="default" w:ascii="Times New Roman" w:hAnsi="Times New Roman" w:cs="Times New Roman"/>
                <w:color w:val="auto"/>
                <w:szCs w:val="21"/>
                <w:highlight w:val="none"/>
                <w:shd w:val="clear" w:fill="auto"/>
                <w:vertAlign w:val="baseline"/>
              </w:rPr>
            </w:pPr>
            <w:r>
              <w:rPr>
                <w:rFonts w:hint="default" w:ascii="Times New Roman" w:hAnsi="Times New Roman" w:cs="Times New Roman"/>
                <w:color w:val="auto"/>
                <w:szCs w:val="21"/>
                <w:highlight w:val="none"/>
                <w:shd w:val="clear" w:fill="auto"/>
                <w:vertAlign w:val="baseline"/>
              </w:rPr>
              <w:t>深度处理</w:t>
            </w:r>
          </w:p>
        </w:tc>
        <w:tc>
          <w:tcPr>
            <w:tcW w:w="1159" w:type="dxa"/>
            <w:tcBorders>
              <w:tl2br w:val="nil"/>
              <w:tr2bl w:val="nil"/>
            </w:tcBorders>
            <w:vAlign w:val="center"/>
          </w:tcPr>
          <w:p w14:paraId="1F792A72">
            <w:pPr>
              <w:adjustRightInd w:val="0"/>
              <w:snapToGrid w:val="0"/>
              <w:jc w:val="center"/>
              <w:rPr>
                <w:rFonts w:hint="default" w:ascii="Times New Roman" w:hAnsi="Times New Roman" w:cs="Times New Roman"/>
                <w:color w:val="auto"/>
                <w:szCs w:val="21"/>
                <w:highlight w:val="none"/>
                <w:shd w:val="clear" w:fill="auto"/>
                <w:vertAlign w:val="baseline"/>
              </w:rPr>
            </w:pPr>
            <w:r>
              <w:rPr>
                <w:rFonts w:hint="default" w:ascii="Times New Roman" w:hAnsi="Times New Roman" w:cs="Times New Roman"/>
                <w:color w:val="auto"/>
                <w:szCs w:val="21"/>
                <w:highlight w:val="none"/>
                <w:shd w:val="clear" w:fill="auto"/>
                <w:vertAlign w:val="baseline"/>
              </w:rPr>
              <w:t>强化分离单元</w:t>
            </w:r>
          </w:p>
        </w:tc>
        <w:tc>
          <w:tcPr>
            <w:tcW w:w="1325" w:type="dxa"/>
            <w:tcBorders>
              <w:tl2br w:val="nil"/>
              <w:tr2bl w:val="nil"/>
            </w:tcBorders>
            <w:vAlign w:val="center"/>
          </w:tcPr>
          <w:p w14:paraId="22271C3F">
            <w:pPr>
              <w:adjustRightInd w:val="0"/>
              <w:snapToGrid w:val="0"/>
              <w:jc w:val="center"/>
              <w:rPr>
                <w:rFonts w:hint="default" w:ascii="Times New Roman" w:hAnsi="Times New Roman" w:cs="Times New Roman"/>
                <w:color w:val="auto"/>
                <w:szCs w:val="21"/>
                <w:highlight w:val="none"/>
                <w:shd w:val="clear" w:fill="auto"/>
                <w:vertAlign w:val="baseline"/>
              </w:rPr>
            </w:pPr>
            <w:r>
              <w:rPr>
                <w:rFonts w:hint="default" w:ascii="Times New Roman" w:hAnsi="Times New Roman" w:cs="Times New Roman"/>
                <w:color w:val="auto"/>
                <w:szCs w:val="21"/>
                <w:highlight w:val="none"/>
                <w:shd w:val="clear" w:fill="auto"/>
                <w:vertAlign w:val="baseline"/>
              </w:rPr>
              <w:t>难降解污染物协同处理</w:t>
            </w:r>
          </w:p>
        </w:tc>
        <w:tc>
          <w:tcPr>
            <w:tcW w:w="1308" w:type="dxa"/>
            <w:tcBorders>
              <w:tl2br w:val="nil"/>
              <w:tr2bl w:val="nil"/>
            </w:tcBorders>
            <w:vAlign w:val="center"/>
          </w:tcPr>
          <w:p w14:paraId="78B297E6">
            <w:pPr>
              <w:adjustRightInd w:val="0"/>
              <w:snapToGrid w:val="0"/>
              <w:jc w:val="center"/>
              <w:rPr>
                <w:rFonts w:hint="default" w:ascii="Times New Roman" w:hAnsi="Times New Roman" w:cs="Times New Roman"/>
                <w:color w:val="auto"/>
                <w:szCs w:val="21"/>
                <w:highlight w:val="none"/>
                <w:shd w:val="clear" w:fill="auto"/>
                <w:vertAlign w:val="baseline"/>
              </w:rPr>
            </w:pPr>
            <w:r>
              <w:rPr>
                <w:rFonts w:hint="default" w:ascii="Times New Roman" w:hAnsi="Times New Roman" w:cs="Times New Roman"/>
                <w:color w:val="auto"/>
                <w:szCs w:val="21"/>
                <w:highlight w:val="none"/>
                <w:shd w:val="clear" w:fill="auto"/>
                <w:vertAlign w:val="baseline"/>
              </w:rPr>
              <w:t>长期生态修复</w:t>
            </w:r>
          </w:p>
        </w:tc>
      </w:tr>
    </w:tbl>
    <w:p w14:paraId="31F8A72A">
      <w:pPr>
        <w:adjustRightInd w:val="0"/>
        <w:snapToGrid w:val="0"/>
        <w:ind w:firstLine="420" w:firstLineChars="200"/>
        <w:rPr>
          <w:rFonts w:hint="default" w:ascii="Times New Roman" w:hAnsi="Times New Roman" w:cs="Times New Roman"/>
          <w:color w:val="auto"/>
          <w:szCs w:val="21"/>
          <w:highlight w:val="none"/>
          <w:shd w:val="clear" w:fill="auto"/>
        </w:rPr>
      </w:pPr>
      <w:r>
        <w:rPr>
          <w:rFonts w:hint="default" w:ascii="Times New Roman" w:hAnsi="Times New Roman" w:cs="Times New Roman"/>
          <w:color w:val="auto"/>
          <w:szCs w:val="21"/>
          <w:highlight w:val="none"/>
          <w:shd w:val="clear" w:fill="auto"/>
        </w:rPr>
        <w:t>综合比较表明，各类技术在微塑料去除中各具侧重</w:t>
      </w:r>
      <w:r>
        <w:rPr>
          <w:rFonts w:hint="eastAsia" w:cs="Times New Roman"/>
          <w:color w:val="auto"/>
          <w:szCs w:val="21"/>
          <w:highlight w:val="none"/>
          <w:shd w:val="clear" w:fill="auto"/>
          <w:lang w:eastAsia="zh-CN"/>
        </w:rPr>
        <w:t>。</w:t>
      </w:r>
      <w:r>
        <w:rPr>
          <w:rFonts w:hint="default" w:ascii="Times New Roman" w:hAnsi="Times New Roman" w:cs="Times New Roman"/>
          <w:color w:val="auto"/>
          <w:szCs w:val="21"/>
          <w:highlight w:val="none"/>
          <w:shd w:val="clear" w:fill="auto"/>
        </w:rPr>
        <w:t>相比之下，电絮凝兼具分离效率与操作灵活性，通过原位生成絮体与电浮选协同作用，在中等粒径疏水性微塑料去除方面表现出较好的综合性能，适合作为预处理或强化单元。</w:t>
      </w:r>
    </w:p>
    <w:p w14:paraId="4E6B33B1">
      <w:pPr>
        <w:adjustRightInd w:val="0"/>
        <w:snapToGrid w:val="0"/>
        <w:rPr>
          <w:rFonts w:hint="eastAsia" w:cs="Times New Roman"/>
          <w:color w:val="auto"/>
          <w:szCs w:val="21"/>
          <w:highlight w:val="none"/>
          <w:shd w:val="clear" w:fill="auto"/>
          <w:lang w:val="en-US" w:eastAsia="zh-CN"/>
        </w:rPr>
      </w:pPr>
      <w:r>
        <w:rPr>
          <w:rFonts w:hint="eastAsia" w:cs="Times New Roman"/>
          <w:color w:val="auto"/>
          <w:szCs w:val="21"/>
          <w:highlight w:val="none"/>
          <w:shd w:val="clear" w:fill="auto"/>
          <w:lang w:val="en-US" w:eastAsia="zh-CN"/>
        </w:rPr>
        <w:t>3.2 与同类案例研究结果的对比</w:t>
      </w:r>
    </w:p>
    <w:p w14:paraId="232BEFFA">
      <w:pPr>
        <w:adjustRightInd w:val="0"/>
        <w:snapToGrid w:val="0"/>
        <w:ind w:firstLine="420" w:firstLineChars="200"/>
        <w:rPr>
          <w:rFonts w:hint="default" w:cs="Times New Roman"/>
          <w:color w:val="auto"/>
          <w:szCs w:val="21"/>
          <w:highlight w:val="none"/>
          <w:shd w:val="clear" w:fill="auto"/>
          <w:lang w:val="en-US" w:eastAsia="zh-CN"/>
        </w:rPr>
      </w:pPr>
      <w:r>
        <w:rPr>
          <w:rFonts w:hint="eastAsia" w:cs="Times New Roman"/>
          <w:color w:val="auto"/>
          <w:szCs w:val="21"/>
          <w:highlight w:val="none"/>
          <w:shd w:val="clear" w:fill="auto"/>
          <w:lang w:val="en-US" w:eastAsia="zh-CN"/>
        </w:rPr>
        <w:t>为验证本研究的准确性和可靠性，如表3所列，选取近年来电絮凝去除微塑料的代表性研究进行定量对比分析。</w:t>
      </w:r>
    </w:p>
    <w:p w14:paraId="417420B7">
      <w:pPr>
        <w:adjustRightInd w:val="0"/>
        <w:snapToGrid w:val="0"/>
        <w:jc w:val="center"/>
        <w:rPr>
          <w:rFonts w:hint="eastAsia" w:cs="Times New Roman"/>
          <w:color w:val="auto"/>
          <w:sz w:val="18"/>
          <w:szCs w:val="18"/>
          <w:highlight w:val="none"/>
          <w:shd w:val="clear" w:fill="auto"/>
          <w:lang w:val="en-US" w:eastAsia="zh-CN"/>
        </w:rPr>
      </w:pPr>
      <w:r>
        <w:rPr>
          <w:rFonts w:hint="eastAsia" w:cs="Times New Roman"/>
          <w:color w:val="auto"/>
          <w:sz w:val="18"/>
          <w:szCs w:val="18"/>
          <w:highlight w:val="none"/>
          <w:shd w:val="clear" w:fill="auto"/>
          <w:lang w:val="en-US" w:eastAsia="zh-CN"/>
        </w:rPr>
        <w:t>表3  本研究与同类研究去除效率对比</w:t>
      </w:r>
    </w:p>
    <w:p w14:paraId="2747C4E1">
      <w:pPr>
        <w:adjustRightInd w:val="0"/>
        <w:snapToGrid w:val="0"/>
        <w:jc w:val="center"/>
        <w:rPr>
          <w:rFonts w:hint="default" w:cs="Times New Roman"/>
          <w:color w:val="auto"/>
          <w:szCs w:val="21"/>
          <w:highlight w:val="none"/>
          <w:shd w:val="clear" w:fill="auto"/>
          <w:lang w:val="en-US" w:eastAsia="zh-CN"/>
        </w:rPr>
      </w:pPr>
      <w:r>
        <w:rPr>
          <w:rFonts w:hint="eastAsia" w:eastAsiaTheme="minorEastAsia"/>
          <w:color w:val="auto"/>
          <w:sz w:val="18"/>
          <w:szCs w:val="18"/>
          <w:highlight w:val="none"/>
          <w:shd w:val="clear" w:fill="auto"/>
          <w:lang w:val="en-US" w:eastAsia="zh-CN"/>
        </w:rPr>
        <w:t>Table 3  Comparison of removal efficiency between this study and similar studies</w:t>
      </w:r>
    </w:p>
    <w:tbl>
      <w:tblPr>
        <w:tblStyle w:val="10"/>
        <w:tblW w:w="0" w:type="auto"/>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561"/>
        <w:gridCol w:w="1097"/>
        <w:gridCol w:w="1408"/>
        <w:gridCol w:w="1294"/>
        <w:gridCol w:w="2051"/>
        <w:gridCol w:w="1946"/>
      </w:tblGrid>
      <w:tr w14:paraId="44443C8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1561" w:type="dxa"/>
            <w:tcBorders>
              <w:bottom w:val="single" w:color="auto" w:sz="4" w:space="0"/>
            </w:tcBorders>
            <w:vAlign w:val="center"/>
          </w:tcPr>
          <w:p w14:paraId="1C95E2B9">
            <w:pPr>
              <w:adjustRightInd w:val="0"/>
              <w:snapToGrid w:val="0"/>
              <w:jc w:val="center"/>
              <w:rPr>
                <w:rFonts w:hint="default" w:cs="Times New Roman"/>
                <w:color w:val="auto"/>
                <w:szCs w:val="21"/>
                <w:highlight w:val="none"/>
                <w:shd w:val="clear" w:fill="auto"/>
                <w:vertAlign w:val="baseline"/>
                <w:lang w:val="en-US" w:eastAsia="zh-CN"/>
              </w:rPr>
            </w:pPr>
            <w:r>
              <w:rPr>
                <w:rFonts w:hint="eastAsia" w:cs="Times New Roman"/>
                <w:color w:val="auto"/>
                <w:szCs w:val="21"/>
                <w:highlight w:val="none"/>
                <w:shd w:val="clear" w:fill="auto"/>
                <w:vertAlign w:val="baseline"/>
                <w:lang w:val="en-US" w:eastAsia="zh-CN"/>
              </w:rPr>
              <w:t>文献来源</w:t>
            </w:r>
          </w:p>
        </w:tc>
        <w:tc>
          <w:tcPr>
            <w:tcW w:w="1097" w:type="dxa"/>
            <w:tcBorders>
              <w:bottom w:val="single" w:color="auto" w:sz="4" w:space="0"/>
            </w:tcBorders>
            <w:vAlign w:val="center"/>
          </w:tcPr>
          <w:p w14:paraId="1232D6C3">
            <w:pPr>
              <w:adjustRightInd w:val="0"/>
              <w:snapToGrid w:val="0"/>
              <w:jc w:val="center"/>
              <w:rPr>
                <w:rFonts w:hint="default" w:cs="Times New Roman"/>
                <w:color w:val="auto"/>
                <w:szCs w:val="21"/>
                <w:highlight w:val="none"/>
                <w:shd w:val="clear" w:fill="auto"/>
                <w:vertAlign w:val="baseline"/>
                <w:lang w:val="en-US" w:eastAsia="zh-CN"/>
              </w:rPr>
            </w:pPr>
            <w:r>
              <w:rPr>
                <w:rFonts w:hint="eastAsia" w:cs="Times New Roman"/>
                <w:color w:val="auto"/>
                <w:szCs w:val="21"/>
                <w:highlight w:val="none"/>
                <w:shd w:val="clear" w:fill="auto"/>
                <w:vertAlign w:val="baseline"/>
                <w:lang w:val="en-US" w:eastAsia="zh-CN"/>
              </w:rPr>
              <w:t>电极材料（阳-阴）</w:t>
            </w:r>
          </w:p>
        </w:tc>
        <w:tc>
          <w:tcPr>
            <w:tcW w:w="1408" w:type="dxa"/>
            <w:tcBorders>
              <w:bottom w:val="single" w:color="auto" w:sz="4" w:space="0"/>
            </w:tcBorders>
            <w:vAlign w:val="center"/>
          </w:tcPr>
          <w:p w14:paraId="6C651B97">
            <w:pPr>
              <w:adjustRightInd w:val="0"/>
              <w:snapToGrid w:val="0"/>
              <w:jc w:val="center"/>
              <w:rPr>
                <w:rFonts w:hint="default" w:cs="Times New Roman"/>
                <w:color w:val="auto"/>
                <w:szCs w:val="21"/>
                <w:highlight w:val="none"/>
                <w:shd w:val="clear" w:fill="auto"/>
                <w:vertAlign w:val="baseline"/>
                <w:lang w:val="en-US" w:eastAsia="zh-CN"/>
              </w:rPr>
            </w:pPr>
            <w:r>
              <w:rPr>
                <w:rFonts w:hint="eastAsia" w:cs="Times New Roman"/>
                <w:color w:val="auto"/>
                <w:szCs w:val="21"/>
                <w:highlight w:val="none"/>
                <w:shd w:val="clear" w:fill="auto"/>
                <w:vertAlign w:val="baseline"/>
                <w:lang w:val="en-US" w:eastAsia="zh-CN"/>
              </w:rPr>
              <w:t>微塑料类型</w:t>
            </w:r>
          </w:p>
        </w:tc>
        <w:tc>
          <w:tcPr>
            <w:tcW w:w="1294" w:type="dxa"/>
            <w:tcBorders>
              <w:bottom w:val="single" w:color="auto" w:sz="4" w:space="0"/>
            </w:tcBorders>
            <w:vAlign w:val="center"/>
          </w:tcPr>
          <w:p w14:paraId="0AA4B3C1">
            <w:pPr>
              <w:adjustRightInd w:val="0"/>
              <w:snapToGrid w:val="0"/>
              <w:jc w:val="center"/>
              <w:rPr>
                <w:rFonts w:hint="default" w:cs="Times New Roman"/>
                <w:color w:val="auto"/>
                <w:szCs w:val="21"/>
                <w:highlight w:val="none"/>
                <w:shd w:val="clear" w:fill="auto"/>
                <w:vertAlign w:val="baseline"/>
                <w:lang w:val="en-US" w:eastAsia="zh-CN"/>
              </w:rPr>
            </w:pPr>
            <w:r>
              <w:rPr>
                <w:rFonts w:hint="eastAsia" w:cs="Times New Roman"/>
                <w:color w:val="auto"/>
                <w:szCs w:val="21"/>
                <w:highlight w:val="none"/>
                <w:shd w:val="clear" w:fill="auto"/>
                <w:vertAlign w:val="baseline"/>
                <w:lang w:val="en-US" w:eastAsia="zh-CN"/>
              </w:rPr>
              <w:t>粒径/</w:t>
            </w:r>
            <w:r>
              <w:rPr>
                <w:rFonts w:hint="default" w:ascii="Times New Roman" w:hAnsi="Times New Roman" w:cs="Times New Roman"/>
                <w:color w:val="auto"/>
                <w:szCs w:val="21"/>
                <w:highlight w:val="none"/>
                <w:shd w:val="clear" w:fill="auto"/>
                <w:vertAlign w:val="baseline"/>
                <w:lang w:val="en-US" w:eastAsia="zh-CN"/>
              </w:rPr>
              <w:t>μm</w:t>
            </w:r>
          </w:p>
        </w:tc>
        <w:tc>
          <w:tcPr>
            <w:tcW w:w="2051" w:type="dxa"/>
            <w:tcBorders>
              <w:bottom w:val="single" w:color="auto" w:sz="4" w:space="0"/>
            </w:tcBorders>
            <w:vAlign w:val="center"/>
          </w:tcPr>
          <w:p w14:paraId="1BB1879F">
            <w:pPr>
              <w:adjustRightInd w:val="0"/>
              <w:snapToGrid w:val="0"/>
              <w:jc w:val="center"/>
              <w:rPr>
                <w:rFonts w:hint="default" w:cs="Times New Roman"/>
                <w:color w:val="auto"/>
                <w:szCs w:val="21"/>
                <w:highlight w:val="none"/>
                <w:shd w:val="clear" w:fill="auto"/>
                <w:vertAlign w:val="baseline"/>
                <w:lang w:val="en-US" w:eastAsia="zh-CN"/>
              </w:rPr>
            </w:pPr>
            <w:r>
              <w:rPr>
                <w:rFonts w:hint="eastAsia" w:cs="Times New Roman"/>
                <w:color w:val="auto"/>
                <w:szCs w:val="21"/>
                <w:highlight w:val="none"/>
                <w:shd w:val="clear" w:fill="auto"/>
                <w:vertAlign w:val="baseline"/>
                <w:lang w:val="en-US" w:eastAsia="zh-CN"/>
              </w:rPr>
              <w:t>初始浓度/g</w:t>
            </w:r>
            <w:r>
              <w:rPr>
                <w:rFonts w:hint="default" w:ascii="Times New Roman" w:hAnsi="Times New Roman" w:cs="Times New Roman"/>
                <w:color w:val="auto"/>
                <w:szCs w:val="21"/>
                <w:highlight w:val="none"/>
                <w:shd w:val="clear" w:fill="auto"/>
                <w:vertAlign w:val="baseline"/>
                <w:lang w:val="en-US" w:eastAsia="zh-CN"/>
              </w:rPr>
              <w:t>·</w:t>
            </w:r>
            <w:r>
              <w:rPr>
                <w:rFonts w:hint="eastAsia" w:cs="Times New Roman"/>
                <w:color w:val="auto"/>
                <w:szCs w:val="21"/>
                <w:highlight w:val="none"/>
                <w:shd w:val="clear" w:fill="auto"/>
                <w:vertAlign w:val="baseline"/>
                <w:lang w:val="en-US" w:eastAsia="zh-CN"/>
              </w:rPr>
              <w:t>L</w:t>
            </w:r>
            <w:r>
              <w:rPr>
                <w:rFonts w:hint="eastAsia" w:cs="Times New Roman"/>
                <w:color w:val="auto"/>
                <w:szCs w:val="21"/>
                <w:highlight w:val="none"/>
                <w:shd w:val="clear" w:fill="auto"/>
                <w:vertAlign w:val="superscript"/>
                <w:lang w:val="en-US" w:eastAsia="zh-CN"/>
              </w:rPr>
              <w:t>-1</w:t>
            </w:r>
          </w:p>
        </w:tc>
        <w:tc>
          <w:tcPr>
            <w:tcW w:w="1946" w:type="dxa"/>
            <w:tcBorders>
              <w:bottom w:val="single" w:color="auto" w:sz="4" w:space="0"/>
            </w:tcBorders>
            <w:vAlign w:val="center"/>
          </w:tcPr>
          <w:p w14:paraId="629FF729">
            <w:pPr>
              <w:adjustRightInd w:val="0"/>
              <w:snapToGrid w:val="0"/>
              <w:jc w:val="center"/>
              <w:rPr>
                <w:rFonts w:hint="default" w:cs="Times New Roman"/>
                <w:color w:val="auto"/>
                <w:szCs w:val="21"/>
                <w:highlight w:val="none"/>
                <w:shd w:val="clear" w:fill="auto"/>
                <w:vertAlign w:val="baseline"/>
                <w:lang w:val="en-US" w:eastAsia="zh-CN"/>
              </w:rPr>
            </w:pPr>
            <w:r>
              <w:rPr>
                <w:rFonts w:hint="eastAsia" w:cs="Times New Roman"/>
                <w:color w:val="auto"/>
                <w:szCs w:val="21"/>
                <w:highlight w:val="none"/>
                <w:shd w:val="clear" w:fill="auto"/>
                <w:vertAlign w:val="baseline"/>
                <w:lang w:val="en-US" w:eastAsia="zh-CN"/>
              </w:rPr>
              <w:t>最优条件去除率/%</w:t>
            </w:r>
          </w:p>
        </w:tc>
      </w:tr>
      <w:tr w14:paraId="4BE1C79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561" w:type="dxa"/>
            <w:tcBorders>
              <w:top w:val="single" w:color="auto" w:sz="4" w:space="0"/>
              <w:tl2br w:val="nil"/>
              <w:tr2bl w:val="nil"/>
            </w:tcBorders>
            <w:vAlign w:val="center"/>
          </w:tcPr>
          <w:p w14:paraId="25505834">
            <w:pPr>
              <w:adjustRightInd w:val="0"/>
              <w:snapToGrid w:val="0"/>
              <w:jc w:val="center"/>
              <w:rPr>
                <w:rFonts w:hint="default" w:cs="Times New Roman"/>
                <w:color w:val="auto"/>
                <w:szCs w:val="21"/>
                <w:highlight w:val="none"/>
                <w:shd w:val="clear" w:fill="auto"/>
                <w:vertAlign w:val="baseline"/>
                <w:lang w:val="en-US" w:eastAsia="zh-CN"/>
              </w:rPr>
            </w:pPr>
            <w:r>
              <w:rPr>
                <w:rFonts w:hint="eastAsia" w:cs="Times New Roman"/>
                <w:color w:val="auto"/>
                <w:szCs w:val="21"/>
                <w:highlight w:val="none"/>
                <w:shd w:val="clear" w:fill="auto"/>
                <w:vertAlign w:val="baseline"/>
                <w:lang w:val="en-US" w:eastAsia="zh-CN"/>
              </w:rPr>
              <w:t>HU</w:t>
            </w:r>
            <w:r>
              <w:rPr>
                <w:rFonts w:hint="default"/>
                <w:color w:val="auto"/>
                <w:highlight w:val="none"/>
                <w:shd w:val="clear" w:fill="auto"/>
                <w:vertAlign w:val="superscript"/>
                <w:lang w:val="en-US"/>
              </w:rPr>
              <w:t>[3</w:t>
            </w:r>
            <w:r>
              <w:rPr>
                <w:rFonts w:hint="eastAsia"/>
                <w:color w:val="auto"/>
                <w:highlight w:val="none"/>
                <w:shd w:val="clear" w:fill="auto"/>
                <w:vertAlign w:val="superscript"/>
                <w:lang w:val="en-US" w:eastAsia="zh-CN"/>
              </w:rPr>
              <w:t>4</w:t>
            </w:r>
            <w:r>
              <w:rPr>
                <w:rFonts w:hint="default"/>
                <w:color w:val="auto"/>
                <w:highlight w:val="none"/>
                <w:shd w:val="clear" w:fill="auto"/>
                <w:vertAlign w:val="superscript"/>
                <w:lang w:val="en-US"/>
              </w:rPr>
              <w:t>]</w:t>
            </w:r>
          </w:p>
        </w:tc>
        <w:tc>
          <w:tcPr>
            <w:tcW w:w="1097" w:type="dxa"/>
            <w:tcBorders>
              <w:top w:val="single" w:color="auto" w:sz="4" w:space="0"/>
              <w:tl2br w:val="nil"/>
              <w:tr2bl w:val="nil"/>
            </w:tcBorders>
            <w:vAlign w:val="center"/>
          </w:tcPr>
          <w:p w14:paraId="4A02C5A4">
            <w:pPr>
              <w:adjustRightInd w:val="0"/>
              <w:snapToGrid w:val="0"/>
              <w:jc w:val="center"/>
              <w:rPr>
                <w:rFonts w:hint="default" w:cs="Times New Roman"/>
                <w:color w:val="auto"/>
                <w:szCs w:val="21"/>
                <w:highlight w:val="none"/>
                <w:shd w:val="clear" w:fill="auto"/>
                <w:vertAlign w:val="baseline"/>
                <w:lang w:val="en-US" w:eastAsia="zh-CN"/>
              </w:rPr>
            </w:pPr>
            <w:r>
              <w:rPr>
                <w:rFonts w:hint="eastAsia" w:cs="Times New Roman"/>
                <w:color w:val="auto"/>
                <w:szCs w:val="21"/>
                <w:highlight w:val="none"/>
                <w:shd w:val="clear" w:fill="auto"/>
                <w:vertAlign w:val="baseline"/>
                <w:lang w:val="en-US" w:eastAsia="zh-CN"/>
              </w:rPr>
              <w:t>Fe-Al</w:t>
            </w:r>
          </w:p>
        </w:tc>
        <w:tc>
          <w:tcPr>
            <w:tcW w:w="1408" w:type="dxa"/>
            <w:tcBorders>
              <w:top w:val="single" w:color="auto" w:sz="4" w:space="0"/>
              <w:tl2br w:val="nil"/>
              <w:tr2bl w:val="nil"/>
            </w:tcBorders>
            <w:vAlign w:val="center"/>
          </w:tcPr>
          <w:p w14:paraId="173012AD">
            <w:pPr>
              <w:adjustRightInd w:val="0"/>
              <w:snapToGrid w:val="0"/>
              <w:jc w:val="center"/>
              <w:rPr>
                <w:rFonts w:hint="default" w:cs="Times New Roman"/>
                <w:color w:val="auto"/>
                <w:szCs w:val="21"/>
                <w:highlight w:val="none"/>
                <w:shd w:val="clear" w:fill="auto"/>
                <w:vertAlign w:val="baseline"/>
                <w:lang w:val="en-US" w:eastAsia="zh-CN"/>
              </w:rPr>
            </w:pPr>
            <w:r>
              <w:rPr>
                <w:rFonts w:hint="eastAsia" w:cs="Times New Roman"/>
                <w:color w:val="auto"/>
                <w:szCs w:val="21"/>
                <w:highlight w:val="none"/>
                <w:shd w:val="clear" w:fill="auto"/>
                <w:vertAlign w:val="baseline"/>
                <w:lang w:val="en-US" w:eastAsia="zh-CN"/>
              </w:rPr>
              <w:t>聚酰胺</w:t>
            </w:r>
          </w:p>
        </w:tc>
        <w:tc>
          <w:tcPr>
            <w:tcW w:w="1294" w:type="dxa"/>
            <w:tcBorders>
              <w:top w:val="single" w:color="auto" w:sz="4" w:space="0"/>
              <w:tl2br w:val="nil"/>
              <w:tr2bl w:val="nil"/>
            </w:tcBorders>
            <w:vAlign w:val="center"/>
          </w:tcPr>
          <w:p w14:paraId="69D1A31A">
            <w:pPr>
              <w:adjustRightInd w:val="0"/>
              <w:snapToGrid w:val="0"/>
              <w:jc w:val="center"/>
              <w:rPr>
                <w:rFonts w:hint="default" w:cs="Times New Roman"/>
                <w:color w:val="auto"/>
                <w:szCs w:val="21"/>
                <w:highlight w:val="none"/>
                <w:shd w:val="clear" w:fill="auto"/>
                <w:vertAlign w:val="baseline"/>
                <w:lang w:val="en-US" w:eastAsia="zh-CN"/>
              </w:rPr>
            </w:pPr>
            <w:r>
              <w:rPr>
                <w:rFonts w:hint="eastAsia" w:cs="Times New Roman"/>
                <w:color w:val="auto"/>
                <w:szCs w:val="21"/>
                <w:highlight w:val="none"/>
                <w:shd w:val="clear" w:fill="auto"/>
                <w:vertAlign w:val="baseline"/>
                <w:lang w:val="en-US" w:eastAsia="zh-CN"/>
              </w:rPr>
              <w:t>38~74</w:t>
            </w:r>
          </w:p>
        </w:tc>
        <w:tc>
          <w:tcPr>
            <w:tcW w:w="2051" w:type="dxa"/>
            <w:tcBorders>
              <w:top w:val="single" w:color="auto" w:sz="4" w:space="0"/>
              <w:tl2br w:val="nil"/>
              <w:tr2bl w:val="nil"/>
            </w:tcBorders>
            <w:vAlign w:val="center"/>
          </w:tcPr>
          <w:p w14:paraId="1572C909">
            <w:pPr>
              <w:adjustRightInd w:val="0"/>
              <w:snapToGrid w:val="0"/>
              <w:jc w:val="center"/>
              <w:rPr>
                <w:rFonts w:hint="default" w:cs="Times New Roman"/>
                <w:color w:val="auto"/>
                <w:szCs w:val="21"/>
                <w:highlight w:val="none"/>
                <w:shd w:val="clear" w:fill="auto"/>
                <w:vertAlign w:val="baseline"/>
                <w:lang w:val="en-US" w:eastAsia="zh-CN"/>
              </w:rPr>
            </w:pPr>
            <w:r>
              <w:rPr>
                <w:rFonts w:hint="eastAsia" w:cs="Times New Roman"/>
                <w:color w:val="auto"/>
                <w:szCs w:val="21"/>
                <w:highlight w:val="none"/>
                <w:shd w:val="clear" w:fill="auto"/>
                <w:vertAlign w:val="baseline"/>
                <w:lang w:val="en-US" w:eastAsia="zh-CN"/>
              </w:rPr>
              <w:t>0.5</w:t>
            </w:r>
          </w:p>
        </w:tc>
        <w:tc>
          <w:tcPr>
            <w:tcW w:w="1946" w:type="dxa"/>
            <w:tcBorders>
              <w:top w:val="single" w:color="auto" w:sz="4" w:space="0"/>
              <w:tl2br w:val="nil"/>
              <w:tr2bl w:val="nil"/>
            </w:tcBorders>
            <w:vAlign w:val="center"/>
          </w:tcPr>
          <w:p w14:paraId="24B9D6C8">
            <w:pPr>
              <w:adjustRightInd w:val="0"/>
              <w:snapToGrid w:val="0"/>
              <w:jc w:val="center"/>
              <w:rPr>
                <w:rFonts w:hint="eastAsia" w:cs="Times New Roman"/>
                <w:color w:val="auto"/>
                <w:szCs w:val="21"/>
                <w:highlight w:val="none"/>
                <w:shd w:val="clear" w:fill="auto"/>
                <w:vertAlign w:val="baseline"/>
                <w:lang w:val="en-US" w:eastAsia="zh-CN"/>
              </w:rPr>
            </w:pPr>
            <w:r>
              <w:rPr>
                <w:rFonts w:hint="eastAsia" w:cs="Times New Roman"/>
                <w:color w:val="auto"/>
                <w:szCs w:val="21"/>
                <w:highlight w:val="none"/>
                <w:shd w:val="clear" w:fill="auto"/>
                <w:vertAlign w:val="baseline"/>
                <w:lang w:val="en-US" w:eastAsia="zh-CN"/>
              </w:rPr>
              <w:t>96.8</w:t>
            </w:r>
          </w:p>
        </w:tc>
      </w:tr>
      <w:tr w14:paraId="24C4A8D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561" w:type="dxa"/>
            <w:tcBorders>
              <w:tl2br w:val="nil"/>
              <w:tr2bl w:val="nil"/>
            </w:tcBorders>
            <w:vAlign w:val="center"/>
          </w:tcPr>
          <w:p w14:paraId="5FFC9F43">
            <w:pPr>
              <w:adjustRightInd w:val="0"/>
              <w:snapToGrid w:val="0"/>
              <w:jc w:val="center"/>
              <w:rPr>
                <w:rFonts w:hint="default" w:cs="Times New Roman"/>
                <w:color w:val="auto"/>
                <w:szCs w:val="21"/>
                <w:highlight w:val="none"/>
                <w:shd w:val="clear" w:fill="auto"/>
                <w:vertAlign w:val="baseline"/>
                <w:lang w:val="en-US" w:eastAsia="zh-CN"/>
              </w:rPr>
            </w:pPr>
            <w:r>
              <w:rPr>
                <w:rFonts w:hint="default" w:cs="Times New Roman"/>
                <w:color w:val="auto"/>
                <w:szCs w:val="21"/>
                <w:highlight w:val="none"/>
                <w:shd w:val="clear" w:fill="auto"/>
                <w:vertAlign w:val="baseline"/>
                <w:lang w:val="en-US" w:eastAsia="zh-CN"/>
              </w:rPr>
              <w:t>SUBAIR</w:t>
            </w:r>
            <w:r>
              <w:rPr>
                <w:rFonts w:hint="default"/>
                <w:color w:val="auto"/>
                <w:highlight w:val="none"/>
                <w:shd w:val="clear" w:fill="auto"/>
                <w:vertAlign w:val="superscript"/>
                <w:lang w:val="en-US"/>
              </w:rPr>
              <w:t>[3</w:t>
            </w:r>
            <w:r>
              <w:rPr>
                <w:rFonts w:hint="eastAsia"/>
                <w:color w:val="auto"/>
                <w:highlight w:val="none"/>
                <w:shd w:val="clear" w:fill="auto"/>
                <w:vertAlign w:val="superscript"/>
                <w:lang w:val="en-US" w:eastAsia="zh-CN"/>
              </w:rPr>
              <w:t>5</w:t>
            </w:r>
            <w:r>
              <w:rPr>
                <w:rFonts w:hint="default"/>
                <w:color w:val="auto"/>
                <w:highlight w:val="none"/>
                <w:shd w:val="clear" w:fill="auto"/>
                <w:vertAlign w:val="superscript"/>
                <w:lang w:val="en-US"/>
              </w:rPr>
              <w:t>]</w:t>
            </w:r>
          </w:p>
        </w:tc>
        <w:tc>
          <w:tcPr>
            <w:tcW w:w="1097" w:type="dxa"/>
            <w:tcBorders>
              <w:tl2br w:val="nil"/>
              <w:tr2bl w:val="nil"/>
            </w:tcBorders>
            <w:vAlign w:val="center"/>
          </w:tcPr>
          <w:p w14:paraId="3E9CDEE1">
            <w:pPr>
              <w:adjustRightInd w:val="0"/>
              <w:snapToGrid w:val="0"/>
              <w:jc w:val="center"/>
              <w:rPr>
                <w:rFonts w:hint="default" w:cs="Times New Roman"/>
                <w:color w:val="auto"/>
                <w:szCs w:val="21"/>
                <w:highlight w:val="none"/>
                <w:shd w:val="clear" w:fill="auto"/>
                <w:vertAlign w:val="baseline"/>
                <w:lang w:val="en-US" w:eastAsia="zh-CN"/>
              </w:rPr>
            </w:pPr>
            <w:r>
              <w:rPr>
                <w:rFonts w:hint="eastAsia" w:cs="Times New Roman"/>
                <w:color w:val="auto"/>
                <w:szCs w:val="21"/>
                <w:highlight w:val="none"/>
                <w:shd w:val="clear" w:fill="auto"/>
                <w:vertAlign w:val="baseline"/>
                <w:lang w:val="en-US" w:eastAsia="zh-CN"/>
              </w:rPr>
              <w:t>Al-Al</w:t>
            </w:r>
          </w:p>
        </w:tc>
        <w:tc>
          <w:tcPr>
            <w:tcW w:w="1408" w:type="dxa"/>
            <w:tcBorders>
              <w:tl2br w:val="nil"/>
              <w:tr2bl w:val="nil"/>
            </w:tcBorders>
            <w:vAlign w:val="center"/>
          </w:tcPr>
          <w:p w14:paraId="72390C36">
            <w:pPr>
              <w:adjustRightInd w:val="0"/>
              <w:snapToGrid w:val="0"/>
              <w:jc w:val="center"/>
              <w:rPr>
                <w:rFonts w:hint="default" w:cs="Times New Roman"/>
                <w:color w:val="auto"/>
                <w:szCs w:val="21"/>
                <w:highlight w:val="none"/>
                <w:shd w:val="clear" w:fill="auto"/>
                <w:vertAlign w:val="baseline"/>
                <w:lang w:val="en-US" w:eastAsia="zh-CN"/>
              </w:rPr>
            </w:pPr>
            <w:r>
              <w:rPr>
                <w:rFonts w:hint="eastAsia" w:cs="Times New Roman"/>
                <w:color w:val="auto"/>
                <w:szCs w:val="21"/>
                <w:highlight w:val="none"/>
                <w:shd w:val="clear" w:fill="auto"/>
                <w:vertAlign w:val="baseline"/>
                <w:lang w:val="en-US" w:eastAsia="zh-CN"/>
              </w:rPr>
              <w:t>聚苯乙烯</w:t>
            </w:r>
          </w:p>
        </w:tc>
        <w:tc>
          <w:tcPr>
            <w:tcW w:w="1294" w:type="dxa"/>
            <w:tcBorders>
              <w:tl2br w:val="nil"/>
              <w:tr2bl w:val="nil"/>
            </w:tcBorders>
            <w:vAlign w:val="center"/>
          </w:tcPr>
          <w:p w14:paraId="101B1543">
            <w:pPr>
              <w:adjustRightInd w:val="0"/>
              <w:snapToGrid w:val="0"/>
              <w:jc w:val="center"/>
              <w:rPr>
                <w:rFonts w:hint="default" w:cs="Times New Roman"/>
                <w:color w:val="auto"/>
                <w:szCs w:val="21"/>
                <w:highlight w:val="none"/>
                <w:shd w:val="clear" w:fill="auto"/>
                <w:vertAlign w:val="baseline"/>
                <w:lang w:val="en-US" w:eastAsia="zh-CN"/>
              </w:rPr>
            </w:pPr>
            <w:r>
              <w:rPr>
                <w:rFonts w:hint="eastAsia" w:cs="Times New Roman"/>
                <w:color w:val="auto"/>
                <w:szCs w:val="21"/>
                <w:highlight w:val="none"/>
                <w:shd w:val="clear" w:fill="auto"/>
                <w:vertAlign w:val="baseline"/>
                <w:lang w:val="en-US" w:eastAsia="zh-CN"/>
              </w:rPr>
              <w:t>150~300</w:t>
            </w:r>
          </w:p>
        </w:tc>
        <w:tc>
          <w:tcPr>
            <w:tcW w:w="2051" w:type="dxa"/>
            <w:tcBorders>
              <w:tl2br w:val="nil"/>
              <w:tr2bl w:val="nil"/>
            </w:tcBorders>
            <w:vAlign w:val="center"/>
          </w:tcPr>
          <w:p w14:paraId="1EECFD2A">
            <w:pPr>
              <w:adjustRightInd w:val="0"/>
              <w:snapToGrid w:val="0"/>
              <w:jc w:val="center"/>
              <w:rPr>
                <w:rFonts w:hint="default" w:cs="Times New Roman"/>
                <w:color w:val="auto"/>
                <w:szCs w:val="21"/>
                <w:highlight w:val="none"/>
                <w:shd w:val="clear" w:fill="auto"/>
                <w:vertAlign w:val="baseline"/>
                <w:lang w:val="en-US" w:eastAsia="zh-CN"/>
              </w:rPr>
            </w:pPr>
            <w:r>
              <w:rPr>
                <w:rFonts w:hint="eastAsia" w:cs="Times New Roman"/>
                <w:color w:val="auto"/>
                <w:szCs w:val="21"/>
                <w:highlight w:val="none"/>
                <w:shd w:val="clear" w:fill="auto"/>
                <w:vertAlign w:val="baseline"/>
                <w:lang w:val="en-US" w:eastAsia="zh-CN"/>
              </w:rPr>
              <w:t>0.2</w:t>
            </w:r>
          </w:p>
        </w:tc>
        <w:tc>
          <w:tcPr>
            <w:tcW w:w="1946" w:type="dxa"/>
            <w:tcBorders>
              <w:tl2br w:val="nil"/>
              <w:tr2bl w:val="nil"/>
            </w:tcBorders>
            <w:vAlign w:val="center"/>
          </w:tcPr>
          <w:p w14:paraId="42946AC6">
            <w:pPr>
              <w:adjustRightInd w:val="0"/>
              <w:snapToGrid w:val="0"/>
              <w:jc w:val="center"/>
              <w:rPr>
                <w:rFonts w:hint="default" w:cs="Times New Roman"/>
                <w:color w:val="auto"/>
                <w:szCs w:val="21"/>
                <w:highlight w:val="none"/>
                <w:shd w:val="clear" w:fill="auto"/>
                <w:vertAlign w:val="baseline"/>
                <w:lang w:val="en-US" w:eastAsia="zh-CN"/>
              </w:rPr>
            </w:pPr>
            <w:r>
              <w:rPr>
                <w:rFonts w:hint="eastAsia" w:cs="Times New Roman"/>
                <w:color w:val="auto"/>
                <w:szCs w:val="21"/>
                <w:highlight w:val="none"/>
                <w:shd w:val="clear" w:fill="auto"/>
                <w:vertAlign w:val="baseline"/>
                <w:lang w:val="en-US" w:eastAsia="zh-CN"/>
              </w:rPr>
              <w:t>94.6</w:t>
            </w:r>
          </w:p>
        </w:tc>
      </w:tr>
      <w:tr w14:paraId="0F3F4DA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561" w:type="dxa"/>
            <w:tcBorders>
              <w:tl2br w:val="nil"/>
              <w:tr2bl w:val="nil"/>
            </w:tcBorders>
            <w:vAlign w:val="center"/>
          </w:tcPr>
          <w:p w14:paraId="096E7621">
            <w:pPr>
              <w:adjustRightInd w:val="0"/>
              <w:snapToGrid w:val="0"/>
              <w:jc w:val="center"/>
              <w:rPr>
                <w:rFonts w:hint="eastAsia" w:cs="Times New Roman"/>
                <w:color w:val="auto"/>
                <w:szCs w:val="21"/>
                <w:highlight w:val="none"/>
                <w:shd w:val="clear" w:fill="auto"/>
                <w:vertAlign w:val="baseline"/>
                <w:lang w:val="en-US" w:eastAsia="zh-CN"/>
              </w:rPr>
            </w:pPr>
            <w:r>
              <w:rPr>
                <w:rFonts w:hint="eastAsia"/>
                <w:color w:val="auto"/>
                <w:highlight w:val="none"/>
                <w:shd w:val="clear" w:fill="auto"/>
              </w:rPr>
              <w:t>ELKHATIB</w:t>
            </w:r>
            <w:r>
              <w:rPr>
                <w:rFonts w:hint="eastAsia"/>
                <w:color w:val="auto"/>
                <w:highlight w:val="none"/>
                <w:shd w:val="clear" w:fill="auto"/>
                <w:vertAlign w:val="superscript"/>
                <w:lang w:eastAsia="zh-CN"/>
              </w:rPr>
              <w:t>[3</w:t>
            </w:r>
            <w:r>
              <w:rPr>
                <w:rFonts w:hint="eastAsia"/>
                <w:color w:val="auto"/>
                <w:highlight w:val="none"/>
                <w:shd w:val="clear" w:fill="auto"/>
                <w:vertAlign w:val="superscript"/>
                <w:lang w:val="en-US" w:eastAsia="zh-CN"/>
              </w:rPr>
              <w:t>2</w:t>
            </w:r>
            <w:r>
              <w:rPr>
                <w:rFonts w:hint="eastAsia"/>
                <w:color w:val="auto"/>
                <w:highlight w:val="none"/>
                <w:shd w:val="clear" w:fill="auto"/>
                <w:vertAlign w:val="superscript"/>
                <w:lang w:eastAsia="zh-CN"/>
              </w:rPr>
              <w:t>]</w:t>
            </w:r>
          </w:p>
        </w:tc>
        <w:tc>
          <w:tcPr>
            <w:tcW w:w="1097" w:type="dxa"/>
            <w:tcBorders>
              <w:tl2br w:val="nil"/>
              <w:tr2bl w:val="nil"/>
            </w:tcBorders>
            <w:vAlign w:val="center"/>
          </w:tcPr>
          <w:p w14:paraId="6216ACCA">
            <w:pPr>
              <w:adjustRightInd w:val="0"/>
              <w:snapToGrid w:val="0"/>
              <w:jc w:val="center"/>
              <w:rPr>
                <w:rFonts w:hint="eastAsia" w:cs="Times New Roman"/>
                <w:color w:val="auto"/>
                <w:szCs w:val="21"/>
                <w:highlight w:val="none"/>
                <w:shd w:val="clear" w:fill="auto"/>
                <w:vertAlign w:val="baseline"/>
                <w:lang w:val="en-US" w:eastAsia="zh-CN"/>
              </w:rPr>
            </w:pPr>
            <w:r>
              <w:rPr>
                <w:rFonts w:hint="eastAsia" w:cs="Times New Roman"/>
                <w:color w:val="auto"/>
                <w:szCs w:val="21"/>
                <w:highlight w:val="none"/>
                <w:shd w:val="clear" w:fill="auto"/>
                <w:vertAlign w:val="baseline"/>
                <w:lang w:val="en-US" w:eastAsia="zh-CN"/>
              </w:rPr>
              <w:t>Al-Al</w:t>
            </w:r>
          </w:p>
        </w:tc>
        <w:tc>
          <w:tcPr>
            <w:tcW w:w="1408" w:type="dxa"/>
            <w:tcBorders>
              <w:tl2br w:val="nil"/>
              <w:tr2bl w:val="nil"/>
            </w:tcBorders>
            <w:vAlign w:val="center"/>
          </w:tcPr>
          <w:p w14:paraId="0B9384E5">
            <w:pPr>
              <w:adjustRightInd w:val="0"/>
              <w:snapToGrid w:val="0"/>
              <w:jc w:val="center"/>
              <w:rPr>
                <w:rFonts w:hint="default" w:cs="Times New Roman"/>
                <w:color w:val="auto"/>
                <w:szCs w:val="21"/>
                <w:highlight w:val="none"/>
                <w:shd w:val="clear" w:fill="auto"/>
                <w:vertAlign w:val="baseline"/>
                <w:lang w:val="en-US" w:eastAsia="zh-CN"/>
              </w:rPr>
            </w:pPr>
            <w:r>
              <w:rPr>
                <w:rFonts w:hint="eastAsia" w:cs="Times New Roman"/>
                <w:color w:val="auto"/>
                <w:szCs w:val="21"/>
                <w:highlight w:val="none"/>
                <w:shd w:val="clear" w:fill="auto"/>
                <w:vertAlign w:val="baseline"/>
                <w:lang w:val="en-US" w:eastAsia="zh-CN"/>
              </w:rPr>
              <w:t>聚酯</w:t>
            </w:r>
          </w:p>
        </w:tc>
        <w:tc>
          <w:tcPr>
            <w:tcW w:w="1294" w:type="dxa"/>
            <w:tcBorders>
              <w:tl2br w:val="nil"/>
              <w:tr2bl w:val="nil"/>
            </w:tcBorders>
            <w:vAlign w:val="center"/>
          </w:tcPr>
          <w:p w14:paraId="09C93563">
            <w:pPr>
              <w:adjustRightInd w:val="0"/>
              <w:snapToGrid w:val="0"/>
              <w:jc w:val="center"/>
              <w:rPr>
                <w:rFonts w:hint="default" w:cs="Times New Roman"/>
                <w:color w:val="auto"/>
                <w:szCs w:val="21"/>
                <w:highlight w:val="none"/>
                <w:shd w:val="clear" w:fill="auto"/>
                <w:vertAlign w:val="baseline"/>
                <w:lang w:val="en-US" w:eastAsia="zh-CN"/>
              </w:rPr>
            </w:pPr>
            <w:r>
              <w:rPr>
                <w:rFonts w:hint="eastAsia" w:cs="Times New Roman"/>
                <w:color w:val="auto"/>
                <w:szCs w:val="21"/>
                <w:highlight w:val="none"/>
                <w:shd w:val="clear" w:fill="auto"/>
                <w:vertAlign w:val="baseline"/>
                <w:lang w:val="en-US" w:eastAsia="zh-CN"/>
              </w:rPr>
              <w:t>25~65</w:t>
            </w:r>
          </w:p>
        </w:tc>
        <w:tc>
          <w:tcPr>
            <w:tcW w:w="2051" w:type="dxa"/>
            <w:tcBorders>
              <w:tl2br w:val="nil"/>
              <w:tr2bl w:val="nil"/>
            </w:tcBorders>
            <w:vAlign w:val="center"/>
          </w:tcPr>
          <w:p w14:paraId="47CA64C9">
            <w:pPr>
              <w:adjustRightInd w:val="0"/>
              <w:snapToGrid w:val="0"/>
              <w:jc w:val="center"/>
              <w:rPr>
                <w:rFonts w:hint="default" w:cs="Times New Roman"/>
                <w:color w:val="auto"/>
                <w:szCs w:val="21"/>
                <w:highlight w:val="none"/>
                <w:shd w:val="clear" w:fill="auto"/>
                <w:vertAlign w:val="baseline"/>
                <w:lang w:val="en-US" w:eastAsia="zh-CN"/>
              </w:rPr>
            </w:pPr>
            <w:r>
              <w:rPr>
                <w:rFonts w:hint="eastAsia" w:cs="Times New Roman"/>
                <w:color w:val="auto"/>
                <w:szCs w:val="21"/>
                <w:highlight w:val="none"/>
                <w:shd w:val="clear" w:fill="auto"/>
                <w:vertAlign w:val="baseline"/>
                <w:lang w:val="en-US" w:eastAsia="zh-CN"/>
              </w:rPr>
              <w:t>0.025</w:t>
            </w:r>
          </w:p>
        </w:tc>
        <w:tc>
          <w:tcPr>
            <w:tcW w:w="1946" w:type="dxa"/>
            <w:tcBorders>
              <w:tl2br w:val="nil"/>
              <w:tr2bl w:val="nil"/>
            </w:tcBorders>
            <w:vAlign w:val="center"/>
          </w:tcPr>
          <w:p w14:paraId="3AA66E15">
            <w:pPr>
              <w:adjustRightInd w:val="0"/>
              <w:snapToGrid w:val="0"/>
              <w:jc w:val="center"/>
              <w:rPr>
                <w:rFonts w:hint="default" w:cs="Times New Roman"/>
                <w:color w:val="auto"/>
                <w:szCs w:val="21"/>
                <w:highlight w:val="none"/>
                <w:shd w:val="clear" w:fill="auto"/>
                <w:vertAlign w:val="baseline"/>
                <w:lang w:val="en-US" w:eastAsia="zh-CN"/>
              </w:rPr>
            </w:pPr>
            <w:r>
              <w:rPr>
                <w:rFonts w:hint="eastAsia" w:cs="Times New Roman"/>
                <w:color w:val="auto"/>
                <w:szCs w:val="21"/>
                <w:highlight w:val="none"/>
                <w:shd w:val="clear" w:fill="auto"/>
                <w:vertAlign w:val="baseline"/>
                <w:lang w:val="en-US" w:eastAsia="zh-CN"/>
              </w:rPr>
              <w:t>96.5</w:t>
            </w:r>
          </w:p>
        </w:tc>
      </w:tr>
      <w:tr w14:paraId="66855CA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561" w:type="dxa"/>
            <w:tcBorders>
              <w:tl2br w:val="nil"/>
              <w:tr2bl w:val="nil"/>
            </w:tcBorders>
            <w:vAlign w:val="center"/>
          </w:tcPr>
          <w:p w14:paraId="2D5E3779">
            <w:pPr>
              <w:adjustRightInd w:val="0"/>
              <w:snapToGrid w:val="0"/>
              <w:jc w:val="center"/>
              <w:rPr>
                <w:rFonts w:hint="eastAsia" w:cs="Times New Roman"/>
                <w:color w:val="auto"/>
                <w:szCs w:val="21"/>
                <w:highlight w:val="none"/>
                <w:shd w:val="clear" w:fill="auto"/>
                <w:vertAlign w:val="baseline"/>
                <w:lang w:val="en-US" w:eastAsia="zh-CN"/>
              </w:rPr>
            </w:pPr>
            <w:r>
              <w:rPr>
                <w:rFonts w:hint="eastAsia"/>
                <w:color w:val="auto"/>
                <w:highlight w:val="none"/>
                <w:shd w:val="clear" w:fill="auto"/>
              </w:rPr>
              <w:t>PERREN</w:t>
            </w:r>
            <w:r>
              <w:rPr>
                <w:rFonts w:hint="eastAsia"/>
                <w:color w:val="auto"/>
                <w:highlight w:val="none"/>
                <w:shd w:val="clear" w:fill="auto"/>
                <w:vertAlign w:val="superscript"/>
                <w:lang w:eastAsia="zh-CN"/>
              </w:rPr>
              <w:t>[3</w:t>
            </w:r>
            <w:r>
              <w:rPr>
                <w:rFonts w:hint="eastAsia"/>
                <w:color w:val="auto"/>
                <w:highlight w:val="none"/>
                <w:shd w:val="clear" w:fill="auto"/>
                <w:vertAlign w:val="superscript"/>
                <w:lang w:val="en-US" w:eastAsia="zh-CN"/>
              </w:rPr>
              <w:t>6</w:t>
            </w:r>
            <w:r>
              <w:rPr>
                <w:rFonts w:hint="eastAsia"/>
                <w:color w:val="auto"/>
                <w:highlight w:val="none"/>
                <w:shd w:val="clear" w:fill="auto"/>
                <w:vertAlign w:val="superscript"/>
                <w:lang w:eastAsia="zh-CN"/>
              </w:rPr>
              <w:t>]</w:t>
            </w:r>
          </w:p>
        </w:tc>
        <w:tc>
          <w:tcPr>
            <w:tcW w:w="1097" w:type="dxa"/>
            <w:tcBorders>
              <w:tl2br w:val="nil"/>
              <w:tr2bl w:val="nil"/>
            </w:tcBorders>
            <w:vAlign w:val="center"/>
          </w:tcPr>
          <w:p w14:paraId="7BA50DEC">
            <w:pPr>
              <w:adjustRightInd w:val="0"/>
              <w:snapToGrid w:val="0"/>
              <w:jc w:val="center"/>
              <w:rPr>
                <w:rFonts w:hint="eastAsia" w:cs="Times New Roman"/>
                <w:color w:val="auto"/>
                <w:szCs w:val="21"/>
                <w:highlight w:val="none"/>
                <w:shd w:val="clear" w:fill="auto"/>
                <w:vertAlign w:val="baseline"/>
                <w:lang w:val="en-US" w:eastAsia="zh-CN"/>
              </w:rPr>
            </w:pPr>
            <w:r>
              <w:rPr>
                <w:rFonts w:hint="eastAsia" w:cs="Times New Roman"/>
                <w:color w:val="auto"/>
                <w:szCs w:val="21"/>
                <w:highlight w:val="none"/>
                <w:shd w:val="clear" w:fill="auto"/>
                <w:vertAlign w:val="baseline"/>
                <w:lang w:val="en-US" w:eastAsia="zh-CN"/>
              </w:rPr>
              <w:t>Al-Al</w:t>
            </w:r>
          </w:p>
        </w:tc>
        <w:tc>
          <w:tcPr>
            <w:tcW w:w="1408" w:type="dxa"/>
            <w:tcBorders>
              <w:tl2br w:val="nil"/>
              <w:tr2bl w:val="nil"/>
            </w:tcBorders>
            <w:vAlign w:val="center"/>
          </w:tcPr>
          <w:p w14:paraId="21D086E6">
            <w:pPr>
              <w:adjustRightInd w:val="0"/>
              <w:snapToGrid w:val="0"/>
              <w:jc w:val="center"/>
              <w:rPr>
                <w:rFonts w:hint="default" w:cs="Times New Roman"/>
                <w:color w:val="auto"/>
                <w:szCs w:val="21"/>
                <w:highlight w:val="none"/>
                <w:shd w:val="clear" w:fill="auto"/>
                <w:vertAlign w:val="baseline"/>
                <w:lang w:val="en-US" w:eastAsia="zh-CN"/>
              </w:rPr>
            </w:pPr>
            <w:r>
              <w:rPr>
                <w:rFonts w:hint="eastAsia" w:cs="Times New Roman"/>
                <w:color w:val="auto"/>
                <w:szCs w:val="21"/>
                <w:highlight w:val="none"/>
                <w:shd w:val="clear" w:fill="auto"/>
                <w:vertAlign w:val="baseline"/>
                <w:lang w:val="en-US" w:eastAsia="zh-CN"/>
              </w:rPr>
              <w:t>聚乙烯</w:t>
            </w:r>
          </w:p>
        </w:tc>
        <w:tc>
          <w:tcPr>
            <w:tcW w:w="1294" w:type="dxa"/>
            <w:tcBorders>
              <w:tl2br w:val="nil"/>
              <w:tr2bl w:val="nil"/>
            </w:tcBorders>
            <w:vAlign w:val="center"/>
          </w:tcPr>
          <w:p w14:paraId="77F1E4C5">
            <w:pPr>
              <w:adjustRightInd w:val="0"/>
              <w:snapToGrid w:val="0"/>
              <w:jc w:val="center"/>
              <w:rPr>
                <w:rFonts w:hint="default" w:cs="Times New Roman"/>
                <w:color w:val="auto"/>
                <w:szCs w:val="21"/>
                <w:highlight w:val="none"/>
                <w:shd w:val="clear" w:fill="auto"/>
                <w:vertAlign w:val="baseline"/>
                <w:lang w:val="en-US" w:eastAsia="zh-CN"/>
              </w:rPr>
            </w:pPr>
            <w:r>
              <w:rPr>
                <w:rFonts w:hint="eastAsia" w:cs="Times New Roman"/>
                <w:color w:val="auto"/>
                <w:szCs w:val="21"/>
                <w:highlight w:val="none"/>
                <w:shd w:val="clear" w:fill="auto"/>
                <w:vertAlign w:val="baseline"/>
                <w:lang w:val="en-US" w:eastAsia="zh-CN"/>
              </w:rPr>
              <w:t>300~355</w:t>
            </w:r>
          </w:p>
        </w:tc>
        <w:tc>
          <w:tcPr>
            <w:tcW w:w="2051" w:type="dxa"/>
            <w:tcBorders>
              <w:tl2br w:val="nil"/>
              <w:tr2bl w:val="nil"/>
            </w:tcBorders>
            <w:vAlign w:val="center"/>
          </w:tcPr>
          <w:p w14:paraId="4CD899FE">
            <w:pPr>
              <w:adjustRightInd w:val="0"/>
              <w:snapToGrid w:val="0"/>
              <w:jc w:val="center"/>
              <w:rPr>
                <w:rFonts w:hint="default" w:cs="Times New Roman"/>
                <w:color w:val="auto"/>
                <w:szCs w:val="21"/>
                <w:highlight w:val="none"/>
                <w:shd w:val="clear" w:fill="auto"/>
                <w:vertAlign w:val="baseline"/>
                <w:lang w:val="en-US" w:eastAsia="zh-CN"/>
              </w:rPr>
            </w:pPr>
            <w:r>
              <w:rPr>
                <w:rFonts w:hint="eastAsia" w:cs="Times New Roman"/>
                <w:color w:val="auto"/>
                <w:szCs w:val="21"/>
                <w:highlight w:val="none"/>
                <w:shd w:val="clear" w:fill="auto"/>
                <w:vertAlign w:val="baseline"/>
                <w:lang w:val="en-US" w:eastAsia="zh-CN"/>
              </w:rPr>
              <w:t>0.1</w:t>
            </w:r>
          </w:p>
        </w:tc>
        <w:tc>
          <w:tcPr>
            <w:tcW w:w="1946" w:type="dxa"/>
            <w:tcBorders>
              <w:tl2br w:val="nil"/>
              <w:tr2bl w:val="nil"/>
            </w:tcBorders>
            <w:vAlign w:val="center"/>
          </w:tcPr>
          <w:p w14:paraId="659614B0">
            <w:pPr>
              <w:adjustRightInd w:val="0"/>
              <w:snapToGrid w:val="0"/>
              <w:jc w:val="center"/>
              <w:rPr>
                <w:rFonts w:hint="default" w:cs="Times New Roman"/>
                <w:color w:val="auto"/>
                <w:szCs w:val="21"/>
                <w:highlight w:val="none"/>
                <w:shd w:val="clear" w:fill="auto"/>
                <w:vertAlign w:val="baseline"/>
                <w:lang w:val="en-US" w:eastAsia="zh-CN"/>
              </w:rPr>
            </w:pPr>
            <w:r>
              <w:rPr>
                <w:rFonts w:hint="eastAsia" w:cs="Times New Roman"/>
                <w:color w:val="auto"/>
                <w:szCs w:val="21"/>
                <w:highlight w:val="none"/>
                <w:shd w:val="clear" w:fill="auto"/>
                <w:vertAlign w:val="baseline"/>
                <w:lang w:val="en-US" w:eastAsia="zh-CN"/>
              </w:rPr>
              <w:t>99.24</w:t>
            </w:r>
          </w:p>
        </w:tc>
      </w:tr>
      <w:tr w14:paraId="284A6A1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561" w:type="dxa"/>
            <w:tcBorders>
              <w:tl2br w:val="nil"/>
              <w:tr2bl w:val="nil"/>
            </w:tcBorders>
            <w:vAlign w:val="center"/>
          </w:tcPr>
          <w:p w14:paraId="4E6B1BFF">
            <w:pPr>
              <w:adjustRightInd w:val="0"/>
              <w:snapToGrid w:val="0"/>
              <w:jc w:val="center"/>
              <w:rPr>
                <w:rFonts w:hint="default" w:cs="Times New Roman"/>
                <w:color w:val="auto"/>
                <w:szCs w:val="21"/>
                <w:highlight w:val="none"/>
                <w:shd w:val="clear" w:fill="auto"/>
                <w:vertAlign w:val="baseline"/>
                <w:lang w:val="en-US" w:eastAsia="zh-CN"/>
              </w:rPr>
            </w:pPr>
            <w:r>
              <w:rPr>
                <w:rFonts w:hint="default" w:cs="Times New Roman"/>
                <w:color w:val="auto"/>
                <w:szCs w:val="21"/>
                <w:highlight w:val="none"/>
                <w:shd w:val="clear" w:fill="auto"/>
                <w:vertAlign w:val="baseline"/>
                <w:lang w:val="en-US" w:eastAsia="zh-CN"/>
              </w:rPr>
              <w:t>SHEN</w:t>
            </w:r>
            <w:r>
              <w:rPr>
                <w:rFonts w:hint="default"/>
                <w:color w:val="auto"/>
                <w:highlight w:val="none"/>
                <w:shd w:val="clear" w:fill="auto"/>
                <w:vertAlign w:val="superscript"/>
                <w:lang w:val="en-US"/>
              </w:rPr>
              <w:t>[1</w:t>
            </w:r>
            <w:r>
              <w:rPr>
                <w:rFonts w:hint="eastAsia"/>
                <w:color w:val="auto"/>
                <w:highlight w:val="none"/>
                <w:shd w:val="clear" w:fill="auto"/>
                <w:vertAlign w:val="superscript"/>
                <w:lang w:val="en-US" w:eastAsia="zh-CN"/>
              </w:rPr>
              <w:t>5</w:t>
            </w:r>
            <w:r>
              <w:rPr>
                <w:rFonts w:hint="default"/>
                <w:color w:val="auto"/>
                <w:highlight w:val="none"/>
                <w:shd w:val="clear" w:fill="auto"/>
                <w:vertAlign w:val="superscript"/>
                <w:lang w:val="en-US"/>
              </w:rPr>
              <w:t>]</w:t>
            </w:r>
          </w:p>
        </w:tc>
        <w:tc>
          <w:tcPr>
            <w:tcW w:w="1097" w:type="dxa"/>
            <w:tcBorders>
              <w:tl2br w:val="nil"/>
              <w:tr2bl w:val="nil"/>
            </w:tcBorders>
            <w:vAlign w:val="center"/>
          </w:tcPr>
          <w:p w14:paraId="011C71C3">
            <w:pPr>
              <w:adjustRightInd w:val="0"/>
              <w:snapToGrid w:val="0"/>
              <w:jc w:val="center"/>
              <w:rPr>
                <w:rFonts w:hint="default" w:cs="Times New Roman"/>
                <w:color w:val="auto"/>
                <w:szCs w:val="21"/>
                <w:highlight w:val="none"/>
                <w:shd w:val="clear" w:fill="auto"/>
                <w:vertAlign w:val="baseline"/>
                <w:lang w:val="en-US" w:eastAsia="zh-CN"/>
              </w:rPr>
            </w:pPr>
            <w:r>
              <w:rPr>
                <w:rFonts w:hint="eastAsia" w:cs="Times New Roman"/>
                <w:color w:val="auto"/>
                <w:szCs w:val="21"/>
                <w:highlight w:val="none"/>
                <w:shd w:val="clear" w:fill="auto"/>
                <w:vertAlign w:val="baseline"/>
                <w:lang w:val="en-US" w:eastAsia="zh-CN"/>
              </w:rPr>
              <w:t>Al-Cu</w:t>
            </w:r>
          </w:p>
        </w:tc>
        <w:tc>
          <w:tcPr>
            <w:tcW w:w="1408" w:type="dxa"/>
            <w:tcBorders>
              <w:tl2br w:val="nil"/>
              <w:tr2bl w:val="nil"/>
            </w:tcBorders>
            <w:vAlign w:val="center"/>
          </w:tcPr>
          <w:p w14:paraId="4F7E54F1">
            <w:pPr>
              <w:adjustRightInd w:val="0"/>
              <w:snapToGrid w:val="0"/>
              <w:jc w:val="center"/>
              <w:rPr>
                <w:rFonts w:hint="default" w:cs="Times New Roman"/>
                <w:color w:val="auto"/>
                <w:szCs w:val="21"/>
                <w:highlight w:val="none"/>
                <w:shd w:val="clear" w:fill="auto"/>
                <w:vertAlign w:val="baseline"/>
                <w:lang w:val="en-US" w:eastAsia="zh-CN"/>
              </w:rPr>
            </w:pPr>
            <w:r>
              <w:rPr>
                <w:rFonts w:hint="eastAsia" w:cs="Times New Roman"/>
                <w:color w:val="auto"/>
                <w:szCs w:val="21"/>
                <w:highlight w:val="none"/>
                <w:shd w:val="clear" w:fill="auto"/>
                <w:vertAlign w:val="baseline"/>
                <w:lang w:val="en-US" w:eastAsia="zh-CN"/>
              </w:rPr>
              <w:t>聚丙烯</w:t>
            </w:r>
          </w:p>
        </w:tc>
        <w:tc>
          <w:tcPr>
            <w:tcW w:w="1294" w:type="dxa"/>
            <w:tcBorders>
              <w:tl2br w:val="nil"/>
              <w:tr2bl w:val="nil"/>
            </w:tcBorders>
            <w:vAlign w:val="center"/>
          </w:tcPr>
          <w:p w14:paraId="4616AD54">
            <w:pPr>
              <w:adjustRightInd w:val="0"/>
              <w:snapToGrid w:val="0"/>
              <w:jc w:val="center"/>
              <w:rPr>
                <w:rFonts w:hint="default" w:cs="Times New Roman"/>
                <w:color w:val="auto"/>
                <w:szCs w:val="21"/>
                <w:highlight w:val="none"/>
                <w:shd w:val="clear" w:fill="auto"/>
                <w:vertAlign w:val="baseline"/>
                <w:lang w:val="en-US" w:eastAsia="zh-CN"/>
              </w:rPr>
            </w:pPr>
            <w:r>
              <w:rPr>
                <w:rFonts w:hint="default" w:cs="Times New Roman"/>
                <w:color w:val="auto"/>
                <w:szCs w:val="21"/>
                <w:highlight w:val="none"/>
                <w:shd w:val="clear" w:fill="auto"/>
                <w:vertAlign w:val="baseline"/>
                <w:lang w:val="en-US" w:eastAsia="zh-CN"/>
              </w:rPr>
              <w:t>1000</w:t>
            </w:r>
            <w:r>
              <w:rPr>
                <w:rFonts w:hint="eastAsia" w:cs="Times New Roman"/>
                <w:color w:val="auto"/>
                <w:szCs w:val="21"/>
                <w:highlight w:val="none"/>
                <w:shd w:val="clear" w:fill="auto"/>
                <w:vertAlign w:val="baseline"/>
                <w:lang w:val="en-US" w:eastAsia="zh-CN"/>
              </w:rPr>
              <w:t>~</w:t>
            </w:r>
            <w:r>
              <w:rPr>
                <w:rFonts w:hint="default" w:cs="Times New Roman"/>
                <w:color w:val="auto"/>
                <w:szCs w:val="21"/>
                <w:highlight w:val="none"/>
                <w:shd w:val="clear" w:fill="auto"/>
                <w:vertAlign w:val="baseline"/>
                <w:lang w:val="en-US" w:eastAsia="zh-CN"/>
              </w:rPr>
              <w:t>2000</w:t>
            </w:r>
          </w:p>
        </w:tc>
        <w:tc>
          <w:tcPr>
            <w:tcW w:w="2051" w:type="dxa"/>
            <w:tcBorders>
              <w:tl2br w:val="nil"/>
              <w:tr2bl w:val="nil"/>
            </w:tcBorders>
            <w:vAlign w:val="center"/>
          </w:tcPr>
          <w:p w14:paraId="6D068DEB">
            <w:pPr>
              <w:adjustRightInd w:val="0"/>
              <w:snapToGrid w:val="0"/>
              <w:jc w:val="center"/>
              <w:rPr>
                <w:rFonts w:hint="default" w:cs="Times New Roman"/>
                <w:color w:val="auto"/>
                <w:szCs w:val="21"/>
                <w:highlight w:val="none"/>
                <w:shd w:val="clear" w:fill="auto"/>
                <w:vertAlign w:val="baseline"/>
                <w:lang w:val="en-US" w:eastAsia="zh-CN"/>
              </w:rPr>
            </w:pPr>
            <w:r>
              <w:rPr>
                <w:rFonts w:hint="eastAsia" w:cs="Times New Roman"/>
                <w:color w:val="auto"/>
                <w:szCs w:val="21"/>
                <w:highlight w:val="none"/>
                <w:shd w:val="clear" w:fill="auto"/>
                <w:vertAlign w:val="baseline"/>
                <w:lang w:val="en-US" w:eastAsia="zh-CN"/>
              </w:rPr>
              <w:t>0.05</w:t>
            </w:r>
          </w:p>
        </w:tc>
        <w:tc>
          <w:tcPr>
            <w:tcW w:w="1946" w:type="dxa"/>
            <w:tcBorders>
              <w:tl2br w:val="nil"/>
              <w:tr2bl w:val="nil"/>
            </w:tcBorders>
            <w:vAlign w:val="center"/>
          </w:tcPr>
          <w:p w14:paraId="6B8860AD">
            <w:pPr>
              <w:adjustRightInd w:val="0"/>
              <w:snapToGrid w:val="0"/>
              <w:jc w:val="center"/>
              <w:rPr>
                <w:rFonts w:hint="default" w:cs="Times New Roman"/>
                <w:color w:val="auto"/>
                <w:szCs w:val="21"/>
                <w:highlight w:val="none"/>
                <w:shd w:val="clear" w:fill="auto"/>
                <w:vertAlign w:val="baseline"/>
                <w:lang w:val="en-US" w:eastAsia="zh-CN"/>
              </w:rPr>
            </w:pPr>
            <w:r>
              <w:rPr>
                <w:rFonts w:hint="eastAsia" w:cs="Times New Roman"/>
                <w:color w:val="auto"/>
                <w:szCs w:val="21"/>
                <w:highlight w:val="none"/>
                <w:shd w:val="clear" w:fill="auto"/>
                <w:vertAlign w:val="baseline"/>
                <w:lang w:val="en-US" w:eastAsia="zh-CN"/>
              </w:rPr>
              <w:t>98.4</w:t>
            </w:r>
          </w:p>
        </w:tc>
      </w:tr>
      <w:tr w14:paraId="029C7B6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561" w:type="dxa"/>
            <w:tcBorders>
              <w:tl2br w:val="nil"/>
              <w:tr2bl w:val="nil"/>
            </w:tcBorders>
            <w:shd w:val="clear" w:color="auto" w:fill="auto"/>
            <w:vAlign w:val="center"/>
          </w:tcPr>
          <w:p w14:paraId="3B0D2E4F">
            <w:pPr>
              <w:adjustRightInd w:val="0"/>
              <w:snapToGrid w:val="0"/>
              <w:jc w:val="center"/>
              <w:rPr>
                <w:rFonts w:hint="eastAsia" w:ascii="Times New Roman" w:hAnsi="Times New Roman" w:eastAsia="宋体" w:cs="Times New Roman"/>
                <w:color w:val="auto"/>
                <w:kern w:val="2"/>
                <w:sz w:val="21"/>
                <w:szCs w:val="21"/>
                <w:highlight w:val="none"/>
                <w:shd w:val="clear" w:fill="auto"/>
                <w:vertAlign w:val="baseline"/>
                <w:lang w:val="en-US" w:eastAsia="zh-CN" w:bidi="ar-SA"/>
              </w:rPr>
            </w:pPr>
            <w:r>
              <w:rPr>
                <w:rFonts w:hint="eastAsia" w:cs="Times New Roman"/>
                <w:color w:val="auto"/>
                <w:szCs w:val="21"/>
                <w:highlight w:val="none"/>
                <w:shd w:val="clear" w:fill="auto"/>
                <w:vertAlign w:val="baseline"/>
                <w:lang w:val="en-US" w:eastAsia="zh-CN"/>
              </w:rPr>
              <w:t>本研究</w:t>
            </w:r>
          </w:p>
        </w:tc>
        <w:tc>
          <w:tcPr>
            <w:tcW w:w="1097" w:type="dxa"/>
            <w:tcBorders>
              <w:tl2br w:val="nil"/>
              <w:tr2bl w:val="nil"/>
            </w:tcBorders>
            <w:shd w:val="clear" w:color="auto" w:fill="auto"/>
            <w:vAlign w:val="center"/>
          </w:tcPr>
          <w:p w14:paraId="0E40D64C">
            <w:pPr>
              <w:adjustRightInd w:val="0"/>
              <w:snapToGrid w:val="0"/>
              <w:jc w:val="center"/>
              <w:rPr>
                <w:rFonts w:hint="eastAsia" w:ascii="Times New Roman" w:hAnsi="Times New Roman" w:eastAsia="宋体" w:cs="Times New Roman"/>
                <w:color w:val="auto"/>
                <w:kern w:val="2"/>
                <w:sz w:val="21"/>
                <w:szCs w:val="21"/>
                <w:highlight w:val="none"/>
                <w:shd w:val="clear" w:fill="auto"/>
                <w:vertAlign w:val="baseline"/>
                <w:lang w:val="en-US" w:eastAsia="zh-CN" w:bidi="ar-SA"/>
              </w:rPr>
            </w:pPr>
            <w:r>
              <w:rPr>
                <w:rFonts w:hint="eastAsia" w:cs="Times New Roman"/>
                <w:color w:val="auto"/>
                <w:szCs w:val="21"/>
                <w:highlight w:val="none"/>
                <w:shd w:val="clear" w:fill="auto"/>
                <w:vertAlign w:val="baseline"/>
                <w:lang w:val="en-US" w:eastAsia="zh-CN"/>
              </w:rPr>
              <w:t>Al-Al</w:t>
            </w:r>
          </w:p>
        </w:tc>
        <w:tc>
          <w:tcPr>
            <w:tcW w:w="1408" w:type="dxa"/>
            <w:tcBorders>
              <w:tl2br w:val="nil"/>
              <w:tr2bl w:val="nil"/>
            </w:tcBorders>
            <w:shd w:val="clear" w:color="auto" w:fill="auto"/>
            <w:vAlign w:val="center"/>
          </w:tcPr>
          <w:p w14:paraId="7B7CF038">
            <w:pPr>
              <w:adjustRightInd w:val="0"/>
              <w:snapToGrid w:val="0"/>
              <w:jc w:val="center"/>
              <w:rPr>
                <w:rFonts w:hint="eastAsia" w:ascii="Times New Roman" w:hAnsi="Times New Roman" w:eastAsia="宋体" w:cs="Times New Roman"/>
                <w:color w:val="auto"/>
                <w:kern w:val="2"/>
                <w:sz w:val="21"/>
                <w:szCs w:val="21"/>
                <w:highlight w:val="none"/>
                <w:shd w:val="clear" w:fill="auto"/>
                <w:vertAlign w:val="baseline"/>
                <w:lang w:val="en-US" w:eastAsia="zh-CN" w:bidi="ar-SA"/>
              </w:rPr>
            </w:pPr>
            <w:r>
              <w:rPr>
                <w:rFonts w:hint="eastAsia" w:cs="Times New Roman"/>
                <w:color w:val="auto"/>
                <w:szCs w:val="21"/>
                <w:highlight w:val="none"/>
                <w:shd w:val="clear" w:fill="auto"/>
                <w:vertAlign w:val="baseline"/>
                <w:lang w:val="en-US" w:eastAsia="zh-CN"/>
              </w:rPr>
              <w:t>聚乙烯</w:t>
            </w:r>
          </w:p>
        </w:tc>
        <w:tc>
          <w:tcPr>
            <w:tcW w:w="1294" w:type="dxa"/>
            <w:tcBorders>
              <w:tl2br w:val="nil"/>
              <w:tr2bl w:val="nil"/>
            </w:tcBorders>
            <w:shd w:val="clear" w:color="auto" w:fill="auto"/>
            <w:vAlign w:val="center"/>
          </w:tcPr>
          <w:p w14:paraId="42854E3F">
            <w:pPr>
              <w:adjustRightInd w:val="0"/>
              <w:snapToGrid w:val="0"/>
              <w:jc w:val="center"/>
              <w:rPr>
                <w:rFonts w:hint="eastAsia" w:ascii="Times New Roman" w:hAnsi="Times New Roman" w:eastAsia="宋体" w:cs="Times New Roman"/>
                <w:color w:val="auto"/>
                <w:kern w:val="2"/>
                <w:sz w:val="21"/>
                <w:szCs w:val="21"/>
                <w:highlight w:val="none"/>
                <w:shd w:val="clear" w:fill="auto"/>
                <w:vertAlign w:val="baseline"/>
                <w:lang w:val="en-US" w:eastAsia="zh-CN" w:bidi="ar-SA"/>
              </w:rPr>
            </w:pPr>
            <w:r>
              <w:rPr>
                <w:rFonts w:hint="eastAsia" w:cs="Times New Roman"/>
                <w:color w:val="auto"/>
                <w:szCs w:val="21"/>
                <w:highlight w:val="none"/>
                <w:shd w:val="clear" w:fill="auto"/>
                <w:vertAlign w:val="baseline"/>
                <w:lang w:val="en-US" w:eastAsia="zh-CN"/>
              </w:rPr>
              <w:t>150</w:t>
            </w:r>
          </w:p>
        </w:tc>
        <w:tc>
          <w:tcPr>
            <w:tcW w:w="2051" w:type="dxa"/>
            <w:tcBorders>
              <w:tl2br w:val="nil"/>
              <w:tr2bl w:val="nil"/>
            </w:tcBorders>
            <w:shd w:val="clear" w:color="auto" w:fill="auto"/>
            <w:vAlign w:val="center"/>
          </w:tcPr>
          <w:p w14:paraId="65B814A0">
            <w:pPr>
              <w:adjustRightInd w:val="0"/>
              <w:snapToGrid w:val="0"/>
              <w:jc w:val="center"/>
              <w:rPr>
                <w:rFonts w:hint="eastAsia" w:ascii="Times New Roman" w:hAnsi="Times New Roman" w:eastAsia="宋体" w:cs="Times New Roman"/>
                <w:color w:val="auto"/>
                <w:kern w:val="2"/>
                <w:sz w:val="21"/>
                <w:szCs w:val="21"/>
                <w:highlight w:val="none"/>
                <w:shd w:val="clear" w:fill="auto"/>
                <w:vertAlign w:val="baseline"/>
                <w:lang w:val="en-US" w:eastAsia="zh-CN" w:bidi="ar-SA"/>
              </w:rPr>
            </w:pPr>
            <w:r>
              <w:rPr>
                <w:rFonts w:hint="eastAsia" w:cs="Times New Roman"/>
                <w:color w:val="auto"/>
                <w:szCs w:val="21"/>
                <w:highlight w:val="none"/>
                <w:shd w:val="clear" w:fill="auto"/>
                <w:vertAlign w:val="baseline"/>
                <w:lang w:val="en-US" w:eastAsia="zh-CN"/>
              </w:rPr>
              <w:t>0.3</w:t>
            </w:r>
          </w:p>
        </w:tc>
        <w:tc>
          <w:tcPr>
            <w:tcW w:w="1946" w:type="dxa"/>
            <w:tcBorders>
              <w:tl2br w:val="nil"/>
              <w:tr2bl w:val="nil"/>
            </w:tcBorders>
            <w:shd w:val="clear" w:color="auto" w:fill="auto"/>
            <w:vAlign w:val="center"/>
          </w:tcPr>
          <w:p w14:paraId="16F759A0">
            <w:pPr>
              <w:adjustRightInd w:val="0"/>
              <w:snapToGrid w:val="0"/>
              <w:jc w:val="center"/>
              <w:rPr>
                <w:rFonts w:hint="eastAsia" w:ascii="Times New Roman" w:hAnsi="Times New Roman" w:eastAsia="宋体" w:cs="Times New Roman"/>
                <w:color w:val="auto"/>
                <w:kern w:val="2"/>
                <w:sz w:val="21"/>
                <w:szCs w:val="21"/>
                <w:highlight w:val="none"/>
                <w:shd w:val="clear" w:fill="auto"/>
                <w:vertAlign w:val="baseline"/>
                <w:lang w:val="en-US" w:eastAsia="zh-CN" w:bidi="ar-SA"/>
              </w:rPr>
            </w:pPr>
            <w:r>
              <w:rPr>
                <w:rFonts w:hint="eastAsia" w:cs="Times New Roman"/>
                <w:color w:val="auto"/>
                <w:szCs w:val="21"/>
                <w:highlight w:val="none"/>
                <w:shd w:val="clear" w:fill="auto"/>
                <w:vertAlign w:val="baseline"/>
                <w:lang w:val="en-US" w:eastAsia="zh-CN"/>
              </w:rPr>
              <w:t>95.6</w:t>
            </w:r>
          </w:p>
        </w:tc>
      </w:tr>
    </w:tbl>
    <w:p w14:paraId="2DF1462A">
      <w:pPr>
        <w:adjustRightInd w:val="0"/>
        <w:snapToGrid w:val="0"/>
        <w:ind w:firstLine="420" w:firstLineChars="200"/>
        <w:jc w:val="both"/>
        <w:rPr>
          <w:rFonts w:hint="eastAsia" w:cs="Times New Roman"/>
          <w:color w:val="auto"/>
          <w:szCs w:val="21"/>
          <w:highlight w:val="none"/>
          <w:shd w:val="clear" w:fill="auto"/>
          <w:lang w:val="en-US" w:eastAsia="zh-CN"/>
        </w:rPr>
      </w:pPr>
      <w:r>
        <w:rPr>
          <w:rFonts w:hint="eastAsia" w:cs="Times New Roman"/>
          <w:color w:val="auto"/>
          <w:szCs w:val="21"/>
          <w:highlight w:val="none"/>
          <w:shd w:val="clear" w:fill="auto"/>
          <w:lang w:val="en-US" w:eastAsia="zh-CN"/>
        </w:rPr>
        <w:t>综合已有文献对比可知，本研究电絮凝去除PE微塑料的效率（95.6%）处于当前报道的高效区间，与不同粒径和浓度条件下的研究结果趋势一致，说明试验数据具有较好的可靠性与可比性。尽管如此，考虑到初始浓度、粒径分布及水体复杂度差异可能对分离效果产生影响，本方法在真实水环境中的长期稳定性与工程适用性仍需进一步系统验证。</w:t>
      </w:r>
    </w:p>
    <w:p w14:paraId="13DDF8B0">
      <w:pPr>
        <w:adjustRightInd w:val="0"/>
        <w:snapToGrid w:val="0"/>
        <w:rPr>
          <w:rFonts w:hint="default" w:cs="Times New Roman"/>
          <w:color w:val="auto"/>
          <w:szCs w:val="21"/>
          <w:highlight w:val="none"/>
          <w:shd w:val="clear" w:fill="auto"/>
          <w:lang w:val="en-US" w:eastAsia="zh-CN"/>
        </w:rPr>
      </w:pPr>
      <w:r>
        <w:rPr>
          <w:rFonts w:hint="eastAsia" w:cs="Times New Roman"/>
          <w:color w:val="auto"/>
          <w:szCs w:val="21"/>
          <w:highlight w:val="none"/>
          <w:shd w:val="clear" w:fill="auto"/>
          <w:lang w:val="en-US" w:eastAsia="zh-CN"/>
        </w:rPr>
        <w:t>3.3方法局限性与应用限制</w:t>
      </w:r>
    </w:p>
    <w:p w14:paraId="629712E7">
      <w:pPr>
        <w:adjustRightInd w:val="0"/>
        <w:snapToGrid w:val="0"/>
        <w:ind w:firstLine="420" w:firstLineChars="200"/>
        <w:rPr>
          <w:rFonts w:hint="eastAsia" w:ascii="Times New Roman" w:hAnsi="Times New Roman" w:cs="Times New Roman"/>
          <w:color w:val="auto"/>
          <w:szCs w:val="21"/>
          <w:highlight w:val="none"/>
          <w:shd w:val="clear" w:fill="auto"/>
          <w:lang w:val="en-US" w:eastAsia="zh-CN"/>
        </w:rPr>
      </w:pPr>
      <w:r>
        <w:rPr>
          <w:rFonts w:hint="eastAsia" w:ascii="Times New Roman" w:hAnsi="Times New Roman" w:cs="Times New Roman"/>
          <w:color w:val="auto"/>
          <w:szCs w:val="21"/>
          <w:highlight w:val="none"/>
          <w:shd w:val="clear" w:fill="auto"/>
          <w:lang w:val="en-US" w:eastAsia="zh-CN"/>
        </w:rPr>
        <w:t>本研究为间歇式</w:t>
      </w:r>
      <w:r>
        <w:rPr>
          <w:rFonts w:hint="eastAsia" w:cs="Times New Roman"/>
          <w:color w:val="auto"/>
          <w:szCs w:val="21"/>
          <w:highlight w:val="none"/>
          <w:shd w:val="clear" w:fill="auto"/>
          <w:lang w:val="en-US" w:eastAsia="zh-CN"/>
        </w:rPr>
        <w:t>试验</w:t>
      </w:r>
      <w:r>
        <w:rPr>
          <w:rFonts w:hint="eastAsia" w:ascii="Times New Roman" w:hAnsi="Times New Roman" w:cs="Times New Roman"/>
          <w:color w:val="auto"/>
          <w:szCs w:val="21"/>
          <w:highlight w:val="none"/>
          <w:shd w:val="clear" w:fill="auto"/>
          <w:lang w:val="en-US" w:eastAsia="zh-CN"/>
        </w:rPr>
        <w:t>，尚未开展连续流工况验证，工程化应用仍需综合评估电极消耗与钝化、能耗控制以及出水中残余铝（Al）等潜在风险对水质与运行稳定性的影响。未来研究可围绕电极材料与结构优化、运行参数精细化控制以及在真实废水（含共存污染物）条件下的连续流验证开展，以进一步提升其长期运行的经济性与可行性。</w:t>
      </w:r>
    </w:p>
    <w:p w14:paraId="4F66F69A">
      <w:pPr>
        <w:adjustRightInd w:val="0"/>
        <w:snapToGrid w:val="0"/>
        <w:rPr>
          <w:rFonts w:eastAsia="黑体"/>
          <w:color w:val="auto"/>
          <w:sz w:val="28"/>
          <w:szCs w:val="28"/>
          <w:highlight w:val="none"/>
          <w:shd w:val="clear" w:fill="auto"/>
        </w:rPr>
      </w:pPr>
      <w:r>
        <w:rPr>
          <w:rFonts w:hint="eastAsia" w:eastAsia="黑体"/>
          <w:b/>
          <w:color w:val="auto"/>
          <w:sz w:val="24"/>
          <w:szCs w:val="24"/>
          <w:highlight w:val="none"/>
          <w:shd w:val="clear" w:fill="auto"/>
          <w:lang w:val="en-US" w:eastAsia="zh-CN"/>
        </w:rPr>
        <w:t>4</w:t>
      </w:r>
      <w:r>
        <w:rPr>
          <w:rFonts w:eastAsia="黑体"/>
          <w:color w:val="auto"/>
          <w:sz w:val="24"/>
          <w:szCs w:val="24"/>
          <w:highlight w:val="none"/>
          <w:shd w:val="clear" w:fill="auto"/>
        </w:rPr>
        <w:t xml:space="preserve"> </w:t>
      </w:r>
      <w:r>
        <w:rPr>
          <w:rFonts w:hint="eastAsia" w:eastAsia="黑体"/>
          <w:color w:val="auto"/>
          <w:sz w:val="24"/>
          <w:szCs w:val="24"/>
          <w:highlight w:val="none"/>
          <w:shd w:val="clear" w:fill="auto"/>
        </w:rPr>
        <w:t xml:space="preserve"> 结论</w:t>
      </w:r>
    </w:p>
    <w:p w14:paraId="11B9CC08">
      <w:pPr>
        <w:adjustRightInd w:val="0"/>
        <w:snapToGrid w:val="0"/>
        <w:ind w:firstLine="420" w:firstLineChars="200"/>
        <w:rPr>
          <w:rFonts w:hint="default" w:ascii="Times New Roman" w:hAnsi="Times New Roman" w:cs="Times New Roman"/>
          <w:color w:val="auto"/>
          <w:szCs w:val="21"/>
          <w:highlight w:val="none"/>
          <w:shd w:val="clear" w:fill="auto"/>
        </w:rPr>
      </w:pPr>
      <w:r>
        <w:rPr>
          <w:rFonts w:hint="eastAsia" w:cs="Times New Roman"/>
          <w:color w:val="auto"/>
          <w:szCs w:val="21"/>
          <w:highlight w:val="none"/>
          <w:shd w:val="clear" w:fill="auto"/>
          <w:lang w:eastAsia="zh-CN"/>
        </w:rPr>
        <w:t>本研究基于在模拟体系中开展的电絮凝去除聚乙烯（PE）微塑料试验，系统考察了</w:t>
      </w:r>
      <w:r>
        <w:rPr>
          <w:rFonts w:hint="default" w:ascii="Times New Roman" w:hAnsi="Times New Roman" w:cs="Times New Roman"/>
          <w:color w:val="auto"/>
          <w:szCs w:val="21"/>
          <w:highlight w:val="none"/>
          <w:shd w:val="clear" w:fill="auto"/>
        </w:rPr>
        <w:t>外加电压、初始pH、电解质（NaCl）浓度及PE初始浓度等因素对去除效果的影响，得到如下结论：</w:t>
      </w:r>
    </w:p>
    <w:p w14:paraId="19E13679">
      <w:pPr>
        <w:adjustRightInd w:val="0"/>
        <w:snapToGrid w:val="0"/>
        <w:ind w:firstLine="420" w:firstLineChars="200"/>
        <w:rPr>
          <w:rFonts w:hint="eastAsia" w:ascii="Times New Roman" w:hAnsi="Times New Roman" w:eastAsia="宋体" w:cs="Times New Roman"/>
          <w:color w:val="auto"/>
          <w:szCs w:val="21"/>
          <w:highlight w:val="none"/>
          <w:shd w:val="clear" w:fill="auto"/>
          <w:lang w:eastAsia="zh-CN"/>
        </w:rPr>
      </w:pPr>
      <w:r>
        <w:rPr>
          <w:rFonts w:hint="default" w:ascii="Times New Roman" w:hAnsi="Times New Roman" w:cs="Times New Roman"/>
          <w:color w:val="auto"/>
          <w:szCs w:val="21"/>
          <w:highlight w:val="none"/>
          <w:shd w:val="clear" w:fill="auto"/>
        </w:rPr>
        <w:t>（1）在本研究考察范围内，当外加电压3.0V、初始pH=7、NaCl 0.01mol/L、PE初始浓度0.3g/L时，通电30min的去除率达到约95.6%，表明电絮凝在该条件下可实现对PE微塑料的高效去除</w:t>
      </w:r>
      <w:r>
        <w:rPr>
          <w:rFonts w:hint="eastAsia" w:cs="Times New Roman"/>
          <w:color w:val="auto"/>
          <w:szCs w:val="21"/>
          <w:highlight w:val="none"/>
          <w:shd w:val="clear" w:fill="auto"/>
          <w:lang w:eastAsia="zh-CN"/>
        </w:rPr>
        <w:t>；同时，单位质量PE的处理能耗随外加电压升高而增加，3.0 V为兼顾去除率与能耗的优选电压。</w:t>
      </w:r>
    </w:p>
    <w:p w14:paraId="442D7090">
      <w:pPr>
        <w:adjustRightInd w:val="0"/>
        <w:snapToGrid w:val="0"/>
        <w:ind w:firstLine="420" w:firstLineChars="200"/>
        <w:rPr>
          <w:rFonts w:hint="eastAsia" w:eastAsia="宋体"/>
          <w:color w:val="auto"/>
          <w:highlight w:val="none"/>
          <w:shd w:val="clear" w:fill="auto"/>
          <w:lang w:val="en-US" w:eastAsia="zh-CN"/>
        </w:rPr>
      </w:pPr>
      <w:r>
        <w:rPr>
          <w:rFonts w:hint="default" w:ascii="Times New Roman" w:hAnsi="Times New Roman" w:cs="Times New Roman"/>
          <w:color w:val="auto"/>
          <w:szCs w:val="21"/>
          <w:highlight w:val="none"/>
          <w:shd w:val="clear" w:fill="auto"/>
        </w:rPr>
        <w:t>（2）电絮凝去除PE的过程可归纳为</w:t>
      </w:r>
      <w:r>
        <w:rPr>
          <w:rFonts w:hint="eastAsia" w:cs="Times New Roman"/>
          <w:color w:val="auto"/>
          <w:szCs w:val="21"/>
          <w:highlight w:val="none"/>
          <w:shd w:val="clear" w:fill="auto"/>
          <w:lang w:eastAsia="zh-CN"/>
        </w:rPr>
        <w:t>“</w:t>
      </w:r>
      <w:r>
        <w:rPr>
          <w:rFonts w:hint="default" w:ascii="Times New Roman" w:hAnsi="Times New Roman" w:cs="Times New Roman"/>
          <w:color w:val="auto"/>
          <w:szCs w:val="21"/>
          <w:highlight w:val="none"/>
          <w:shd w:val="clear" w:fill="auto"/>
        </w:rPr>
        <w:t>絮凝捕集</w:t>
      </w:r>
      <w:r>
        <w:rPr>
          <w:rFonts w:hint="eastAsia" w:cs="Times New Roman"/>
          <w:color w:val="auto"/>
          <w:szCs w:val="21"/>
          <w:highlight w:val="none"/>
          <w:shd w:val="clear" w:fill="auto"/>
          <w:lang w:val="en-US" w:eastAsia="zh-CN"/>
        </w:rPr>
        <w:t>—</w:t>
      </w:r>
      <w:r>
        <w:rPr>
          <w:rFonts w:hint="default" w:ascii="Times New Roman" w:hAnsi="Times New Roman" w:cs="Times New Roman"/>
          <w:color w:val="auto"/>
          <w:szCs w:val="21"/>
          <w:highlight w:val="none"/>
          <w:shd w:val="clear" w:fill="auto"/>
        </w:rPr>
        <w:t>沉降/气泡携带上浮（电浮选）</w:t>
      </w:r>
      <w:r>
        <w:rPr>
          <w:rFonts w:hint="eastAsia" w:cs="Times New Roman"/>
          <w:color w:val="auto"/>
          <w:szCs w:val="21"/>
          <w:highlight w:val="none"/>
          <w:shd w:val="clear" w:fill="auto"/>
          <w:lang w:eastAsia="zh-CN"/>
        </w:rPr>
        <w:t>”</w:t>
      </w:r>
      <w:r>
        <w:rPr>
          <w:rFonts w:hint="default" w:ascii="Times New Roman" w:hAnsi="Times New Roman" w:cs="Times New Roman"/>
          <w:color w:val="auto"/>
          <w:szCs w:val="21"/>
          <w:highlight w:val="none"/>
          <w:shd w:val="clear" w:fill="auto"/>
        </w:rPr>
        <w:t>的协同分离路径：阳极铝溶出并水解生成</w:t>
      </w:r>
      <w:r>
        <w:rPr>
          <w:rFonts w:hint="default" w:ascii="Times New Roman" w:hAnsi="Times New Roman" w:cs="Times New Roman"/>
          <w:color w:val="auto"/>
          <w:szCs w:val="18"/>
          <w:highlight w:val="none"/>
          <w:shd w:val="clear" w:fill="auto"/>
        </w:rPr>
        <w:t>Al(OH)</w:t>
      </w:r>
      <w:r>
        <w:rPr>
          <w:rFonts w:hint="eastAsia" w:cs="Times New Roman"/>
          <w:color w:val="auto"/>
          <w:szCs w:val="18"/>
          <w:highlight w:val="none"/>
          <w:shd w:val="clear" w:fill="auto"/>
          <w:vertAlign w:val="subscript"/>
          <w:lang w:val="en-US" w:eastAsia="zh-CN"/>
        </w:rPr>
        <w:t>3</w:t>
      </w:r>
      <w:r>
        <w:rPr>
          <w:rFonts w:hint="default" w:ascii="Times New Roman" w:hAnsi="Times New Roman" w:cs="Times New Roman"/>
          <w:color w:val="auto"/>
          <w:szCs w:val="21"/>
          <w:highlight w:val="none"/>
          <w:shd w:val="clear" w:fill="auto"/>
        </w:rPr>
        <w:t>(s)等铝基絮体，通过电中和、卷扫网捕等作用捕集微塑料并促进其分离；阴极析氢产生的H</w:t>
      </w:r>
      <w:r>
        <w:rPr>
          <w:rFonts w:hint="eastAsia" w:cs="Times New Roman"/>
          <w:color w:val="auto"/>
          <w:szCs w:val="21"/>
          <w:highlight w:val="none"/>
          <w:shd w:val="clear" w:fill="auto"/>
          <w:vertAlign w:val="subscript"/>
          <w:lang w:val="en-US" w:eastAsia="zh-CN"/>
        </w:rPr>
        <w:t>2</w:t>
      </w:r>
      <w:r>
        <w:rPr>
          <w:rFonts w:hint="default" w:ascii="Times New Roman" w:hAnsi="Times New Roman" w:cs="Times New Roman"/>
          <w:color w:val="auto"/>
          <w:szCs w:val="21"/>
          <w:highlight w:val="none"/>
          <w:shd w:val="clear" w:fill="auto"/>
        </w:rPr>
        <w:t>气泡可附着并携带部分</w:t>
      </w:r>
      <w:r>
        <w:rPr>
          <w:rFonts w:hint="eastAsia" w:cs="Times New Roman"/>
          <w:color w:val="auto"/>
          <w:szCs w:val="21"/>
          <w:highlight w:val="none"/>
          <w:shd w:val="clear" w:fill="auto"/>
          <w:lang w:eastAsia="zh-CN"/>
        </w:rPr>
        <w:t>“</w:t>
      </w:r>
      <w:r>
        <w:rPr>
          <w:rFonts w:hint="default" w:ascii="Times New Roman" w:hAnsi="Times New Roman" w:cs="Times New Roman"/>
          <w:color w:val="auto"/>
          <w:szCs w:val="21"/>
          <w:highlight w:val="none"/>
          <w:shd w:val="clear" w:fill="auto"/>
        </w:rPr>
        <w:t>絮体</w:t>
      </w:r>
      <w:r>
        <w:rPr>
          <w:rFonts w:hint="eastAsia" w:cs="Times New Roman"/>
          <w:color w:val="auto"/>
          <w:szCs w:val="21"/>
          <w:highlight w:val="none"/>
          <w:shd w:val="clear" w:fill="auto"/>
          <w:lang w:val="en-US" w:eastAsia="zh-CN"/>
        </w:rPr>
        <w:t>-</w:t>
      </w:r>
      <w:r>
        <w:rPr>
          <w:rFonts w:hint="default" w:ascii="Times New Roman" w:hAnsi="Times New Roman" w:cs="Times New Roman"/>
          <w:color w:val="auto"/>
          <w:szCs w:val="21"/>
          <w:highlight w:val="none"/>
          <w:shd w:val="clear" w:fill="auto"/>
        </w:rPr>
        <w:t>PE</w:t>
      </w:r>
      <w:r>
        <w:rPr>
          <w:rFonts w:hint="eastAsia" w:cs="Times New Roman"/>
          <w:color w:val="auto"/>
          <w:szCs w:val="21"/>
          <w:highlight w:val="none"/>
          <w:shd w:val="clear" w:fill="auto"/>
          <w:lang w:eastAsia="zh-CN"/>
        </w:rPr>
        <w:t>”</w:t>
      </w:r>
      <w:r>
        <w:rPr>
          <w:rFonts w:hint="default" w:ascii="Times New Roman" w:hAnsi="Times New Roman" w:cs="Times New Roman"/>
          <w:color w:val="auto"/>
          <w:szCs w:val="21"/>
          <w:highlight w:val="none"/>
          <w:shd w:val="clear" w:fill="auto"/>
        </w:rPr>
        <w:t>复合体上浮，从而与沉降过程共同贡献总体去除。</w:t>
      </w:r>
    </w:p>
    <w:p w14:paraId="43758396">
      <w:pPr>
        <w:adjustRightInd w:val="0"/>
        <w:snapToGrid w:val="0"/>
        <w:ind w:firstLine="420" w:firstLineChars="200"/>
        <w:rPr>
          <w:color w:val="auto"/>
          <w:szCs w:val="21"/>
          <w:highlight w:val="none"/>
          <w:shd w:val="clear" w:fill="auto"/>
        </w:rPr>
      </w:pPr>
    </w:p>
    <w:p w14:paraId="3AD46EED">
      <w:pPr>
        <w:autoSpaceDE w:val="0"/>
        <w:autoSpaceDN w:val="0"/>
        <w:adjustRightInd w:val="0"/>
        <w:snapToGrid w:val="0"/>
        <w:ind w:hanging="271"/>
        <w:jc w:val="both"/>
        <w:rPr>
          <w:rFonts w:eastAsia="黑体"/>
          <w:b w:val="0"/>
          <w:bCs w:val="0"/>
          <w:color w:val="auto"/>
          <w:sz w:val="18"/>
          <w:szCs w:val="18"/>
          <w:highlight w:val="none"/>
          <w:shd w:val="clear" w:fill="auto"/>
        </w:rPr>
      </w:pPr>
    </w:p>
    <w:p w14:paraId="08C869A5">
      <w:pPr>
        <w:autoSpaceDE w:val="0"/>
        <w:autoSpaceDN w:val="0"/>
        <w:adjustRightInd w:val="0"/>
        <w:snapToGrid w:val="0"/>
        <w:ind w:hanging="271"/>
        <w:jc w:val="both"/>
        <w:rPr>
          <w:rFonts w:eastAsia="黑体"/>
          <w:b w:val="0"/>
          <w:bCs w:val="0"/>
          <w:color w:val="auto"/>
          <w:sz w:val="21"/>
          <w:szCs w:val="21"/>
          <w:highlight w:val="none"/>
          <w:shd w:val="clear" w:fill="auto"/>
        </w:rPr>
      </w:pPr>
      <w:r>
        <w:rPr>
          <w:rFonts w:eastAsia="黑体"/>
          <w:b w:val="0"/>
          <w:bCs w:val="0"/>
          <w:color w:val="auto"/>
          <w:sz w:val="21"/>
          <w:szCs w:val="21"/>
          <w:highlight w:val="none"/>
          <w:shd w:val="clear" w:fill="auto"/>
        </w:rPr>
        <w:t>参 考 文 献</w:t>
      </w:r>
    </w:p>
    <w:p w14:paraId="269B7E48">
      <w:pPr>
        <w:pStyle w:val="2"/>
        <w:widowControl w:val="0"/>
        <w:numPr>
          <w:ilvl w:val="0"/>
          <w:numId w:val="0"/>
        </w:numPr>
        <w:ind w:leftChars="0"/>
        <w:jc w:val="left"/>
        <w:rPr>
          <w:rFonts w:hint="eastAsia"/>
          <w:color w:val="auto"/>
          <w:highlight w:val="none"/>
          <w:shd w:val="clear" w:fill="auto"/>
        </w:rPr>
      </w:pPr>
      <w:bookmarkStart w:id="1" w:name="_Ref27342"/>
    </w:p>
    <w:p w14:paraId="4D61934C">
      <w:pPr>
        <w:pStyle w:val="22"/>
        <w:numPr>
          <w:ilvl w:val="0"/>
          <w:numId w:val="0"/>
        </w:numPr>
        <w:adjustRightInd w:val="0"/>
        <w:snapToGrid w:val="0"/>
        <w:ind w:left="420" w:leftChars="0" w:hanging="420" w:firstLineChars="0"/>
        <w:rPr>
          <w:rFonts w:hint="eastAsia" w:ascii="Times New Roman" w:hAnsi="Times New Roman" w:eastAsia="宋体" w:cs="Times New Roman"/>
          <w:color w:val="auto"/>
          <w:sz w:val="15"/>
          <w:szCs w:val="15"/>
          <w:highlight w:val="none"/>
          <w:shd w:val="clear" w:fill="auto"/>
          <w:lang w:eastAsia="zh-CN"/>
        </w:rPr>
      </w:pPr>
      <w:r>
        <w:rPr>
          <w:rFonts w:hint="eastAsia" w:ascii="Times New Roman" w:hAnsi="Times New Roman" w:cs="Times New Roman"/>
          <w:color w:val="auto"/>
          <w:sz w:val="15"/>
          <w:szCs w:val="15"/>
          <w:highlight w:val="none"/>
          <w:shd w:val="clear" w:fill="auto"/>
          <w:lang w:eastAsia="zh-CN"/>
        </w:rPr>
        <w:t xml:space="preserve">[1] LUO H W, LIU C Y, HE D Q, et al. Environmental behaviors of microplastics in aquatic systems: A systematic review on degradation, adsorption, toxicity and biofilm under aging conditions[J]. Journal of Hazardous Materials, 2022, 423: 126915. </w:t>
      </w:r>
    </w:p>
    <w:p w14:paraId="0DBD4AD4">
      <w:pPr>
        <w:pStyle w:val="2"/>
        <w:widowControl w:val="0"/>
        <w:numPr>
          <w:ilvl w:val="0"/>
          <w:numId w:val="0"/>
        </w:numPr>
        <w:ind w:left="420" w:leftChars="0" w:hanging="420" w:firstLineChars="0"/>
        <w:jc w:val="left"/>
        <w:rPr>
          <w:rFonts w:hint="default" w:ascii="Times New Roman" w:hAnsi="Times New Roman" w:cs="Times New Roman"/>
          <w:color w:val="auto"/>
          <w:sz w:val="15"/>
          <w:szCs w:val="15"/>
          <w:highlight w:val="none"/>
          <w:shd w:val="clear" w:fill="auto"/>
        </w:rPr>
      </w:pPr>
      <w:bookmarkStart w:id="2" w:name="_Ref23336"/>
      <w:r>
        <w:rPr>
          <w:rFonts w:hint="eastAsia" w:ascii="Times New Roman" w:hAnsi="Times New Roman" w:eastAsia="宋体" w:cs="Times New Roman"/>
          <w:color w:val="auto"/>
          <w:kern w:val="2"/>
          <w:sz w:val="15"/>
          <w:szCs w:val="15"/>
          <w:highlight w:val="none"/>
          <w:shd w:val="clear" w:fill="auto"/>
          <w:lang w:val="zh-CN" w:eastAsia="zh-CN" w:bidi="ar-SA"/>
        </w:rPr>
        <w:t>[</w:t>
      </w:r>
      <w:r>
        <w:rPr>
          <w:rFonts w:hint="eastAsia" w:cs="Times New Roman"/>
          <w:color w:val="auto"/>
          <w:kern w:val="2"/>
          <w:sz w:val="15"/>
          <w:szCs w:val="15"/>
          <w:highlight w:val="none"/>
          <w:shd w:val="clear" w:fill="auto"/>
          <w:lang w:val="en-US" w:eastAsia="zh-CN" w:bidi="ar-SA"/>
        </w:rPr>
        <w:t>2</w:t>
      </w:r>
      <w:r>
        <w:rPr>
          <w:rFonts w:hint="eastAsia" w:ascii="Times New Roman" w:hAnsi="Times New Roman" w:eastAsia="宋体" w:cs="Times New Roman"/>
          <w:color w:val="auto"/>
          <w:kern w:val="2"/>
          <w:sz w:val="15"/>
          <w:szCs w:val="15"/>
          <w:highlight w:val="none"/>
          <w:shd w:val="clear" w:fill="auto"/>
          <w:lang w:val="zh-CN" w:eastAsia="zh-CN" w:bidi="ar-SA"/>
        </w:rPr>
        <w:t>]</w:t>
      </w:r>
      <w:r>
        <w:rPr>
          <w:rFonts w:hint="eastAsia" w:cs="Times New Roman"/>
          <w:color w:val="auto"/>
          <w:kern w:val="2"/>
          <w:sz w:val="15"/>
          <w:szCs w:val="15"/>
          <w:highlight w:val="none"/>
          <w:shd w:val="clear" w:fill="auto"/>
          <w:lang w:val="en-US" w:eastAsia="zh-CN" w:bidi="ar-SA"/>
        </w:rPr>
        <w:t xml:space="preserve"> </w:t>
      </w:r>
      <w:r>
        <w:rPr>
          <w:rFonts w:hint="default" w:ascii="Times New Roman" w:hAnsi="Times New Roman" w:cs="Times New Roman"/>
          <w:color w:val="auto"/>
          <w:sz w:val="15"/>
          <w:szCs w:val="15"/>
          <w:highlight w:val="none"/>
          <w:shd w:val="clear" w:fill="auto"/>
        </w:rPr>
        <w:t>冯继文, 朱长军, 刘嘉坤, 等. 河流底泥中微塑料对氮磷释放规律的影响研究：以沁河（邯郸段）为例 [J/OL]. 水利水电技术(中英文), 2026: 1-13.</w:t>
      </w:r>
      <w:bookmarkEnd w:id="2"/>
      <w:r>
        <w:rPr>
          <w:rFonts w:hint="default" w:ascii="Times New Roman" w:hAnsi="Times New Roman" w:cs="Times New Roman"/>
          <w:i w:val="0"/>
          <w:color w:val="auto"/>
          <w:sz w:val="15"/>
          <w:szCs w:val="15"/>
          <w:highlight w:val="none"/>
          <w:shd w:val="clear" w:fill="auto"/>
        </w:rPr>
        <w:br w:type="textWrapping"/>
      </w:r>
      <w:r>
        <w:rPr>
          <w:rFonts w:hint="default" w:ascii="Times New Roman" w:hAnsi="Times New Roman" w:cs="Times New Roman"/>
          <w:color w:val="auto"/>
          <w:sz w:val="15"/>
          <w:szCs w:val="15"/>
          <w:highlight w:val="none"/>
          <w:shd w:val="clear" w:fill="auto"/>
        </w:rPr>
        <w:t>FENG Jiwen, ZHU Changjun, LIU Jiakun, et al. Effects of microplastics on nitrogen and phosphorus release in river sediments: A case study of Qin River (Handan section) [J/OL]. Water Resources and Hydropower Engineering, 2026: 1-13.</w:t>
      </w:r>
    </w:p>
    <w:p w14:paraId="1E600AEA">
      <w:pPr>
        <w:pStyle w:val="2"/>
        <w:widowControl w:val="0"/>
        <w:numPr>
          <w:ilvl w:val="0"/>
          <w:numId w:val="0"/>
        </w:numPr>
        <w:ind w:left="420" w:leftChars="0" w:hanging="420" w:firstLineChars="0"/>
        <w:jc w:val="left"/>
        <w:rPr>
          <w:rFonts w:hint="eastAsia" w:cs="Times New Roman"/>
          <w:color w:val="auto"/>
          <w:sz w:val="15"/>
          <w:szCs w:val="15"/>
          <w:highlight w:val="none"/>
          <w:shd w:val="clear" w:fill="auto"/>
          <w:lang w:eastAsia="zh-CN"/>
        </w:rPr>
      </w:pPr>
      <w:r>
        <w:rPr>
          <w:rFonts w:hint="eastAsia" w:cs="Times New Roman"/>
          <w:color w:val="auto"/>
          <w:sz w:val="15"/>
          <w:szCs w:val="15"/>
          <w:highlight w:val="none"/>
          <w:shd w:val="clear" w:fill="auto"/>
          <w:lang w:eastAsia="zh-CN"/>
        </w:rPr>
        <w:t>[</w:t>
      </w:r>
      <w:r>
        <w:rPr>
          <w:rFonts w:hint="eastAsia" w:cs="Times New Roman"/>
          <w:color w:val="auto"/>
          <w:sz w:val="15"/>
          <w:szCs w:val="15"/>
          <w:highlight w:val="none"/>
          <w:shd w:val="clear" w:fill="auto"/>
          <w:lang w:val="en-US" w:eastAsia="zh-CN"/>
        </w:rPr>
        <w:t>3</w:t>
      </w:r>
      <w:r>
        <w:rPr>
          <w:rFonts w:hint="eastAsia" w:cs="Times New Roman"/>
          <w:color w:val="auto"/>
          <w:sz w:val="15"/>
          <w:szCs w:val="15"/>
          <w:highlight w:val="none"/>
          <w:shd w:val="clear" w:fill="auto"/>
          <w:lang w:eastAsia="zh-CN"/>
        </w:rPr>
        <w:t>]</w:t>
      </w:r>
      <w:r>
        <w:rPr>
          <w:rFonts w:hint="eastAsia" w:cs="Times New Roman"/>
          <w:color w:val="auto"/>
          <w:sz w:val="15"/>
          <w:szCs w:val="15"/>
          <w:highlight w:val="none"/>
          <w:shd w:val="clear" w:fill="auto"/>
          <w:lang w:val="en-US" w:eastAsia="zh-CN"/>
        </w:rPr>
        <w:t xml:space="preserve"> </w:t>
      </w:r>
      <w:r>
        <w:rPr>
          <w:rFonts w:hint="eastAsia" w:cs="Times New Roman"/>
          <w:color w:val="auto"/>
          <w:sz w:val="15"/>
          <w:szCs w:val="15"/>
          <w:highlight w:val="none"/>
          <w:shd w:val="clear" w:fill="auto"/>
          <w:lang w:eastAsia="zh-CN"/>
        </w:rPr>
        <w:t>刘洪涛, 祖波, 李旺, 等. 水动力介导下微塑料对抗生素的吸附解吸行为研究[J]. 水利水电技术(中英文), 2026, 57(3): 17-26.</w:t>
      </w:r>
    </w:p>
    <w:p w14:paraId="68E2DDCE">
      <w:pPr>
        <w:pStyle w:val="2"/>
        <w:widowControl w:val="0"/>
        <w:numPr>
          <w:ilvl w:val="0"/>
          <w:numId w:val="0"/>
        </w:numPr>
        <w:ind w:left="466" w:leftChars="222" w:firstLine="0" w:firstLineChars="0"/>
        <w:jc w:val="left"/>
        <w:rPr>
          <w:rFonts w:hint="eastAsia" w:ascii="Times New Roman" w:hAnsi="Times New Roman" w:eastAsia="宋体" w:cs="Times New Roman"/>
          <w:color w:val="auto"/>
          <w:sz w:val="15"/>
          <w:szCs w:val="15"/>
          <w:highlight w:val="none"/>
          <w:shd w:val="clear" w:fill="auto"/>
          <w:lang w:eastAsia="zh-CN"/>
        </w:rPr>
      </w:pPr>
      <w:r>
        <w:rPr>
          <w:rFonts w:hint="eastAsia" w:cs="Times New Roman"/>
          <w:color w:val="auto"/>
          <w:sz w:val="15"/>
          <w:szCs w:val="15"/>
          <w:highlight w:val="none"/>
          <w:shd w:val="clear" w:fill="auto"/>
          <w:lang w:eastAsia="zh-CN"/>
        </w:rPr>
        <w:t xml:space="preserve">LIU H T, ZU B, LI W, et al. Study on adsorption and desorption behaviors of microplastics toward antibiotics mediated by hydrodynamic conditions[J]. Water Resources and Hydropower Engineering, 2026, 57(3): 17-26. </w:t>
      </w:r>
    </w:p>
    <w:p w14:paraId="645F4EC1">
      <w:pPr>
        <w:pStyle w:val="2"/>
        <w:widowControl w:val="0"/>
        <w:numPr>
          <w:ilvl w:val="0"/>
          <w:numId w:val="0"/>
        </w:numPr>
        <w:ind w:left="420" w:leftChars="0" w:hanging="420" w:firstLineChars="0"/>
        <w:jc w:val="left"/>
        <w:rPr>
          <w:rFonts w:hint="eastAsia" w:ascii="Times New Roman" w:hAnsi="Times New Roman" w:eastAsia="宋体" w:cs="Times New Roman"/>
          <w:color w:val="auto"/>
          <w:sz w:val="15"/>
          <w:szCs w:val="15"/>
          <w:highlight w:val="none"/>
          <w:shd w:val="clear" w:fill="auto"/>
          <w:lang w:eastAsia="zh-CN"/>
        </w:rPr>
      </w:pPr>
      <w:r>
        <w:rPr>
          <w:rFonts w:hint="eastAsia" w:cs="Times New Roman"/>
          <w:color w:val="auto"/>
          <w:sz w:val="15"/>
          <w:szCs w:val="15"/>
          <w:highlight w:val="none"/>
          <w:shd w:val="clear" w:fill="auto"/>
          <w:lang w:eastAsia="zh-CN"/>
        </w:rPr>
        <w:t>[</w:t>
      </w:r>
      <w:r>
        <w:rPr>
          <w:rFonts w:hint="eastAsia" w:cs="Times New Roman"/>
          <w:color w:val="auto"/>
          <w:sz w:val="15"/>
          <w:szCs w:val="15"/>
          <w:highlight w:val="none"/>
          <w:shd w:val="clear" w:fill="auto"/>
          <w:lang w:val="en-US" w:eastAsia="zh-CN"/>
        </w:rPr>
        <w:t>4</w:t>
      </w:r>
      <w:r>
        <w:rPr>
          <w:rFonts w:hint="eastAsia" w:cs="Times New Roman"/>
          <w:color w:val="auto"/>
          <w:sz w:val="15"/>
          <w:szCs w:val="15"/>
          <w:highlight w:val="none"/>
          <w:shd w:val="clear" w:fill="auto"/>
          <w:lang w:eastAsia="zh-CN"/>
        </w:rPr>
        <w:t xml:space="preserve">] CARR S A, LIU J, TESORO A G. Transport and fate of microplastic particles in wastewater treatment plants[J]. Water Research, 2016, 91: 174-182. </w:t>
      </w:r>
    </w:p>
    <w:p w14:paraId="2B38298D">
      <w:pPr>
        <w:pStyle w:val="2"/>
        <w:widowControl w:val="0"/>
        <w:numPr>
          <w:ilvl w:val="0"/>
          <w:numId w:val="0"/>
        </w:numPr>
        <w:ind w:left="420" w:leftChars="0" w:hanging="420" w:firstLineChars="0"/>
        <w:jc w:val="left"/>
        <w:rPr>
          <w:rFonts w:hint="eastAsia" w:ascii="Times New Roman" w:hAnsi="Times New Roman" w:eastAsia="宋体" w:cs="Times New Roman"/>
          <w:color w:val="auto"/>
          <w:sz w:val="15"/>
          <w:szCs w:val="15"/>
          <w:highlight w:val="none"/>
          <w:shd w:val="clear" w:fill="auto"/>
          <w:lang w:val="en-US" w:eastAsia="zh-CN"/>
        </w:rPr>
      </w:pPr>
      <w:r>
        <w:rPr>
          <w:rFonts w:hint="eastAsia" w:cs="Times New Roman"/>
          <w:color w:val="auto"/>
          <w:sz w:val="15"/>
          <w:szCs w:val="15"/>
          <w:highlight w:val="none"/>
          <w:shd w:val="clear" w:fill="auto"/>
          <w:lang w:eastAsia="zh-CN"/>
        </w:rPr>
        <w:t>[</w:t>
      </w:r>
      <w:r>
        <w:rPr>
          <w:rFonts w:hint="eastAsia" w:cs="Times New Roman"/>
          <w:color w:val="auto"/>
          <w:sz w:val="15"/>
          <w:szCs w:val="15"/>
          <w:highlight w:val="none"/>
          <w:shd w:val="clear" w:fill="auto"/>
          <w:lang w:val="en-US" w:eastAsia="zh-CN"/>
        </w:rPr>
        <w:t>5</w:t>
      </w:r>
      <w:r>
        <w:rPr>
          <w:rFonts w:hint="eastAsia" w:cs="Times New Roman"/>
          <w:color w:val="auto"/>
          <w:sz w:val="15"/>
          <w:szCs w:val="15"/>
          <w:highlight w:val="none"/>
          <w:shd w:val="clear" w:fill="auto"/>
          <w:lang w:eastAsia="zh-CN"/>
        </w:rPr>
        <w:t xml:space="preserve">] DING Y C, ZOU X Q, YUAN F, et al. Can microplastics in offshore waters reflect plastic emissions from coastal regions?[J]. Chemosphere, 2022, 308: 136397. </w:t>
      </w:r>
    </w:p>
    <w:p w14:paraId="0F9A83EC">
      <w:pPr>
        <w:pStyle w:val="2"/>
        <w:widowControl w:val="0"/>
        <w:numPr>
          <w:ilvl w:val="0"/>
          <w:numId w:val="0"/>
        </w:numPr>
        <w:ind w:left="420" w:leftChars="0" w:hanging="420" w:firstLineChars="0"/>
        <w:jc w:val="left"/>
        <w:rPr>
          <w:rFonts w:hint="eastAsia" w:ascii="Times New Roman" w:hAnsi="Times New Roman" w:eastAsia="宋体" w:cs="Times New Roman"/>
          <w:color w:val="auto"/>
          <w:sz w:val="15"/>
          <w:szCs w:val="15"/>
          <w:highlight w:val="none"/>
          <w:shd w:val="clear" w:fill="auto"/>
          <w:lang w:eastAsia="zh-CN"/>
        </w:rPr>
      </w:pPr>
      <w:r>
        <w:rPr>
          <w:rFonts w:hint="eastAsia" w:cs="Times New Roman"/>
          <w:color w:val="auto"/>
          <w:sz w:val="15"/>
          <w:szCs w:val="15"/>
          <w:highlight w:val="none"/>
          <w:shd w:val="clear" w:fill="auto"/>
          <w:lang w:eastAsia="zh-CN"/>
        </w:rPr>
        <w:t>[</w:t>
      </w:r>
      <w:r>
        <w:rPr>
          <w:rFonts w:hint="eastAsia" w:cs="Times New Roman"/>
          <w:color w:val="auto"/>
          <w:sz w:val="15"/>
          <w:szCs w:val="15"/>
          <w:highlight w:val="none"/>
          <w:shd w:val="clear" w:fill="auto"/>
          <w:lang w:val="en-US" w:eastAsia="zh-CN"/>
        </w:rPr>
        <w:t>6</w:t>
      </w:r>
      <w:r>
        <w:rPr>
          <w:rFonts w:hint="eastAsia" w:cs="Times New Roman"/>
          <w:color w:val="auto"/>
          <w:sz w:val="15"/>
          <w:szCs w:val="15"/>
          <w:highlight w:val="none"/>
          <w:shd w:val="clear" w:fill="auto"/>
          <w:lang w:eastAsia="zh-CN"/>
        </w:rPr>
        <w:t xml:space="preserve">] FAN Y J, ZHENG K, ZHU Z W, et al. Distribution, sedimentary record, and persistence of microplastics in the Pearl River catchment, China[J]. Environmental Pollution, 2019, 251: 862-870. </w:t>
      </w:r>
    </w:p>
    <w:p w14:paraId="172EA3FA">
      <w:pPr>
        <w:pStyle w:val="2"/>
        <w:widowControl w:val="0"/>
        <w:numPr>
          <w:ilvl w:val="0"/>
          <w:numId w:val="0"/>
        </w:numPr>
        <w:ind w:left="420" w:leftChars="0" w:hanging="420" w:firstLineChars="0"/>
        <w:jc w:val="left"/>
        <w:rPr>
          <w:rFonts w:hint="eastAsia" w:ascii="Times New Roman" w:hAnsi="Times New Roman" w:eastAsia="宋体" w:cs="Times New Roman"/>
          <w:color w:val="auto"/>
          <w:sz w:val="15"/>
          <w:szCs w:val="15"/>
          <w:highlight w:val="none"/>
          <w:shd w:val="clear" w:fill="auto"/>
          <w:lang w:eastAsia="zh-CN"/>
        </w:rPr>
      </w:pPr>
      <w:r>
        <w:rPr>
          <w:rFonts w:hint="eastAsia" w:cs="Times New Roman"/>
          <w:color w:val="auto"/>
          <w:sz w:val="15"/>
          <w:szCs w:val="15"/>
          <w:highlight w:val="none"/>
          <w:shd w:val="clear" w:fill="auto"/>
          <w:lang w:eastAsia="zh-CN"/>
        </w:rPr>
        <w:t>[</w:t>
      </w:r>
      <w:r>
        <w:rPr>
          <w:rFonts w:hint="eastAsia" w:cs="Times New Roman"/>
          <w:color w:val="auto"/>
          <w:sz w:val="15"/>
          <w:szCs w:val="15"/>
          <w:highlight w:val="none"/>
          <w:shd w:val="clear" w:fill="auto"/>
          <w:lang w:val="en-US" w:eastAsia="zh-CN"/>
        </w:rPr>
        <w:t>7</w:t>
      </w:r>
      <w:r>
        <w:rPr>
          <w:rFonts w:hint="eastAsia" w:cs="Times New Roman"/>
          <w:color w:val="auto"/>
          <w:sz w:val="15"/>
          <w:szCs w:val="15"/>
          <w:highlight w:val="none"/>
          <w:shd w:val="clear" w:fill="auto"/>
          <w:lang w:eastAsia="zh-CN"/>
        </w:rPr>
        <w:t xml:space="preserve">] DE FALCO F, DI PACE E, COCCA M, et al. The contribution of washing processes of synthetic clothes to microplastic pollution[J]. Scientific Reports, 2019, 9: 6633. </w:t>
      </w:r>
    </w:p>
    <w:p w14:paraId="6159B862">
      <w:pPr>
        <w:pStyle w:val="2"/>
        <w:widowControl w:val="0"/>
        <w:numPr>
          <w:ilvl w:val="0"/>
          <w:numId w:val="0"/>
        </w:numPr>
        <w:ind w:left="420" w:leftChars="0" w:hanging="420" w:firstLineChars="0"/>
        <w:jc w:val="left"/>
        <w:rPr>
          <w:rFonts w:hint="eastAsia" w:ascii="Times New Roman" w:hAnsi="Times New Roman" w:eastAsia="宋体" w:cs="Times New Roman"/>
          <w:color w:val="auto"/>
          <w:sz w:val="15"/>
          <w:szCs w:val="15"/>
          <w:highlight w:val="none"/>
          <w:shd w:val="clear" w:fill="auto"/>
          <w:lang w:eastAsia="zh-CN"/>
        </w:rPr>
      </w:pPr>
      <w:r>
        <w:rPr>
          <w:rFonts w:hint="eastAsia" w:cs="Times New Roman"/>
          <w:color w:val="auto"/>
          <w:sz w:val="15"/>
          <w:szCs w:val="15"/>
          <w:highlight w:val="none"/>
          <w:shd w:val="clear" w:fill="auto"/>
          <w:lang w:eastAsia="zh-CN"/>
        </w:rPr>
        <w:t>[</w:t>
      </w:r>
      <w:r>
        <w:rPr>
          <w:rFonts w:hint="eastAsia" w:cs="Times New Roman"/>
          <w:color w:val="auto"/>
          <w:sz w:val="15"/>
          <w:szCs w:val="15"/>
          <w:highlight w:val="none"/>
          <w:shd w:val="clear" w:fill="auto"/>
          <w:lang w:val="en-US" w:eastAsia="zh-CN"/>
        </w:rPr>
        <w:t>8</w:t>
      </w:r>
      <w:r>
        <w:rPr>
          <w:rFonts w:hint="eastAsia" w:cs="Times New Roman"/>
          <w:color w:val="auto"/>
          <w:sz w:val="15"/>
          <w:szCs w:val="15"/>
          <w:highlight w:val="none"/>
          <w:shd w:val="clear" w:fill="auto"/>
          <w:lang w:eastAsia="zh-CN"/>
        </w:rPr>
        <w:t xml:space="preserve">] KHAIRUNNISA R, UTOMO K P, SULASTRI A. Identifikasi mikroplastik pada limbah laundry di kota Pontianak[J]. Jurnal Teknologi Lingkungan Lahan Basah, 2024, 12(3): 671-680. </w:t>
      </w:r>
    </w:p>
    <w:p w14:paraId="4155B85A">
      <w:pPr>
        <w:pStyle w:val="2"/>
        <w:widowControl w:val="0"/>
        <w:numPr>
          <w:ilvl w:val="0"/>
          <w:numId w:val="0"/>
        </w:numPr>
        <w:ind w:left="420" w:leftChars="0" w:hanging="420" w:firstLineChars="0"/>
        <w:jc w:val="left"/>
        <w:rPr>
          <w:rFonts w:hint="eastAsia" w:ascii="Times New Roman" w:hAnsi="Times New Roman" w:eastAsia="宋体" w:cs="Times New Roman"/>
          <w:color w:val="auto"/>
          <w:sz w:val="15"/>
          <w:szCs w:val="15"/>
          <w:highlight w:val="none"/>
          <w:shd w:val="clear" w:fill="auto"/>
          <w:lang w:eastAsia="zh-CN"/>
        </w:rPr>
      </w:pPr>
      <w:r>
        <w:rPr>
          <w:rFonts w:hint="eastAsia" w:cs="Times New Roman"/>
          <w:color w:val="auto"/>
          <w:sz w:val="15"/>
          <w:szCs w:val="15"/>
          <w:highlight w:val="none"/>
          <w:shd w:val="clear" w:fill="auto"/>
          <w:lang w:eastAsia="zh-CN"/>
        </w:rPr>
        <w:t>[</w:t>
      </w:r>
      <w:r>
        <w:rPr>
          <w:rFonts w:hint="eastAsia" w:cs="Times New Roman"/>
          <w:color w:val="auto"/>
          <w:sz w:val="15"/>
          <w:szCs w:val="15"/>
          <w:highlight w:val="none"/>
          <w:shd w:val="clear" w:fill="auto"/>
          <w:lang w:val="en-US" w:eastAsia="zh-CN"/>
        </w:rPr>
        <w:t>9</w:t>
      </w:r>
      <w:r>
        <w:rPr>
          <w:rFonts w:hint="eastAsia" w:cs="Times New Roman"/>
          <w:color w:val="auto"/>
          <w:sz w:val="15"/>
          <w:szCs w:val="15"/>
          <w:highlight w:val="none"/>
          <w:shd w:val="clear" w:fill="auto"/>
          <w:lang w:eastAsia="zh-CN"/>
        </w:rPr>
        <w:t xml:space="preserve">] ITTISUPORNRAT S, NAMYUANG C, PHETRAK A, et al. Microplastic contamination and removal efficiency in greywater treatment using a membrane bioreactor[J]. Frontiers in Microbiology, 2025, 16: 1519230. </w:t>
      </w:r>
    </w:p>
    <w:p w14:paraId="48020C3D">
      <w:pPr>
        <w:pStyle w:val="2"/>
        <w:widowControl w:val="0"/>
        <w:numPr>
          <w:ilvl w:val="0"/>
          <w:numId w:val="0"/>
        </w:numPr>
        <w:ind w:left="420" w:leftChars="0" w:hanging="420" w:firstLineChars="0"/>
        <w:jc w:val="left"/>
        <w:rPr>
          <w:rFonts w:hint="eastAsia" w:ascii="Times New Roman" w:hAnsi="Times New Roman" w:eastAsia="宋体" w:cs="Times New Roman"/>
          <w:color w:val="auto"/>
          <w:sz w:val="15"/>
          <w:szCs w:val="15"/>
          <w:highlight w:val="none"/>
          <w:shd w:val="clear" w:fill="auto"/>
          <w:lang w:eastAsia="zh-CN"/>
        </w:rPr>
      </w:pPr>
      <w:r>
        <w:rPr>
          <w:rFonts w:hint="eastAsia" w:cs="Times New Roman"/>
          <w:color w:val="auto"/>
          <w:sz w:val="15"/>
          <w:szCs w:val="15"/>
          <w:highlight w:val="none"/>
          <w:shd w:val="clear" w:fill="auto"/>
          <w:lang w:eastAsia="zh-CN"/>
        </w:rPr>
        <w:t>[1</w:t>
      </w:r>
      <w:r>
        <w:rPr>
          <w:rFonts w:hint="eastAsia" w:cs="Times New Roman"/>
          <w:color w:val="auto"/>
          <w:sz w:val="15"/>
          <w:szCs w:val="15"/>
          <w:highlight w:val="none"/>
          <w:shd w:val="clear" w:fill="auto"/>
          <w:lang w:val="en-US" w:eastAsia="zh-CN"/>
        </w:rPr>
        <w:t>0</w:t>
      </w:r>
      <w:r>
        <w:rPr>
          <w:rFonts w:hint="eastAsia" w:cs="Times New Roman"/>
          <w:color w:val="auto"/>
          <w:sz w:val="15"/>
          <w:szCs w:val="15"/>
          <w:highlight w:val="none"/>
          <w:shd w:val="clear" w:fill="auto"/>
          <w:lang w:eastAsia="zh-CN"/>
        </w:rPr>
        <w:t xml:space="preserve">] MROWIEC B. Usuwanie mikroplastików z wód i ścieków[J]. Instal, 2026: 44-49. </w:t>
      </w:r>
    </w:p>
    <w:p w14:paraId="66CC60E1">
      <w:pPr>
        <w:pStyle w:val="2"/>
        <w:widowControl w:val="0"/>
        <w:numPr>
          <w:ilvl w:val="0"/>
          <w:numId w:val="0"/>
        </w:numPr>
        <w:ind w:left="420" w:leftChars="0" w:hanging="420" w:firstLineChars="0"/>
        <w:jc w:val="left"/>
        <w:rPr>
          <w:rFonts w:hint="eastAsia" w:ascii="Times New Roman" w:hAnsi="Times New Roman" w:eastAsia="宋体" w:cs="Times New Roman"/>
          <w:color w:val="auto"/>
          <w:sz w:val="15"/>
          <w:szCs w:val="15"/>
          <w:highlight w:val="none"/>
          <w:shd w:val="clear" w:fill="auto"/>
          <w:lang w:eastAsia="zh-CN"/>
        </w:rPr>
      </w:pPr>
      <w:r>
        <w:rPr>
          <w:rFonts w:hint="eastAsia" w:cs="Times New Roman"/>
          <w:color w:val="auto"/>
          <w:sz w:val="15"/>
          <w:szCs w:val="15"/>
          <w:highlight w:val="none"/>
          <w:shd w:val="clear" w:fill="auto"/>
          <w:lang w:eastAsia="zh-CN"/>
        </w:rPr>
        <w:t>[1</w:t>
      </w:r>
      <w:r>
        <w:rPr>
          <w:rFonts w:hint="eastAsia" w:cs="Times New Roman"/>
          <w:color w:val="auto"/>
          <w:sz w:val="15"/>
          <w:szCs w:val="15"/>
          <w:highlight w:val="none"/>
          <w:shd w:val="clear" w:fill="auto"/>
          <w:lang w:val="en-US" w:eastAsia="zh-CN"/>
        </w:rPr>
        <w:t>1</w:t>
      </w:r>
      <w:r>
        <w:rPr>
          <w:rFonts w:hint="eastAsia" w:cs="Times New Roman"/>
          <w:color w:val="auto"/>
          <w:sz w:val="15"/>
          <w:szCs w:val="15"/>
          <w:highlight w:val="none"/>
          <w:shd w:val="clear" w:fill="auto"/>
          <w:lang w:eastAsia="zh-CN"/>
        </w:rPr>
        <w:t xml:space="preserve">] SAJID M, IHSANULLAH I, TARIQ KHAN M, et al. Nanomaterials-based adsorbents for remediation of microplastics and nanoplastics in aqueous media: A review[J]. Separation and Purification Technology, 2023, 305: 122453. </w:t>
      </w:r>
    </w:p>
    <w:p w14:paraId="4D2A50F1">
      <w:pPr>
        <w:pStyle w:val="2"/>
        <w:widowControl w:val="0"/>
        <w:numPr>
          <w:ilvl w:val="0"/>
          <w:numId w:val="0"/>
        </w:numPr>
        <w:ind w:left="420" w:leftChars="0" w:hanging="420" w:firstLineChars="0"/>
        <w:jc w:val="left"/>
        <w:rPr>
          <w:rFonts w:hint="eastAsia" w:ascii="Times New Roman" w:hAnsi="Times New Roman" w:eastAsia="宋体" w:cs="Times New Roman"/>
          <w:color w:val="auto"/>
          <w:sz w:val="15"/>
          <w:szCs w:val="15"/>
          <w:highlight w:val="none"/>
          <w:shd w:val="clear" w:fill="auto"/>
          <w:lang w:eastAsia="zh-CN"/>
        </w:rPr>
      </w:pPr>
      <w:r>
        <w:rPr>
          <w:rFonts w:hint="eastAsia" w:cs="Times New Roman"/>
          <w:color w:val="auto"/>
          <w:sz w:val="15"/>
          <w:szCs w:val="15"/>
          <w:highlight w:val="none"/>
          <w:shd w:val="clear" w:fill="auto"/>
          <w:lang w:eastAsia="zh-CN"/>
        </w:rPr>
        <w:t>[1</w:t>
      </w:r>
      <w:r>
        <w:rPr>
          <w:rFonts w:hint="eastAsia" w:cs="Times New Roman"/>
          <w:color w:val="auto"/>
          <w:sz w:val="15"/>
          <w:szCs w:val="15"/>
          <w:highlight w:val="none"/>
          <w:shd w:val="clear" w:fill="auto"/>
          <w:lang w:val="en-US" w:eastAsia="zh-CN"/>
        </w:rPr>
        <w:t>2</w:t>
      </w:r>
      <w:r>
        <w:rPr>
          <w:rFonts w:hint="eastAsia" w:cs="Times New Roman"/>
          <w:color w:val="auto"/>
          <w:sz w:val="15"/>
          <w:szCs w:val="15"/>
          <w:highlight w:val="none"/>
          <w:shd w:val="clear" w:fill="auto"/>
          <w:lang w:eastAsia="zh-CN"/>
        </w:rPr>
        <w:t xml:space="preserve">] SHEN M C, SONG B, ZHOU C Y, et al. Advanced oxidation processes for the elimination of microplastics from aqueous systems: Assessment of efficiency, perspectives and limitations[J]. Science of the Total Environment, 2022, 842: 156723. </w:t>
      </w:r>
    </w:p>
    <w:p w14:paraId="6292FBF8">
      <w:pPr>
        <w:pStyle w:val="2"/>
        <w:widowControl w:val="0"/>
        <w:numPr>
          <w:ilvl w:val="0"/>
          <w:numId w:val="0"/>
        </w:numPr>
        <w:ind w:left="420" w:leftChars="0" w:hanging="420" w:firstLineChars="0"/>
        <w:jc w:val="left"/>
        <w:rPr>
          <w:rFonts w:hint="eastAsia" w:ascii="Times New Roman" w:hAnsi="Times New Roman" w:eastAsia="宋体" w:cs="Times New Roman"/>
          <w:color w:val="auto"/>
          <w:sz w:val="15"/>
          <w:szCs w:val="15"/>
          <w:highlight w:val="none"/>
          <w:shd w:val="clear" w:fill="auto"/>
          <w:lang w:eastAsia="zh-CN"/>
        </w:rPr>
      </w:pPr>
      <w:r>
        <w:rPr>
          <w:rFonts w:hint="eastAsia" w:cs="Times New Roman"/>
          <w:color w:val="auto"/>
          <w:sz w:val="15"/>
          <w:szCs w:val="15"/>
          <w:highlight w:val="none"/>
          <w:shd w:val="clear" w:fill="auto"/>
          <w:lang w:eastAsia="zh-CN"/>
        </w:rPr>
        <w:t>[1</w:t>
      </w:r>
      <w:r>
        <w:rPr>
          <w:rFonts w:hint="eastAsia" w:cs="Times New Roman"/>
          <w:color w:val="auto"/>
          <w:sz w:val="15"/>
          <w:szCs w:val="15"/>
          <w:highlight w:val="none"/>
          <w:shd w:val="clear" w:fill="auto"/>
          <w:lang w:val="en-US" w:eastAsia="zh-CN"/>
        </w:rPr>
        <w:t>3</w:t>
      </w:r>
      <w:r>
        <w:rPr>
          <w:rFonts w:hint="eastAsia" w:cs="Times New Roman"/>
          <w:color w:val="auto"/>
          <w:sz w:val="15"/>
          <w:szCs w:val="15"/>
          <w:highlight w:val="none"/>
          <w:shd w:val="clear" w:fill="auto"/>
          <w:lang w:eastAsia="zh-CN"/>
        </w:rPr>
        <w:t>] 常蓉, 赵扬, 张辰, 等. 利用响应曲面法研究垃圾渗滤液的电絮凝处理效果[J]. 生态与农村环境学报, 2024, 40(10): 1395-1404.</w:t>
      </w:r>
      <w:r>
        <w:rPr>
          <w:rFonts w:hint="eastAsia" w:cs="Times New Roman"/>
          <w:i w:val="0"/>
          <w:color w:val="auto"/>
          <w:sz w:val="15"/>
          <w:szCs w:val="15"/>
          <w:highlight w:val="none"/>
          <w:shd w:val="clear" w:fill="auto"/>
          <w:lang w:eastAsia="zh-CN"/>
        </w:rPr>
        <w:br w:type="textWrapping"/>
      </w:r>
      <w:r>
        <w:rPr>
          <w:rFonts w:hint="eastAsia" w:cs="Times New Roman"/>
          <w:color w:val="auto"/>
          <w:sz w:val="15"/>
          <w:szCs w:val="15"/>
          <w:highlight w:val="none"/>
          <w:shd w:val="clear" w:fill="auto"/>
          <w:lang w:eastAsia="zh-CN"/>
        </w:rPr>
        <w:t xml:space="preserve">CHANG R, ZHAO Y, ZHANG C, et al. Study on the treatment effect of electroflocculation on landfill leachate by using response surface methodology[J]. Journal of Ecology and Rural Environment, 2024, 40(10): 1395-1404. </w:t>
      </w:r>
    </w:p>
    <w:p w14:paraId="09B67DCC">
      <w:pPr>
        <w:pStyle w:val="2"/>
        <w:widowControl w:val="0"/>
        <w:numPr>
          <w:ilvl w:val="0"/>
          <w:numId w:val="0"/>
        </w:numPr>
        <w:ind w:left="420" w:leftChars="0" w:hanging="420" w:firstLineChars="0"/>
        <w:jc w:val="left"/>
        <w:rPr>
          <w:rFonts w:hint="eastAsia" w:ascii="Times New Roman" w:hAnsi="Times New Roman" w:eastAsia="宋体" w:cs="Times New Roman"/>
          <w:color w:val="auto"/>
          <w:sz w:val="15"/>
          <w:szCs w:val="15"/>
          <w:highlight w:val="none"/>
          <w:shd w:val="clear" w:fill="auto"/>
          <w:lang w:eastAsia="zh-CN"/>
        </w:rPr>
      </w:pPr>
      <w:r>
        <w:rPr>
          <w:rFonts w:hint="eastAsia" w:cs="Times New Roman"/>
          <w:color w:val="auto"/>
          <w:sz w:val="15"/>
          <w:szCs w:val="15"/>
          <w:highlight w:val="none"/>
          <w:shd w:val="clear" w:fill="auto"/>
          <w:lang w:eastAsia="zh-CN"/>
        </w:rPr>
        <w:t>[1</w:t>
      </w:r>
      <w:r>
        <w:rPr>
          <w:rFonts w:hint="eastAsia" w:cs="Times New Roman"/>
          <w:color w:val="auto"/>
          <w:sz w:val="15"/>
          <w:szCs w:val="15"/>
          <w:highlight w:val="none"/>
          <w:shd w:val="clear" w:fill="auto"/>
          <w:lang w:val="en-US" w:eastAsia="zh-CN"/>
        </w:rPr>
        <w:t>4</w:t>
      </w:r>
      <w:r>
        <w:rPr>
          <w:rFonts w:hint="eastAsia" w:cs="Times New Roman"/>
          <w:color w:val="auto"/>
          <w:sz w:val="15"/>
          <w:szCs w:val="15"/>
          <w:highlight w:val="none"/>
          <w:shd w:val="clear" w:fill="auto"/>
          <w:lang w:eastAsia="zh-CN"/>
        </w:rPr>
        <w:t xml:space="preserve">] FALCO G, FENTI A, GALOPPO S, et al. Promoting removal of polystyrene microplastics from wastewater by electrochemical treatment[J]. Journal of Water Process Engineering, 2024, 68: 106418. </w:t>
      </w:r>
    </w:p>
    <w:p w14:paraId="32655BD9">
      <w:pPr>
        <w:pStyle w:val="2"/>
        <w:widowControl w:val="0"/>
        <w:numPr>
          <w:ilvl w:val="0"/>
          <w:numId w:val="0"/>
        </w:numPr>
        <w:ind w:left="420" w:leftChars="0" w:hanging="420" w:firstLineChars="0"/>
        <w:jc w:val="left"/>
        <w:rPr>
          <w:rFonts w:hint="eastAsia" w:ascii="Times New Roman" w:hAnsi="Times New Roman" w:eastAsia="宋体" w:cs="Times New Roman"/>
          <w:color w:val="auto"/>
          <w:sz w:val="15"/>
          <w:szCs w:val="15"/>
          <w:highlight w:val="none"/>
          <w:shd w:val="clear" w:fill="auto"/>
          <w:lang w:eastAsia="zh-CN"/>
        </w:rPr>
      </w:pPr>
      <w:r>
        <w:rPr>
          <w:rFonts w:hint="eastAsia" w:cs="Times New Roman"/>
          <w:color w:val="auto"/>
          <w:sz w:val="15"/>
          <w:szCs w:val="15"/>
          <w:highlight w:val="none"/>
          <w:shd w:val="clear" w:fill="auto"/>
          <w:lang w:eastAsia="zh-CN"/>
        </w:rPr>
        <w:t>[1</w:t>
      </w:r>
      <w:r>
        <w:rPr>
          <w:rFonts w:hint="eastAsia" w:cs="Times New Roman"/>
          <w:color w:val="auto"/>
          <w:sz w:val="15"/>
          <w:szCs w:val="15"/>
          <w:highlight w:val="none"/>
          <w:shd w:val="clear" w:fill="auto"/>
          <w:lang w:val="en-US" w:eastAsia="zh-CN"/>
        </w:rPr>
        <w:t>5</w:t>
      </w:r>
      <w:r>
        <w:rPr>
          <w:rFonts w:hint="eastAsia" w:cs="Times New Roman"/>
          <w:color w:val="auto"/>
          <w:sz w:val="15"/>
          <w:szCs w:val="15"/>
          <w:highlight w:val="none"/>
          <w:shd w:val="clear" w:fill="auto"/>
          <w:lang w:eastAsia="zh-CN"/>
        </w:rPr>
        <w:t xml:space="preserve">] SHEN M C, ZHANG Y X, ALMATRAFI E, et al. Efficient removal of microplastics from wastewater by an electrocoagulation process[J]. Chemical Engineering Journal, 2022, 428: 131161. </w:t>
      </w:r>
    </w:p>
    <w:p w14:paraId="438CDD50">
      <w:pPr>
        <w:pStyle w:val="2"/>
        <w:widowControl w:val="0"/>
        <w:numPr>
          <w:ilvl w:val="0"/>
          <w:numId w:val="0"/>
        </w:numPr>
        <w:ind w:left="420" w:leftChars="0" w:hanging="420" w:firstLineChars="0"/>
        <w:jc w:val="left"/>
        <w:rPr>
          <w:rFonts w:hint="eastAsia" w:ascii="Times New Roman" w:hAnsi="Times New Roman" w:eastAsia="宋体" w:cs="Times New Roman"/>
          <w:color w:val="auto"/>
          <w:sz w:val="15"/>
          <w:szCs w:val="15"/>
          <w:highlight w:val="none"/>
          <w:shd w:val="clear" w:fill="auto"/>
          <w:lang w:eastAsia="zh-CN"/>
        </w:rPr>
      </w:pPr>
      <w:r>
        <w:rPr>
          <w:rFonts w:hint="eastAsia" w:cs="Times New Roman"/>
          <w:color w:val="auto"/>
          <w:sz w:val="15"/>
          <w:szCs w:val="15"/>
          <w:highlight w:val="none"/>
          <w:shd w:val="clear" w:fill="auto"/>
          <w:lang w:eastAsia="zh-CN"/>
        </w:rPr>
        <w:t>[1</w:t>
      </w:r>
      <w:r>
        <w:rPr>
          <w:rFonts w:hint="eastAsia" w:cs="Times New Roman"/>
          <w:color w:val="auto"/>
          <w:sz w:val="15"/>
          <w:szCs w:val="15"/>
          <w:highlight w:val="none"/>
          <w:shd w:val="clear" w:fill="auto"/>
          <w:lang w:val="en-US" w:eastAsia="zh-CN"/>
        </w:rPr>
        <w:t>6</w:t>
      </w:r>
      <w:r>
        <w:rPr>
          <w:rFonts w:hint="eastAsia" w:cs="Times New Roman"/>
          <w:color w:val="auto"/>
          <w:sz w:val="15"/>
          <w:szCs w:val="15"/>
          <w:highlight w:val="none"/>
          <w:shd w:val="clear" w:fill="auto"/>
          <w:lang w:eastAsia="zh-CN"/>
        </w:rPr>
        <w:t xml:space="preserve">] PERREN W, WOJTASIK A, CAI Q. Removal of microbeads from wastewater using electrocoagulation[J]. ACS Omega, 2018, 3(3): 3357-3364. </w:t>
      </w:r>
    </w:p>
    <w:p w14:paraId="33AE8964">
      <w:pPr>
        <w:pStyle w:val="2"/>
        <w:widowControl w:val="0"/>
        <w:numPr>
          <w:ilvl w:val="0"/>
          <w:numId w:val="0"/>
        </w:numPr>
        <w:ind w:left="420" w:leftChars="0" w:hanging="420" w:firstLineChars="0"/>
        <w:jc w:val="left"/>
        <w:rPr>
          <w:rFonts w:hint="default" w:ascii="Times New Roman" w:hAnsi="Times New Roman" w:cs="Times New Roman"/>
          <w:color w:val="auto"/>
          <w:sz w:val="15"/>
          <w:szCs w:val="15"/>
          <w:highlight w:val="none"/>
          <w:shd w:val="clear" w:fill="auto"/>
        </w:rPr>
      </w:pPr>
      <w:bookmarkStart w:id="3" w:name="_Ref23963"/>
      <w:r>
        <w:rPr>
          <w:rFonts w:hint="eastAsia" w:ascii="Times New Roman" w:hAnsi="Times New Roman" w:eastAsia="宋体" w:cs="Times New Roman"/>
          <w:color w:val="auto"/>
          <w:kern w:val="2"/>
          <w:sz w:val="15"/>
          <w:szCs w:val="15"/>
          <w:highlight w:val="none"/>
          <w:shd w:val="clear" w:fill="auto"/>
          <w:lang w:val="zh-CN" w:eastAsia="zh-CN" w:bidi="ar-SA"/>
        </w:rPr>
        <w:t>[1</w:t>
      </w:r>
      <w:r>
        <w:rPr>
          <w:rFonts w:hint="eastAsia" w:cs="Times New Roman"/>
          <w:color w:val="auto"/>
          <w:kern w:val="2"/>
          <w:sz w:val="15"/>
          <w:szCs w:val="15"/>
          <w:highlight w:val="none"/>
          <w:shd w:val="clear" w:fill="auto"/>
          <w:lang w:val="en-US" w:eastAsia="zh-CN" w:bidi="ar-SA"/>
        </w:rPr>
        <w:t>7</w:t>
      </w:r>
      <w:r>
        <w:rPr>
          <w:rFonts w:hint="eastAsia" w:ascii="Times New Roman" w:hAnsi="Times New Roman" w:eastAsia="宋体" w:cs="Times New Roman"/>
          <w:color w:val="auto"/>
          <w:kern w:val="2"/>
          <w:sz w:val="15"/>
          <w:szCs w:val="15"/>
          <w:highlight w:val="none"/>
          <w:shd w:val="clear" w:fill="auto"/>
          <w:lang w:val="zh-CN" w:eastAsia="zh-CN" w:bidi="ar-SA"/>
        </w:rPr>
        <w:t>]</w:t>
      </w:r>
      <w:r>
        <w:rPr>
          <w:rFonts w:hint="default" w:ascii="Times New Roman" w:hAnsi="Times New Roman" w:cs="Times New Roman"/>
          <w:color w:val="auto"/>
          <w:sz w:val="15"/>
          <w:szCs w:val="15"/>
          <w:highlight w:val="none"/>
          <w:shd w:val="clear" w:fill="auto"/>
        </w:rPr>
        <w:t>ACHMIT M, SBAI G, AOUNITI A, et al. Optimisation des réactifs lors de traitement physico chimique par coagulation floculation des eaux de barrage BAB LOUTA région de TAZA, Maroc [J]. Afrique Science, 2017, 13(4): 428-436.</w:t>
      </w:r>
      <w:bookmarkEnd w:id="3"/>
    </w:p>
    <w:p w14:paraId="28D86927">
      <w:pPr>
        <w:pStyle w:val="2"/>
        <w:widowControl w:val="0"/>
        <w:numPr>
          <w:ilvl w:val="0"/>
          <w:numId w:val="0"/>
        </w:numPr>
        <w:ind w:left="420" w:leftChars="0" w:hanging="420" w:firstLineChars="0"/>
        <w:jc w:val="left"/>
        <w:rPr>
          <w:rFonts w:hint="eastAsia" w:ascii="Times New Roman" w:hAnsi="Times New Roman" w:eastAsia="宋体" w:cs="Times New Roman"/>
          <w:color w:val="auto"/>
          <w:sz w:val="15"/>
          <w:szCs w:val="15"/>
          <w:highlight w:val="none"/>
          <w:shd w:val="clear" w:fill="auto"/>
          <w:lang w:eastAsia="zh-CN"/>
        </w:rPr>
      </w:pPr>
      <w:r>
        <w:rPr>
          <w:rFonts w:hint="eastAsia" w:cs="Times New Roman"/>
          <w:color w:val="auto"/>
          <w:sz w:val="15"/>
          <w:szCs w:val="15"/>
          <w:highlight w:val="none"/>
          <w:shd w:val="clear" w:fill="auto"/>
          <w:lang w:eastAsia="zh-CN"/>
        </w:rPr>
        <w:t>[1</w:t>
      </w:r>
      <w:r>
        <w:rPr>
          <w:rFonts w:hint="eastAsia" w:cs="Times New Roman"/>
          <w:color w:val="auto"/>
          <w:sz w:val="15"/>
          <w:szCs w:val="15"/>
          <w:highlight w:val="none"/>
          <w:shd w:val="clear" w:fill="auto"/>
          <w:lang w:val="en-US" w:eastAsia="zh-CN"/>
        </w:rPr>
        <w:t>8</w:t>
      </w:r>
      <w:r>
        <w:rPr>
          <w:rFonts w:hint="eastAsia" w:cs="Times New Roman"/>
          <w:color w:val="auto"/>
          <w:sz w:val="15"/>
          <w:szCs w:val="15"/>
          <w:highlight w:val="none"/>
          <w:shd w:val="clear" w:fill="auto"/>
          <w:lang w:eastAsia="zh-CN"/>
        </w:rPr>
        <w:t xml:space="preserve">] AL-MARRI J S, ABOUEDWAN A B, AHMAD M I, et al. Electrocoagulation using aluminum electrodes as a sustainable and economic method for the removal of kinetic hydrate inhibitor (polyvinyl pyrrolidone) from produced wastewaters[J]. Frontiers in Water, 2023, 5: 1305347. </w:t>
      </w:r>
    </w:p>
    <w:p w14:paraId="523BBCCE">
      <w:pPr>
        <w:pStyle w:val="2"/>
        <w:widowControl w:val="0"/>
        <w:numPr>
          <w:ilvl w:val="0"/>
          <w:numId w:val="0"/>
        </w:numPr>
        <w:ind w:left="420" w:leftChars="0" w:hanging="420" w:firstLineChars="0"/>
        <w:jc w:val="left"/>
        <w:rPr>
          <w:rFonts w:hint="eastAsia" w:ascii="Times New Roman" w:hAnsi="Times New Roman" w:eastAsia="宋体" w:cs="Times New Roman"/>
          <w:color w:val="auto"/>
          <w:sz w:val="15"/>
          <w:szCs w:val="15"/>
          <w:highlight w:val="none"/>
          <w:shd w:val="clear" w:fill="auto"/>
          <w:lang w:eastAsia="zh-CN"/>
        </w:rPr>
      </w:pPr>
      <w:r>
        <w:rPr>
          <w:rFonts w:hint="eastAsia" w:cs="Times New Roman"/>
          <w:color w:val="auto"/>
          <w:sz w:val="15"/>
          <w:szCs w:val="15"/>
          <w:highlight w:val="none"/>
          <w:shd w:val="clear" w:fill="auto"/>
          <w:lang w:eastAsia="zh-CN"/>
        </w:rPr>
        <w:t>[</w:t>
      </w:r>
      <w:r>
        <w:rPr>
          <w:rFonts w:hint="eastAsia" w:cs="Times New Roman"/>
          <w:color w:val="auto"/>
          <w:sz w:val="15"/>
          <w:szCs w:val="15"/>
          <w:highlight w:val="none"/>
          <w:shd w:val="clear" w:fill="auto"/>
          <w:lang w:val="en-US" w:eastAsia="zh-CN"/>
        </w:rPr>
        <w:t>19</w:t>
      </w:r>
      <w:r>
        <w:rPr>
          <w:rFonts w:hint="eastAsia" w:cs="Times New Roman"/>
          <w:color w:val="auto"/>
          <w:sz w:val="15"/>
          <w:szCs w:val="15"/>
          <w:highlight w:val="none"/>
          <w:shd w:val="clear" w:fill="auto"/>
          <w:lang w:eastAsia="zh-CN"/>
        </w:rPr>
        <w:t xml:space="preserve">] EMAMJOMEH M M, SIVAKUMAR M. Review of pollutants removed by electrocoagulation and electrocoagulation/flotation processes[J]. Journal of Environmental Management, 2009, 90(5): 1663-1679. </w:t>
      </w:r>
    </w:p>
    <w:p w14:paraId="166D40B9">
      <w:pPr>
        <w:pStyle w:val="2"/>
        <w:widowControl w:val="0"/>
        <w:numPr>
          <w:ilvl w:val="0"/>
          <w:numId w:val="0"/>
        </w:numPr>
        <w:ind w:left="420" w:leftChars="0" w:hanging="420" w:firstLineChars="0"/>
        <w:jc w:val="left"/>
        <w:rPr>
          <w:rFonts w:hint="eastAsia" w:ascii="Times New Roman" w:hAnsi="Times New Roman" w:eastAsia="宋体" w:cs="Times New Roman"/>
          <w:color w:val="auto"/>
          <w:sz w:val="15"/>
          <w:szCs w:val="15"/>
          <w:highlight w:val="none"/>
          <w:shd w:val="clear" w:fill="auto"/>
          <w:lang w:eastAsia="zh-CN"/>
        </w:rPr>
      </w:pPr>
      <w:r>
        <w:rPr>
          <w:rFonts w:hint="eastAsia" w:cs="Times New Roman"/>
          <w:color w:val="auto"/>
          <w:sz w:val="15"/>
          <w:szCs w:val="15"/>
          <w:highlight w:val="none"/>
          <w:shd w:val="clear" w:fill="auto"/>
          <w:lang w:eastAsia="zh-CN"/>
        </w:rPr>
        <w:t>[2</w:t>
      </w:r>
      <w:r>
        <w:rPr>
          <w:rFonts w:hint="eastAsia" w:cs="Times New Roman"/>
          <w:color w:val="auto"/>
          <w:sz w:val="15"/>
          <w:szCs w:val="15"/>
          <w:highlight w:val="none"/>
          <w:shd w:val="clear" w:fill="auto"/>
          <w:lang w:val="en-US" w:eastAsia="zh-CN"/>
        </w:rPr>
        <w:t>0</w:t>
      </w:r>
      <w:r>
        <w:rPr>
          <w:rFonts w:hint="eastAsia" w:cs="Times New Roman"/>
          <w:color w:val="auto"/>
          <w:sz w:val="15"/>
          <w:szCs w:val="15"/>
          <w:highlight w:val="none"/>
          <w:shd w:val="clear" w:fill="auto"/>
          <w:lang w:eastAsia="zh-CN"/>
        </w:rPr>
        <w:t xml:space="preserve">] TIBEBE D, KASSA Y, BHASKARWAR A N. Treatment and characterization of phosphorus from synthetic wastewater using aluminum plate electrodes in the electrocoagulation process[J]. BMC Chemistry, 2019, 13(1): 107. </w:t>
      </w:r>
    </w:p>
    <w:p w14:paraId="26039FBC">
      <w:pPr>
        <w:pStyle w:val="2"/>
        <w:widowControl w:val="0"/>
        <w:numPr>
          <w:ilvl w:val="0"/>
          <w:numId w:val="0"/>
        </w:numPr>
        <w:ind w:left="420" w:leftChars="0" w:hanging="420" w:firstLineChars="0"/>
        <w:jc w:val="left"/>
        <w:rPr>
          <w:rFonts w:hint="eastAsia" w:ascii="Times New Roman" w:hAnsi="Times New Roman" w:eastAsia="宋体" w:cs="Times New Roman"/>
          <w:color w:val="auto"/>
          <w:sz w:val="15"/>
          <w:szCs w:val="15"/>
          <w:highlight w:val="none"/>
          <w:shd w:val="clear" w:fill="auto"/>
          <w:lang w:eastAsia="zh-CN"/>
        </w:rPr>
      </w:pPr>
      <w:r>
        <w:rPr>
          <w:rFonts w:hint="eastAsia" w:cs="Times New Roman"/>
          <w:color w:val="auto"/>
          <w:sz w:val="15"/>
          <w:szCs w:val="15"/>
          <w:highlight w:val="none"/>
          <w:shd w:val="clear" w:fill="auto"/>
          <w:lang w:eastAsia="zh-CN"/>
        </w:rPr>
        <w:t>[2</w:t>
      </w:r>
      <w:r>
        <w:rPr>
          <w:rFonts w:hint="eastAsia" w:cs="Times New Roman"/>
          <w:color w:val="auto"/>
          <w:sz w:val="15"/>
          <w:szCs w:val="15"/>
          <w:highlight w:val="none"/>
          <w:shd w:val="clear" w:fill="auto"/>
          <w:lang w:val="en-US" w:eastAsia="zh-CN"/>
        </w:rPr>
        <w:t>1</w:t>
      </w:r>
      <w:r>
        <w:rPr>
          <w:rFonts w:hint="eastAsia" w:cs="Times New Roman"/>
          <w:color w:val="auto"/>
          <w:sz w:val="15"/>
          <w:szCs w:val="15"/>
          <w:highlight w:val="none"/>
          <w:shd w:val="clear" w:fill="auto"/>
          <w:lang w:eastAsia="zh-CN"/>
        </w:rPr>
        <w:t xml:space="preserve">] WANG R S, SHAN L L, ZHU Z B, et al. Current status of electrode corrosion passivation and its mitigation strategies in electrocoagulation[J]. Chemical Engineering and Processing - Process Intensification, 2025, 209: 110192. </w:t>
      </w:r>
    </w:p>
    <w:p w14:paraId="5493FCAE">
      <w:pPr>
        <w:pStyle w:val="2"/>
        <w:widowControl w:val="0"/>
        <w:numPr>
          <w:ilvl w:val="0"/>
          <w:numId w:val="0"/>
        </w:numPr>
        <w:ind w:left="420" w:leftChars="0" w:hanging="420" w:firstLineChars="0"/>
        <w:jc w:val="left"/>
        <w:rPr>
          <w:rFonts w:hint="eastAsia" w:ascii="Times New Roman" w:hAnsi="Times New Roman" w:eastAsia="宋体" w:cs="Times New Roman"/>
          <w:color w:val="auto"/>
          <w:sz w:val="15"/>
          <w:szCs w:val="15"/>
          <w:highlight w:val="none"/>
          <w:shd w:val="clear" w:fill="auto"/>
          <w:lang w:eastAsia="zh-CN"/>
        </w:rPr>
      </w:pPr>
      <w:r>
        <w:rPr>
          <w:rFonts w:hint="eastAsia" w:cs="Times New Roman"/>
          <w:color w:val="auto"/>
          <w:sz w:val="15"/>
          <w:szCs w:val="15"/>
          <w:highlight w:val="none"/>
          <w:shd w:val="clear" w:fill="auto"/>
          <w:lang w:eastAsia="zh-CN"/>
        </w:rPr>
        <w:t>[2</w:t>
      </w:r>
      <w:r>
        <w:rPr>
          <w:rFonts w:hint="eastAsia" w:cs="Times New Roman"/>
          <w:color w:val="auto"/>
          <w:sz w:val="15"/>
          <w:szCs w:val="15"/>
          <w:highlight w:val="none"/>
          <w:shd w:val="clear" w:fill="auto"/>
          <w:lang w:val="en-US" w:eastAsia="zh-CN"/>
        </w:rPr>
        <w:t>2</w:t>
      </w:r>
      <w:r>
        <w:rPr>
          <w:rFonts w:hint="eastAsia" w:cs="Times New Roman"/>
          <w:color w:val="auto"/>
          <w:sz w:val="15"/>
          <w:szCs w:val="15"/>
          <w:highlight w:val="none"/>
          <w:shd w:val="clear" w:fill="auto"/>
          <w:lang w:eastAsia="zh-CN"/>
        </w:rPr>
        <w:t xml:space="preserve">] SUPRIHATIN, ASELFA F S. Pollutants removal in electrocoagulation of detergent wastewater[J]. IOP Conference Series: Earth and Environmental Science, 2020, 472(1): 012032. </w:t>
      </w:r>
    </w:p>
    <w:p w14:paraId="38B4F53E">
      <w:pPr>
        <w:pStyle w:val="2"/>
        <w:widowControl w:val="0"/>
        <w:numPr>
          <w:ilvl w:val="0"/>
          <w:numId w:val="0"/>
        </w:numPr>
        <w:ind w:left="420" w:leftChars="0" w:hanging="420" w:firstLineChars="0"/>
        <w:jc w:val="left"/>
        <w:rPr>
          <w:rFonts w:hint="eastAsia" w:ascii="Times New Roman" w:hAnsi="Times New Roman" w:eastAsia="宋体" w:cs="Times New Roman"/>
          <w:color w:val="auto"/>
          <w:sz w:val="15"/>
          <w:szCs w:val="15"/>
          <w:highlight w:val="none"/>
          <w:shd w:val="clear" w:fill="auto"/>
          <w:vertAlign w:val="baseline"/>
          <w:lang w:eastAsia="zh-CN"/>
        </w:rPr>
      </w:pPr>
      <w:r>
        <w:rPr>
          <w:rFonts w:hint="eastAsia" w:cs="Times New Roman"/>
          <w:color w:val="auto"/>
          <w:sz w:val="15"/>
          <w:szCs w:val="15"/>
          <w:highlight w:val="none"/>
          <w:shd w:val="clear" w:fill="auto"/>
          <w:lang w:eastAsia="zh-CN"/>
        </w:rPr>
        <w:t>[2</w:t>
      </w:r>
      <w:r>
        <w:rPr>
          <w:rFonts w:hint="eastAsia" w:cs="Times New Roman"/>
          <w:color w:val="auto"/>
          <w:sz w:val="15"/>
          <w:szCs w:val="15"/>
          <w:highlight w:val="none"/>
          <w:shd w:val="clear" w:fill="auto"/>
          <w:lang w:val="en-US" w:eastAsia="zh-CN"/>
        </w:rPr>
        <w:t>3</w:t>
      </w:r>
      <w:r>
        <w:rPr>
          <w:rFonts w:hint="eastAsia" w:cs="Times New Roman"/>
          <w:color w:val="auto"/>
          <w:sz w:val="15"/>
          <w:szCs w:val="15"/>
          <w:highlight w:val="none"/>
          <w:shd w:val="clear" w:fill="auto"/>
          <w:lang w:eastAsia="zh-CN"/>
        </w:rPr>
        <w:t>] GROZOVSKI V, VESZTERGOM S, LÁNG G G, et al. Electrochemical hydrogen evolution: H</w:t>
      </w:r>
      <w:r>
        <w:rPr>
          <w:rFonts w:hint="eastAsia" w:cs="Times New Roman"/>
          <w:color w:val="auto"/>
          <w:sz w:val="15"/>
          <w:szCs w:val="15"/>
          <w:highlight w:val="none"/>
          <w:shd w:val="clear" w:fill="auto"/>
          <w:vertAlign w:val="superscript"/>
          <w:lang w:eastAsia="zh-CN"/>
        </w:rPr>
        <w:t>+</w:t>
      </w:r>
      <w:r>
        <w:rPr>
          <w:rFonts w:hint="eastAsia" w:cs="Times New Roman"/>
          <w:color w:val="auto"/>
          <w:sz w:val="15"/>
          <w:szCs w:val="15"/>
          <w:highlight w:val="none"/>
          <w:shd w:val="clear" w:fill="auto"/>
          <w:vertAlign w:val="baseline"/>
          <w:lang w:eastAsia="zh-CN"/>
        </w:rPr>
        <w:t>or H</w:t>
      </w:r>
      <w:r>
        <w:rPr>
          <w:rFonts w:hint="eastAsia" w:cs="Times New Roman"/>
          <w:color w:val="auto"/>
          <w:sz w:val="15"/>
          <w:szCs w:val="15"/>
          <w:highlight w:val="none"/>
          <w:shd w:val="clear" w:fill="auto"/>
          <w:vertAlign w:val="subscript"/>
          <w:lang w:eastAsia="zh-CN"/>
        </w:rPr>
        <w:t>2</w:t>
      </w:r>
      <w:r>
        <w:rPr>
          <w:rFonts w:hint="eastAsia" w:cs="Times New Roman"/>
          <w:color w:val="auto"/>
          <w:sz w:val="15"/>
          <w:szCs w:val="15"/>
          <w:highlight w:val="none"/>
          <w:shd w:val="clear" w:fill="auto"/>
          <w:vertAlign w:val="baseline"/>
          <w:lang w:eastAsia="zh-CN"/>
        </w:rPr>
        <w:t xml:space="preserve">O reduction? A rotating disk electrode study[J]. Journal of the Electrochemical Society, 2017, 164(11): E3171-E3178. </w:t>
      </w:r>
    </w:p>
    <w:p w14:paraId="719C412B">
      <w:pPr>
        <w:pStyle w:val="2"/>
        <w:widowControl w:val="0"/>
        <w:numPr>
          <w:ilvl w:val="0"/>
          <w:numId w:val="0"/>
        </w:numPr>
        <w:ind w:left="420" w:leftChars="0" w:hanging="420" w:firstLineChars="0"/>
        <w:jc w:val="left"/>
        <w:rPr>
          <w:rFonts w:hint="eastAsia" w:ascii="Times New Roman" w:hAnsi="Times New Roman" w:eastAsia="宋体" w:cs="Times New Roman"/>
          <w:color w:val="auto"/>
          <w:sz w:val="15"/>
          <w:szCs w:val="15"/>
          <w:highlight w:val="none"/>
          <w:shd w:val="clear" w:fill="auto"/>
          <w:lang w:eastAsia="zh-CN"/>
        </w:rPr>
      </w:pPr>
      <w:r>
        <w:rPr>
          <w:rFonts w:hint="eastAsia" w:cs="Times New Roman"/>
          <w:color w:val="auto"/>
          <w:sz w:val="15"/>
          <w:szCs w:val="15"/>
          <w:highlight w:val="none"/>
          <w:shd w:val="clear" w:fill="auto"/>
          <w:lang w:eastAsia="zh-CN"/>
        </w:rPr>
        <w:t>[2</w:t>
      </w:r>
      <w:r>
        <w:rPr>
          <w:rFonts w:hint="eastAsia" w:cs="Times New Roman"/>
          <w:color w:val="auto"/>
          <w:sz w:val="15"/>
          <w:szCs w:val="15"/>
          <w:highlight w:val="none"/>
          <w:shd w:val="clear" w:fill="auto"/>
          <w:lang w:val="en-US" w:eastAsia="zh-CN"/>
        </w:rPr>
        <w:t>4</w:t>
      </w:r>
      <w:r>
        <w:rPr>
          <w:rFonts w:hint="eastAsia" w:cs="Times New Roman"/>
          <w:color w:val="auto"/>
          <w:sz w:val="15"/>
          <w:szCs w:val="15"/>
          <w:highlight w:val="none"/>
          <w:shd w:val="clear" w:fill="auto"/>
          <w:lang w:eastAsia="zh-CN"/>
        </w:rPr>
        <w:t xml:space="preserve">] WANG C, CREUZIGER A, STAFFORD G, et al. Anodic dissolution of aluminum in the aluminum chloride-1-ethyl-3-methylimidazolium chloride ionic liquid[J]. Journal of the Electrochemical Society, 2016, 163(14): H1186-H1194. </w:t>
      </w:r>
    </w:p>
    <w:p w14:paraId="6F65CC31">
      <w:pPr>
        <w:pStyle w:val="2"/>
        <w:widowControl w:val="0"/>
        <w:numPr>
          <w:ilvl w:val="0"/>
          <w:numId w:val="0"/>
        </w:numPr>
        <w:ind w:left="420" w:leftChars="0" w:hanging="420" w:firstLineChars="0"/>
        <w:jc w:val="left"/>
        <w:rPr>
          <w:rFonts w:hint="eastAsia" w:ascii="Times New Roman" w:hAnsi="Times New Roman" w:eastAsia="宋体" w:cs="Times New Roman"/>
          <w:color w:val="auto"/>
          <w:sz w:val="15"/>
          <w:szCs w:val="15"/>
          <w:highlight w:val="none"/>
          <w:shd w:val="clear" w:fill="auto"/>
          <w:lang w:eastAsia="zh-CN"/>
        </w:rPr>
      </w:pPr>
      <w:r>
        <w:rPr>
          <w:rFonts w:hint="eastAsia" w:cs="Times New Roman"/>
          <w:color w:val="auto"/>
          <w:sz w:val="15"/>
          <w:szCs w:val="15"/>
          <w:highlight w:val="none"/>
          <w:shd w:val="clear" w:fill="auto"/>
          <w:lang w:eastAsia="zh-CN"/>
        </w:rPr>
        <w:t>[2</w:t>
      </w:r>
      <w:r>
        <w:rPr>
          <w:rFonts w:hint="eastAsia" w:cs="Times New Roman"/>
          <w:color w:val="auto"/>
          <w:sz w:val="15"/>
          <w:szCs w:val="15"/>
          <w:highlight w:val="none"/>
          <w:shd w:val="clear" w:fill="auto"/>
          <w:lang w:val="en-US" w:eastAsia="zh-CN"/>
        </w:rPr>
        <w:t>5</w:t>
      </w:r>
      <w:r>
        <w:rPr>
          <w:rFonts w:hint="eastAsia" w:cs="Times New Roman"/>
          <w:color w:val="auto"/>
          <w:sz w:val="15"/>
          <w:szCs w:val="15"/>
          <w:highlight w:val="none"/>
          <w:shd w:val="clear" w:fill="auto"/>
          <w:lang w:eastAsia="zh-CN"/>
        </w:rPr>
        <w:t xml:space="preserve">] TEGLADZA I D, XU Q L, XU K, et al. Electrocoagulation processes: A general review about role of electro-generated flocs in pollutant removal[J]. Process Safety and Environmental Protection, 2021, 146: 169-189. </w:t>
      </w:r>
    </w:p>
    <w:p w14:paraId="218CAE7D">
      <w:pPr>
        <w:pStyle w:val="2"/>
        <w:widowControl w:val="0"/>
        <w:numPr>
          <w:ilvl w:val="0"/>
          <w:numId w:val="0"/>
        </w:numPr>
        <w:ind w:left="420" w:leftChars="0" w:hanging="420" w:firstLineChars="0"/>
        <w:jc w:val="left"/>
        <w:rPr>
          <w:rFonts w:hint="eastAsia" w:ascii="Times New Roman" w:hAnsi="Times New Roman" w:eastAsia="宋体" w:cs="Times New Roman"/>
          <w:color w:val="auto"/>
          <w:sz w:val="15"/>
          <w:szCs w:val="15"/>
          <w:highlight w:val="none"/>
          <w:shd w:val="clear" w:fill="auto"/>
          <w:lang w:eastAsia="zh-CN"/>
        </w:rPr>
      </w:pPr>
      <w:r>
        <w:rPr>
          <w:rFonts w:hint="eastAsia" w:cs="Times New Roman"/>
          <w:color w:val="auto"/>
          <w:sz w:val="15"/>
          <w:szCs w:val="15"/>
          <w:highlight w:val="none"/>
          <w:shd w:val="clear" w:fill="auto"/>
          <w:lang w:eastAsia="zh-CN"/>
        </w:rPr>
        <w:t>[2</w:t>
      </w:r>
      <w:r>
        <w:rPr>
          <w:rFonts w:hint="eastAsia" w:cs="Times New Roman"/>
          <w:color w:val="auto"/>
          <w:sz w:val="15"/>
          <w:szCs w:val="15"/>
          <w:highlight w:val="none"/>
          <w:shd w:val="clear" w:fill="auto"/>
          <w:lang w:val="en-US" w:eastAsia="zh-CN"/>
        </w:rPr>
        <w:t>6</w:t>
      </w:r>
      <w:r>
        <w:rPr>
          <w:rFonts w:hint="eastAsia" w:cs="Times New Roman"/>
          <w:color w:val="auto"/>
          <w:sz w:val="15"/>
          <w:szCs w:val="15"/>
          <w:highlight w:val="none"/>
          <w:shd w:val="clear" w:fill="auto"/>
          <w:lang w:eastAsia="zh-CN"/>
        </w:rPr>
        <w:t xml:space="preserve">] LI G H, ZHANG G C, SHEN J W. The flocculation between partial hydrolyzed polyacrylamide and cationic microshperes[J]. Advanced Materials Research, 2013, 821/822: 994-998. </w:t>
      </w:r>
    </w:p>
    <w:p w14:paraId="1D5AACA7">
      <w:pPr>
        <w:pStyle w:val="2"/>
        <w:widowControl w:val="0"/>
        <w:numPr>
          <w:ilvl w:val="0"/>
          <w:numId w:val="0"/>
        </w:numPr>
        <w:ind w:left="420" w:leftChars="0" w:hanging="420" w:firstLineChars="0"/>
        <w:jc w:val="left"/>
        <w:rPr>
          <w:rFonts w:hint="eastAsia" w:ascii="Times New Roman" w:hAnsi="Times New Roman" w:eastAsia="宋体" w:cs="Times New Roman"/>
          <w:color w:val="auto"/>
          <w:sz w:val="15"/>
          <w:szCs w:val="15"/>
          <w:highlight w:val="none"/>
          <w:shd w:val="clear" w:fill="auto"/>
          <w:vertAlign w:val="baseline"/>
          <w:lang w:eastAsia="zh-CN"/>
        </w:rPr>
      </w:pPr>
      <w:r>
        <w:rPr>
          <w:rFonts w:hint="eastAsia" w:cs="Times New Roman"/>
          <w:color w:val="auto"/>
          <w:sz w:val="15"/>
          <w:szCs w:val="15"/>
          <w:highlight w:val="none"/>
          <w:shd w:val="clear" w:fill="auto"/>
          <w:lang w:eastAsia="zh-CN"/>
        </w:rPr>
        <w:t>[2</w:t>
      </w:r>
      <w:r>
        <w:rPr>
          <w:rFonts w:hint="eastAsia" w:cs="Times New Roman"/>
          <w:color w:val="auto"/>
          <w:sz w:val="15"/>
          <w:szCs w:val="15"/>
          <w:highlight w:val="none"/>
          <w:shd w:val="clear" w:fill="auto"/>
          <w:lang w:val="en-US" w:eastAsia="zh-CN"/>
        </w:rPr>
        <w:t>7</w:t>
      </w:r>
      <w:r>
        <w:rPr>
          <w:rFonts w:hint="eastAsia" w:cs="Times New Roman"/>
          <w:color w:val="auto"/>
          <w:sz w:val="15"/>
          <w:szCs w:val="15"/>
          <w:highlight w:val="none"/>
          <w:shd w:val="clear" w:fill="auto"/>
          <w:lang w:eastAsia="zh-CN"/>
        </w:rPr>
        <w:t>] ZHOU G Y, WANG Q G, LI J, et al. Removal of polystyrene and polyethylene microplastics using PAC and FeCl</w:t>
      </w:r>
      <w:r>
        <w:rPr>
          <w:rFonts w:hint="eastAsia" w:cs="Times New Roman"/>
          <w:color w:val="auto"/>
          <w:sz w:val="15"/>
          <w:szCs w:val="15"/>
          <w:highlight w:val="none"/>
          <w:shd w:val="clear" w:fill="auto"/>
          <w:vertAlign w:val="subscript"/>
          <w:lang w:eastAsia="zh-CN"/>
        </w:rPr>
        <w:t>3</w:t>
      </w:r>
      <w:r>
        <w:rPr>
          <w:rFonts w:hint="eastAsia" w:cs="Times New Roman"/>
          <w:color w:val="auto"/>
          <w:sz w:val="15"/>
          <w:szCs w:val="15"/>
          <w:highlight w:val="none"/>
          <w:shd w:val="clear" w:fill="auto"/>
          <w:vertAlign w:val="baseline"/>
          <w:lang w:eastAsia="zh-CN"/>
        </w:rPr>
        <w:t xml:space="preserve"> coagulation: Performance and mechanism[J]. Science of the Total Environment, 2021, 752: 141837. </w:t>
      </w:r>
    </w:p>
    <w:p w14:paraId="20D2FE2D">
      <w:pPr>
        <w:pStyle w:val="2"/>
        <w:widowControl w:val="0"/>
        <w:numPr>
          <w:ilvl w:val="0"/>
          <w:numId w:val="0"/>
        </w:numPr>
        <w:ind w:left="420" w:leftChars="0" w:hanging="420" w:firstLineChars="0"/>
        <w:jc w:val="left"/>
        <w:rPr>
          <w:rFonts w:hint="eastAsia" w:ascii="Times New Roman" w:hAnsi="Times New Roman" w:eastAsia="宋体" w:cs="Times New Roman"/>
          <w:color w:val="auto"/>
          <w:sz w:val="15"/>
          <w:szCs w:val="15"/>
          <w:highlight w:val="none"/>
          <w:shd w:val="clear" w:fill="auto"/>
          <w:lang w:eastAsia="zh-CN"/>
        </w:rPr>
      </w:pPr>
      <w:r>
        <w:rPr>
          <w:rFonts w:hint="eastAsia" w:cs="Times New Roman"/>
          <w:color w:val="auto"/>
          <w:sz w:val="15"/>
          <w:szCs w:val="15"/>
          <w:highlight w:val="none"/>
          <w:shd w:val="clear" w:fill="auto"/>
          <w:lang w:eastAsia="zh-CN"/>
        </w:rPr>
        <w:t>[2</w:t>
      </w:r>
      <w:r>
        <w:rPr>
          <w:rFonts w:hint="eastAsia" w:cs="Times New Roman"/>
          <w:color w:val="auto"/>
          <w:sz w:val="15"/>
          <w:szCs w:val="15"/>
          <w:highlight w:val="none"/>
          <w:shd w:val="clear" w:fill="auto"/>
          <w:lang w:val="en-US" w:eastAsia="zh-CN"/>
        </w:rPr>
        <w:t>8</w:t>
      </w:r>
      <w:r>
        <w:rPr>
          <w:rFonts w:hint="eastAsia" w:cs="Times New Roman"/>
          <w:color w:val="auto"/>
          <w:sz w:val="15"/>
          <w:szCs w:val="15"/>
          <w:highlight w:val="none"/>
          <w:shd w:val="clear" w:fill="auto"/>
          <w:lang w:eastAsia="zh-CN"/>
        </w:rPr>
        <w:t xml:space="preserve">] ZHANG Y J, ZHOU G Y, YUE J P, et al. Enhanced removal of polyethylene terephthalate microplastics through polyaluminum chloride coagulation with three typical coagulant aids[J]. Science of the Total Environment, 2021, 800: 149589. </w:t>
      </w:r>
    </w:p>
    <w:p w14:paraId="76568CFF">
      <w:pPr>
        <w:pStyle w:val="2"/>
        <w:widowControl w:val="0"/>
        <w:numPr>
          <w:ilvl w:val="0"/>
          <w:numId w:val="0"/>
        </w:numPr>
        <w:ind w:left="420" w:leftChars="0" w:hanging="420" w:firstLineChars="0"/>
        <w:jc w:val="left"/>
        <w:rPr>
          <w:rFonts w:hint="eastAsia" w:ascii="Times New Roman" w:hAnsi="Times New Roman" w:eastAsia="宋体" w:cs="Times New Roman"/>
          <w:i w:val="0"/>
          <w:color w:val="auto"/>
          <w:sz w:val="15"/>
          <w:szCs w:val="15"/>
          <w:highlight w:val="none"/>
          <w:shd w:val="clear" w:fill="auto"/>
          <w:lang w:eastAsia="zh-CN"/>
        </w:rPr>
      </w:pPr>
      <w:r>
        <w:rPr>
          <w:rFonts w:hint="eastAsia" w:cs="Times New Roman"/>
          <w:color w:val="auto"/>
          <w:sz w:val="15"/>
          <w:szCs w:val="15"/>
          <w:highlight w:val="none"/>
          <w:shd w:val="clear" w:fill="auto"/>
          <w:lang w:eastAsia="zh-CN"/>
        </w:rPr>
        <w:t>[</w:t>
      </w:r>
      <w:r>
        <w:rPr>
          <w:rFonts w:hint="eastAsia" w:cs="Times New Roman"/>
          <w:color w:val="auto"/>
          <w:sz w:val="15"/>
          <w:szCs w:val="15"/>
          <w:highlight w:val="none"/>
          <w:shd w:val="clear" w:fill="auto"/>
          <w:lang w:val="en-US" w:eastAsia="zh-CN"/>
        </w:rPr>
        <w:t>29</w:t>
      </w:r>
      <w:r>
        <w:rPr>
          <w:rFonts w:hint="eastAsia" w:cs="Times New Roman"/>
          <w:color w:val="auto"/>
          <w:sz w:val="15"/>
          <w:szCs w:val="15"/>
          <w:highlight w:val="none"/>
          <w:shd w:val="clear" w:fill="auto"/>
          <w:lang w:eastAsia="zh-CN"/>
        </w:rPr>
        <w:t xml:space="preserve">] CHEN Z Y, CHEN C Y, LUO X W, et al. Flocculation of polystyrene nanoplastics in water using Mg/Al layered double hydroxides </w:t>
      </w:r>
      <w:r>
        <w:rPr>
          <w:rFonts w:hint="eastAsia" w:cs="Times New Roman"/>
          <w:i/>
          <w:color w:val="auto"/>
          <w:sz w:val="15"/>
          <w:szCs w:val="15"/>
          <w:highlight w:val="none"/>
          <w:shd w:val="clear" w:fill="auto"/>
          <w:lang w:eastAsia="zh-CN"/>
        </w:rPr>
        <w:t>via</w:t>
      </w:r>
      <w:r>
        <w:rPr>
          <w:rFonts w:hint="eastAsia" w:cs="Times New Roman"/>
          <w:i w:val="0"/>
          <w:color w:val="auto"/>
          <w:sz w:val="15"/>
          <w:szCs w:val="15"/>
          <w:highlight w:val="none"/>
          <w:shd w:val="clear" w:fill="auto"/>
          <w:lang w:eastAsia="zh-CN"/>
        </w:rPr>
        <w:t xml:space="preserve"> heteroaggregation[J]. Applied Clay Science, 2021, 213: 106264. </w:t>
      </w:r>
    </w:p>
    <w:p w14:paraId="62E1752A">
      <w:pPr>
        <w:pStyle w:val="2"/>
        <w:widowControl w:val="0"/>
        <w:numPr>
          <w:ilvl w:val="0"/>
          <w:numId w:val="0"/>
        </w:numPr>
        <w:ind w:left="420" w:leftChars="0" w:hanging="420" w:firstLineChars="0"/>
        <w:jc w:val="left"/>
        <w:rPr>
          <w:rFonts w:hint="eastAsia" w:ascii="Times New Roman" w:hAnsi="Times New Roman" w:eastAsia="宋体" w:cs="Times New Roman"/>
          <w:color w:val="auto"/>
          <w:sz w:val="15"/>
          <w:szCs w:val="15"/>
          <w:highlight w:val="none"/>
          <w:shd w:val="clear" w:fill="auto"/>
          <w:lang w:eastAsia="zh-CN"/>
        </w:rPr>
      </w:pPr>
      <w:r>
        <w:rPr>
          <w:rFonts w:hint="eastAsia" w:cs="Times New Roman"/>
          <w:color w:val="auto"/>
          <w:sz w:val="15"/>
          <w:szCs w:val="15"/>
          <w:highlight w:val="none"/>
          <w:shd w:val="clear" w:fill="auto"/>
          <w:lang w:eastAsia="zh-CN"/>
        </w:rPr>
        <w:t>[3</w:t>
      </w:r>
      <w:r>
        <w:rPr>
          <w:rFonts w:hint="eastAsia" w:cs="Times New Roman"/>
          <w:color w:val="auto"/>
          <w:sz w:val="15"/>
          <w:szCs w:val="15"/>
          <w:highlight w:val="none"/>
          <w:shd w:val="clear" w:fill="auto"/>
          <w:lang w:val="en-US" w:eastAsia="zh-CN"/>
        </w:rPr>
        <w:t>0</w:t>
      </w:r>
      <w:r>
        <w:rPr>
          <w:rFonts w:hint="eastAsia" w:cs="Times New Roman"/>
          <w:color w:val="auto"/>
          <w:sz w:val="15"/>
          <w:szCs w:val="15"/>
          <w:highlight w:val="none"/>
          <w:shd w:val="clear" w:fill="auto"/>
          <w:lang w:eastAsia="zh-CN"/>
        </w:rPr>
        <w:t xml:space="preserve">] MOUSAZADEH M, ALIZADEH S, FRONTISTIS Z, et al. Electrocoagulation as a promising defluoridation technology from water: A review of state of the art of removal mechanisms and performance trends[J]. Water, 2021, 13(5): 656. </w:t>
      </w:r>
    </w:p>
    <w:p w14:paraId="70B04526">
      <w:pPr>
        <w:pStyle w:val="2"/>
        <w:widowControl w:val="0"/>
        <w:numPr>
          <w:ilvl w:val="0"/>
          <w:numId w:val="0"/>
        </w:numPr>
        <w:ind w:left="420" w:leftChars="0" w:hanging="420" w:firstLineChars="0"/>
        <w:jc w:val="left"/>
        <w:rPr>
          <w:rFonts w:hint="eastAsia" w:cs="Times New Roman"/>
          <w:color w:val="auto"/>
          <w:sz w:val="15"/>
          <w:szCs w:val="15"/>
          <w:highlight w:val="none"/>
          <w:shd w:val="clear" w:fill="auto"/>
          <w:lang w:eastAsia="zh-CN"/>
        </w:rPr>
      </w:pPr>
      <w:r>
        <w:rPr>
          <w:rFonts w:hint="eastAsia" w:cs="Times New Roman"/>
          <w:color w:val="auto"/>
          <w:sz w:val="15"/>
          <w:szCs w:val="15"/>
          <w:highlight w:val="none"/>
          <w:shd w:val="clear" w:fill="auto"/>
          <w:lang w:eastAsia="zh-CN"/>
        </w:rPr>
        <w:t>[3</w:t>
      </w:r>
      <w:r>
        <w:rPr>
          <w:rFonts w:hint="eastAsia" w:cs="Times New Roman"/>
          <w:color w:val="auto"/>
          <w:sz w:val="15"/>
          <w:szCs w:val="15"/>
          <w:highlight w:val="none"/>
          <w:shd w:val="clear" w:fill="auto"/>
          <w:lang w:val="en-US" w:eastAsia="zh-CN"/>
        </w:rPr>
        <w:t>1</w:t>
      </w:r>
      <w:r>
        <w:rPr>
          <w:rFonts w:hint="eastAsia" w:cs="Times New Roman"/>
          <w:color w:val="auto"/>
          <w:sz w:val="15"/>
          <w:szCs w:val="15"/>
          <w:highlight w:val="none"/>
          <w:shd w:val="clear" w:fill="auto"/>
          <w:lang w:eastAsia="zh-CN"/>
        </w:rPr>
        <w:t>] 郑伟康, 刘振中, 项晓方. 水中微/纳塑料电化学检测及去除的研究进展[J]. 环境科学, 2024, 45(2): 1210-1221.</w:t>
      </w:r>
      <w:r>
        <w:rPr>
          <w:rFonts w:hint="eastAsia" w:cs="Times New Roman"/>
          <w:i w:val="0"/>
          <w:color w:val="auto"/>
          <w:sz w:val="15"/>
          <w:szCs w:val="15"/>
          <w:highlight w:val="none"/>
          <w:shd w:val="clear" w:fill="auto"/>
          <w:lang w:eastAsia="zh-CN"/>
        </w:rPr>
        <w:br w:type="textWrapping"/>
      </w:r>
      <w:r>
        <w:rPr>
          <w:rFonts w:hint="eastAsia" w:cs="Times New Roman"/>
          <w:color w:val="auto"/>
          <w:sz w:val="15"/>
          <w:szCs w:val="15"/>
          <w:highlight w:val="none"/>
          <w:shd w:val="clear" w:fill="auto"/>
          <w:lang w:eastAsia="zh-CN"/>
        </w:rPr>
        <w:t xml:space="preserve">ZHENG W K, LIU Z Z, XIANG X F. Research progress in electrochemical detection and removal of micro/nano plastics in water[J]. Environmental Science, 2024, 45(2): 1210-1221. </w:t>
      </w:r>
      <w:bookmarkStart w:id="4" w:name="_Ref28287"/>
    </w:p>
    <w:bookmarkEnd w:id="4"/>
    <w:p w14:paraId="2EAB0242">
      <w:pPr>
        <w:pStyle w:val="2"/>
        <w:widowControl w:val="0"/>
        <w:numPr>
          <w:ilvl w:val="0"/>
          <w:numId w:val="0"/>
        </w:numPr>
        <w:ind w:left="420" w:leftChars="0" w:hanging="420" w:firstLineChars="0"/>
        <w:jc w:val="left"/>
        <w:rPr>
          <w:rFonts w:hint="eastAsia" w:ascii="Times New Roman" w:hAnsi="Times New Roman" w:eastAsia="宋体" w:cs="Times New Roman"/>
          <w:color w:val="auto"/>
          <w:sz w:val="15"/>
          <w:szCs w:val="15"/>
          <w:highlight w:val="none"/>
          <w:shd w:val="clear" w:fill="auto"/>
          <w:lang w:eastAsia="zh-CN"/>
        </w:rPr>
      </w:pPr>
      <w:r>
        <w:rPr>
          <w:rFonts w:hint="eastAsia" w:cs="Times New Roman"/>
          <w:color w:val="auto"/>
          <w:sz w:val="15"/>
          <w:szCs w:val="15"/>
          <w:highlight w:val="none"/>
          <w:shd w:val="clear" w:fill="auto"/>
          <w:lang w:eastAsia="zh-CN"/>
        </w:rPr>
        <w:t>[3</w:t>
      </w:r>
      <w:r>
        <w:rPr>
          <w:rFonts w:hint="eastAsia" w:cs="Times New Roman"/>
          <w:color w:val="auto"/>
          <w:sz w:val="15"/>
          <w:szCs w:val="15"/>
          <w:highlight w:val="none"/>
          <w:shd w:val="clear" w:fill="auto"/>
          <w:lang w:val="en-US" w:eastAsia="zh-CN"/>
        </w:rPr>
        <w:t>2</w:t>
      </w:r>
      <w:r>
        <w:rPr>
          <w:rFonts w:hint="eastAsia" w:cs="Times New Roman"/>
          <w:color w:val="auto"/>
          <w:sz w:val="15"/>
          <w:szCs w:val="15"/>
          <w:highlight w:val="none"/>
          <w:shd w:val="clear" w:fill="auto"/>
          <w:lang w:eastAsia="zh-CN"/>
        </w:rPr>
        <w:t xml:space="preserve">] ELKHATIB D, OYANEDEL-CRAVER V, CARISSIMI E. Electrocoagulation applied for the removal of microplastics from wastewater treatment facilities[J]. Separation and Purification Technology, 2021, 276: 118877. </w:t>
      </w:r>
    </w:p>
    <w:p w14:paraId="5151DA2E">
      <w:pPr>
        <w:pStyle w:val="2"/>
        <w:widowControl w:val="0"/>
        <w:numPr>
          <w:ilvl w:val="0"/>
          <w:numId w:val="0"/>
        </w:numPr>
        <w:ind w:left="420" w:leftChars="0" w:hanging="420" w:firstLineChars="0"/>
        <w:jc w:val="left"/>
        <w:rPr>
          <w:rFonts w:hint="eastAsia" w:ascii="Times New Roman" w:hAnsi="Times New Roman" w:eastAsia="宋体" w:cs="Times New Roman"/>
          <w:color w:val="auto"/>
          <w:sz w:val="15"/>
          <w:szCs w:val="15"/>
          <w:highlight w:val="none"/>
          <w:shd w:val="clear" w:fill="auto"/>
          <w:lang w:eastAsia="zh-CN"/>
        </w:rPr>
      </w:pPr>
      <w:r>
        <w:rPr>
          <w:rFonts w:hint="eastAsia" w:cs="Times New Roman"/>
          <w:color w:val="auto"/>
          <w:sz w:val="15"/>
          <w:szCs w:val="15"/>
          <w:highlight w:val="none"/>
          <w:shd w:val="clear" w:fill="auto"/>
          <w:lang w:eastAsia="zh-CN"/>
        </w:rPr>
        <w:t>[3</w:t>
      </w:r>
      <w:r>
        <w:rPr>
          <w:rFonts w:hint="eastAsia" w:cs="Times New Roman"/>
          <w:color w:val="auto"/>
          <w:sz w:val="15"/>
          <w:szCs w:val="15"/>
          <w:highlight w:val="none"/>
          <w:shd w:val="clear" w:fill="auto"/>
          <w:lang w:val="en-US" w:eastAsia="zh-CN"/>
        </w:rPr>
        <w:t>3</w:t>
      </w:r>
      <w:r>
        <w:rPr>
          <w:rFonts w:hint="eastAsia" w:cs="Times New Roman"/>
          <w:color w:val="auto"/>
          <w:sz w:val="15"/>
          <w:szCs w:val="15"/>
          <w:highlight w:val="none"/>
          <w:shd w:val="clear" w:fill="auto"/>
          <w:lang w:eastAsia="zh-CN"/>
        </w:rPr>
        <w:t xml:space="preserve">] MOLLAH M Y A, SCHENNACH R, PARGA J R, et al. Electrocoagulation (EC): Science and applications[J]. Journal of Hazardous Materials, 2001, 84(1): 29-41. </w:t>
      </w:r>
    </w:p>
    <w:p w14:paraId="0EF58995">
      <w:pPr>
        <w:pStyle w:val="2"/>
        <w:widowControl w:val="0"/>
        <w:numPr>
          <w:ilvl w:val="0"/>
          <w:numId w:val="0"/>
        </w:numPr>
        <w:ind w:left="420" w:leftChars="0" w:hanging="420" w:firstLineChars="0"/>
        <w:jc w:val="left"/>
        <w:rPr>
          <w:rFonts w:hint="eastAsia" w:ascii="Times New Roman" w:hAnsi="Times New Roman" w:eastAsia="宋体" w:cs="Times New Roman"/>
          <w:color w:val="auto"/>
          <w:sz w:val="15"/>
          <w:szCs w:val="15"/>
          <w:highlight w:val="none"/>
          <w:shd w:val="clear" w:fill="auto"/>
          <w:lang w:eastAsia="zh-CN"/>
        </w:rPr>
      </w:pPr>
      <w:r>
        <w:rPr>
          <w:rFonts w:hint="eastAsia" w:cs="Times New Roman"/>
          <w:color w:val="auto"/>
          <w:sz w:val="15"/>
          <w:szCs w:val="15"/>
          <w:highlight w:val="none"/>
          <w:shd w:val="clear" w:fill="auto"/>
          <w:lang w:eastAsia="zh-CN"/>
        </w:rPr>
        <w:t>[3</w:t>
      </w:r>
      <w:r>
        <w:rPr>
          <w:rFonts w:hint="eastAsia" w:cs="Times New Roman"/>
          <w:color w:val="auto"/>
          <w:sz w:val="15"/>
          <w:szCs w:val="15"/>
          <w:highlight w:val="none"/>
          <w:shd w:val="clear" w:fill="auto"/>
          <w:lang w:val="en-US" w:eastAsia="zh-CN"/>
        </w:rPr>
        <w:t>4</w:t>
      </w:r>
      <w:r>
        <w:rPr>
          <w:rFonts w:hint="eastAsia" w:cs="Times New Roman"/>
          <w:color w:val="auto"/>
          <w:sz w:val="15"/>
          <w:szCs w:val="15"/>
          <w:highlight w:val="none"/>
          <w:shd w:val="clear" w:fill="auto"/>
          <w:lang w:eastAsia="zh-CN"/>
        </w:rPr>
        <w:t xml:space="preserve">] HU Y, ZHOU L, ZHU J, et al. Efficient removal of polyamide particles from wastewater by electrocoagulation[J]. Journal of Water Process Engineering, 2023, 51: 103417. </w:t>
      </w:r>
    </w:p>
    <w:p w14:paraId="5862C833">
      <w:pPr>
        <w:pStyle w:val="2"/>
        <w:widowControl w:val="0"/>
        <w:numPr>
          <w:ilvl w:val="0"/>
          <w:numId w:val="0"/>
        </w:numPr>
        <w:ind w:left="420" w:leftChars="0" w:hanging="420" w:firstLineChars="0"/>
        <w:jc w:val="left"/>
        <w:rPr>
          <w:rFonts w:hint="eastAsia" w:ascii="Times New Roman" w:hAnsi="Times New Roman" w:eastAsia="宋体" w:cs="Times New Roman"/>
          <w:color w:val="auto"/>
          <w:sz w:val="15"/>
          <w:szCs w:val="15"/>
          <w:highlight w:val="none"/>
          <w:shd w:val="clear" w:fill="auto"/>
          <w:lang w:eastAsia="zh-CN"/>
        </w:rPr>
      </w:pPr>
      <w:r>
        <w:rPr>
          <w:rFonts w:hint="eastAsia" w:cs="Times New Roman"/>
          <w:color w:val="auto"/>
          <w:sz w:val="15"/>
          <w:szCs w:val="15"/>
          <w:highlight w:val="none"/>
          <w:shd w:val="clear" w:fill="auto"/>
          <w:lang w:eastAsia="zh-CN"/>
        </w:rPr>
        <w:t>[3</w:t>
      </w:r>
      <w:r>
        <w:rPr>
          <w:rFonts w:hint="eastAsia" w:cs="Times New Roman"/>
          <w:color w:val="auto"/>
          <w:sz w:val="15"/>
          <w:szCs w:val="15"/>
          <w:highlight w:val="none"/>
          <w:shd w:val="clear" w:fill="auto"/>
          <w:lang w:val="en-US" w:eastAsia="zh-CN"/>
        </w:rPr>
        <w:t>5</w:t>
      </w:r>
      <w:r>
        <w:rPr>
          <w:rFonts w:hint="eastAsia" w:cs="Times New Roman"/>
          <w:color w:val="auto"/>
          <w:sz w:val="15"/>
          <w:szCs w:val="15"/>
          <w:highlight w:val="none"/>
          <w:shd w:val="clear" w:fill="auto"/>
          <w:lang w:eastAsia="zh-CN"/>
        </w:rPr>
        <w:t xml:space="preserve">] SUBAIR A, K L P, CHELLAPPAN S, et al. Evaluating the performance of electrocoagulation system in the removal of polystyrene microplastics from water[J]. Environmental Research, 2024, 243: 117887. </w:t>
      </w:r>
    </w:p>
    <w:p w14:paraId="4991B4EF">
      <w:pPr>
        <w:pStyle w:val="2"/>
        <w:widowControl w:val="0"/>
        <w:numPr>
          <w:ilvl w:val="0"/>
          <w:numId w:val="0"/>
        </w:numPr>
        <w:ind w:left="420" w:leftChars="0" w:hanging="420" w:firstLineChars="0"/>
        <w:jc w:val="left"/>
        <w:rPr>
          <w:rFonts w:hint="eastAsia" w:ascii="Times New Roman" w:hAnsi="Times New Roman" w:eastAsia="宋体" w:cs="Times New Roman"/>
          <w:color w:val="auto"/>
          <w:sz w:val="15"/>
          <w:szCs w:val="15"/>
          <w:highlight w:val="none"/>
          <w:shd w:val="clear" w:fill="auto"/>
          <w:lang w:eastAsia="zh-CN"/>
        </w:rPr>
      </w:pPr>
      <w:r>
        <w:rPr>
          <w:rFonts w:hint="eastAsia" w:cs="Times New Roman"/>
          <w:color w:val="auto"/>
          <w:sz w:val="15"/>
          <w:szCs w:val="15"/>
          <w:highlight w:val="none"/>
          <w:shd w:val="clear" w:fill="auto"/>
          <w:lang w:eastAsia="zh-CN"/>
        </w:rPr>
        <w:t>[3</w:t>
      </w:r>
      <w:r>
        <w:rPr>
          <w:rFonts w:hint="eastAsia" w:cs="Times New Roman"/>
          <w:color w:val="auto"/>
          <w:sz w:val="15"/>
          <w:szCs w:val="15"/>
          <w:highlight w:val="none"/>
          <w:shd w:val="clear" w:fill="auto"/>
          <w:lang w:val="en-US" w:eastAsia="zh-CN"/>
        </w:rPr>
        <w:t>6</w:t>
      </w:r>
      <w:r>
        <w:rPr>
          <w:rFonts w:hint="eastAsia" w:cs="Times New Roman"/>
          <w:color w:val="auto"/>
          <w:sz w:val="15"/>
          <w:szCs w:val="15"/>
          <w:highlight w:val="none"/>
          <w:shd w:val="clear" w:fill="auto"/>
          <w:lang w:eastAsia="zh-CN"/>
        </w:rPr>
        <w:t xml:space="preserve">] PERREN W, WOJTASIK A, CAI Q. Removal of microbeads from wastewater using electrocoagulation[J]. ACS Omega, 2018, 3(3)3357-3364 </w:t>
      </w:r>
    </w:p>
    <w:bookmarkEnd w:id="1"/>
    <w:p w14:paraId="62D4A73D">
      <w:pPr>
        <w:pStyle w:val="22"/>
        <w:numPr>
          <w:ilvl w:val="0"/>
          <w:numId w:val="0"/>
        </w:numPr>
        <w:adjustRightInd w:val="0"/>
        <w:snapToGrid w:val="0"/>
        <w:ind w:leftChars="0"/>
        <w:rPr>
          <w:rFonts w:hint="default" w:ascii="Times New Roman" w:hAnsi="Times New Roman" w:eastAsia="宋体" w:cs="Times New Roman"/>
          <w:color w:val="auto"/>
          <w:sz w:val="15"/>
          <w:szCs w:val="15"/>
          <w:highlight w:val="none"/>
          <w:shd w:val="clear" w:fill="auto"/>
          <w:lang w:val="en-US" w:eastAsia="zh-CN"/>
        </w:rPr>
      </w:pPr>
      <w:r>
        <w:rPr>
          <w:rFonts w:hint="eastAsia" w:ascii="Times New Roman" w:hAnsi="Times New Roman" w:cs="Times New Roman"/>
          <w:color w:val="auto"/>
          <w:sz w:val="15"/>
          <w:szCs w:val="15"/>
          <w:highlight w:val="none"/>
          <w:shd w:val="clear" w:fill="auto"/>
          <w:lang w:eastAsia="zh-CN"/>
        </w:rPr>
        <w:t>（</w:t>
      </w:r>
      <w:r>
        <w:rPr>
          <w:rFonts w:hint="eastAsia" w:ascii="Times New Roman" w:hAnsi="Times New Roman" w:cs="Times New Roman"/>
          <w:color w:val="auto"/>
          <w:sz w:val="15"/>
          <w:szCs w:val="15"/>
          <w:highlight w:val="none"/>
          <w:shd w:val="clear" w:fill="auto"/>
          <w:lang w:val="en-US" w:eastAsia="zh-CN"/>
        </w:rPr>
        <w:t>责任编辑  王璐）</w:t>
      </w:r>
    </w:p>
    <w:sectPr>
      <w:type w:val="continuous"/>
      <w:pgSz w:w="11906" w:h="16838"/>
      <w:pgMar w:top="1134" w:right="1134" w:bottom="1134" w:left="1134" w:header="851" w:footer="992" w:gutter="0"/>
      <w:pgBorders>
        <w:top w:val="none" w:sz="0" w:space="0"/>
        <w:left w:val="none" w:sz="0" w:space="0"/>
        <w:bottom w:val="none" w:sz="0" w:space="0"/>
        <w:right w:val="none" w:sz="0" w:space="0"/>
      </w:pgBorders>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8"/>
    <w:family w:val="script"/>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AdobeSongStd-Light">
    <w:altName w:val="方正姚体"/>
    <w:panose1 w:val="00000000000000000000"/>
    <w:charset w:val="86"/>
    <w:family w:val="auto"/>
    <w:pitch w:val="default"/>
    <w:sig w:usb0="00000000" w:usb1="00000000" w:usb2="00000010" w:usb3="00000000" w:csb0="00040000" w:csb1="00000000"/>
  </w:font>
  <w:font w:name="方正姚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等线">
    <w:altName w:val="Arial Unicode MS"/>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Gulim">
    <w:panose1 w:val="020B0600000101010101"/>
    <w:charset w:val="81"/>
    <w:family w:val="auto"/>
    <w:pitch w:val="default"/>
    <w:sig w:usb0="B00002AF" w:usb1="69D77CFB" w:usb2="00000030" w:usb3="00000000" w:csb0="4008009F" w:csb1="DFD7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footnote>
  <w:footnote w:type="continuationSeparator" w:id="3">
    <w:p/>
  </w:footnote>
  <w:footnote w:id="0">
    <w:p w14:paraId="09B99BEE">
      <w:pPr>
        <w:pStyle w:val="6"/>
        <w:ind w:right="2524"/>
        <w:rPr>
          <w:rFonts w:hint="default" w:ascii="Times New Roman" w:hAnsi="Times New Roman" w:cs="Times New Roman"/>
          <w:color w:val="auto"/>
          <w:lang w:val="en-US"/>
        </w:rPr>
      </w:pPr>
      <w:r>
        <w:rPr>
          <w:rFonts w:hint="default" w:ascii="Times New Roman" w:hAnsi="Times New Roman" w:eastAsia="宋体" w:cs="Times New Roman"/>
          <w:b/>
          <w:bCs/>
        </w:rPr>
        <w:t>收稿日期</w:t>
      </w:r>
      <w:r>
        <w:rPr>
          <w:rFonts w:hint="default" w:ascii="Times New Roman" w:hAnsi="Times New Roman" w:cs="Times New Roman"/>
          <w:b/>
          <w:bCs/>
          <w:lang w:eastAsia="zh-CN"/>
        </w:rPr>
        <w:t>：</w:t>
      </w:r>
      <w:r>
        <w:rPr>
          <w:rFonts w:hint="eastAsia" w:cs="Times New Roman"/>
          <w:b/>
          <w:bCs/>
          <w:lang w:val="en-US" w:eastAsia="zh-CN"/>
        </w:rPr>
        <w:t>2025-12-26；</w:t>
      </w:r>
      <w:r>
        <w:rPr>
          <w:rFonts w:hint="default" w:ascii="Times New Roman" w:hAnsi="Times New Roman" w:eastAsia="宋体" w:cs="Times New Roman"/>
          <w:b/>
          <w:bCs/>
          <w:color w:val="auto"/>
        </w:rPr>
        <w:t>修</w:t>
      </w:r>
      <w:r>
        <w:rPr>
          <w:rFonts w:hint="eastAsia" w:cs="Times New Roman"/>
          <w:b/>
          <w:bCs/>
          <w:color w:val="auto"/>
          <w:lang w:val="en-US" w:eastAsia="zh-CN"/>
        </w:rPr>
        <w:t>回</w:t>
      </w:r>
      <w:r>
        <w:rPr>
          <w:rFonts w:hint="default" w:ascii="Times New Roman" w:hAnsi="Times New Roman" w:eastAsia="宋体" w:cs="Times New Roman"/>
          <w:b/>
          <w:bCs/>
          <w:color w:val="auto"/>
        </w:rPr>
        <w:t>日期</w:t>
      </w:r>
      <w:r>
        <w:rPr>
          <w:rFonts w:hint="eastAsia" w:cs="Times New Roman"/>
          <w:b/>
          <w:bCs/>
          <w:color w:val="auto"/>
          <w:lang w:eastAsia="zh-CN"/>
        </w:rPr>
        <w:t>：</w:t>
      </w:r>
      <w:r>
        <w:rPr>
          <w:rFonts w:hint="eastAsia" w:cs="Times New Roman"/>
          <w:b/>
          <w:bCs/>
          <w:color w:val="auto"/>
          <w:lang w:val="en-US" w:eastAsia="zh-CN"/>
        </w:rPr>
        <w:t>2026-03-07；录用日期：2026-04-20；网络首发日期：2026-07-27</w:t>
      </w:r>
    </w:p>
    <w:p w14:paraId="5A06DEBE">
      <w:pPr>
        <w:keepNext w:val="0"/>
        <w:keepLines w:val="0"/>
        <w:widowControl/>
        <w:suppressLineNumbers w:val="0"/>
        <w:jc w:val="left"/>
        <w:rPr>
          <w:rFonts w:hint="default" w:ascii="Times New Roman" w:hAnsi="Times New Roman" w:eastAsia="宋体" w:cs="Times New Roman"/>
          <w:color w:val="auto"/>
          <w:sz w:val="18"/>
          <w:szCs w:val="18"/>
          <w:lang w:val="en-US"/>
        </w:rPr>
      </w:pPr>
      <w:r>
        <w:rPr>
          <w:rFonts w:hint="default" w:ascii="Times New Roman" w:hAnsi="Times New Roman" w:eastAsia="宋体" w:cs="Times New Roman"/>
          <w:b/>
          <w:bCs/>
          <w:color w:val="auto"/>
          <w:sz w:val="18"/>
          <w:szCs w:val="18"/>
        </w:rPr>
        <w:t>基金项目</w:t>
      </w:r>
      <w:r>
        <w:rPr>
          <w:rFonts w:hint="default" w:ascii="Times New Roman" w:hAnsi="Times New Roman" w:cs="Times New Roman"/>
          <w:color w:val="auto"/>
          <w:sz w:val="18"/>
          <w:szCs w:val="18"/>
          <w:lang w:eastAsia="zh-CN"/>
        </w:rPr>
        <w:t>：</w:t>
      </w:r>
      <w:r>
        <w:rPr>
          <w:rFonts w:hint="default" w:ascii="Times New Roman" w:hAnsi="Times New Roman" w:eastAsia="宋体" w:cs="Times New Roman"/>
          <w:color w:val="auto"/>
          <w:sz w:val="18"/>
          <w:szCs w:val="18"/>
        </w:rPr>
        <w:t>国家自然科学基金（44207540）；</w:t>
      </w:r>
      <w:r>
        <w:rPr>
          <w:rFonts w:hint="default" w:ascii="Times New Roman" w:hAnsi="Times New Roman" w:eastAsia="宋体" w:cs="Times New Roman"/>
          <w:color w:val="auto"/>
          <w:kern w:val="0"/>
          <w:sz w:val="18"/>
          <w:szCs w:val="18"/>
          <w:lang w:val="en-US" w:eastAsia="zh-CN" w:bidi="ar"/>
        </w:rPr>
        <w:t>重庆市水利科技重点项目（CQSLK-2023005）</w:t>
      </w:r>
      <w:r>
        <w:rPr>
          <w:rFonts w:hint="default" w:ascii="Times New Roman" w:hAnsi="Times New Roman" w:eastAsia="宋体" w:cs="Times New Roman"/>
          <w:color w:val="auto"/>
          <w:sz w:val="18"/>
          <w:szCs w:val="18"/>
        </w:rPr>
        <w:t>；</w:t>
      </w:r>
      <w:r>
        <w:rPr>
          <w:rFonts w:hint="default" w:ascii="Times New Roman" w:hAnsi="Times New Roman" w:eastAsia="宋体" w:cs="Times New Roman"/>
          <w:color w:val="auto"/>
          <w:kern w:val="0"/>
          <w:sz w:val="18"/>
          <w:szCs w:val="18"/>
          <w:lang w:val="en-US" w:eastAsia="zh-CN" w:bidi="ar"/>
        </w:rPr>
        <w:t>招商局生态环保科技有限公司科技自主创新项目（240128）</w:t>
      </w:r>
    </w:p>
    <w:p w14:paraId="4D94BEE9">
      <w:pPr>
        <w:pStyle w:val="6"/>
        <w:rPr>
          <w:rFonts w:hint="default" w:ascii="Times New Roman" w:hAnsi="Times New Roman" w:eastAsia="宋体" w:cs="Times New Roman"/>
          <w:color w:val="auto"/>
          <w:sz w:val="18"/>
          <w:szCs w:val="18"/>
        </w:rPr>
      </w:pPr>
      <w:r>
        <w:rPr>
          <w:rFonts w:hint="default" w:ascii="Times New Roman" w:hAnsi="Times New Roman" w:eastAsia="宋体" w:cs="Times New Roman"/>
          <w:b/>
          <w:bCs/>
          <w:color w:val="auto"/>
          <w:sz w:val="18"/>
          <w:szCs w:val="18"/>
        </w:rPr>
        <w:t>作者</w:t>
      </w:r>
      <w:r>
        <w:rPr>
          <w:rFonts w:hint="default" w:ascii="Times New Roman" w:hAnsi="Times New Roman" w:cs="Times New Roman"/>
          <w:b/>
          <w:bCs/>
          <w:color w:val="auto"/>
          <w:sz w:val="18"/>
          <w:szCs w:val="18"/>
          <w:lang w:val="en-US" w:eastAsia="zh-CN"/>
        </w:rPr>
        <w:t>简介</w:t>
      </w:r>
      <w:r>
        <w:rPr>
          <w:rFonts w:hint="default" w:ascii="Times New Roman" w:hAnsi="Times New Roman" w:cs="Times New Roman"/>
          <w:color w:val="auto"/>
          <w:sz w:val="18"/>
          <w:szCs w:val="18"/>
          <w:lang w:eastAsia="zh-CN"/>
        </w:rPr>
        <w:t>：</w:t>
      </w:r>
      <w:r>
        <w:rPr>
          <w:rFonts w:hint="default" w:ascii="Times New Roman" w:hAnsi="Times New Roman" w:eastAsia="宋体" w:cs="Times New Roman"/>
          <w:color w:val="auto"/>
          <w:sz w:val="18"/>
          <w:szCs w:val="18"/>
        </w:rPr>
        <w:t>夏彬梅(2001—)，女，</w:t>
      </w:r>
      <w:r>
        <w:rPr>
          <w:rFonts w:hint="eastAsia" w:cs="Times New Roman"/>
          <w:color w:val="auto"/>
          <w:sz w:val="18"/>
          <w:szCs w:val="18"/>
          <w:lang w:val="en-US" w:eastAsia="zh-CN"/>
        </w:rPr>
        <w:t>硕士</w:t>
      </w:r>
      <w:r>
        <w:rPr>
          <w:rFonts w:hint="default" w:ascii="Times New Roman" w:hAnsi="Times New Roman" w:eastAsia="宋体" w:cs="Times New Roman"/>
          <w:color w:val="auto"/>
          <w:sz w:val="18"/>
          <w:szCs w:val="18"/>
        </w:rPr>
        <w:t>研究生</w:t>
      </w:r>
      <w:r>
        <w:rPr>
          <w:rFonts w:hint="eastAsia" w:cs="Times New Roman"/>
          <w:color w:val="auto"/>
          <w:sz w:val="18"/>
          <w:szCs w:val="18"/>
          <w:lang w:eastAsia="zh-CN"/>
        </w:rPr>
        <w:t>，</w:t>
      </w:r>
      <w:r>
        <w:rPr>
          <w:rFonts w:hint="default" w:ascii="Times New Roman" w:hAnsi="Times New Roman" w:eastAsia="宋体" w:cs="Times New Roman"/>
          <w:color w:val="auto"/>
          <w:sz w:val="18"/>
          <w:szCs w:val="18"/>
        </w:rPr>
        <w:t>研究方向</w:t>
      </w:r>
      <w:r>
        <w:rPr>
          <w:rFonts w:hint="eastAsia" w:cs="Times New Roman"/>
          <w:color w:val="auto"/>
          <w:sz w:val="18"/>
          <w:szCs w:val="18"/>
          <w:lang w:val="en-US" w:eastAsia="zh-CN"/>
        </w:rPr>
        <w:t>为</w:t>
      </w:r>
      <w:r>
        <w:rPr>
          <w:rFonts w:hint="default" w:ascii="Times New Roman" w:hAnsi="Times New Roman" w:eastAsia="宋体" w:cs="Times New Roman"/>
          <w:color w:val="auto"/>
          <w:sz w:val="18"/>
          <w:szCs w:val="18"/>
          <w:lang w:val="en-US" w:eastAsia="zh-CN"/>
        </w:rPr>
        <w:t>水环境微塑料研究</w:t>
      </w:r>
      <w:r>
        <w:rPr>
          <w:rFonts w:hint="default" w:ascii="Times New Roman" w:hAnsi="Times New Roman" w:eastAsia="宋体" w:cs="Times New Roman"/>
          <w:color w:val="auto"/>
          <w:sz w:val="18"/>
          <w:szCs w:val="18"/>
        </w:rPr>
        <w:t>。E-mail：3235405164@qq.com</w:t>
      </w:r>
    </w:p>
    <w:p w14:paraId="397FA4CB">
      <w:pPr>
        <w:pStyle w:val="6"/>
        <w:rPr>
          <w:rFonts w:hint="default" w:ascii="Times New Roman" w:hAnsi="Times New Roman" w:eastAsia="宋体" w:cs="Times New Roman"/>
          <w:sz w:val="18"/>
          <w:szCs w:val="18"/>
        </w:rPr>
      </w:pPr>
      <w:r>
        <w:rPr>
          <w:rFonts w:hint="default" w:ascii="Times New Roman" w:hAnsi="Times New Roman" w:eastAsia="宋体" w:cs="Times New Roman"/>
          <w:b/>
          <w:bCs/>
          <w:color w:val="auto"/>
          <w:sz w:val="18"/>
          <w:szCs w:val="18"/>
        </w:rPr>
        <w:t>通信作者</w:t>
      </w:r>
      <w:r>
        <w:rPr>
          <w:rFonts w:hint="default" w:ascii="Times New Roman" w:hAnsi="Times New Roman" w:eastAsia="宋体" w:cs="Times New Roman"/>
          <w:color w:val="auto"/>
          <w:sz w:val="18"/>
          <w:szCs w:val="18"/>
        </w:rPr>
        <w:t>：祖波（1980—），男</w:t>
      </w:r>
      <w:r>
        <w:rPr>
          <w:rFonts w:hint="default" w:ascii="Times New Roman" w:hAnsi="Times New Roman" w:cs="Times New Roman"/>
          <w:color w:val="auto"/>
          <w:sz w:val="18"/>
          <w:szCs w:val="18"/>
          <w:lang w:eastAsia="zh-CN"/>
        </w:rPr>
        <w:t>，</w:t>
      </w:r>
      <w:r>
        <w:rPr>
          <w:rFonts w:hint="default" w:ascii="Times New Roman" w:hAnsi="Times New Roman" w:eastAsia="宋体" w:cs="Times New Roman"/>
          <w:color w:val="auto"/>
          <w:sz w:val="18"/>
          <w:szCs w:val="18"/>
        </w:rPr>
        <w:t>教授，博士，主要从事水环境与水污染研究。E-mail：zubo@cqj</w:t>
      </w:r>
      <w:r>
        <w:rPr>
          <w:rFonts w:hint="default" w:ascii="Times New Roman" w:hAnsi="Times New Roman" w:eastAsia="宋体" w:cs="Times New Roman"/>
          <w:sz w:val="18"/>
          <w:szCs w:val="18"/>
        </w:rPr>
        <w:t>tu.edu.cn</w:t>
      </w:r>
    </w:p>
    <w:p w14:paraId="6F3CA13C">
      <w:pPr>
        <w:adjustRightInd w:val="0"/>
        <w:snapToGrid w:val="0"/>
        <w:spacing w:line="264" w:lineRule="auto"/>
        <w:jc w:val="left"/>
        <w:rPr>
          <w:rFonts w:hint="eastAsia" w:ascii="宋体" w:hAnsi="宋体" w:eastAsia="宋体" w:cs="宋体"/>
          <w:color w:val="C00000"/>
          <w:sz w:val="18"/>
          <w:szCs w:val="18"/>
        </w:rPr>
      </w:pPr>
      <w:bookmarkStart w:id="5" w:name="_GoBack"/>
      <w:bookmarkEnd w:id="5"/>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2"/>
    <w:footnote w:id="3"/>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k2YTZkZTg1M2I5MjdiMjU1MTkxZDdhZmZlOWUxZTMifQ=="/>
  </w:docVars>
  <w:rsids>
    <w:rsidRoot w:val="00B00CD9"/>
    <w:rsid w:val="00006C28"/>
    <w:rsid w:val="00010B38"/>
    <w:rsid w:val="00014E7D"/>
    <w:rsid w:val="0002196B"/>
    <w:rsid w:val="00022236"/>
    <w:rsid w:val="00026014"/>
    <w:rsid w:val="00027F03"/>
    <w:rsid w:val="000308F4"/>
    <w:rsid w:val="00033ED2"/>
    <w:rsid w:val="000365EC"/>
    <w:rsid w:val="00037DD0"/>
    <w:rsid w:val="00053369"/>
    <w:rsid w:val="000649BF"/>
    <w:rsid w:val="0007178B"/>
    <w:rsid w:val="00071A45"/>
    <w:rsid w:val="000738C1"/>
    <w:rsid w:val="00074692"/>
    <w:rsid w:val="00075DA9"/>
    <w:rsid w:val="000770D7"/>
    <w:rsid w:val="00092059"/>
    <w:rsid w:val="000976DC"/>
    <w:rsid w:val="000A26E8"/>
    <w:rsid w:val="000A4AA9"/>
    <w:rsid w:val="000B2599"/>
    <w:rsid w:val="000B3250"/>
    <w:rsid w:val="000B41D6"/>
    <w:rsid w:val="000C618C"/>
    <w:rsid w:val="000D0D5C"/>
    <w:rsid w:val="000D14BD"/>
    <w:rsid w:val="000E302A"/>
    <w:rsid w:val="000E67B3"/>
    <w:rsid w:val="000F0497"/>
    <w:rsid w:val="000F054F"/>
    <w:rsid w:val="000F52CF"/>
    <w:rsid w:val="000F7B28"/>
    <w:rsid w:val="00100E8A"/>
    <w:rsid w:val="001013ED"/>
    <w:rsid w:val="00104C1B"/>
    <w:rsid w:val="00107D53"/>
    <w:rsid w:val="0011349B"/>
    <w:rsid w:val="0012229A"/>
    <w:rsid w:val="00123998"/>
    <w:rsid w:val="001258FD"/>
    <w:rsid w:val="0013242C"/>
    <w:rsid w:val="001433F8"/>
    <w:rsid w:val="0015519D"/>
    <w:rsid w:val="0016368B"/>
    <w:rsid w:val="001655AD"/>
    <w:rsid w:val="00170E90"/>
    <w:rsid w:val="001753D7"/>
    <w:rsid w:val="00177D7D"/>
    <w:rsid w:val="0018580E"/>
    <w:rsid w:val="00186091"/>
    <w:rsid w:val="00192EE0"/>
    <w:rsid w:val="00193AE3"/>
    <w:rsid w:val="00194563"/>
    <w:rsid w:val="0019549D"/>
    <w:rsid w:val="001B3444"/>
    <w:rsid w:val="001B3B13"/>
    <w:rsid w:val="001C1E8C"/>
    <w:rsid w:val="001C5705"/>
    <w:rsid w:val="001C6F7C"/>
    <w:rsid w:val="001D7E63"/>
    <w:rsid w:val="001E10AE"/>
    <w:rsid w:val="001E57B3"/>
    <w:rsid w:val="001E75DD"/>
    <w:rsid w:val="001F63D2"/>
    <w:rsid w:val="002003DB"/>
    <w:rsid w:val="00200677"/>
    <w:rsid w:val="002074AE"/>
    <w:rsid w:val="00213D88"/>
    <w:rsid w:val="00214835"/>
    <w:rsid w:val="00217C0F"/>
    <w:rsid w:val="0022329C"/>
    <w:rsid w:val="002243D4"/>
    <w:rsid w:val="00224493"/>
    <w:rsid w:val="002273E8"/>
    <w:rsid w:val="00227F6C"/>
    <w:rsid w:val="002307B7"/>
    <w:rsid w:val="0023211C"/>
    <w:rsid w:val="0024035E"/>
    <w:rsid w:val="00245594"/>
    <w:rsid w:val="002524A9"/>
    <w:rsid w:val="002526EE"/>
    <w:rsid w:val="0025540C"/>
    <w:rsid w:val="00270565"/>
    <w:rsid w:val="002838EF"/>
    <w:rsid w:val="0028667C"/>
    <w:rsid w:val="00292397"/>
    <w:rsid w:val="002944ED"/>
    <w:rsid w:val="002A3135"/>
    <w:rsid w:val="002A40D2"/>
    <w:rsid w:val="002A7C7F"/>
    <w:rsid w:val="002B2037"/>
    <w:rsid w:val="002B56F9"/>
    <w:rsid w:val="002B7C38"/>
    <w:rsid w:val="002C04F5"/>
    <w:rsid w:val="002C446C"/>
    <w:rsid w:val="002C5022"/>
    <w:rsid w:val="002C6278"/>
    <w:rsid w:val="002C6DA2"/>
    <w:rsid w:val="002C763A"/>
    <w:rsid w:val="002D4D04"/>
    <w:rsid w:val="002D5EDA"/>
    <w:rsid w:val="002D6F92"/>
    <w:rsid w:val="002E544E"/>
    <w:rsid w:val="002F1EAE"/>
    <w:rsid w:val="002F4B3D"/>
    <w:rsid w:val="002F5D96"/>
    <w:rsid w:val="002F6493"/>
    <w:rsid w:val="002F7465"/>
    <w:rsid w:val="003049C3"/>
    <w:rsid w:val="00316EF5"/>
    <w:rsid w:val="003228CD"/>
    <w:rsid w:val="00322AE8"/>
    <w:rsid w:val="00323962"/>
    <w:rsid w:val="00324AE8"/>
    <w:rsid w:val="003258AD"/>
    <w:rsid w:val="0033072D"/>
    <w:rsid w:val="00334940"/>
    <w:rsid w:val="00341C7A"/>
    <w:rsid w:val="00351427"/>
    <w:rsid w:val="003515C3"/>
    <w:rsid w:val="00351EB8"/>
    <w:rsid w:val="003531D1"/>
    <w:rsid w:val="00357969"/>
    <w:rsid w:val="0036019F"/>
    <w:rsid w:val="00365AAB"/>
    <w:rsid w:val="00380CC7"/>
    <w:rsid w:val="0038236F"/>
    <w:rsid w:val="003835C6"/>
    <w:rsid w:val="0039736D"/>
    <w:rsid w:val="003A19B4"/>
    <w:rsid w:val="003A2B4C"/>
    <w:rsid w:val="003B0955"/>
    <w:rsid w:val="003B19A8"/>
    <w:rsid w:val="003C342D"/>
    <w:rsid w:val="003C3AD7"/>
    <w:rsid w:val="003C4593"/>
    <w:rsid w:val="003D7F56"/>
    <w:rsid w:val="003E2B1B"/>
    <w:rsid w:val="003E53A7"/>
    <w:rsid w:val="003E767B"/>
    <w:rsid w:val="003F1AE6"/>
    <w:rsid w:val="003F2876"/>
    <w:rsid w:val="003F2E81"/>
    <w:rsid w:val="003F5717"/>
    <w:rsid w:val="0040243F"/>
    <w:rsid w:val="004064B3"/>
    <w:rsid w:val="00406CB6"/>
    <w:rsid w:val="00422368"/>
    <w:rsid w:val="0042639F"/>
    <w:rsid w:val="004267FC"/>
    <w:rsid w:val="00433570"/>
    <w:rsid w:val="00433F46"/>
    <w:rsid w:val="00441635"/>
    <w:rsid w:val="00442445"/>
    <w:rsid w:val="00443640"/>
    <w:rsid w:val="004467AB"/>
    <w:rsid w:val="00447A6F"/>
    <w:rsid w:val="00447BA7"/>
    <w:rsid w:val="00453BA6"/>
    <w:rsid w:val="004602B3"/>
    <w:rsid w:val="00461E10"/>
    <w:rsid w:val="00464F6E"/>
    <w:rsid w:val="0046571A"/>
    <w:rsid w:val="00466838"/>
    <w:rsid w:val="00467B70"/>
    <w:rsid w:val="00471956"/>
    <w:rsid w:val="00474882"/>
    <w:rsid w:val="00475A8D"/>
    <w:rsid w:val="00477260"/>
    <w:rsid w:val="004833E2"/>
    <w:rsid w:val="00494E6A"/>
    <w:rsid w:val="004976A4"/>
    <w:rsid w:val="004A4D68"/>
    <w:rsid w:val="004A4FCC"/>
    <w:rsid w:val="004A6AA7"/>
    <w:rsid w:val="004B05BA"/>
    <w:rsid w:val="004B762D"/>
    <w:rsid w:val="004C251E"/>
    <w:rsid w:val="004D29E6"/>
    <w:rsid w:val="004D3999"/>
    <w:rsid w:val="004D4146"/>
    <w:rsid w:val="004E11BD"/>
    <w:rsid w:val="004E2038"/>
    <w:rsid w:val="004E26B6"/>
    <w:rsid w:val="004E3CB3"/>
    <w:rsid w:val="004F093B"/>
    <w:rsid w:val="004F5632"/>
    <w:rsid w:val="004F7AB3"/>
    <w:rsid w:val="00502998"/>
    <w:rsid w:val="00503CD7"/>
    <w:rsid w:val="00505A12"/>
    <w:rsid w:val="00515802"/>
    <w:rsid w:val="005164F9"/>
    <w:rsid w:val="00516E79"/>
    <w:rsid w:val="00516FBA"/>
    <w:rsid w:val="00520AAB"/>
    <w:rsid w:val="00525105"/>
    <w:rsid w:val="00525549"/>
    <w:rsid w:val="0052557D"/>
    <w:rsid w:val="00527D97"/>
    <w:rsid w:val="00542F18"/>
    <w:rsid w:val="005440B0"/>
    <w:rsid w:val="005538D0"/>
    <w:rsid w:val="00554E48"/>
    <w:rsid w:val="00555780"/>
    <w:rsid w:val="00555C7C"/>
    <w:rsid w:val="00560B1E"/>
    <w:rsid w:val="00562AA1"/>
    <w:rsid w:val="005635CB"/>
    <w:rsid w:val="00564970"/>
    <w:rsid w:val="0056653D"/>
    <w:rsid w:val="005755EC"/>
    <w:rsid w:val="00592761"/>
    <w:rsid w:val="005941FC"/>
    <w:rsid w:val="005A070C"/>
    <w:rsid w:val="005B2F95"/>
    <w:rsid w:val="005B3DD4"/>
    <w:rsid w:val="005B72F4"/>
    <w:rsid w:val="005C0FE8"/>
    <w:rsid w:val="005C6A20"/>
    <w:rsid w:val="005C6C0D"/>
    <w:rsid w:val="005C7A29"/>
    <w:rsid w:val="005D0A30"/>
    <w:rsid w:val="005D46BD"/>
    <w:rsid w:val="005D5A6D"/>
    <w:rsid w:val="005E1618"/>
    <w:rsid w:val="005E234D"/>
    <w:rsid w:val="005E6973"/>
    <w:rsid w:val="005F0D01"/>
    <w:rsid w:val="00614B7D"/>
    <w:rsid w:val="00614E93"/>
    <w:rsid w:val="00615BC7"/>
    <w:rsid w:val="0061766B"/>
    <w:rsid w:val="00622DBA"/>
    <w:rsid w:val="00623013"/>
    <w:rsid w:val="00626A99"/>
    <w:rsid w:val="0062747D"/>
    <w:rsid w:val="00630A9A"/>
    <w:rsid w:val="0063560D"/>
    <w:rsid w:val="0064155A"/>
    <w:rsid w:val="00641C45"/>
    <w:rsid w:val="00651D75"/>
    <w:rsid w:val="0065223C"/>
    <w:rsid w:val="0065565F"/>
    <w:rsid w:val="00662268"/>
    <w:rsid w:val="00664052"/>
    <w:rsid w:val="00670692"/>
    <w:rsid w:val="006724BE"/>
    <w:rsid w:val="00672EC7"/>
    <w:rsid w:val="0068124C"/>
    <w:rsid w:val="0068319E"/>
    <w:rsid w:val="00685A62"/>
    <w:rsid w:val="00686133"/>
    <w:rsid w:val="00695AFA"/>
    <w:rsid w:val="006A35E8"/>
    <w:rsid w:val="006B1926"/>
    <w:rsid w:val="006B427F"/>
    <w:rsid w:val="006B6BDC"/>
    <w:rsid w:val="006C2C30"/>
    <w:rsid w:val="006C3CC1"/>
    <w:rsid w:val="006E1F13"/>
    <w:rsid w:val="006E6D8A"/>
    <w:rsid w:val="006F1F82"/>
    <w:rsid w:val="006F2529"/>
    <w:rsid w:val="006F588A"/>
    <w:rsid w:val="006F6821"/>
    <w:rsid w:val="00701CE5"/>
    <w:rsid w:val="00702B24"/>
    <w:rsid w:val="00711040"/>
    <w:rsid w:val="00720D11"/>
    <w:rsid w:val="007311F4"/>
    <w:rsid w:val="007314BC"/>
    <w:rsid w:val="00750433"/>
    <w:rsid w:val="00761FF7"/>
    <w:rsid w:val="00771DDD"/>
    <w:rsid w:val="007723C2"/>
    <w:rsid w:val="00772654"/>
    <w:rsid w:val="007777E3"/>
    <w:rsid w:val="00782437"/>
    <w:rsid w:val="0078581D"/>
    <w:rsid w:val="007868D8"/>
    <w:rsid w:val="007909AE"/>
    <w:rsid w:val="00793920"/>
    <w:rsid w:val="00794905"/>
    <w:rsid w:val="00795E41"/>
    <w:rsid w:val="007963E9"/>
    <w:rsid w:val="007A753D"/>
    <w:rsid w:val="007B0338"/>
    <w:rsid w:val="007B27A6"/>
    <w:rsid w:val="007C7A0B"/>
    <w:rsid w:val="007D0791"/>
    <w:rsid w:val="007D3924"/>
    <w:rsid w:val="007E32D8"/>
    <w:rsid w:val="007E7E9C"/>
    <w:rsid w:val="007F1204"/>
    <w:rsid w:val="007F66E8"/>
    <w:rsid w:val="007F6E3D"/>
    <w:rsid w:val="00813AD7"/>
    <w:rsid w:val="0081400E"/>
    <w:rsid w:val="008156AF"/>
    <w:rsid w:val="008329CA"/>
    <w:rsid w:val="0083335E"/>
    <w:rsid w:val="00833452"/>
    <w:rsid w:val="00835A7B"/>
    <w:rsid w:val="00846B5E"/>
    <w:rsid w:val="00851A95"/>
    <w:rsid w:val="00854D65"/>
    <w:rsid w:val="00866291"/>
    <w:rsid w:val="0086646A"/>
    <w:rsid w:val="00866AFE"/>
    <w:rsid w:val="008727F2"/>
    <w:rsid w:val="00881842"/>
    <w:rsid w:val="00885EAF"/>
    <w:rsid w:val="00892637"/>
    <w:rsid w:val="00896CB2"/>
    <w:rsid w:val="008A347D"/>
    <w:rsid w:val="008B15CB"/>
    <w:rsid w:val="008B24D2"/>
    <w:rsid w:val="008B5431"/>
    <w:rsid w:val="008B5599"/>
    <w:rsid w:val="008C54F6"/>
    <w:rsid w:val="008D0B82"/>
    <w:rsid w:val="008D1EA1"/>
    <w:rsid w:val="008D2A20"/>
    <w:rsid w:val="008F05DC"/>
    <w:rsid w:val="008F2F04"/>
    <w:rsid w:val="008F5FBA"/>
    <w:rsid w:val="008F6DCE"/>
    <w:rsid w:val="00903426"/>
    <w:rsid w:val="0091305E"/>
    <w:rsid w:val="00915A69"/>
    <w:rsid w:val="00922F78"/>
    <w:rsid w:val="009230E4"/>
    <w:rsid w:val="00925C69"/>
    <w:rsid w:val="009261E8"/>
    <w:rsid w:val="009367B8"/>
    <w:rsid w:val="00940EFA"/>
    <w:rsid w:val="00951D2E"/>
    <w:rsid w:val="00956A93"/>
    <w:rsid w:val="00963484"/>
    <w:rsid w:val="00965DC5"/>
    <w:rsid w:val="00970E5D"/>
    <w:rsid w:val="009729CF"/>
    <w:rsid w:val="00983954"/>
    <w:rsid w:val="00994952"/>
    <w:rsid w:val="009B1638"/>
    <w:rsid w:val="009B6CA7"/>
    <w:rsid w:val="009C68E6"/>
    <w:rsid w:val="009E5812"/>
    <w:rsid w:val="009F114E"/>
    <w:rsid w:val="009F6525"/>
    <w:rsid w:val="009F655A"/>
    <w:rsid w:val="009F6A64"/>
    <w:rsid w:val="009F6C4E"/>
    <w:rsid w:val="00A01C15"/>
    <w:rsid w:val="00A03063"/>
    <w:rsid w:val="00A107D2"/>
    <w:rsid w:val="00A12264"/>
    <w:rsid w:val="00A21F4D"/>
    <w:rsid w:val="00A31130"/>
    <w:rsid w:val="00A32788"/>
    <w:rsid w:val="00A35A11"/>
    <w:rsid w:val="00A40C01"/>
    <w:rsid w:val="00A41FF5"/>
    <w:rsid w:val="00A52668"/>
    <w:rsid w:val="00A6165B"/>
    <w:rsid w:val="00A65856"/>
    <w:rsid w:val="00A7110F"/>
    <w:rsid w:val="00A755DE"/>
    <w:rsid w:val="00A7596F"/>
    <w:rsid w:val="00A84EA1"/>
    <w:rsid w:val="00A90509"/>
    <w:rsid w:val="00A93F4D"/>
    <w:rsid w:val="00A943DD"/>
    <w:rsid w:val="00A95118"/>
    <w:rsid w:val="00AA5371"/>
    <w:rsid w:val="00AA7400"/>
    <w:rsid w:val="00AB06B9"/>
    <w:rsid w:val="00AB2F95"/>
    <w:rsid w:val="00AB6136"/>
    <w:rsid w:val="00AB78E9"/>
    <w:rsid w:val="00AC2104"/>
    <w:rsid w:val="00AD216D"/>
    <w:rsid w:val="00AD39A7"/>
    <w:rsid w:val="00AE0CE8"/>
    <w:rsid w:val="00AE3FAF"/>
    <w:rsid w:val="00AE466B"/>
    <w:rsid w:val="00AE4882"/>
    <w:rsid w:val="00AE49DB"/>
    <w:rsid w:val="00AF2257"/>
    <w:rsid w:val="00B00CD9"/>
    <w:rsid w:val="00B01361"/>
    <w:rsid w:val="00B020B9"/>
    <w:rsid w:val="00B03BAB"/>
    <w:rsid w:val="00B0552F"/>
    <w:rsid w:val="00B129E3"/>
    <w:rsid w:val="00B12D2F"/>
    <w:rsid w:val="00B1744B"/>
    <w:rsid w:val="00B2414E"/>
    <w:rsid w:val="00B267B5"/>
    <w:rsid w:val="00B36C01"/>
    <w:rsid w:val="00B42F8E"/>
    <w:rsid w:val="00B451BC"/>
    <w:rsid w:val="00B54C56"/>
    <w:rsid w:val="00B55CC3"/>
    <w:rsid w:val="00B601C6"/>
    <w:rsid w:val="00B606E0"/>
    <w:rsid w:val="00B70B00"/>
    <w:rsid w:val="00B75781"/>
    <w:rsid w:val="00B764C9"/>
    <w:rsid w:val="00B81827"/>
    <w:rsid w:val="00B826C5"/>
    <w:rsid w:val="00B86374"/>
    <w:rsid w:val="00BA3561"/>
    <w:rsid w:val="00BB1A36"/>
    <w:rsid w:val="00BB30F1"/>
    <w:rsid w:val="00BB7526"/>
    <w:rsid w:val="00BC3DAF"/>
    <w:rsid w:val="00BC4105"/>
    <w:rsid w:val="00BC5484"/>
    <w:rsid w:val="00BC6E60"/>
    <w:rsid w:val="00BC7C3F"/>
    <w:rsid w:val="00BD0F4E"/>
    <w:rsid w:val="00BD6104"/>
    <w:rsid w:val="00BD6277"/>
    <w:rsid w:val="00BD64CE"/>
    <w:rsid w:val="00BD7856"/>
    <w:rsid w:val="00BE133F"/>
    <w:rsid w:val="00BE6E85"/>
    <w:rsid w:val="00BF0084"/>
    <w:rsid w:val="00C01AA1"/>
    <w:rsid w:val="00C032CA"/>
    <w:rsid w:val="00C149B0"/>
    <w:rsid w:val="00C216A4"/>
    <w:rsid w:val="00C249FB"/>
    <w:rsid w:val="00C3173D"/>
    <w:rsid w:val="00C31BA2"/>
    <w:rsid w:val="00C34067"/>
    <w:rsid w:val="00C371AC"/>
    <w:rsid w:val="00C42025"/>
    <w:rsid w:val="00C513C9"/>
    <w:rsid w:val="00C51999"/>
    <w:rsid w:val="00C6036F"/>
    <w:rsid w:val="00C6115A"/>
    <w:rsid w:val="00C6473E"/>
    <w:rsid w:val="00C67E51"/>
    <w:rsid w:val="00C708D5"/>
    <w:rsid w:val="00C730A7"/>
    <w:rsid w:val="00C7510C"/>
    <w:rsid w:val="00C8451A"/>
    <w:rsid w:val="00C8702B"/>
    <w:rsid w:val="00CA0E1F"/>
    <w:rsid w:val="00CB0574"/>
    <w:rsid w:val="00CC1BB1"/>
    <w:rsid w:val="00CC5B65"/>
    <w:rsid w:val="00CD4640"/>
    <w:rsid w:val="00CE617A"/>
    <w:rsid w:val="00CF21C6"/>
    <w:rsid w:val="00CF4843"/>
    <w:rsid w:val="00CF4F44"/>
    <w:rsid w:val="00D01CB4"/>
    <w:rsid w:val="00D040A3"/>
    <w:rsid w:val="00D07BFC"/>
    <w:rsid w:val="00D166F2"/>
    <w:rsid w:val="00D16885"/>
    <w:rsid w:val="00D2778A"/>
    <w:rsid w:val="00D31436"/>
    <w:rsid w:val="00D37AB4"/>
    <w:rsid w:val="00D51E4A"/>
    <w:rsid w:val="00D52517"/>
    <w:rsid w:val="00D549FE"/>
    <w:rsid w:val="00D55100"/>
    <w:rsid w:val="00D60072"/>
    <w:rsid w:val="00D71F77"/>
    <w:rsid w:val="00D73543"/>
    <w:rsid w:val="00D75CFE"/>
    <w:rsid w:val="00D851C1"/>
    <w:rsid w:val="00D92B38"/>
    <w:rsid w:val="00D9357D"/>
    <w:rsid w:val="00D936CA"/>
    <w:rsid w:val="00D95222"/>
    <w:rsid w:val="00DA1F01"/>
    <w:rsid w:val="00DA2D0D"/>
    <w:rsid w:val="00DB6DC3"/>
    <w:rsid w:val="00DC5562"/>
    <w:rsid w:val="00DC591A"/>
    <w:rsid w:val="00DD0098"/>
    <w:rsid w:val="00DD11B5"/>
    <w:rsid w:val="00DD1A30"/>
    <w:rsid w:val="00DD1DD9"/>
    <w:rsid w:val="00DD61E3"/>
    <w:rsid w:val="00DE0AD2"/>
    <w:rsid w:val="00DE3A26"/>
    <w:rsid w:val="00DE6750"/>
    <w:rsid w:val="00DE75F3"/>
    <w:rsid w:val="00DF18D8"/>
    <w:rsid w:val="00DF4E46"/>
    <w:rsid w:val="00DF6618"/>
    <w:rsid w:val="00E0243B"/>
    <w:rsid w:val="00E06468"/>
    <w:rsid w:val="00E11FD7"/>
    <w:rsid w:val="00E138AF"/>
    <w:rsid w:val="00E13CB6"/>
    <w:rsid w:val="00E17856"/>
    <w:rsid w:val="00E2179A"/>
    <w:rsid w:val="00E22918"/>
    <w:rsid w:val="00E257D8"/>
    <w:rsid w:val="00E258DD"/>
    <w:rsid w:val="00E26602"/>
    <w:rsid w:val="00E32561"/>
    <w:rsid w:val="00E36B54"/>
    <w:rsid w:val="00E36B96"/>
    <w:rsid w:val="00E44EBB"/>
    <w:rsid w:val="00E50F99"/>
    <w:rsid w:val="00E52E9D"/>
    <w:rsid w:val="00E562D0"/>
    <w:rsid w:val="00E575C1"/>
    <w:rsid w:val="00E60902"/>
    <w:rsid w:val="00E65CBE"/>
    <w:rsid w:val="00E666DE"/>
    <w:rsid w:val="00E71E55"/>
    <w:rsid w:val="00E73714"/>
    <w:rsid w:val="00E77D30"/>
    <w:rsid w:val="00E80052"/>
    <w:rsid w:val="00E86A7E"/>
    <w:rsid w:val="00E87CC4"/>
    <w:rsid w:val="00E9558F"/>
    <w:rsid w:val="00E96CA3"/>
    <w:rsid w:val="00EA6F3C"/>
    <w:rsid w:val="00EB5D88"/>
    <w:rsid w:val="00EC62BE"/>
    <w:rsid w:val="00EC68A4"/>
    <w:rsid w:val="00EE3FC3"/>
    <w:rsid w:val="00EE7378"/>
    <w:rsid w:val="00EE7D81"/>
    <w:rsid w:val="00EF70AF"/>
    <w:rsid w:val="00F15634"/>
    <w:rsid w:val="00F17DDD"/>
    <w:rsid w:val="00F2450F"/>
    <w:rsid w:val="00F25891"/>
    <w:rsid w:val="00F316C3"/>
    <w:rsid w:val="00F35CA3"/>
    <w:rsid w:val="00F364E8"/>
    <w:rsid w:val="00F41ABB"/>
    <w:rsid w:val="00F45215"/>
    <w:rsid w:val="00F476B9"/>
    <w:rsid w:val="00F52E8C"/>
    <w:rsid w:val="00F61603"/>
    <w:rsid w:val="00F65572"/>
    <w:rsid w:val="00F704DF"/>
    <w:rsid w:val="00F73F13"/>
    <w:rsid w:val="00F74F29"/>
    <w:rsid w:val="00F755A2"/>
    <w:rsid w:val="00F802E0"/>
    <w:rsid w:val="00F836F5"/>
    <w:rsid w:val="00F84E96"/>
    <w:rsid w:val="00F94ACB"/>
    <w:rsid w:val="00FA1942"/>
    <w:rsid w:val="00FA19DD"/>
    <w:rsid w:val="00FA5402"/>
    <w:rsid w:val="00FB0B37"/>
    <w:rsid w:val="00FB38D5"/>
    <w:rsid w:val="00FB71F1"/>
    <w:rsid w:val="00FC5088"/>
    <w:rsid w:val="00FD1AAB"/>
    <w:rsid w:val="00FD61B5"/>
    <w:rsid w:val="00FE6496"/>
    <w:rsid w:val="00FF4A7C"/>
    <w:rsid w:val="00FF567C"/>
    <w:rsid w:val="00FF61A8"/>
    <w:rsid w:val="00FF7E37"/>
    <w:rsid w:val="01DB7ED5"/>
    <w:rsid w:val="01E03A9B"/>
    <w:rsid w:val="02016A5F"/>
    <w:rsid w:val="03B24C65"/>
    <w:rsid w:val="045253DC"/>
    <w:rsid w:val="046D7BB7"/>
    <w:rsid w:val="06623584"/>
    <w:rsid w:val="07520C39"/>
    <w:rsid w:val="07550729"/>
    <w:rsid w:val="07B85B3B"/>
    <w:rsid w:val="07F40498"/>
    <w:rsid w:val="081906D7"/>
    <w:rsid w:val="08BB5CE2"/>
    <w:rsid w:val="097B155F"/>
    <w:rsid w:val="09FC30DE"/>
    <w:rsid w:val="0A690774"/>
    <w:rsid w:val="0AC17331"/>
    <w:rsid w:val="0B3C7C36"/>
    <w:rsid w:val="0B955598"/>
    <w:rsid w:val="0C550884"/>
    <w:rsid w:val="0C5B44D7"/>
    <w:rsid w:val="0D953957"/>
    <w:rsid w:val="0E3634E0"/>
    <w:rsid w:val="0E576B35"/>
    <w:rsid w:val="0EC71F0D"/>
    <w:rsid w:val="0ECA60C7"/>
    <w:rsid w:val="0F346E76"/>
    <w:rsid w:val="0F8C6010"/>
    <w:rsid w:val="10C211BE"/>
    <w:rsid w:val="1149732C"/>
    <w:rsid w:val="13355B11"/>
    <w:rsid w:val="15A563D8"/>
    <w:rsid w:val="16214122"/>
    <w:rsid w:val="1A231FC1"/>
    <w:rsid w:val="1BDB2B53"/>
    <w:rsid w:val="1DF779ED"/>
    <w:rsid w:val="1E193E07"/>
    <w:rsid w:val="20747D50"/>
    <w:rsid w:val="21555156"/>
    <w:rsid w:val="21751CE7"/>
    <w:rsid w:val="217C0935"/>
    <w:rsid w:val="235B45C2"/>
    <w:rsid w:val="23E26A49"/>
    <w:rsid w:val="23ED6700"/>
    <w:rsid w:val="24BB1774"/>
    <w:rsid w:val="28461C9C"/>
    <w:rsid w:val="292A511A"/>
    <w:rsid w:val="297840D8"/>
    <w:rsid w:val="297E5AE5"/>
    <w:rsid w:val="298E7457"/>
    <w:rsid w:val="2A2A5C2E"/>
    <w:rsid w:val="2ABA427C"/>
    <w:rsid w:val="2ADE4D64"/>
    <w:rsid w:val="2AE26708"/>
    <w:rsid w:val="2B2C21B3"/>
    <w:rsid w:val="2B345DDC"/>
    <w:rsid w:val="2CB2345D"/>
    <w:rsid w:val="2D12039F"/>
    <w:rsid w:val="2D9E60D7"/>
    <w:rsid w:val="2E960B5C"/>
    <w:rsid w:val="303D06B3"/>
    <w:rsid w:val="30562C99"/>
    <w:rsid w:val="311A3CC6"/>
    <w:rsid w:val="315A311B"/>
    <w:rsid w:val="33843679"/>
    <w:rsid w:val="340F388A"/>
    <w:rsid w:val="34867876"/>
    <w:rsid w:val="34E35F62"/>
    <w:rsid w:val="3596247A"/>
    <w:rsid w:val="36405F7D"/>
    <w:rsid w:val="376C4B50"/>
    <w:rsid w:val="378D591E"/>
    <w:rsid w:val="383B2EA0"/>
    <w:rsid w:val="383C4522"/>
    <w:rsid w:val="38912AC0"/>
    <w:rsid w:val="38F17A02"/>
    <w:rsid w:val="39CB0253"/>
    <w:rsid w:val="39DD0377"/>
    <w:rsid w:val="3A30455A"/>
    <w:rsid w:val="3AA70248"/>
    <w:rsid w:val="3D8B2537"/>
    <w:rsid w:val="3E10092B"/>
    <w:rsid w:val="3EAD1CD6"/>
    <w:rsid w:val="40FC0CF2"/>
    <w:rsid w:val="422E312E"/>
    <w:rsid w:val="443864E5"/>
    <w:rsid w:val="44B00772"/>
    <w:rsid w:val="45913BAE"/>
    <w:rsid w:val="465B2326"/>
    <w:rsid w:val="47B02837"/>
    <w:rsid w:val="4A8C758B"/>
    <w:rsid w:val="4AC960E9"/>
    <w:rsid w:val="4C157F99"/>
    <w:rsid w:val="4C6622BA"/>
    <w:rsid w:val="4CA50490"/>
    <w:rsid w:val="4D2607A2"/>
    <w:rsid w:val="4D3A32CE"/>
    <w:rsid w:val="4DB478D7"/>
    <w:rsid w:val="4DCB2178"/>
    <w:rsid w:val="4EB26E94"/>
    <w:rsid w:val="4EC2357B"/>
    <w:rsid w:val="4F481721"/>
    <w:rsid w:val="4FB530E0"/>
    <w:rsid w:val="500243D3"/>
    <w:rsid w:val="51363DAD"/>
    <w:rsid w:val="51FA127E"/>
    <w:rsid w:val="52AF02BB"/>
    <w:rsid w:val="54776BB6"/>
    <w:rsid w:val="5555648E"/>
    <w:rsid w:val="55EC7130"/>
    <w:rsid w:val="57E53764"/>
    <w:rsid w:val="58EE3FA2"/>
    <w:rsid w:val="59A85A64"/>
    <w:rsid w:val="5A094754"/>
    <w:rsid w:val="5A56726E"/>
    <w:rsid w:val="5B3550D5"/>
    <w:rsid w:val="5B834092"/>
    <w:rsid w:val="5D8D7008"/>
    <w:rsid w:val="5DCF1811"/>
    <w:rsid w:val="5F3472E0"/>
    <w:rsid w:val="5F3F6522"/>
    <w:rsid w:val="5FFE1F39"/>
    <w:rsid w:val="601856F1"/>
    <w:rsid w:val="616B1562"/>
    <w:rsid w:val="61E635CD"/>
    <w:rsid w:val="62C969B1"/>
    <w:rsid w:val="63021D41"/>
    <w:rsid w:val="635950DB"/>
    <w:rsid w:val="6408782B"/>
    <w:rsid w:val="6452176F"/>
    <w:rsid w:val="64964E36"/>
    <w:rsid w:val="657B5DDA"/>
    <w:rsid w:val="65BC08CD"/>
    <w:rsid w:val="66B43C9A"/>
    <w:rsid w:val="683926A8"/>
    <w:rsid w:val="6B1E7934"/>
    <w:rsid w:val="6B94364C"/>
    <w:rsid w:val="6BD5256C"/>
    <w:rsid w:val="6C010CC1"/>
    <w:rsid w:val="6CC83FFB"/>
    <w:rsid w:val="6D513FF0"/>
    <w:rsid w:val="6DFB21AE"/>
    <w:rsid w:val="6E331A31"/>
    <w:rsid w:val="6F417122"/>
    <w:rsid w:val="6FB6638D"/>
    <w:rsid w:val="724834E8"/>
    <w:rsid w:val="7431692A"/>
    <w:rsid w:val="74687E72"/>
    <w:rsid w:val="74C7103C"/>
    <w:rsid w:val="764657D7"/>
    <w:rsid w:val="76B13D52"/>
    <w:rsid w:val="77C978F4"/>
    <w:rsid w:val="79733540"/>
    <w:rsid w:val="79F503F9"/>
    <w:rsid w:val="7B035A61"/>
    <w:rsid w:val="7BE63AD5"/>
    <w:rsid w:val="7E5356EF"/>
    <w:rsid w:val="7FDC1E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99"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qFormat="1" w:unhideWhenUsed="0" w:uiPriority="0" w:semiHidden="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qFormat="1" w:unhideWhenUsed="0" w:uiPriority="0" w:semiHidden="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3">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31"/>
    <w:qFormat/>
    <w:uiPriority w:val="99"/>
    <w:pPr>
      <w:jc w:val="left"/>
    </w:pPr>
    <w:rPr>
      <w:lang w:val="zh-CN"/>
    </w:rPr>
  </w:style>
  <w:style w:type="paragraph" w:styleId="3">
    <w:name w:val="Balloon Text"/>
    <w:basedOn w:val="1"/>
    <w:semiHidden/>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link w:val="30"/>
    <w:qFormat/>
    <w:uiPriority w:val="0"/>
    <w:pPr>
      <w:pBdr>
        <w:bottom w:val="single" w:color="auto" w:sz="6" w:space="1"/>
      </w:pBdr>
      <w:tabs>
        <w:tab w:val="center" w:pos="4153"/>
        <w:tab w:val="right" w:pos="8306"/>
      </w:tabs>
      <w:snapToGrid w:val="0"/>
      <w:jc w:val="center"/>
    </w:pPr>
    <w:rPr>
      <w:sz w:val="18"/>
      <w:szCs w:val="18"/>
      <w:lang w:val="zh-CN"/>
    </w:rPr>
  </w:style>
  <w:style w:type="paragraph" w:styleId="6">
    <w:name w:val="footnote text"/>
    <w:basedOn w:val="1"/>
    <w:semiHidden/>
    <w:qFormat/>
    <w:uiPriority w:val="0"/>
    <w:pPr>
      <w:snapToGrid w:val="0"/>
      <w:jc w:val="left"/>
    </w:pPr>
    <w:rPr>
      <w:sz w:val="18"/>
      <w:szCs w:val="18"/>
    </w:rPr>
  </w:style>
  <w:style w:type="paragraph" w:styleId="7">
    <w:name w:val="Normal (Web)"/>
    <w:basedOn w:val="1"/>
    <w:qFormat/>
    <w:uiPriority w:val="0"/>
    <w:pPr>
      <w:spacing w:beforeAutospacing="1" w:afterAutospacing="1"/>
      <w:jc w:val="left"/>
    </w:pPr>
    <w:rPr>
      <w:kern w:val="0"/>
      <w:sz w:val="24"/>
    </w:rPr>
  </w:style>
  <w:style w:type="paragraph" w:styleId="8">
    <w:name w:val="annotation subject"/>
    <w:basedOn w:val="2"/>
    <w:next w:val="2"/>
    <w:link w:val="32"/>
    <w:qFormat/>
    <w:uiPriority w:val="0"/>
    <w:rPr>
      <w:b/>
      <w:bCs/>
    </w:rPr>
  </w:style>
  <w:style w:type="table" w:styleId="10">
    <w:name w:val="Table Grid"/>
    <w:basedOn w:val="9"/>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11">
    <w:name w:val="Table Simple 1"/>
    <w:basedOn w:val="9"/>
    <w:qFormat/>
    <w:uiPriority w:val="0"/>
    <w:pPr>
      <w:widowControl w:val="0"/>
      <w:jc w:val="both"/>
    </w:pPr>
    <w:tblPr>
      <w:tblBorders>
        <w:top w:val="single" w:color="008000" w:sz="12" w:space="0"/>
        <w:bottom w:val="single" w:color="008000" w:sz="12" w:space="0"/>
      </w:tblBorders>
      <w:tblCellMar>
        <w:top w:w="0" w:type="dxa"/>
        <w:left w:w="108" w:type="dxa"/>
        <w:bottom w:w="0" w:type="dxa"/>
        <w:right w:w="108" w:type="dxa"/>
      </w:tblCellMar>
    </w:tblPr>
    <w:tcPr>
      <w:shd w:val="clear" w:color="auto" w:fill="auto"/>
    </w:tcPr>
    <w:tblStylePr w:type="firstRow">
      <w:tblPr/>
      <w:tcPr>
        <w:tcBorders>
          <w:bottom w:val="single" w:color="008000" w:sz="6" w:space="0"/>
          <w:tl2br w:val="nil"/>
          <w:tr2bl w:val="nil"/>
        </w:tcBorders>
      </w:tcPr>
    </w:tblStylePr>
    <w:tblStylePr w:type="lastRow">
      <w:tblPr/>
      <w:tcPr>
        <w:tcBorders>
          <w:top w:val="single" w:color="008000" w:sz="6" w:space="0"/>
          <w:tl2br w:val="nil"/>
          <w:tr2bl w:val="nil"/>
        </w:tcBorders>
      </w:tcPr>
    </w:tblStylePr>
  </w:style>
  <w:style w:type="table" w:styleId="12">
    <w:name w:val="Table List 3"/>
    <w:basedOn w:val="9"/>
    <w:qFormat/>
    <w:uiPriority w:val="0"/>
    <w:pPr>
      <w:widowControl w:val="0"/>
      <w:jc w:val="both"/>
    </w:pPr>
    <w:tblPr>
      <w:tblBorders>
        <w:top w:val="single" w:color="000000" w:sz="12" w:space="0"/>
        <w:bottom w:val="single" w:color="000000" w:sz="12" w:space="0"/>
        <w:insideH w:val="single" w:color="000000" w:sz="6" w:space="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swCell">
      <w:rPr>
        <w:i/>
        <w:iCs/>
        <w:color w:val="000080"/>
      </w:rPr>
      <w:tblPr/>
      <w:tcPr>
        <w:tcBorders>
          <w:tl2br w:val="nil"/>
          <w:tr2bl w:val="nil"/>
        </w:tcBorders>
      </w:tcPr>
    </w:tblStylePr>
  </w:style>
  <w:style w:type="character" w:styleId="14">
    <w:name w:val="Strong"/>
    <w:basedOn w:val="13"/>
    <w:qFormat/>
    <w:uiPriority w:val="99"/>
    <w:rPr>
      <w:b/>
      <w:bCs/>
    </w:rPr>
  </w:style>
  <w:style w:type="character" w:styleId="15">
    <w:name w:val="page number"/>
    <w:basedOn w:val="13"/>
    <w:qFormat/>
    <w:uiPriority w:val="0"/>
  </w:style>
  <w:style w:type="character" w:styleId="16">
    <w:name w:val="Emphasis"/>
    <w:basedOn w:val="13"/>
    <w:qFormat/>
    <w:uiPriority w:val="0"/>
    <w:rPr>
      <w:i/>
    </w:rPr>
  </w:style>
  <w:style w:type="character" w:styleId="17">
    <w:name w:val="Hyperlink"/>
    <w:qFormat/>
    <w:uiPriority w:val="0"/>
    <w:rPr>
      <w:color w:val="000099"/>
      <w:u w:val="none"/>
    </w:rPr>
  </w:style>
  <w:style w:type="character" w:styleId="18">
    <w:name w:val="annotation reference"/>
    <w:semiHidden/>
    <w:qFormat/>
    <w:uiPriority w:val="0"/>
    <w:rPr>
      <w:sz w:val="21"/>
      <w:szCs w:val="21"/>
    </w:rPr>
  </w:style>
  <w:style w:type="character" w:styleId="19">
    <w:name w:val="footnote reference"/>
    <w:semiHidden/>
    <w:qFormat/>
    <w:uiPriority w:val="0"/>
    <w:rPr>
      <w:vertAlign w:val="superscript"/>
    </w:rPr>
  </w:style>
  <w:style w:type="paragraph" w:customStyle="1" w:styleId="20">
    <w:name w:val="Char Char Char Char Char Char"/>
    <w:basedOn w:val="1"/>
    <w:qFormat/>
    <w:uiPriority w:val="0"/>
    <w:pPr>
      <w:snapToGrid w:val="0"/>
      <w:spacing w:line="360" w:lineRule="auto"/>
      <w:ind w:firstLine="200" w:firstLineChars="200"/>
    </w:pPr>
    <w:rPr>
      <w:rFonts w:eastAsia="仿宋_GB2312"/>
      <w:sz w:val="24"/>
    </w:rPr>
  </w:style>
  <w:style w:type="character" w:customStyle="1" w:styleId="21">
    <w:name w:val="style21"/>
    <w:qFormat/>
    <w:uiPriority w:val="0"/>
    <w:rPr>
      <w:color w:val="0000A0"/>
      <w:sz w:val="33"/>
      <w:szCs w:val="33"/>
    </w:rPr>
  </w:style>
  <w:style w:type="paragraph" w:customStyle="1" w:styleId="22">
    <w:name w:val="列出段落1"/>
    <w:basedOn w:val="1"/>
    <w:qFormat/>
    <w:uiPriority w:val="34"/>
    <w:pPr>
      <w:ind w:firstLine="420" w:firstLineChars="200"/>
    </w:pPr>
    <w:rPr>
      <w:rFonts w:ascii="Calibri" w:hAnsi="Calibri"/>
      <w:szCs w:val="22"/>
    </w:rPr>
  </w:style>
  <w:style w:type="paragraph" w:customStyle="1" w:styleId="23">
    <w:name w:val="公式编号格式"/>
    <w:basedOn w:val="1"/>
    <w:link w:val="24"/>
    <w:qFormat/>
    <w:uiPriority w:val="0"/>
    <w:rPr>
      <w:szCs w:val="22"/>
      <w:lang w:val="zh-CN"/>
    </w:rPr>
  </w:style>
  <w:style w:type="character" w:customStyle="1" w:styleId="24">
    <w:name w:val="公式编号格式 Char"/>
    <w:link w:val="23"/>
    <w:qFormat/>
    <w:uiPriority w:val="0"/>
    <w:rPr>
      <w:kern w:val="2"/>
      <w:sz w:val="21"/>
      <w:szCs w:val="22"/>
    </w:rPr>
  </w:style>
  <w:style w:type="paragraph" w:customStyle="1" w:styleId="25">
    <w:name w:val="公式居中"/>
    <w:basedOn w:val="1"/>
    <w:qFormat/>
    <w:uiPriority w:val="0"/>
    <w:pPr>
      <w:tabs>
        <w:tab w:val="center" w:pos="4253"/>
        <w:tab w:val="right" w:pos="8222"/>
      </w:tabs>
    </w:pPr>
    <w:rPr>
      <w:rFonts w:ascii="Calibri" w:hAnsi="Calibri"/>
      <w:sz w:val="24"/>
      <w:szCs w:val="30"/>
    </w:rPr>
  </w:style>
  <w:style w:type="paragraph" w:customStyle="1" w:styleId="26">
    <w:name w:val="科技导报-一级标题"/>
    <w:basedOn w:val="1"/>
    <w:link w:val="28"/>
    <w:qFormat/>
    <w:uiPriority w:val="0"/>
    <w:pPr>
      <w:spacing w:line="360" w:lineRule="exact"/>
    </w:pPr>
    <w:rPr>
      <w:rFonts w:ascii="黑体" w:eastAsia="黑体"/>
      <w:b/>
      <w:sz w:val="28"/>
      <w:szCs w:val="28"/>
      <w:lang w:val="zh-CN"/>
    </w:rPr>
  </w:style>
  <w:style w:type="paragraph" w:customStyle="1" w:styleId="27">
    <w:name w:val="科技导报-2级标题"/>
    <w:basedOn w:val="1"/>
    <w:link w:val="29"/>
    <w:qFormat/>
    <w:uiPriority w:val="0"/>
    <w:pPr>
      <w:autoSpaceDE w:val="0"/>
      <w:autoSpaceDN w:val="0"/>
      <w:adjustRightInd w:val="0"/>
      <w:spacing w:line="360" w:lineRule="exact"/>
    </w:pPr>
    <w:rPr>
      <w:rFonts w:ascii="黑体" w:eastAsia="黑体"/>
      <w:b/>
      <w:kern w:val="0"/>
      <w:szCs w:val="21"/>
      <w:lang w:val="zh-CN"/>
    </w:rPr>
  </w:style>
  <w:style w:type="character" w:customStyle="1" w:styleId="28">
    <w:name w:val="科技导报-一级标题 Char"/>
    <w:link w:val="26"/>
    <w:qFormat/>
    <w:uiPriority w:val="0"/>
    <w:rPr>
      <w:rFonts w:ascii="黑体" w:eastAsia="黑体"/>
      <w:b/>
      <w:kern w:val="2"/>
      <w:sz w:val="28"/>
      <w:szCs w:val="28"/>
    </w:rPr>
  </w:style>
  <w:style w:type="character" w:customStyle="1" w:styleId="29">
    <w:name w:val="科技导报-2级标题 Char"/>
    <w:link w:val="27"/>
    <w:qFormat/>
    <w:uiPriority w:val="0"/>
    <w:rPr>
      <w:rFonts w:ascii="黑体" w:eastAsia="黑体" w:cs="AdobeSongStd-Light"/>
      <w:b/>
      <w:sz w:val="21"/>
      <w:szCs w:val="21"/>
    </w:rPr>
  </w:style>
  <w:style w:type="character" w:customStyle="1" w:styleId="30">
    <w:name w:val="页眉 Char"/>
    <w:link w:val="5"/>
    <w:qFormat/>
    <w:uiPriority w:val="0"/>
    <w:rPr>
      <w:kern w:val="2"/>
      <w:sz w:val="18"/>
      <w:szCs w:val="18"/>
    </w:rPr>
  </w:style>
  <w:style w:type="character" w:customStyle="1" w:styleId="31">
    <w:name w:val="批注文字 Char"/>
    <w:link w:val="2"/>
    <w:qFormat/>
    <w:uiPriority w:val="99"/>
    <w:rPr>
      <w:kern w:val="2"/>
      <w:sz w:val="21"/>
      <w:szCs w:val="24"/>
    </w:rPr>
  </w:style>
  <w:style w:type="character" w:customStyle="1" w:styleId="32">
    <w:name w:val="批注主题 Char"/>
    <w:basedOn w:val="31"/>
    <w:link w:val="8"/>
    <w:qFormat/>
    <w:uiPriority w:val="0"/>
    <w:rPr>
      <w:kern w:val="2"/>
      <w:sz w:val="21"/>
      <w:szCs w:val="24"/>
    </w:rPr>
  </w:style>
  <w:style w:type="character" w:customStyle="1" w:styleId="33">
    <w:name w:val="Unresolved Mention"/>
    <w:semiHidden/>
    <w:unhideWhenUsed/>
    <w:qFormat/>
    <w:uiPriority w:val="99"/>
    <w:rPr>
      <w:color w:val="605E5C"/>
      <w:shd w:val="clear" w:color="auto" w:fill="E1DFDD"/>
    </w:rPr>
  </w:style>
  <w:style w:type="paragraph" w:customStyle="1" w:styleId="34">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35">
    <w:name w:val="MTEquationSection"/>
    <w:basedOn w:val="13"/>
    <w:qFormat/>
    <w:uiPriority w:val="0"/>
    <w:rPr>
      <w:rFonts w:ascii="宋体" w:hAnsi="宋体"/>
      <w:b/>
      <w:vanish/>
      <w:color w:val="FF0000"/>
      <w:sz w:val="48"/>
      <w:szCs w:val="48"/>
    </w:rPr>
  </w:style>
  <w:style w:type="paragraph" w:customStyle="1" w:styleId="36">
    <w:name w:val="MTDisplayEquation"/>
    <w:basedOn w:val="1"/>
    <w:next w:val="1"/>
    <w:link w:val="37"/>
    <w:qFormat/>
    <w:uiPriority w:val="0"/>
    <w:pPr>
      <w:tabs>
        <w:tab w:val="center" w:pos="2300"/>
        <w:tab w:val="right" w:pos="4600"/>
      </w:tabs>
      <w:adjustRightInd w:val="0"/>
      <w:snapToGrid w:val="0"/>
      <w:ind w:firstLine="420" w:firstLineChars="200"/>
    </w:pPr>
    <w:rPr>
      <w:i/>
      <w:szCs w:val="18"/>
    </w:rPr>
  </w:style>
  <w:style w:type="character" w:customStyle="1" w:styleId="37">
    <w:name w:val="MTDisplayEquation Char"/>
    <w:basedOn w:val="13"/>
    <w:link w:val="36"/>
    <w:qFormat/>
    <w:uiPriority w:val="0"/>
    <w:rPr>
      <w:i/>
      <w:kern w:val="2"/>
      <w:sz w:val="21"/>
      <w:szCs w:val="18"/>
    </w:rPr>
  </w:style>
  <w:style w:type="paragraph" w:styleId="38">
    <w:name w:val="List Paragraph"/>
    <w:basedOn w:val="1"/>
    <w:qFormat/>
    <w:uiPriority w:val="34"/>
    <w:pPr>
      <w:widowControl w:val="0"/>
      <w:ind w:firstLine="420" w:firstLineChars="20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wmf"/><Relationship Id="rId8" Type="http://schemas.openxmlformats.org/officeDocument/2006/relationships/oleObject" Target="embeddings/oleObject1.bin"/><Relationship Id="rId7" Type="http://schemas.openxmlformats.org/officeDocument/2006/relationships/image" Target="media/image2.pn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1.jpe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jpeg"/><Relationship Id="rId12" Type="http://schemas.openxmlformats.org/officeDocument/2006/relationships/image" Target="media/image5.jpeg"/><Relationship Id="rId11" Type="http://schemas.openxmlformats.org/officeDocument/2006/relationships/image" Target="media/image4.wmf"/><Relationship Id="rId10" Type="http://schemas.openxmlformats.org/officeDocument/2006/relationships/oleObject" Target="embeddings/oleObject2.bin"/><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56E8BA-3EC7-4FEE-8655-ABF37B49727C}">
  <ds:schemaRefs/>
</ds:datastoreItem>
</file>

<file path=docProps/app.xml><?xml version="1.0" encoding="utf-8"?>
<Properties xmlns="http://schemas.openxmlformats.org/officeDocument/2006/extended-properties" xmlns:vt="http://schemas.openxmlformats.org/officeDocument/2006/docPropsVTypes">
  <Template>Normal</Template>
  <Pages>11</Pages>
  <Words>3314</Words>
  <Characters>5801</Characters>
  <Lines>108</Lines>
  <Paragraphs>30</Paragraphs>
  <TotalTime>12</TotalTime>
  <ScaleCrop>false</ScaleCrop>
  <LinksUpToDate>false</LinksUpToDate>
  <CharactersWithSpaces>6140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2021-11-01T07:31:00Z</dcterms:created>
  <dc:creator>科置-卢雨莹</dc:creator>
  <cp:lastModifiedBy>王璐</cp:lastModifiedBy>
  <dcterms:modified xsi:type="dcterms:W3CDTF">2026-07-27T01:46:30Z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417AB271FAF94DBF9DF938270BC3A13B_13</vt:lpwstr>
  </property>
  <property fmtid="{D5CDD505-2E9C-101B-9397-08002B2CF9AE}" pid="4" name="KSOTemplateDocerSaveRecord">
    <vt:lpwstr>eyJoZGlkIjoiNGJjZWI2NmMzYjBlM2UyZGMwZjUwNDQyMjU3NjRlOGUiLCJ1c2VySWQiOiIzNjMyNDI1ODUifQ==</vt:lpwstr>
  </property>
  <property fmtid="{D5CDD505-2E9C-101B-9397-08002B2CF9AE}" pid="5" name="MTEquationNumber2">
    <vt:lpwstr>(#S1.#E1)</vt:lpwstr>
  </property>
  <property fmtid="{D5CDD505-2E9C-101B-9397-08002B2CF9AE}" pid="6" name="MTEquationSection">
    <vt:lpwstr>1</vt:lpwstr>
  </property>
  <property fmtid="{D5CDD505-2E9C-101B-9397-08002B2CF9AE}" pid="7" name="MTWinEqns">
    <vt:bool>true</vt:bool>
  </property>
</Properties>
</file>