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png" ContentType="image/png"/>
  <Default Extension="tiff" ContentType="image/tiff"/>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12.xml" ContentType="application/vnd.ms-office.chartcolorstyle+xml"/>
  <Override PartName="/word/charts/colors13.xml" ContentType="application/vnd.ms-office.chartcolorstyle+xml"/>
  <Override PartName="/word/charts/colors14.xml" ContentType="application/vnd.ms-office.chartcolorstyle+xml"/>
  <Override PartName="/word/charts/colors15.xml" ContentType="application/vnd.ms-office.chartcolorstyle+xml"/>
  <Override PartName="/word/charts/colors16.xml" ContentType="application/vnd.ms-office.chartcolorstyle+xml"/>
  <Override PartName="/word/charts/colors17.xml" ContentType="application/vnd.ms-office.chartcolorstyle+xml"/>
  <Override PartName="/word/charts/colors18.xml" ContentType="application/vnd.ms-office.chartcolorstyle+xml"/>
  <Override PartName="/word/charts/colors19.xml" ContentType="application/vnd.ms-office.chartcolorstyle+xml"/>
  <Override PartName="/word/charts/colors2.xml" ContentType="application/vnd.ms-office.chartcolorstyle+xml"/>
  <Override PartName="/word/charts/colors20.xml" ContentType="application/vnd.ms-office.chartcolorstyle+xml"/>
  <Override PartName="/word/charts/colors21.xml" ContentType="application/vnd.ms-office.chartcolorstyle+xml"/>
  <Override PartName="/word/charts/colors22.xml" ContentType="application/vnd.ms-office.chartcolorstyle+xml"/>
  <Override PartName="/word/charts/colors23.xml" ContentType="application/vnd.ms-office.chartcolorstyle+xml"/>
  <Override PartName="/word/charts/colors24.xml" ContentType="application/vnd.ms-office.chartcolorstyle+xml"/>
  <Override PartName="/word/charts/colors25.xml" ContentType="application/vnd.ms-office.chartcolorstyle+xml"/>
  <Override PartName="/word/charts/colors26.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12.xml" ContentType="application/vnd.ms-office.chartstyle+xml"/>
  <Override PartName="/word/charts/style13.xml" ContentType="application/vnd.ms-office.chartstyle+xml"/>
  <Override PartName="/word/charts/style14.xml" ContentType="application/vnd.ms-office.chartstyle+xml"/>
  <Override PartName="/word/charts/style15.xml" ContentType="application/vnd.ms-office.chartstyle+xml"/>
  <Override PartName="/word/charts/style16.xml" ContentType="application/vnd.ms-office.chartstyle+xml"/>
  <Override PartName="/word/charts/style17.xml" ContentType="application/vnd.ms-office.chartstyle+xml"/>
  <Override PartName="/word/charts/style18.xml" ContentType="application/vnd.ms-office.chartstyle+xml"/>
  <Override PartName="/word/charts/style19.xml" ContentType="application/vnd.ms-office.chartstyle+xml"/>
  <Override PartName="/word/charts/style2.xml" ContentType="application/vnd.ms-office.chartstyle+xml"/>
  <Override PartName="/word/charts/style20.xml" ContentType="application/vnd.ms-office.chartstyle+xml"/>
  <Override PartName="/word/charts/style21.xml" ContentType="application/vnd.ms-office.chartstyle+xml"/>
  <Override PartName="/word/charts/style22.xml" ContentType="application/vnd.ms-office.chartstyle+xml"/>
  <Override PartName="/word/charts/style23.xml" ContentType="application/vnd.ms-office.chartstyle+xml"/>
  <Override PartName="/word/charts/style24.xml" ContentType="application/vnd.ms-office.chartstyle+xml"/>
  <Override PartName="/word/charts/style25.xml" ContentType="application/vnd.ms-office.chartstyle+xml"/>
  <Override PartName="/word/charts/style26.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embeddings/Microsoft_Visio___1.vsdx" ContentType="application/vnd.ms-visio.drawing"/>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10.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Override PartName="/word/theme/themeOverride13.xml" ContentType="application/vnd.openxmlformats-officedocument.themeOverride+xml"/>
  <Override PartName="/word/theme/themeOverride14.xml" ContentType="application/vnd.openxmlformats-officedocument.themeOverride+xml"/>
  <Override PartName="/word/theme/themeOverride15.xml" ContentType="application/vnd.openxmlformats-officedocument.themeOverride+xml"/>
  <Override PartName="/word/theme/themeOverride16.xml" ContentType="application/vnd.openxmlformats-officedocument.themeOverride+xml"/>
  <Override PartName="/word/theme/themeOverride17.xml" ContentType="application/vnd.openxmlformats-officedocument.themeOverride+xml"/>
  <Override PartName="/word/theme/themeOverride18.xml" ContentType="application/vnd.openxmlformats-officedocument.themeOverride+xml"/>
  <Override PartName="/word/theme/themeOverride19.xml" ContentType="application/vnd.openxmlformats-officedocument.themeOverride+xml"/>
  <Override PartName="/word/theme/themeOverride2.xml" ContentType="application/vnd.openxmlformats-officedocument.themeOverride+xml"/>
  <Override PartName="/word/theme/themeOverride20.xml" ContentType="application/vnd.openxmlformats-officedocument.themeOverride+xml"/>
  <Override PartName="/word/theme/themeOverride21.xml" ContentType="application/vnd.openxmlformats-officedocument.themeOverride+xml"/>
  <Override PartName="/word/theme/themeOverride22.xml" ContentType="application/vnd.openxmlformats-officedocument.themeOverride+xml"/>
  <Override PartName="/word/theme/themeOverride23.xml" ContentType="application/vnd.openxmlformats-officedocument.themeOverride+xml"/>
  <Override PartName="/word/theme/themeOverride24.xml" ContentType="application/vnd.openxmlformats-officedocument.themeOverride+xml"/>
  <Override PartName="/word/theme/themeOverride25.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Override PartName="/word/theme/themeOverride8.xml" ContentType="application/vnd.openxmlformats-officedocument.themeOverride+xml"/>
  <Override PartName="/word/theme/themeOverride9.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373BBF">
      <w:pPr>
        <w:jc w:val="center"/>
        <w:rPr>
          <w:rFonts w:ascii="Times New Roman" w:hAnsi="Times New Roman" w:eastAsia="宋体" w:cs="Times New Roman"/>
          <w:b/>
          <w:bCs/>
          <w:color w:val="auto"/>
          <w:sz w:val="48"/>
          <w:szCs w:val="32"/>
          <w:highlight w:val="none"/>
        </w:rPr>
      </w:pPr>
      <w:bookmarkStart w:id="0" w:name="_Hlk64902431"/>
      <w:bookmarkEnd w:id="0"/>
      <w:bookmarkStart w:id="7" w:name="_GoBack"/>
      <w:r>
        <w:rPr>
          <w:rFonts w:hint="eastAsia" w:ascii="Times New Roman" w:hAnsi="Times New Roman" w:eastAsia="宋体" w:cs="Times New Roman"/>
          <w:b/>
          <w:bCs/>
          <w:color w:val="auto"/>
          <w:sz w:val="48"/>
          <w:szCs w:val="32"/>
          <w:highlight w:val="none"/>
        </w:rPr>
        <w:t>膜下滴灌棉田凝结水及其与气象因子的关系研究</w:t>
      </w:r>
    </w:p>
    <w:bookmarkEnd w:id="7"/>
    <w:p w14:paraId="7BFC061E">
      <w:pPr>
        <w:jc w:val="center"/>
        <w:rPr>
          <w:rFonts w:ascii="Times New Roman" w:hAnsi="Times New Roman" w:eastAsia="楷体" w:cs="Times New Roman"/>
          <w:color w:val="auto"/>
          <w:sz w:val="28"/>
          <w:szCs w:val="28"/>
          <w:highlight w:val="none"/>
        </w:rPr>
      </w:pPr>
      <w:r>
        <w:rPr>
          <w:rFonts w:hint="eastAsia" w:ascii="Times New Roman" w:hAnsi="Times New Roman" w:eastAsia="楷体" w:cs="Times New Roman"/>
          <w:color w:val="auto"/>
          <w:sz w:val="28"/>
          <w:szCs w:val="28"/>
          <w:highlight w:val="none"/>
        </w:rPr>
        <w:t>马瑞莎</w:t>
      </w:r>
      <w:r>
        <w:rPr>
          <w:rFonts w:ascii="Times New Roman" w:hAnsi="Times New Roman" w:eastAsia="楷体" w:cs="Times New Roman"/>
          <w:color w:val="auto"/>
          <w:sz w:val="28"/>
          <w:szCs w:val="28"/>
          <w:highlight w:val="none"/>
          <w:vertAlign w:val="superscript"/>
        </w:rPr>
        <w:t>1</w:t>
      </w:r>
      <w:r>
        <w:rPr>
          <w:rFonts w:hint="eastAsia" w:ascii="Times New Roman" w:hAnsi="Times New Roman" w:eastAsia="楷体" w:cs="Times New Roman"/>
          <w:color w:val="auto"/>
          <w:sz w:val="28"/>
          <w:szCs w:val="28"/>
          <w:highlight w:val="none"/>
          <w:vertAlign w:val="superscript"/>
        </w:rPr>
        <w:t>,2</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乔长录</w:t>
      </w:r>
      <w:r>
        <w:rPr>
          <w:rFonts w:ascii="Times New Roman" w:hAnsi="Times New Roman" w:eastAsia="楷体" w:cs="Times New Roman"/>
          <w:color w:val="auto"/>
          <w:sz w:val="28"/>
          <w:szCs w:val="28"/>
          <w:highlight w:val="none"/>
          <w:vertAlign w:val="superscript"/>
        </w:rPr>
        <w:t>2</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高越嵩</w:t>
      </w:r>
      <w:r>
        <w:rPr>
          <w:rFonts w:ascii="Times New Roman" w:hAnsi="Times New Roman" w:eastAsia="楷体" w:cs="Times New Roman"/>
          <w:color w:val="auto"/>
          <w:sz w:val="28"/>
          <w:szCs w:val="28"/>
          <w:highlight w:val="none"/>
          <w:vertAlign w:val="superscript"/>
        </w:rPr>
        <w:t>3</w:t>
      </w:r>
      <w:r>
        <w:rPr>
          <w:rFonts w:ascii="Times New Roman" w:hAnsi="Times New Roman" w:eastAsia="楷体" w:cs="Times New Roman"/>
          <w:color w:val="auto"/>
          <w:sz w:val="28"/>
          <w:szCs w:val="28"/>
          <w:highlight w:val="none"/>
        </w:rPr>
        <w:t>，谷新晨</w:t>
      </w:r>
      <w:r>
        <w:rPr>
          <w:rFonts w:ascii="Times New Roman" w:hAnsi="Times New Roman" w:eastAsia="楷体" w:cs="Times New Roman"/>
          <w:color w:val="auto"/>
          <w:sz w:val="28"/>
          <w:szCs w:val="28"/>
          <w:highlight w:val="none"/>
          <w:vertAlign w:val="superscript"/>
        </w:rPr>
        <w:t>4</w:t>
      </w:r>
      <w:r>
        <w:rPr>
          <w:rFonts w:ascii="Times New Roman" w:hAnsi="Times New Roman" w:eastAsia="楷体" w:cs="Times New Roman"/>
          <w:color w:val="auto"/>
          <w:sz w:val="28"/>
          <w:szCs w:val="28"/>
          <w:highlight w:val="none"/>
        </w:rPr>
        <w:t>，王亮雄</w:t>
      </w:r>
      <w:r>
        <w:rPr>
          <w:rFonts w:ascii="Times New Roman" w:hAnsi="Times New Roman" w:eastAsia="楷体" w:cs="Times New Roman"/>
          <w:color w:val="auto"/>
          <w:sz w:val="28"/>
          <w:szCs w:val="28"/>
          <w:highlight w:val="none"/>
          <w:vertAlign w:val="superscript"/>
        </w:rPr>
        <w:t>4</w:t>
      </w:r>
    </w:p>
    <w:p w14:paraId="0E83B725">
      <w:pPr>
        <w:jc w:val="center"/>
        <w:rPr>
          <w:rFonts w:ascii="Times New Roman" w:hAnsi="Times New Roman" w:eastAsia="仿宋" w:cs="Times New Roman"/>
          <w:color w:val="auto"/>
          <w:szCs w:val="21"/>
          <w:highlight w:val="none"/>
        </w:rPr>
      </w:pPr>
      <w:r>
        <w:rPr>
          <w:rFonts w:ascii="Times New Roman" w:hAnsi="Times New Roman" w:eastAsia="仿宋" w:cs="Times New Roman"/>
          <w:color w:val="auto"/>
          <w:szCs w:val="21"/>
          <w:highlight w:val="none"/>
        </w:rPr>
        <w:t xml:space="preserve">（1. 烟台黄金职业学院，山东 烟台  265401；2. 石河子大学 水利建筑工程学院，新疆 石河子  832003；3. 山东城市建设职业学院，山东 济南  250014；4. </w:t>
      </w:r>
      <w:r>
        <w:rPr>
          <w:rFonts w:ascii="Times New Roman" w:hAnsi="Times New Roman" w:eastAsia="仿宋" w:cs="Times New Roman"/>
          <w:color w:val="auto"/>
          <w:kern w:val="0"/>
          <w:szCs w:val="21"/>
          <w:highlight w:val="none"/>
        </w:rPr>
        <w:t>华南理工大学土木与交通学院，广东 广州</w:t>
      </w:r>
      <w:r>
        <w:rPr>
          <w:rFonts w:ascii="Times New Roman" w:hAnsi="Times New Roman" w:eastAsia="仿宋" w:cs="Times New Roman"/>
          <w:color w:val="auto"/>
          <w:szCs w:val="21"/>
          <w:highlight w:val="none"/>
        </w:rPr>
        <w:t xml:space="preserve">  </w:t>
      </w:r>
      <w:r>
        <w:rPr>
          <w:rFonts w:ascii="Times New Roman" w:hAnsi="Times New Roman" w:eastAsia="仿宋" w:cs="Times New Roman"/>
          <w:color w:val="auto"/>
          <w:kern w:val="0"/>
          <w:szCs w:val="21"/>
          <w:highlight w:val="none"/>
        </w:rPr>
        <w:t>510640</w:t>
      </w:r>
      <w:r>
        <w:rPr>
          <w:rFonts w:ascii="Times New Roman" w:hAnsi="Times New Roman" w:eastAsia="仿宋" w:cs="Times New Roman"/>
          <w:color w:val="auto"/>
          <w:szCs w:val="21"/>
          <w:highlight w:val="none"/>
        </w:rPr>
        <w:t>）</w:t>
      </w:r>
    </w:p>
    <w:p w14:paraId="6E15BEDC">
      <w:pPr>
        <w:rPr>
          <w:rFonts w:hint="eastAsia" w:ascii="宋体" w:hAnsi="宋体" w:eastAsia="宋体"/>
          <w:b/>
          <w:bCs/>
          <w:color w:val="auto"/>
          <w:sz w:val="18"/>
          <w:szCs w:val="18"/>
          <w:highlight w:val="none"/>
        </w:rPr>
      </w:pPr>
    </w:p>
    <w:p w14:paraId="5347F582">
      <w:pPr>
        <w:rPr>
          <w:rFonts w:ascii="Times New Roman" w:hAnsi="Times New Roman" w:eastAsia="宋体" w:cs="Times New Roman"/>
          <w:color w:val="auto"/>
          <w:sz w:val="18"/>
          <w:szCs w:val="18"/>
          <w:highlight w:val="none"/>
        </w:rPr>
      </w:pPr>
      <w:r>
        <w:rPr>
          <w:rFonts w:ascii="Times New Roman" w:hAnsi="Times New Roman" w:eastAsia="黑体" w:cs="Times New Roman"/>
          <w:color w:val="auto"/>
          <w:szCs w:val="21"/>
          <w:highlight w:val="none"/>
        </w:rPr>
        <w:t>摘</w:t>
      </w:r>
      <w:r>
        <w:rPr>
          <w:rStyle w:val="14"/>
          <w:rFonts w:ascii="Times New Roman" w:hAnsi="Times New Roman" w:eastAsia="黑体" w:cs="Times New Roman"/>
          <w:color w:val="auto"/>
          <w:highlight w:val="none"/>
        </w:rPr>
        <w:t xml:space="preserve">  </w:t>
      </w:r>
      <w:r>
        <w:rPr>
          <w:rFonts w:ascii="Times New Roman" w:hAnsi="Times New Roman" w:eastAsia="黑体" w:cs="Times New Roman"/>
          <w:color w:val="auto"/>
          <w:szCs w:val="21"/>
          <w:highlight w:val="none"/>
        </w:rPr>
        <w:t>要：</w:t>
      </w:r>
      <w:r>
        <w:rPr>
          <w:rFonts w:ascii="Times New Roman" w:hAnsi="Times New Roman" w:eastAsia="楷体" w:cs="Times New Roman"/>
          <w:color w:val="auto"/>
          <w:szCs w:val="21"/>
          <w:highlight w:val="none"/>
        </w:rPr>
        <w:t>【目的】凝结水作为干旱区农田微生态系统的重要补充水源，其发生规律及气象驱动机制尚不完全清晰。</w:t>
      </w:r>
      <w:r>
        <w:rPr>
          <w:rFonts w:hint="eastAsia" w:ascii="Times New Roman" w:hAnsi="Times New Roman" w:eastAsia="楷体" w:cs="Times New Roman"/>
          <w:color w:val="auto"/>
          <w:szCs w:val="21"/>
          <w:highlight w:val="none"/>
        </w:rPr>
        <w:t>为揭示干旱区绿洲棉田凝结水的发生规律与数量特征，探讨覆膜与否对凝结水形成机制的影响，并明确微气象因子对其形成的驱动机制，以期为干旱区农田水分精细化管理及作物水分利用效率评估提供理论依据。</w:t>
      </w:r>
      <w:r>
        <w:rPr>
          <w:rFonts w:ascii="Times New Roman" w:hAnsi="Times New Roman" w:eastAsia="楷体" w:cs="Times New Roman"/>
          <w:color w:val="auto"/>
          <w:szCs w:val="21"/>
          <w:highlight w:val="none"/>
        </w:rPr>
        <w:t>【方法】依托石河子大学节水灌溉</w:t>
      </w:r>
      <w:r>
        <w:rPr>
          <w:rFonts w:hint="eastAsia" w:ascii="Times New Roman" w:hAnsi="Times New Roman" w:eastAsia="楷体" w:cs="Times New Roman"/>
          <w:color w:val="auto"/>
          <w:szCs w:val="21"/>
          <w:highlight w:val="none"/>
        </w:rPr>
        <w:t>试验</w:t>
      </w:r>
      <w:r>
        <w:rPr>
          <w:rFonts w:ascii="Times New Roman" w:hAnsi="Times New Roman" w:eastAsia="楷体" w:cs="Times New Roman"/>
          <w:color w:val="auto"/>
          <w:szCs w:val="21"/>
          <w:highlight w:val="none"/>
        </w:rPr>
        <w:t>站2018</w:t>
      </w:r>
      <w:r>
        <w:rPr>
          <w:rFonts w:hint="eastAsia" w:ascii="Times New Roman" w:hAnsi="Times New Roman" w:eastAsia="楷体" w:cs="Times New Roman"/>
          <w:color w:val="auto"/>
          <w:szCs w:val="21"/>
          <w:highlight w:val="none"/>
        </w:rPr>
        <w:t>—</w:t>
      </w:r>
      <w:r>
        <w:rPr>
          <w:rFonts w:ascii="Times New Roman" w:hAnsi="Times New Roman" w:eastAsia="楷体" w:cs="Times New Roman"/>
          <w:color w:val="auto"/>
          <w:szCs w:val="21"/>
          <w:highlight w:val="none"/>
        </w:rPr>
        <w:t>2020年蒸渗仪、气象站对棉田凝结水进行测定和</w:t>
      </w:r>
      <w:r>
        <w:rPr>
          <w:rFonts w:hint="eastAsia" w:ascii="Times New Roman" w:hAnsi="Times New Roman" w:eastAsia="楷体" w:cs="Times New Roman"/>
          <w:color w:val="auto"/>
          <w:szCs w:val="21"/>
          <w:highlight w:val="none"/>
        </w:rPr>
        <w:t>试验</w:t>
      </w:r>
      <w:r>
        <w:rPr>
          <w:rFonts w:ascii="Times New Roman" w:hAnsi="Times New Roman" w:eastAsia="楷体" w:cs="Times New Roman"/>
          <w:color w:val="auto"/>
          <w:szCs w:val="21"/>
          <w:highlight w:val="none"/>
        </w:rPr>
        <w:t>，对所得数据进行综合分析。根据不同覆膜方式设置对照试验，利用3台规格为2</w:t>
      </w:r>
      <w:r>
        <w:rPr>
          <w:rFonts w:hint="eastAsia" w:ascii="Times New Roman" w:hAnsi="Times New Roman" w:eastAsia="楷体" w:cs="Times New Roman"/>
          <w:color w:val="auto"/>
          <w:szCs w:val="21"/>
          <w:highlight w:val="none"/>
        </w:rPr>
        <w:t xml:space="preserve"> </w:t>
      </w:r>
      <w:r>
        <w:rPr>
          <w:rFonts w:ascii="Times New Roman" w:hAnsi="Times New Roman" w:eastAsia="楷体" w:cs="Times New Roman"/>
          <w:color w:val="auto"/>
          <w:szCs w:val="21"/>
          <w:highlight w:val="none"/>
        </w:rPr>
        <w:t>m×2</w:t>
      </w:r>
      <w:r>
        <w:rPr>
          <w:rFonts w:hint="eastAsia" w:ascii="Times New Roman" w:hAnsi="Times New Roman" w:eastAsia="楷体" w:cs="Times New Roman"/>
          <w:color w:val="auto"/>
          <w:szCs w:val="21"/>
          <w:highlight w:val="none"/>
        </w:rPr>
        <w:t xml:space="preserve"> </w:t>
      </w:r>
      <w:r>
        <w:rPr>
          <w:rFonts w:ascii="Times New Roman" w:hAnsi="Times New Roman" w:eastAsia="楷体" w:cs="Times New Roman"/>
          <w:color w:val="auto"/>
          <w:szCs w:val="21"/>
          <w:highlight w:val="none"/>
        </w:rPr>
        <w:t>m×2</w:t>
      </w:r>
      <w:r>
        <w:rPr>
          <w:rFonts w:hint="eastAsia" w:ascii="Times New Roman" w:hAnsi="Times New Roman" w:eastAsia="楷体" w:cs="Times New Roman"/>
          <w:color w:val="auto"/>
          <w:szCs w:val="21"/>
          <w:highlight w:val="none"/>
        </w:rPr>
        <w:t xml:space="preserve"> </w:t>
      </w:r>
      <w:r>
        <w:rPr>
          <w:rFonts w:ascii="Times New Roman" w:hAnsi="Times New Roman" w:eastAsia="楷体" w:cs="Times New Roman"/>
          <w:color w:val="auto"/>
          <w:szCs w:val="21"/>
          <w:highlight w:val="none"/>
        </w:rPr>
        <w:t>m型号为QYZS-2010的大型称重式蒸渗仪对棉田凝结水进行实时监测，分析凝结水日变化、生育期差异、相对水分贡献及其与空气相对湿度、露点温度、地表-空气温差（</w:t>
      </w:r>
      <w:r>
        <w:rPr>
          <w:rFonts w:ascii="Times New Roman" w:hAnsi="Times New Roman" w:eastAsia="楷体" w:cs="Times New Roman"/>
          <w:i/>
          <w:iCs/>
          <w:color w:val="auto"/>
          <w:szCs w:val="21"/>
          <w:highlight w:val="none"/>
        </w:rPr>
        <w:t>T</w:t>
      </w:r>
      <w:r>
        <w:rPr>
          <w:rFonts w:ascii="Times New Roman" w:hAnsi="Times New Roman" w:eastAsia="楷体" w:cs="Times New Roman"/>
          <w:i/>
          <w:iCs/>
          <w:color w:val="auto"/>
          <w:szCs w:val="21"/>
          <w:highlight w:val="none"/>
          <w:vertAlign w:val="subscript"/>
        </w:rPr>
        <w:t>s</w:t>
      </w:r>
      <w:r>
        <w:rPr>
          <w:rFonts w:ascii="Times New Roman" w:hAnsi="Times New Roman" w:eastAsia="楷体" w:cs="Times New Roman"/>
          <w:color w:val="auto"/>
          <w:szCs w:val="21"/>
          <w:highlight w:val="none"/>
        </w:rPr>
        <w:t>-</w:t>
      </w:r>
      <w:r>
        <w:rPr>
          <w:rFonts w:ascii="Times New Roman" w:hAnsi="Times New Roman" w:eastAsia="楷体" w:cs="Times New Roman"/>
          <w:i/>
          <w:iCs/>
          <w:color w:val="auto"/>
          <w:szCs w:val="21"/>
          <w:highlight w:val="none"/>
        </w:rPr>
        <w:t>T</w:t>
      </w:r>
      <w:r>
        <w:rPr>
          <w:rFonts w:ascii="Times New Roman" w:hAnsi="Times New Roman" w:eastAsia="楷体" w:cs="Times New Roman"/>
          <w:i/>
          <w:iCs/>
          <w:color w:val="auto"/>
          <w:szCs w:val="21"/>
          <w:highlight w:val="none"/>
          <w:vertAlign w:val="subscript"/>
        </w:rPr>
        <w:t>a</w:t>
      </w:r>
      <w:r>
        <w:rPr>
          <w:rFonts w:ascii="Times New Roman" w:hAnsi="Times New Roman" w:eastAsia="楷体" w:cs="Times New Roman"/>
          <w:color w:val="auto"/>
          <w:szCs w:val="21"/>
          <w:highlight w:val="none"/>
        </w:rPr>
        <w:t>）、凝结面-露点温差（</w:t>
      </w:r>
      <w:r>
        <w:rPr>
          <w:rFonts w:ascii="Times New Roman" w:hAnsi="Times New Roman" w:eastAsia="楷体" w:cs="Times New Roman"/>
          <w:i/>
          <w:iCs/>
          <w:color w:val="auto"/>
          <w:szCs w:val="21"/>
          <w:highlight w:val="none"/>
        </w:rPr>
        <w:t>T</w:t>
      </w:r>
      <w:r>
        <w:rPr>
          <w:rFonts w:ascii="Times New Roman" w:hAnsi="Times New Roman" w:eastAsia="楷体" w:cs="Times New Roman"/>
          <w:i/>
          <w:iCs/>
          <w:color w:val="auto"/>
          <w:szCs w:val="21"/>
          <w:highlight w:val="none"/>
          <w:vertAlign w:val="subscript"/>
        </w:rPr>
        <w:t>s</w:t>
      </w:r>
      <w:r>
        <w:rPr>
          <w:rFonts w:ascii="Times New Roman" w:hAnsi="Times New Roman" w:eastAsia="楷体" w:cs="Times New Roman"/>
          <w:color w:val="auto"/>
          <w:szCs w:val="21"/>
          <w:highlight w:val="none"/>
        </w:rPr>
        <w:t>-</w:t>
      </w:r>
      <w:r>
        <w:rPr>
          <w:rFonts w:ascii="Times New Roman" w:hAnsi="Times New Roman" w:eastAsia="楷体" w:cs="Times New Roman"/>
          <w:i/>
          <w:iCs/>
          <w:color w:val="auto"/>
          <w:szCs w:val="21"/>
          <w:highlight w:val="none"/>
        </w:rPr>
        <w:t>T</w:t>
      </w:r>
      <w:r>
        <w:rPr>
          <w:rFonts w:ascii="Times New Roman" w:hAnsi="Times New Roman" w:eastAsia="楷体" w:cs="Times New Roman"/>
          <w:i/>
          <w:iCs/>
          <w:color w:val="auto"/>
          <w:szCs w:val="21"/>
          <w:highlight w:val="none"/>
          <w:vertAlign w:val="subscript"/>
        </w:rPr>
        <w:t>d</w:t>
      </w:r>
      <w:r>
        <w:rPr>
          <w:rFonts w:ascii="Times New Roman" w:hAnsi="Times New Roman" w:eastAsia="楷体" w:cs="Times New Roman"/>
          <w:color w:val="auto"/>
          <w:szCs w:val="21"/>
          <w:highlight w:val="none"/>
        </w:rPr>
        <w:t>）、风速和风向的关系。【结果】棉田凝结水主要发生在北京时间0:00至次日8:00，表现为夜间形成、凌晨增强和日出后转为蒸散的连续变化过程</w:t>
      </w:r>
      <w:r>
        <w:rPr>
          <w:rFonts w:hint="eastAsia" w:ascii="Times New Roman" w:hAnsi="Times New Roman" w:eastAsia="楷体" w:cs="Times New Roman"/>
          <w:color w:val="auto"/>
          <w:szCs w:val="21"/>
          <w:highlight w:val="none"/>
        </w:rPr>
        <w:t>,</w:t>
      </w:r>
      <w:r>
        <w:rPr>
          <w:rFonts w:ascii="Times New Roman" w:hAnsi="Times New Roman" w:eastAsia="楷体" w:cs="Times New Roman"/>
          <w:color w:val="auto"/>
          <w:szCs w:val="21"/>
          <w:highlight w:val="none"/>
        </w:rPr>
        <w:t>典型日曲线主要反映凝结水日内变化的总体</w:t>
      </w:r>
      <w:r>
        <w:rPr>
          <w:rFonts w:hint="eastAsia" w:ascii="Times New Roman" w:hAnsi="Times New Roman" w:eastAsia="楷体" w:cs="Times New Roman"/>
          <w:color w:val="auto"/>
          <w:szCs w:val="21"/>
          <w:highlight w:val="none"/>
        </w:rPr>
        <w:t>趋势</w:t>
      </w:r>
      <w:r>
        <w:rPr>
          <w:rFonts w:ascii="Times New Roman" w:hAnsi="Times New Roman" w:eastAsia="楷体" w:cs="Times New Roman"/>
          <w:color w:val="auto"/>
          <w:szCs w:val="21"/>
          <w:highlight w:val="none"/>
        </w:rPr>
        <w:t>。覆膜与不覆膜处理下凝结水日变化整体趋势基本一致，但二者在凝结速率峰值、峰值出现时间和累积凝结量上存在差异；不覆膜条件下系统整体获取的凝结水量高于覆膜条件，说明覆膜会通过阻隔土壤-大气水汽交换、改变有效凝结界面和近地表热湿环境，降低系统可记录的凝结水输入。2018—2020年不覆膜处理凝结水量分别为36.60 mm、89.20 mm和61.63 mm，覆膜处理分别为31.37 mm、70.87 mm和58.05 mm；凝结水量与同期降雨量的比值最高可达97.21%（2020年不覆膜）。凝结量与空气相对湿度、露点温度呈正相关，与地表-空气温差（</w:t>
      </w:r>
      <w:r>
        <w:rPr>
          <w:rFonts w:ascii="Times New Roman" w:hAnsi="Times New Roman" w:eastAsia="楷体" w:cs="Times New Roman"/>
          <w:i/>
          <w:iCs/>
          <w:color w:val="auto"/>
          <w:szCs w:val="21"/>
          <w:highlight w:val="none"/>
        </w:rPr>
        <w:t>T</w:t>
      </w:r>
      <w:r>
        <w:rPr>
          <w:rFonts w:ascii="Times New Roman" w:hAnsi="Times New Roman" w:eastAsia="楷体" w:cs="Times New Roman"/>
          <w:i/>
          <w:iCs/>
          <w:color w:val="auto"/>
          <w:szCs w:val="21"/>
          <w:highlight w:val="none"/>
          <w:vertAlign w:val="subscript"/>
        </w:rPr>
        <w:t>s</w:t>
      </w:r>
      <w:r>
        <w:rPr>
          <w:rFonts w:ascii="Times New Roman" w:hAnsi="Times New Roman" w:eastAsia="楷体" w:cs="Times New Roman"/>
          <w:color w:val="auto"/>
          <w:szCs w:val="21"/>
          <w:highlight w:val="none"/>
        </w:rPr>
        <w:t>-</w:t>
      </w:r>
      <w:r>
        <w:rPr>
          <w:rFonts w:ascii="Times New Roman" w:hAnsi="Times New Roman" w:eastAsia="楷体" w:cs="Times New Roman"/>
          <w:i/>
          <w:iCs/>
          <w:color w:val="auto"/>
          <w:szCs w:val="21"/>
          <w:highlight w:val="none"/>
        </w:rPr>
        <w:t>T</w:t>
      </w:r>
      <w:r>
        <w:rPr>
          <w:rFonts w:ascii="Times New Roman" w:hAnsi="Times New Roman" w:eastAsia="楷体" w:cs="Times New Roman"/>
          <w:i/>
          <w:iCs/>
          <w:color w:val="auto"/>
          <w:szCs w:val="21"/>
          <w:highlight w:val="none"/>
          <w:vertAlign w:val="subscript"/>
        </w:rPr>
        <w:t>a</w:t>
      </w:r>
      <w:r>
        <w:rPr>
          <w:rFonts w:ascii="Times New Roman" w:hAnsi="Times New Roman" w:eastAsia="楷体" w:cs="Times New Roman"/>
          <w:color w:val="auto"/>
          <w:szCs w:val="21"/>
          <w:highlight w:val="none"/>
        </w:rPr>
        <w:t>）呈指数关系；但凝结发生的直接热力条件是凝结面温度达到或低于露点温度（</w:t>
      </w:r>
      <w:r>
        <w:rPr>
          <w:rFonts w:ascii="Times New Roman" w:hAnsi="Times New Roman" w:eastAsia="楷体" w:cs="Times New Roman"/>
          <w:i/>
          <w:iCs/>
          <w:color w:val="auto"/>
          <w:szCs w:val="21"/>
          <w:highlight w:val="none"/>
        </w:rPr>
        <w:t>T</w:t>
      </w:r>
      <w:r>
        <w:rPr>
          <w:rFonts w:ascii="Times New Roman" w:hAnsi="Times New Roman" w:eastAsia="楷体" w:cs="Times New Roman"/>
          <w:i/>
          <w:iCs/>
          <w:color w:val="auto"/>
          <w:szCs w:val="21"/>
          <w:highlight w:val="none"/>
          <w:vertAlign w:val="subscript"/>
        </w:rPr>
        <w:t>s</w:t>
      </w:r>
      <w:r>
        <w:rPr>
          <w:rFonts w:ascii="Times New Roman" w:hAnsi="Times New Roman" w:eastAsia="楷体" w:cs="Times New Roman"/>
          <w:color w:val="auto"/>
          <w:szCs w:val="21"/>
          <w:highlight w:val="none"/>
        </w:rPr>
        <w:t>-</w:t>
      </w:r>
      <w:r>
        <w:rPr>
          <w:rFonts w:ascii="Times New Roman" w:hAnsi="Times New Roman" w:eastAsia="楷体" w:cs="Times New Roman"/>
          <w:i/>
          <w:iCs/>
          <w:color w:val="auto"/>
          <w:szCs w:val="21"/>
          <w:highlight w:val="none"/>
        </w:rPr>
        <w:t>T</w:t>
      </w:r>
      <w:r>
        <w:rPr>
          <w:rFonts w:ascii="Times New Roman" w:hAnsi="Times New Roman" w:eastAsia="楷体" w:cs="Times New Roman"/>
          <w:i/>
          <w:iCs/>
          <w:color w:val="auto"/>
          <w:szCs w:val="21"/>
          <w:highlight w:val="none"/>
          <w:vertAlign w:val="subscript"/>
        </w:rPr>
        <w:t>d</w:t>
      </w:r>
      <w:r>
        <w:rPr>
          <w:rFonts w:ascii="Times New Roman" w:hAnsi="Times New Roman" w:eastAsia="楷体" w:cs="Times New Roman"/>
          <w:color w:val="auto"/>
          <w:szCs w:val="21"/>
          <w:highlight w:val="none"/>
        </w:rPr>
        <w:t>≤0）。风速与凝结量之间的相关性较弱，风向更多反映夜间山谷风等局地环流背景及其对水汽输送条件的影响。【结论】干旱区滴灌棉田凝结水虽难以改变宏观农田耗水格局，但在少雨生育期可作为具有局部生态意义的微量水分补充。覆膜措施在减少土壤蒸发、保持土壤水分的同时，也会改变近地表水汽输送和凝结界面条件，从而降低系统可记录的凝结水输入。本研究基于多年蒸渗仪连续观测，揭示了覆膜下垫面条件下棉田凝结水过程及其微气象驱动特征，可为干旱区农田水分微循环评估提供依据。</w:t>
      </w:r>
    </w:p>
    <w:p w14:paraId="0AA2522C">
      <w:pPr>
        <w:rPr>
          <w:rFonts w:hint="eastAsia" w:ascii="仿宋" w:hAnsi="仿宋" w:eastAsia="仿宋" w:cs="Times New Roman"/>
          <w:color w:val="auto"/>
          <w:sz w:val="18"/>
          <w:szCs w:val="18"/>
          <w:highlight w:val="none"/>
        </w:rPr>
      </w:pPr>
      <w:r>
        <w:rPr>
          <w:rFonts w:hint="eastAsia" w:ascii="黑体" w:hAnsi="黑体" w:eastAsia="黑体" w:cs="黑体"/>
          <w:b/>
          <w:bCs/>
          <w:color w:val="auto"/>
          <w:szCs w:val="21"/>
          <w:highlight w:val="none"/>
        </w:rPr>
        <w:t>关键词：</w:t>
      </w:r>
      <w:r>
        <w:rPr>
          <w:rFonts w:hint="eastAsia" w:ascii="楷体" w:hAnsi="楷体" w:eastAsia="楷体"/>
          <w:color w:val="auto"/>
          <w:szCs w:val="21"/>
          <w:highlight w:val="none"/>
        </w:rPr>
        <w:t>凝结水；气象因子；膜下滴灌；干旱区；玛纳斯河流域</w:t>
      </w:r>
      <w:r>
        <w:rPr>
          <w:rFonts w:ascii="楷体" w:hAnsi="楷体" w:eastAsia="楷体"/>
          <w:color w:val="auto"/>
          <w:szCs w:val="21"/>
          <w:highlight w:val="none"/>
        </w:rPr>
        <w:t>；覆膜处理；蒸渗仪；棉田</w:t>
      </w:r>
    </w:p>
    <w:p w14:paraId="10372293">
      <w:pPr>
        <w:rPr>
          <w:rFonts w:hint="eastAsia" w:ascii="宋体" w:hAnsi="宋体" w:eastAsia="宋体" w:cs="宋体"/>
          <w:b/>
          <w:bCs/>
          <w:color w:val="auto"/>
          <w:sz w:val="18"/>
          <w:szCs w:val="18"/>
          <w:highlight w:val="none"/>
        </w:rPr>
      </w:pPr>
      <w:r>
        <w:rPr>
          <w:rFonts w:hint="eastAsia" w:ascii="Times New Roman" w:hAnsi="Times New Roman" w:eastAsia="黑体" w:cs="Times New Roman"/>
          <w:b/>
          <w:bCs/>
          <w:color w:val="auto"/>
          <w:sz w:val="18"/>
          <w:szCs w:val="18"/>
          <w:highlight w:val="none"/>
        </w:rPr>
        <w:t>中图分类号</w:t>
      </w:r>
      <w:r>
        <w:rPr>
          <w:rFonts w:ascii="Times New Roman" w:hAnsi="Times New Roman" w:eastAsia="黑体" w:cs="Times New Roman"/>
          <w:b/>
          <w:bCs/>
          <w:color w:val="auto"/>
          <w:sz w:val="18"/>
          <w:szCs w:val="18"/>
          <w:highlight w:val="none"/>
        </w:rPr>
        <w:t>：</w:t>
      </w:r>
      <w:r>
        <w:rPr>
          <w:rFonts w:ascii="Times New Roman" w:hAnsi="Times New Roman" w:eastAsia="宋体" w:cs="Times New Roman"/>
          <w:b/>
          <w:bCs/>
          <w:color w:val="auto"/>
          <w:sz w:val="18"/>
          <w:szCs w:val="18"/>
          <w:highlight w:val="none"/>
        </w:rPr>
        <w:t xml:space="preserve">S156.4 </w:t>
      </w:r>
      <w:r>
        <w:rPr>
          <w:rFonts w:hint="eastAsia" w:ascii="仿宋" w:hAnsi="仿宋" w:eastAsia="仿宋"/>
          <w:b/>
          <w:bCs/>
          <w:color w:val="auto"/>
          <w:sz w:val="18"/>
          <w:szCs w:val="18"/>
          <w:highlight w:val="none"/>
        </w:rPr>
        <w:t xml:space="preserve">             </w:t>
      </w:r>
      <w:r>
        <w:rPr>
          <w:rFonts w:hint="eastAsia" w:ascii="Times New Roman" w:hAnsi="Times New Roman" w:eastAsia="黑体" w:cs="Times New Roman"/>
          <w:b/>
          <w:bCs/>
          <w:color w:val="auto"/>
          <w:sz w:val="18"/>
          <w:szCs w:val="18"/>
          <w:highlight w:val="none"/>
        </w:rPr>
        <w:t>文献标志码：</w:t>
      </w:r>
      <w:r>
        <w:rPr>
          <w:rFonts w:ascii="Times New Roman" w:hAnsi="Times New Roman" w:eastAsia="宋体" w:cs="Times New Roman"/>
          <w:b/>
          <w:color w:val="auto"/>
          <w:sz w:val="18"/>
          <w:szCs w:val="18"/>
          <w:highlight w:val="none"/>
        </w:rPr>
        <w:t>A</w:t>
      </w:r>
      <w:r>
        <w:rPr>
          <w:rFonts w:hint="eastAsia" w:ascii="宋体" w:hAnsi="宋体" w:eastAsia="宋体" w:cs="宋体"/>
          <w:color w:val="auto"/>
          <w:sz w:val="18"/>
          <w:szCs w:val="18"/>
          <w:highlight w:val="none"/>
        </w:rPr>
        <w:t xml:space="preserve"> </w:t>
      </w:r>
    </w:p>
    <w:p w14:paraId="2E362AE9">
      <w:pPr>
        <w:spacing w:line="280" w:lineRule="exact"/>
        <w:rPr>
          <w:rFonts w:hint="eastAsia" w:ascii="仿宋" w:hAnsi="仿宋" w:eastAsia="仿宋"/>
          <w:b/>
          <w:bCs/>
          <w:color w:val="auto"/>
          <w:sz w:val="18"/>
          <w:szCs w:val="18"/>
          <w:highlight w:val="none"/>
        </w:rPr>
      </w:pPr>
    </w:p>
    <w:p w14:paraId="6F18E763">
      <w:pPr>
        <w:spacing w:line="280" w:lineRule="exact"/>
        <w:jc w:val="center"/>
        <w:rPr>
          <w:rFonts w:ascii="Times New Roman" w:hAnsi="Times New Roman" w:eastAsia="仿宋" w:cs="Times New Roman"/>
          <w:b/>
          <w:bCs/>
          <w:color w:val="auto"/>
          <w:sz w:val="28"/>
          <w:szCs w:val="28"/>
          <w:highlight w:val="none"/>
        </w:rPr>
      </w:pPr>
      <w:r>
        <w:rPr>
          <w:rFonts w:hint="eastAsia" w:ascii="Times New Roman" w:hAnsi="Times New Roman" w:eastAsia="仿宋" w:cs="Times New Roman"/>
          <w:b/>
          <w:bCs/>
          <w:color w:val="auto"/>
          <w:sz w:val="28"/>
          <w:szCs w:val="28"/>
          <w:highlight w:val="none"/>
        </w:rPr>
        <w:t>Study on dew formation and its r</w:t>
      </w:r>
      <w:r>
        <w:rPr>
          <w:rFonts w:ascii="Times New Roman" w:hAnsi="Times New Roman" w:eastAsia="仿宋" w:cs="Times New Roman"/>
          <w:b/>
          <w:bCs/>
          <w:color w:val="auto"/>
          <w:sz w:val="28"/>
          <w:szCs w:val="28"/>
          <w:highlight w:val="none"/>
        </w:rPr>
        <w:t xml:space="preserve">elationship </w:t>
      </w:r>
      <w:r>
        <w:rPr>
          <w:rFonts w:hint="eastAsia" w:ascii="Times New Roman" w:hAnsi="Times New Roman" w:eastAsia="仿宋" w:cs="Times New Roman"/>
          <w:b/>
          <w:bCs/>
          <w:color w:val="auto"/>
          <w:sz w:val="28"/>
          <w:szCs w:val="28"/>
          <w:highlight w:val="none"/>
        </w:rPr>
        <w:t>with</w:t>
      </w:r>
      <w:r>
        <w:rPr>
          <w:rFonts w:ascii="Times New Roman" w:hAnsi="Times New Roman" w:eastAsia="仿宋" w:cs="Times New Roman"/>
          <w:b/>
          <w:bCs/>
          <w:color w:val="auto"/>
          <w:sz w:val="28"/>
          <w:szCs w:val="28"/>
          <w:highlight w:val="none"/>
        </w:rPr>
        <w:t xml:space="preserve"> meteorological factors in cotton fields under mulched drip irrigation</w:t>
      </w:r>
    </w:p>
    <w:p w14:paraId="2971AA64">
      <w:pPr>
        <w:jc w:val="center"/>
        <w:rPr>
          <w:rFonts w:ascii="Times New Roman" w:hAnsi="Times New Roman" w:cs="Times New Roman"/>
          <w:color w:val="auto"/>
          <w:kern w:val="0"/>
          <w:szCs w:val="21"/>
          <w:highlight w:val="none"/>
        </w:rPr>
      </w:pPr>
      <w:r>
        <w:rPr>
          <w:rFonts w:ascii="Times New Roman" w:hAnsi="Times New Roman" w:cs="Times New Roman"/>
          <w:color w:val="auto"/>
          <w:kern w:val="0"/>
          <w:szCs w:val="21"/>
          <w:highlight w:val="none"/>
        </w:rPr>
        <w:t>MA Ruisha</w:t>
      </w:r>
      <w:r>
        <w:rPr>
          <w:rFonts w:ascii="Times New Roman" w:hAnsi="Times New Roman" w:cs="Times New Roman"/>
          <w:color w:val="auto"/>
          <w:kern w:val="0"/>
          <w:szCs w:val="21"/>
          <w:highlight w:val="none"/>
          <w:vertAlign w:val="superscript"/>
        </w:rPr>
        <w:t>1</w:t>
      </w:r>
      <w:r>
        <w:rPr>
          <w:rFonts w:hint="eastAsia" w:ascii="Times New Roman" w:hAnsi="Times New Roman" w:cs="Times New Roman"/>
          <w:color w:val="auto"/>
          <w:kern w:val="0"/>
          <w:szCs w:val="21"/>
          <w:highlight w:val="none"/>
          <w:vertAlign w:val="superscript"/>
        </w:rPr>
        <w:t>,2</w:t>
      </w:r>
      <w:r>
        <w:rPr>
          <w:rFonts w:ascii="Times New Roman" w:hAnsi="Times New Roman" w:cs="Times New Roman"/>
          <w:color w:val="auto"/>
          <w:kern w:val="0"/>
          <w:szCs w:val="21"/>
          <w:highlight w:val="none"/>
        </w:rPr>
        <w:t xml:space="preserve">, </w:t>
      </w:r>
      <w:r>
        <w:rPr>
          <w:rFonts w:hint="eastAsia" w:ascii="Times New Roman" w:hAnsi="Times New Roman" w:cs="Times New Roman"/>
          <w:color w:val="auto"/>
          <w:kern w:val="0"/>
          <w:szCs w:val="21"/>
          <w:highlight w:val="none"/>
        </w:rPr>
        <w:t>QIAO</w:t>
      </w:r>
      <w:r>
        <w:rPr>
          <w:rFonts w:ascii="Times New Roman" w:hAnsi="Times New Roman" w:cs="Times New Roman"/>
          <w:color w:val="auto"/>
          <w:kern w:val="0"/>
          <w:szCs w:val="21"/>
          <w:highlight w:val="none"/>
        </w:rPr>
        <w:t xml:space="preserve"> </w:t>
      </w:r>
      <w:r>
        <w:rPr>
          <w:rFonts w:hint="eastAsia" w:ascii="Times New Roman" w:hAnsi="Times New Roman" w:cs="Times New Roman"/>
          <w:color w:val="auto"/>
          <w:kern w:val="0"/>
          <w:szCs w:val="21"/>
          <w:highlight w:val="none"/>
        </w:rPr>
        <w:t>Changlu</w:t>
      </w:r>
      <w:r>
        <w:rPr>
          <w:rFonts w:ascii="Times New Roman" w:hAnsi="Times New Roman" w:cs="Times New Roman"/>
          <w:color w:val="auto"/>
          <w:kern w:val="0"/>
          <w:szCs w:val="21"/>
          <w:highlight w:val="none"/>
          <w:vertAlign w:val="superscript"/>
        </w:rPr>
        <w:t>2</w:t>
      </w:r>
      <w:r>
        <w:rPr>
          <w:rFonts w:ascii="Times New Roman" w:hAnsi="Times New Roman" w:cs="Times New Roman"/>
          <w:color w:val="auto"/>
          <w:kern w:val="0"/>
          <w:szCs w:val="21"/>
          <w:highlight w:val="none"/>
        </w:rPr>
        <w:t>, GAO Yuesong</w:t>
      </w:r>
      <w:r>
        <w:rPr>
          <w:rFonts w:ascii="Times New Roman" w:hAnsi="Times New Roman" w:cs="Times New Roman"/>
          <w:color w:val="auto"/>
          <w:kern w:val="0"/>
          <w:szCs w:val="21"/>
          <w:highlight w:val="none"/>
          <w:vertAlign w:val="superscript"/>
        </w:rPr>
        <w:t>3</w:t>
      </w:r>
      <w:r>
        <w:rPr>
          <w:rFonts w:ascii="Times New Roman" w:hAnsi="Times New Roman" w:cs="Times New Roman"/>
          <w:color w:val="auto"/>
          <w:kern w:val="0"/>
          <w:szCs w:val="21"/>
          <w:highlight w:val="none"/>
        </w:rPr>
        <w:t>, GU Xinchen</w:t>
      </w:r>
      <w:r>
        <w:rPr>
          <w:rFonts w:ascii="Times New Roman" w:hAnsi="Times New Roman" w:cs="Times New Roman"/>
          <w:color w:val="auto"/>
          <w:kern w:val="0"/>
          <w:szCs w:val="21"/>
          <w:highlight w:val="none"/>
          <w:vertAlign w:val="superscript"/>
        </w:rPr>
        <w:t>4</w:t>
      </w:r>
      <w:r>
        <w:rPr>
          <w:rFonts w:ascii="Times New Roman" w:hAnsi="Times New Roman" w:cs="Times New Roman"/>
          <w:color w:val="auto"/>
          <w:kern w:val="0"/>
          <w:szCs w:val="21"/>
          <w:highlight w:val="none"/>
        </w:rPr>
        <w:t>, WANG Liangxiong</w:t>
      </w:r>
      <w:r>
        <w:rPr>
          <w:rFonts w:ascii="Times New Roman" w:hAnsi="Times New Roman" w:cs="Times New Roman"/>
          <w:color w:val="auto"/>
          <w:kern w:val="0"/>
          <w:szCs w:val="21"/>
          <w:highlight w:val="none"/>
          <w:vertAlign w:val="superscript"/>
        </w:rPr>
        <w:t>4</w:t>
      </w:r>
    </w:p>
    <w:p w14:paraId="08A287B0">
      <w:pPr>
        <w:adjustRightInd w:val="0"/>
        <w:snapToGrid w:val="0"/>
        <w:spacing w:line="280" w:lineRule="exact"/>
        <w:jc w:val="center"/>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(1. Yan Tai Gold College</w:t>
      </w:r>
      <w:r>
        <w:rPr>
          <w:rFonts w:ascii="Times New Roman" w:hAnsi="Times New Roman" w:eastAsia="仿宋" w:cs="Times New Roman"/>
          <w:color w:val="auto"/>
          <w:sz w:val="18"/>
          <w:szCs w:val="18"/>
          <w:highlight w:val="none"/>
        </w:rPr>
        <w:t>，</w:t>
      </w:r>
      <w:r>
        <w:rPr>
          <w:rFonts w:hint="eastAsia" w:ascii="Times New Roman" w:hAnsi="Times New Roman" w:cs="Times New Roman"/>
          <w:color w:val="auto"/>
          <w:sz w:val="18"/>
          <w:szCs w:val="18"/>
          <w:highlight w:val="none"/>
        </w:rPr>
        <w:t>Yantai</w:t>
      </w:r>
      <w:r>
        <w:rPr>
          <w:rFonts w:ascii="Times New Roman" w:hAnsi="Times New Roman" w:eastAsia="仿宋" w:cs="Times New Roman"/>
          <w:color w:val="auto"/>
          <w:sz w:val="18"/>
          <w:szCs w:val="18"/>
          <w:highlight w:val="none"/>
        </w:rPr>
        <w:t xml:space="preserve">  </w:t>
      </w:r>
      <w:r>
        <w:rPr>
          <w:rFonts w:hint="eastAsia" w:ascii="Times New Roman" w:hAnsi="Times New Roman" w:cs="Times New Roman"/>
          <w:color w:val="auto"/>
          <w:sz w:val="18"/>
          <w:szCs w:val="18"/>
          <w:highlight w:val="none"/>
        </w:rPr>
        <w:t>265401</w:t>
      </w:r>
      <w:r>
        <w:rPr>
          <w:rFonts w:ascii="Times New Roman" w:hAnsi="Times New Roman" w:eastAsia="仿宋" w:cs="Times New Roman"/>
          <w:color w:val="auto"/>
          <w:sz w:val="18"/>
          <w:szCs w:val="18"/>
          <w:highlight w:val="none"/>
        </w:rPr>
        <w:t>，</w:t>
      </w:r>
      <w:r>
        <w:rPr>
          <w:rFonts w:hint="eastAsia" w:ascii="Times New Roman" w:hAnsi="Times New Roman" w:eastAsia="仿宋" w:cs="Times New Roman"/>
          <w:color w:val="auto"/>
          <w:sz w:val="18"/>
          <w:szCs w:val="18"/>
          <w:highlight w:val="none"/>
        </w:rPr>
        <w:t>Shandong</w:t>
      </w:r>
      <w:r>
        <w:rPr>
          <w:rFonts w:ascii="Times New Roman" w:hAnsi="Times New Roman" w:eastAsia="仿宋" w:cs="Times New Roman"/>
          <w:color w:val="auto"/>
          <w:sz w:val="18"/>
          <w:szCs w:val="18"/>
          <w:highlight w:val="none"/>
        </w:rPr>
        <w:t>，China；</w:t>
      </w:r>
      <w:r>
        <w:rPr>
          <w:rFonts w:hint="eastAsia" w:ascii="Times New Roman" w:hAnsi="Times New Roman" w:cs="Times New Roman"/>
          <w:color w:val="auto"/>
          <w:sz w:val="18"/>
          <w:szCs w:val="18"/>
          <w:highlight w:val="none"/>
        </w:rPr>
        <w:t>2. College of Water Conservancy and Architectural Engineering</w:t>
      </w:r>
      <w:r>
        <w:rPr>
          <w:rFonts w:ascii="Times New Roman" w:hAnsi="Times New Roman" w:eastAsia="仿宋" w:cs="Times New Roman"/>
          <w:color w:val="auto"/>
          <w:sz w:val="18"/>
          <w:szCs w:val="18"/>
          <w:highlight w:val="none"/>
        </w:rPr>
        <w:t>，</w:t>
      </w:r>
      <w:r>
        <w:rPr>
          <w:rFonts w:hint="eastAsia" w:ascii="Times New Roman" w:hAnsi="Times New Roman" w:cs="Times New Roman"/>
          <w:color w:val="auto"/>
          <w:sz w:val="18"/>
          <w:szCs w:val="18"/>
          <w:highlight w:val="none"/>
        </w:rPr>
        <w:t>Shihezi University</w:t>
      </w:r>
      <w:r>
        <w:rPr>
          <w:rFonts w:ascii="Times New Roman" w:hAnsi="Times New Roman" w:eastAsia="仿宋" w:cs="Times New Roman"/>
          <w:color w:val="auto"/>
          <w:sz w:val="18"/>
          <w:szCs w:val="18"/>
          <w:highlight w:val="none"/>
        </w:rPr>
        <w:t>，</w:t>
      </w:r>
      <w:r>
        <w:rPr>
          <w:rFonts w:hint="eastAsia" w:ascii="Times New Roman" w:hAnsi="Times New Roman" w:cs="Times New Roman"/>
          <w:color w:val="auto"/>
          <w:sz w:val="18"/>
          <w:szCs w:val="18"/>
          <w:highlight w:val="none"/>
        </w:rPr>
        <w:t>Shihezi  832003</w:t>
      </w:r>
      <w:r>
        <w:rPr>
          <w:rFonts w:ascii="Times New Roman" w:hAnsi="Times New Roman" w:eastAsia="仿宋" w:cs="Times New Roman"/>
          <w:color w:val="auto"/>
          <w:sz w:val="18"/>
          <w:szCs w:val="18"/>
          <w:highlight w:val="none"/>
        </w:rPr>
        <w:t>，</w:t>
      </w:r>
      <w:r>
        <w:rPr>
          <w:rFonts w:hint="eastAsia" w:ascii="Times New Roman" w:hAnsi="Times New Roman" w:eastAsia="仿宋" w:cs="Times New Roman"/>
          <w:color w:val="auto"/>
          <w:sz w:val="18"/>
          <w:szCs w:val="18"/>
          <w:highlight w:val="none"/>
        </w:rPr>
        <w:t>Xinjiang</w:t>
      </w:r>
      <w:r>
        <w:rPr>
          <w:rFonts w:ascii="Times New Roman" w:hAnsi="Times New Roman" w:eastAsia="仿宋" w:cs="Times New Roman"/>
          <w:color w:val="auto"/>
          <w:sz w:val="18"/>
          <w:szCs w:val="18"/>
          <w:highlight w:val="none"/>
        </w:rPr>
        <w:t>，China；</w:t>
      </w:r>
      <w:r>
        <w:rPr>
          <w:rFonts w:hint="eastAsia" w:ascii="Times New Roman" w:hAnsi="Times New Roman" w:cs="Times New Roman"/>
          <w:color w:val="auto"/>
          <w:sz w:val="18"/>
          <w:szCs w:val="18"/>
          <w:highlight w:val="none"/>
        </w:rPr>
        <w:t>3. Shandong Urban Construction Vocational College</w:t>
      </w:r>
      <w:r>
        <w:rPr>
          <w:rFonts w:ascii="Times New Roman" w:hAnsi="Times New Roman" w:eastAsia="仿宋" w:cs="Times New Roman"/>
          <w:color w:val="auto"/>
          <w:sz w:val="18"/>
          <w:szCs w:val="18"/>
          <w:highlight w:val="none"/>
        </w:rPr>
        <w:t>，</w:t>
      </w:r>
      <w:r>
        <w:rPr>
          <w:rFonts w:hint="eastAsia" w:ascii="Times New Roman" w:hAnsi="Times New Roman" w:cs="Times New Roman"/>
          <w:color w:val="auto"/>
          <w:sz w:val="18"/>
          <w:szCs w:val="18"/>
          <w:highlight w:val="none"/>
        </w:rPr>
        <w:t>Jinan  250014</w:t>
      </w:r>
      <w:r>
        <w:rPr>
          <w:rFonts w:ascii="Times New Roman" w:hAnsi="Times New Roman" w:eastAsia="仿宋" w:cs="Times New Roman"/>
          <w:color w:val="auto"/>
          <w:sz w:val="18"/>
          <w:szCs w:val="18"/>
          <w:highlight w:val="none"/>
        </w:rPr>
        <w:t>，</w:t>
      </w:r>
      <w:r>
        <w:rPr>
          <w:rFonts w:hint="eastAsia" w:ascii="Times New Roman" w:hAnsi="Times New Roman" w:eastAsia="仿宋" w:cs="Times New Roman"/>
          <w:color w:val="auto"/>
          <w:sz w:val="18"/>
          <w:szCs w:val="18"/>
          <w:highlight w:val="none"/>
        </w:rPr>
        <w:t>Shandong</w:t>
      </w:r>
      <w:r>
        <w:rPr>
          <w:rFonts w:ascii="Times New Roman" w:hAnsi="Times New Roman" w:eastAsia="仿宋" w:cs="Times New Roman"/>
          <w:color w:val="auto"/>
          <w:sz w:val="18"/>
          <w:szCs w:val="18"/>
          <w:highlight w:val="none"/>
        </w:rPr>
        <w:t>，China；</w:t>
      </w:r>
      <w:r>
        <w:rPr>
          <w:rFonts w:hint="eastAsia" w:ascii="Times New Roman" w:hAnsi="Times New Roman" w:cs="Times New Roman"/>
          <w:color w:val="auto"/>
          <w:sz w:val="18"/>
          <w:szCs w:val="18"/>
          <w:highlight w:val="none"/>
        </w:rPr>
        <w:t>4. School of Civil Engineering and Transportation</w:t>
      </w:r>
      <w:r>
        <w:rPr>
          <w:rFonts w:ascii="Times New Roman" w:hAnsi="Times New Roman" w:eastAsia="仿宋" w:cs="Times New Roman"/>
          <w:color w:val="auto"/>
          <w:sz w:val="18"/>
          <w:szCs w:val="18"/>
          <w:highlight w:val="none"/>
        </w:rPr>
        <w:t>，</w:t>
      </w:r>
      <w:r>
        <w:rPr>
          <w:rFonts w:hint="eastAsia" w:ascii="Times New Roman" w:hAnsi="Times New Roman" w:cs="Times New Roman"/>
          <w:color w:val="auto"/>
          <w:sz w:val="18"/>
          <w:szCs w:val="18"/>
          <w:highlight w:val="none"/>
        </w:rPr>
        <w:t>South China University of Technology</w:t>
      </w:r>
      <w:r>
        <w:rPr>
          <w:rFonts w:ascii="Times New Roman" w:hAnsi="Times New Roman" w:eastAsia="仿宋" w:cs="Times New Roman"/>
          <w:color w:val="auto"/>
          <w:sz w:val="18"/>
          <w:szCs w:val="18"/>
          <w:highlight w:val="none"/>
        </w:rPr>
        <w:t>，</w:t>
      </w:r>
      <w:r>
        <w:rPr>
          <w:rFonts w:hint="eastAsia" w:ascii="Times New Roman" w:hAnsi="Times New Roman" w:cs="Times New Roman"/>
          <w:color w:val="auto"/>
          <w:sz w:val="18"/>
          <w:szCs w:val="18"/>
          <w:highlight w:val="none"/>
        </w:rPr>
        <w:t>Guangzhou  510640</w:t>
      </w:r>
      <w:r>
        <w:rPr>
          <w:rFonts w:ascii="Times New Roman" w:hAnsi="Times New Roman" w:eastAsia="仿宋" w:cs="Times New Roman"/>
          <w:color w:val="auto"/>
          <w:sz w:val="18"/>
          <w:szCs w:val="18"/>
          <w:highlight w:val="none"/>
        </w:rPr>
        <w:t>，</w:t>
      </w:r>
      <w:r>
        <w:rPr>
          <w:rFonts w:hint="eastAsia" w:ascii="Times New Roman" w:hAnsi="Times New Roman" w:eastAsia="仿宋" w:cs="Times New Roman"/>
          <w:color w:val="auto"/>
          <w:sz w:val="18"/>
          <w:szCs w:val="18"/>
          <w:highlight w:val="none"/>
        </w:rPr>
        <w:t>Guangdong</w:t>
      </w:r>
      <w:r>
        <w:rPr>
          <w:rFonts w:ascii="Times New Roman" w:hAnsi="Times New Roman" w:eastAsia="仿宋" w:cs="Times New Roman"/>
          <w:color w:val="auto"/>
          <w:sz w:val="18"/>
          <w:szCs w:val="18"/>
          <w:highlight w:val="none"/>
        </w:rPr>
        <w:t>，China</w:t>
      </w:r>
      <w:r>
        <w:rPr>
          <w:rFonts w:hint="eastAsia" w:ascii="Times New Roman" w:hAnsi="Times New Roman" w:cs="Times New Roman"/>
          <w:color w:val="auto"/>
          <w:sz w:val="18"/>
          <w:szCs w:val="18"/>
          <w:highlight w:val="none"/>
        </w:rPr>
        <w:t>)</w:t>
      </w:r>
    </w:p>
    <w:p w14:paraId="5E3C17BE">
      <w:pPr>
        <w:pStyle w:val="2"/>
        <w:rPr>
          <w:rFonts w:hint="eastAsia"/>
          <w:color w:val="auto"/>
          <w:highlight w:val="none"/>
        </w:rPr>
      </w:pPr>
    </w:p>
    <w:p w14:paraId="4267C5B1">
      <w:pPr>
        <w:adjustRightInd w:val="0"/>
        <w:snapToGrid w:val="0"/>
        <w:rPr>
          <w:rFonts w:ascii="Times New Roman" w:hAnsi="Times New Roman" w:cs="Times New Roman"/>
          <w:bCs/>
          <w:color w:val="auto"/>
          <w:szCs w:val="21"/>
          <w:highlight w:val="none"/>
        </w:rPr>
      </w:pPr>
      <w:r>
        <w:rPr>
          <w:rFonts w:ascii="Times New Roman" w:hAnsi="Times New Roman" w:cs="Times New Roman"/>
          <w:b/>
          <w:color w:val="auto"/>
          <w:szCs w:val="21"/>
          <w:highlight w:val="none"/>
        </w:rPr>
        <w:t>Abstract</w:t>
      </w:r>
      <w:r>
        <w:rPr>
          <w:rFonts w:hint="eastAsia" w:ascii="Times New Roman" w:hAnsi="Times New Roman" w:cs="Times New Roman"/>
          <w:b/>
          <w:color w:val="auto"/>
          <w:szCs w:val="21"/>
          <w:highlight w:val="none"/>
        </w:rPr>
        <w:t>：</w:t>
      </w:r>
      <w:r>
        <w:rPr>
          <w:rFonts w:hint="eastAsia" w:ascii="Times New Roman" w:hAnsi="Times New Roman" w:cs="Times New Roman"/>
          <w:color w:val="auto"/>
          <w:szCs w:val="21"/>
          <w:highlight w:val="none"/>
        </w:rPr>
        <w:t xml:space="preserve"> </w:t>
      </w:r>
      <w:r>
        <w:rPr>
          <w:rFonts w:ascii="Times New Roman" w:hAnsi="Times New Roman" w:cs="Times New Roman"/>
          <w:color w:val="auto"/>
          <w:szCs w:val="21"/>
          <w:highlight w:val="none"/>
        </w:rPr>
        <w:t>[Objective]</w:t>
      </w:r>
      <w:r>
        <w:rPr>
          <w:rFonts w:hint="eastAsia" w:ascii="Times New Roman" w:hAnsi="Times New Roman" w:cs="Times New Roman"/>
          <w:color w:val="auto"/>
          <w:szCs w:val="21"/>
          <w:highlight w:val="none"/>
        </w:rPr>
        <w:t xml:space="preserve"> </w:t>
      </w:r>
      <w:r>
        <w:rPr>
          <w:rFonts w:ascii="Times New Roman" w:hAnsi="Times New Roman" w:cs="Times New Roman"/>
          <w:bCs/>
          <w:color w:val="auto"/>
          <w:szCs w:val="21"/>
          <w:highlight w:val="none"/>
        </w:rPr>
        <w:t xml:space="preserve">Although dew is an important supplementary water source </w:t>
      </w:r>
      <w:r>
        <w:rPr>
          <w:rFonts w:hint="eastAsia" w:ascii="Times New Roman" w:hAnsi="Times New Roman" w:cs="Times New Roman"/>
          <w:bCs/>
          <w:color w:val="auto"/>
          <w:szCs w:val="21"/>
          <w:highlight w:val="none"/>
        </w:rPr>
        <w:t>for</w:t>
      </w:r>
      <w:r>
        <w:rPr>
          <w:rFonts w:ascii="Times New Roman" w:hAnsi="Times New Roman" w:cs="Times New Roman"/>
          <w:bCs/>
          <w:color w:val="auto"/>
          <w:szCs w:val="21"/>
          <w:highlight w:val="none"/>
        </w:rPr>
        <w:t xml:space="preserve"> farmland micro-ecosystems in arid regions, its occurrence patterns and meteorological driving mechanisms remain insufficiently understood. The objectives are to reveal the occurrence </w:t>
      </w:r>
      <w:r>
        <w:rPr>
          <w:rFonts w:hint="eastAsia" w:ascii="Times New Roman" w:hAnsi="Times New Roman" w:cs="Times New Roman"/>
          <w:bCs/>
          <w:color w:val="auto"/>
          <w:szCs w:val="21"/>
          <w:highlight w:val="none"/>
        </w:rPr>
        <w:t>patterns</w:t>
      </w:r>
      <w:r>
        <w:rPr>
          <w:rFonts w:ascii="Times New Roman" w:hAnsi="Times New Roman" w:cs="Times New Roman"/>
          <w:bCs/>
          <w:color w:val="auto"/>
          <w:szCs w:val="21"/>
          <w:highlight w:val="none"/>
        </w:rPr>
        <w:t xml:space="preserve"> and </w:t>
      </w:r>
      <w:r>
        <w:rPr>
          <w:rFonts w:hint="eastAsia" w:ascii="Times New Roman" w:hAnsi="Times New Roman" w:cs="Times New Roman"/>
          <w:bCs/>
          <w:color w:val="auto"/>
          <w:szCs w:val="21"/>
          <w:highlight w:val="none"/>
        </w:rPr>
        <w:t>quantitative characteristics</w:t>
      </w:r>
      <w:r>
        <w:rPr>
          <w:rFonts w:ascii="Times New Roman" w:hAnsi="Times New Roman" w:cs="Times New Roman"/>
          <w:bCs/>
          <w:color w:val="auto"/>
          <w:szCs w:val="21"/>
          <w:highlight w:val="none"/>
        </w:rPr>
        <w:t xml:space="preserve"> of dew in oasis cotton fields in arid regions, explore the influence of film mulching on dew formation</w:t>
      </w:r>
      <w:r>
        <w:rPr>
          <w:rFonts w:hint="eastAsia" w:ascii="Times New Roman" w:hAnsi="Times New Roman" w:cs="Times New Roman"/>
          <w:bCs/>
          <w:color w:val="auto"/>
          <w:szCs w:val="21"/>
          <w:highlight w:val="none"/>
        </w:rPr>
        <w:t xml:space="preserve"> mechanism</w:t>
      </w:r>
      <w:r>
        <w:rPr>
          <w:rFonts w:ascii="Times New Roman" w:hAnsi="Times New Roman" w:cs="Times New Roman"/>
          <w:bCs/>
          <w:color w:val="auto"/>
          <w:szCs w:val="21"/>
          <w:highlight w:val="none"/>
        </w:rPr>
        <w:t xml:space="preserve">, and clarify </w:t>
      </w:r>
      <w:r>
        <w:rPr>
          <w:rFonts w:hint="eastAsia" w:ascii="Times New Roman" w:hAnsi="Times New Roman" w:cs="Times New Roman"/>
          <w:bCs/>
          <w:color w:val="auto"/>
          <w:szCs w:val="21"/>
          <w:highlight w:val="none"/>
        </w:rPr>
        <w:t>the driving mechanism of</w:t>
      </w:r>
      <w:r>
        <w:rPr>
          <w:rFonts w:ascii="Times New Roman" w:hAnsi="Times New Roman" w:cs="Times New Roman"/>
          <w:bCs/>
          <w:color w:val="auto"/>
          <w:szCs w:val="21"/>
          <w:highlight w:val="none"/>
        </w:rPr>
        <w:t xml:space="preserve"> micro</w:t>
      </w:r>
      <w:r>
        <w:rPr>
          <w:rFonts w:hint="eastAsia" w:ascii="Times New Roman" w:hAnsi="Times New Roman" w:cs="Times New Roman"/>
          <w:bCs/>
          <w:color w:val="auto"/>
          <w:szCs w:val="21"/>
          <w:highlight w:val="none"/>
        </w:rPr>
        <w:t>-</w:t>
      </w:r>
      <w:r>
        <w:rPr>
          <w:rFonts w:ascii="Times New Roman" w:hAnsi="Times New Roman" w:cs="Times New Roman"/>
          <w:bCs/>
          <w:color w:val="auto"/>
          <w:szCs w:val="21"/>
          <w:highlight w:val="none"/>
        </w:rPr>
        <w:t xml:space="preserve">meteorological factors </w:t>
      </w:r>
      <w:r>
        <w:rPr>
          <w:rFonts w:hint="eastAsia" w:ascii="Times New Roman" w:hAnsi="Times New Roman" w:cs="Times New Roman"/>
          <w:bCs/>
          <w:color w:val="auto"/>
          <w:szCs w:val="21"/>
          <w:highlight w:val="none"/>
        </w:rPr>
        <w:t>on</w:t>
      </w:r>
      <w:r>
        <w:rPr>
          <w:rFonts w:ascii="Times New Roman" w:hAnsi="Times New Roman" w:cs="Times New Roman"/>
          <w:bCs/>
          <w:color w:val="auto"/>
          <w:szCs w:val="21"/>
          <w:highlight w:val="none"/>
        </w:rPr>
        <w:t xml:space="preserve"> dew formation, thereby providing a theoretical basis for refined farmland water management and assessment of crop water use efficiency in arid regions. </w:t>
      </w:r>
      <w:r>
        <w:rPr>
          <w:rFonts w:ascii="Times New Roman" w:hAnsi="Times New Roman" w:cs="Times New Roman"/>
          <w:color w:val="auto"/>
          <w:szCs w:val="21"/>
          <w:highlight w:val="none"/>
        </w:rPr>
        <w:t>[Methods]</w:t>
      </w:r>
      <w:r>
        <w:rPr>
          <w:rFonts w:ascii="Times New Roman" w:hAnsi="Times New Roman" w:cs="Times New Roman"/>
          <w:bCs/>
          <w:color w:val="auto"/>
          <w:szCs w:val="21"/>
          <w:highlight w:val="none"/>
        </w:rPr>
        <w:t xml:space="preserve"> Based on lysimeter and meteorological </w:t>
      </w:r>
      <w:r>
        <w:rPr>
          <w:rFonts w:hint="eastAsia" w:ascii="Times New Roman" w:hAnsi="Times New Roman" w:cs="Times New Roman"/>
          <w:bCs/>
          <w:color w:val="auto"/>
          <w:szCs w:val="21"/>
          <w:highlight w:val="none"/>
        </w:rPr>
        <w:t xml:space="preserve">station </w:t>
      </w:r>
      <w:r>
        <w:rPr>
          <w:rFonts w:ascii="Times New Roman" w:hAnsi="Times New Roman" w:cs="Times New Roman"/>
          <w:bCs/>
          <w:color w:val="auto"/>
          <w:szCs w:val="21"/>
          <w:highlight w:val="none"/>
        </w:rPr>
        <w:t>observations conducted from 2018 to 2020 at the Water-s</w:t>
      </w:r>
      <w:r>
        <w:rPr>
          <w:rFonts w:ascii="Times New Roman" w:hAnsi="Times New Roman" w:eastAsia="宋体" w:cs="Times New Roman"/>
          <w:bCs/>
          <w:color w:val="auto"/>
          <w:szCs w:val="21"/>
          <w:highlight w:val="none"/>
        </w:rPr>
        <w:t>aving Irrigation Experimental Station of Shihezi University, dew in cotton fields was measured</w:t>
      </w:r>
      <w:r>
        <w:rPr>
          <w:rFonts w:hint="eastAsia" w:ascii="Times New Roman" w:hAnsi="Times New Roman" w:eastAsia="宋体" w:cs="Times New Roman"/>
          <w:bCs/>
          <w:color w:val="auto"/>
          <w:szCs w:val="21"/>
          <w:highlight w:val="none"/>
        </w:rPr>
        <w:t>,</w:t>
      </w:r>
      <w:r>
        <w:rPr>
          <w:rFonts w:ascii="Times New Roman" w:hAnsi="Times New Roman" w:eastAsia="宋体" w:cs="Times New Roman"/>
          <w:bCs/>
          <w:color w:val="auto"/>
          <w:szCs w:val="21"/>
          <w:highlight w:val="none"/>
        </w:rPr>
        <w:t xml:space="preserve"> and </w:t>
      </w:r>
      <w:r>
        <w:rPr>
          <w:rFonts w:hint="eastAsia" w:ascii="Times New Roman" w:hAnsi="Times New Roman" w:eastAsia="宋体" w:cs="Times New Roman"/>
          <w:bCs/>
          <w:color w:val="auto"/>
          <w:szCs w:val="21"/>
          <w:highlight w:val="none"/>
        </w:rPr>
        <w:t>the obtained data were comprehensively analyzed</w:t>
      </w:r>
      <w:r>
        <w:rPr>
          <w:rFonts w:ascii="Times New Roman" w:hAnsi="Times New Roman" w:eastAsia="宋体" w:cs="Times New Roman"/>
          <w:bCs/>
          <w:color w:val="auto"/>
          <w:szCs w:val="21"/>
          <w:highlight w:val="none"/>
        </w:rPr>
        <w:t xml:space="preserve">. A control experiment with different </w:t>
      </w:r>
      <w:r>
        <w:rPr>
          <w:rFonts w:hint="eastAsia" w:ascii="Times New Roman" w:hAnsi="Times New Roman" w:eastAsia="宋体" w:cs="Times New Roman"/>
          <w:bCs/>
          <w:color w:val="auto"/>
          <w:szCs w:val="21"/>
          <w:highlight w:val="none"/>
        </w:rPr>
        <w:t xml:space="preserve">film </w:t>
      </w:r>
      <w:r>
        <w:rPr>
          <w:rFonts w:ascii="Times New Roman" w:hAnsi="Times New Roman" w:eastAsia="宋体" w:cs="Times New Roman"/>
          <w:bCs/>
          <w:color w:val="auto"/>
          <w:szCs w:val="21"/>
          <w:highlight w:val="none"/>
        </w:rPr>
        <w:t>mulching treatments was establishe</w:t>
      </w:r>
      <w:r>
        <w:rPr>
          <w:rFonts w:ascii="Times New Roman" w:hAnsi="Times New Roman" w:cs="Times New Roman"/>
          <w:bCs/>
          <w:color w:val="auto"/>
          <w:szCs w:val="21"/>
          <w:highlight w:val="none"/>
        </w:rPr>
        <w:t xml:space="preserve">d. Three large weighing lysimeters (QYZS-2010, 2 m × 2 m × 2 m) were used </w:t>
      </w:r>
      <w:r>
        <w:rPr>
          <w:rFonts w:hint="eastAsia" w:ascii="Times New Roman" w:hAnsi="Times New Roman" w:cs="Times New Roman"/>
          <w:bCs/>
          <w:color w:val="auto"/>
          <w:szCs w:val="21"/>
          <w:highlight w:val="none"/>
        </w:rPr>
        <w:t>for real-time monitoring of dew</w:t>
      </w:r>
      <w:r>
        <w:rPr>
          <w:rFonts w:ascii="Times New Roman" w:hAnsi="Times New Roman" w:cs="Times New Roman"/>
          <w:bCs/>
          <w:color w:val="auto"/>
          <w:szCs w:val="21"/>
          <w:highlight w:val="none"/>
        </w:rPr>
        <w:t xml:space="preserve"> in cotton fields. The diurnal variation, growth-stage differences, relative </w:t>
      </w:r>
      <w:r>
        <w:rPr>
          <w:rFonts w:hint="eastAsia" w:ascii="Times New Roman" w:hAnsi="Times New Roman" w:cs="Times New Roman"/>
          <w:bCs/>
          <w:color w:val="auto"/>
          <w:szCs w:val="21"/>
          <w:highlight w:val="none"/>
        </w:rPr>
        <w:t xml:space="preserve">water </w:t>
      </w:r>
      <w:r>
        <w:rPr>
          <w:rFonts w:ascii="Times New Roman" w:hAnsi="Times New Roman" w:cs="Times New Roman"/>
          <w:bCs/>
          <w:color w:val="auto"/>
          <w:szCs w:val="21"/>
          <w:highlight w:val="none"/>
        </w:rPr>
        <w:t>contribution of dew, and its relationships with air relative humidity, dew point temperature, surface-air temperature difference (</w:t>
      </w:r>
      <w:r>
        <w:rPr>
          <w:rFonts w:ascii="Times New Roman" w:hAnsi="Times New Roman" w:cs="Times New Roman"/>
          <w:bCs/>
          <w:i/>
          <w:iCs/>
          <w:color w:val="auto"/>
          <w:szCs w:val="21"/>
          <w:highlight w:val="none"/>
        </w:rPr>
        <w:t>T</w:t>
      </w:r>
      <w:r>
        <w:rPr>
          <w:rFonts w:ascii="Times New Roman" w:hAnsi="Times New Roman" w:cs="Times New Roman"/>
          <w:bCs/>
          <w:i/>
          <w:iCs/>
          <w:color w:val="auto"/>
          <w:szCs w:val="21"/>
          <w:highlight w:val="none"/>
          <w:vertAlign w:val="subscript"/>
        </w:rPr>
        <w:t>s</w:t>
      </w:r>
      <w:r>
        <w:rPr>
          <w:rFonts w:ascii="Times New Roman" w:hAnsi="Times New Roman" w:cs="Times New Roman"/>
          <w:bCs/>
          <w:color w:val="auto"/>
          <w:szCs w:val="21"/>
          <w:highlight w:val="none"/>
        </w:rPr>
        <w:t>-</w:t>
      </w:r>
      <w:r>
        <w:rPr>
          <w:rFonts w:ascii="Times New Roman" w:hAnsi="Times New Roman" w:cs="Times New Roman"/>
          <w:bCs/>
          <w:i/>
          <w:iCs/>
          <w:color w:val="auto"/>
          <w:szCs w:val="21"/>
          <w:highlight w:val="none"/>
        </w:rPr>
        <w:t>T</w:t>
      </w:r>
      <w:r>
        <w:rPr>
          <w:rFonts w:ascii="Times New Roman" w:hAnsi="Times New Roman" w:cs="Times New Roman"/>
          <w:bCs/>
          <w:i/>
          <w:iCs/>
          <w:color w:val="auto"/>
          <w:szCs w:val="21"/>
          <w:highlight w:val="none"/>
          <w:vertAlign w:val="subscript"/>
        </w:rPr>
        <w:t>a</w:t>
      </w:r>
      <w:r>
        <w:rPr>
          <w:rFonts w:ascii="Times New Roman" w:hAnsi="Times New Roman" w:cs="Times New Roman"/>
          <w:bCs/>
          <w:color w:val="auto"/>
          <w:szCs w:val="21"/>
          <w:highlight w:val="none"/>
        </w:rPr>
        <w:t>), condensation surface-dew point temperature difference (</w:t>
      </w:r>
      <w:r>
        <w:rPr>
          <w:rFonts w:ascii="Times New Roman" w:hAnsi="Times New Roman" w:cs="Times New Roman"/>
          <w:bCs/>
          <w:i/>
          <w:iCs/>
          <w:color w:val="auto"/>
          <w:szCs w:val="21"/>
          <w:highlight w:val="none"/>
        </w:rPr>
        <w:t>T</w:t>
      </w:r>
      <w:r>
        <w:rPr>
          <w:rFonts w:ascii="Times New Roman" w:hAnsi="Times New Roman" w:cs="Times New Roman"/>
          <w:bCs/>
          <w:i/>
          <w:iCs/>
          <w:color w:val="auto"/>
          <w:szCs w:val="21"/>
          <w:highlight w:val="none"/>
          <w:vertAlign w:val="subscript"/>
        </w:rPr>
        <w:t>s</w:t>
      </w:r>
      <w:r>
        <w:rPr>
          <w:rFonts w:ascii="Times New Roman" w:hAnsi="Times New Roman" w:cs="Times New Roman"/>
          <w:bCs/>
          <w:color w:val="auto"/>
          <w:szCs w:val="21"/>
          <w:highlight w:val="none"/>
        </w:rPr>
        <w:t>-</w:t>
      </w:r>
      <w:r>
        <w:rPr>
          <w:rFonts w:ascii="Times New Roman" w:hAnsi="Times New Roman" w:cs="Times New Roman"/>
          <w:bCs/>
          <w:i/>
          <w:iCs/>
          <w:color w:val="auto"/>
          <w:szCs w:val="21"/>
          <w:highlight w:val="none"/>
        </w:rPr>
        <w:t>T</w:t>
      </w:r>
      <w:r>
        <w:rPr>
          <w:rFonts w:ascii="Times New Roman" w:hAnsi="Times New Roman" w:cs="Times New Roman"/>
          <w:bCs/>
          <w:i/>
          <w:iCs/>
          <w:color w:val="auto"/>
          <w:szCs w:val="21"/>
          <w:highlight w:val="none"/>
          <w:vertAlign w:val="subscript"/>
        </w:rPr>
        <w:t>d</w:t>
      </w:r>
      <w:r>
        <w:rPr>
          <w:rFonts w:ascii="Times New Roman" w:hAnsi="Times New Roman" w:cs="Times New Roman"/>
          <w:bCs/>
          <w:color w:val="auto"/>
          <w:szCs w:val="21"/>
          <w:highlight w:val="none"/>
        </w:rPr>
        <w:t xml:space="preserve">), wind speed, and wind direction were analyzed. </w:t>
      </w:r>
      <w:r>
        <w:rPr>
          <w:rFonts w:ascii="Times New Roman" w:hAnsi="Times New Roman" w:cs="Times New Roman"/>
          <w:color w:val="auto"/>
          <w:szCs w:val="21"/>
          <w:highlight w:val="none"/>
        </w:rPr>
        <w:t>[Results]</w:t>
      </w:r>
      <w:r>
        <w:rPr>
          <w:rFonts w:ascii="Times New Roman" w:hAnsi="Times New Roman" w:cs="Times New Roman"/>
          <w:bCs/>
          <w:color w:val="auto"/>
          <w:szCs w:val="21"/>
          <w:highlight w:val="none"/>
        </w:rPr>
        <w:t xml:space="preserve"> Dew in cotton fields mainly occurred from 00:00 to 08:00 Beijing Time, showing a continuous </w:t>
      </w:r>
      <w:r>
        <w:rPr>
          <w:rFonts w:hint="eastAsia" w:ascii="Times New Roman" w:hAnsi="Times New Roman" w:cs="Times New Roman"/>
          <w:bCs/>
          <w:color w:val="auto"/>
          <w:szCs w:val="21"/>
          <w:highlight w:val="none"/>
        </w:rPr>
        <w:t xml:space="preserve">variation </w:t>
      </w:r>
      <w:r>
        <w:rPr>
          <w:rFonts w:ascii="Times New Roman" w:hAnsi="Times New Roman" w:cs="Times New Roman"/>
          <w:bCs/>
          <w:color w:val="auto"/>
          <w:szCs w:val="21"/>
          <w:highlight w:val="none"/>
        </w:rPr>
        <w:t xml:space="preserve">process of nocturnal formation, predawn enhancement, and post-sunrise transition to evapotranspiration. Typical daily curves mainly reflected the overall diurnal variation trend of dew. The overall diurnal trends of dew under mulched and non-mulched treatments were generally consistent, but differences </w:t>
      </w:r>
      <w:r>
        <w:rPr>
          <w:rFonts w:hint="eastAsia" w:ascii="Times New Roman" w:hAnsi="Times New Roman" w:cs="Times New Roman"/>
          <w:bCs/>
          <w:color w:val="auto"/>
          <w:szCs w:val="21"/>
          <w:highlight w:val="none"/>
        </w:rPr>
        <w:t>were observed</w:t>
      </w:r>
      <w:r>
        <w:rPr>
          <w:rFonts w:ascii="Times New Roman" w:hAnsi="Times New Roman" w:cs="Times New Roman"/>
          <w:bCs/>
          <w:color w:val="auto"/>
          <w:szCs w:val="21"/>
          <w:highlight w:val="none"/>
        </w:rPr>
        <w:t xml:space="preserve"> in peak condensation rate, peak timing, and cumulative dew amount. The total amount of dew </w:t>
      </w:r>
      <w:r>
        <w:rPr>
          <w:rFonts w:hint="eastAsia" w:ascii="Times New Roman" w:hAnsi="Times New Roman" w:cs="Times New Roman"/>
          <w:bCs/>
          <w:color w:val="auto"/>
          <w:szCs w:val="21"/>
          <w:highlight w:val="none"/>
        </w:rPr>
        <w:t>obtained by the system</w:t>
      </w:r>
      <w:r>
        <w:rPr>
          <w:rFonts w:ascii="Times New Roman" w:hAnsi="Times New Roman" w:cs="Times New Roman"/>
          <w:bCs/>
          <w:color w:val="auto"/>
          <w:szCs w:val="21"/>
          <w:highlight w:val="none"/>
        </w:rPr>
        <w:t xml:space="preserve"> under non-mulched conditions was higher than that under mulched conditions, indicating that film mulching reduced system-recorded dew input by restricting soil-atmosphere water vapor exchange and altering the effective condensation surface and near-surface thermal and moisture environment. From 2018 to 2020, dew amounts under the non-mulched treatment were 36.60 mm, 89.20 mm, and 61.63 mm, respectively, while those under the mulched treatment were 31.37 mm, 70.87 mm, and 58.05 mm, respectively. The ratio of dew amount to precipitation </w:t>
      </w:r>
      <w:r>
        <w:rPr>
          <w:rFonts w:hint="eastAsia" w:ascii="Times New Roman" w:hAnsi="Times New Roman" w:cs="Times New Roman"/>
          <w:bCs/>
          <w:color w:val="auto"/>
          <w:szCs w:val="21"/>
          <w:highlight w:val="none"/>
        </w:rPr>
        <w:t xml:space="preserve">during the same period </w:t>
      </w:r>
      <w:r>
        <w:rPr>
          <w:rFonts w:ascii="Times New Roman" w:hAnsi="Times New Roman" w:cs="Times New Roman"/>
          <w:bCs/>
          <w:color w:val="auto"/>
          <w:szCs w:val="21"/>
          <w:highlight w:val="none"/>
        </w:rPr>
        <w:t xml:space="preserve">reached as high as 97.21% under the non-mulched treatment in 2020. The amount of dew was positively correlated with air relative humidity and dew point temperature, and showed an exponential relationship with </w:t>
      </w:r>
      <w:r>
        <w:rPr>
          <w:rFonts w:ascii="Times New Roman" w:hAnsi="Times New Roman" w:cs="Times New Roman"/>
          <w:bCs/>
          <w:i/>
          <w:iCs/>
          <w:color w:val="auto"/>
          <w:szCs w:val="21"/>
          <w:highlight w:val="none"/>
        </w:rPr>
        <w:t>T</w:t>
      </w:r>
      <w:r>
        <w:rPr>
          <w:rFonts w:ascii="Times New Roman" w:hAnsi="Times New Roman" w:cs="Times New Roman"/>
          <w:bCs/>
          <w:i/>
          <w:iCs/>
          <w:color w:val="auto"/>
          <w:szCs w:val="21"/>
          <w:highlight w:val="none"/>
          <w:vertAlign w:val="subscript"/>
        </w:rPr>
        <w:t>s</w:t>
      </w:r>
      <w:r>
        <w:rPr>
          <w:rFonts w:ascii="Times New Roman" w:hAnsi="Times New Roman" w:cs="Times New Roman"/>
          <w:bCs/>
          <w:color w:val="auto"/>
          <w:szCs w:val="21"/>
          <w:highlight w:val="none"/>
        </w:rPr>
        <w:t>-</w:t>
      </w:r>
      <w:r>
        <w:rPr>
          <w:rFonts w:ascii="Times New Roman" w:hAnsi="Times New Roman" w:cs="Times New Roman"/>
          <w:bCs/>
          <w:i/>
          <w:iCs/>
          <w:color w:val="auto"/>
          <w:szCs w:val="21"/>
          <w:highlight w:val="none"/>
        </w:rPr>
        <w:t>T</w:t>
      </w:r>
      <w:r>
        <w:rPr>
          <w:rFonts w:ascii="Times New Roman" w:hAnsi="Times New Roman" w:cs="Times New Roman"/>
          <w:bCs/>
          <w:i/>
          <w:iCs/>
          <w:color w:val="auto"/>
          <w:szCs w:val="21"/>
          <w:highlight w:val="none"/>
          <w:vertAlign w:val="subscript"/>
        </w:rPr>
        <w:t>a</w:t>
      </w:r>
      <w:r>
        <w:rPr>
          <w:rFonts w:ascii="Times New Roman" w:hAnsi="Times New Roman" w:cs="Times New Roman"/>
          <w:bCs/>
          <w:color w:val="auto"/>
          <w:szCs w:val="21"/>
          <w:highlight w:val="none"/>
        </w:rPr>
        <w:t>. However, the direct thermal condition for dew formation was that the condensation surface temperature reached or fell below the dew point temperature (</w:t>
      </w:r>
      <w:r>
        <w:rPr>
          <w:rFonts w:ascii="Times New Roman" w:hAnsi="Times New Roman" w:cs="Times New Roman"/>
          <w:bCs/>
          <w:i/>
          <w:iCs/>
          <w:color w:val="auto"/>
          <w:szCs w:val="21"/>
          <w:highlight w:val="none"/>
        </w:rPr>
        <w:t>T</w:t>
      </w:r>
      <w:r>
        <w:rPr>
          <w:rFonts w:ascii="Times New Roman" w:hAnsi="Times New Roman" w:cs="Times New Roman"/>
          <w:bCs/>
          <w:i/>
          <w:iCs/>
          <w:color w:val="auto"/>
          <w:szCs w:val="21"/>
          <w:highlight w:val="none"/>
          <w:vertAlign w:val="subscript"/>
        </w:rPr>
        <w:t>s</w:t>
      </w:r>
      <w:r>
        <w:rPr>
          <w:rFonts w:ascii="Times New Roman" w:hAnsi="Times New Roman" w:cs="Times New Roman"/>
          <w:bCs/>
          <w:color w:val="auto"/>
          <w:szCs w:val="21"/>
          <w:highlight w:val="none"/>
        </w:rPr>
        <w:t>-</w:t>
      </w:r>
      <w:r>
        <w:rPr>
          <w:rFonts w:ascii="Times New Roman" w:hAnsi="Times New Roman" w:cs="Times New Roman"/>
          <w:bCs/>
          <w:i/>
          <w:iCs/>
          <w:color w:val="auto"/>
          <w:szCs w:val="21"/>
          <w:highlight w:val="none"/>
        </w:rPr>
        <w:t>T</w:t>
      </w:r>
      <w:r>
        <w:rPr>
          <w:rFonts w:ascii="Times New Roman" w:hAnsi="Times New Roman" w:cs="Times New Roman"/>
          <w:bCs/>
          <w:i/>
          <w:iCs/>
          <w:color w:val="auto"/>
          <w:szCs w:val="21"/>
          <w:highlight w:val="none"/>
          <w:vertAlign w:val="subscript"/>
        </w:rPr>
        <w:t>d</w:t>
      </w:r>
      <w:r>
        <w:rPr>
          <w:rFonts w:hint="eastAsia" w:ascii="Times New Roman" w:hAnsi="Times New Roman" w:cs="Times New Roman"/>
          <w:bCs/>
          <w:color w:val="auto"/>
          <w:szCs w:val="21"/>
          <w:highlight w:val="none"/>
        </w:rPr>
        <w:t>≤</w:t>
      </w:r>
      <w:r>
        <w:rPr>
          <w:rFonts w:ascii="Times New Roman" w:hAnsi="Times New Roman" w:cs="Times New Roman"/>
          <w:bCs/>
          <w:color w:val="auto"/>
          <w:szCs w:val="21"/>
          <w:highlight w:val="none"/>
        </w:rPr>
        <w:t xml:space="preserve">0). The correlation between wind speed and dew amount was relatively weak, </w:t>
      </w:r>
      <w:r>
        <w:rPr>
          <w:rFonts w:hint="eastAsia" w:ascii="Times New Roman" w:hAnsi="Times New Roman" w:cs="Times New Roman"/>
          <w:bCs/>
          <w:color w:val="auto"/>
          <w:szCs w:val="21"/>
          <w:highlight w:val="none"/>
        </w:rPr>
        <w:t>while</w:t>
      </w:r>
      <w:r>
        <w:rPr>
          <w:rFonts w:ascii="Times New Roman" w:hAnsi="Times New Roman" w:cs="Times New Roman"/>
          <w:bCs/>
          <w:color w:val="auto"/>
          <w:szCs w:val="21"/>
          <w:highlight w:val="none"/>
        </w:rPr>
        <w:t xml:space="preserve"> wind direction mainly </w:t>
      </w:r>
      <w:r>
        <w:rPr>
          <w:rFonts w:hint="eastAsia" w:ascii="Times New Roman" w:hAnsi="Times New Roman" w:cs="Times New Roman"/>
          <w:bCs/>
          <w:color w:val="auto"/>
          <w:szCs w:val="21"/>
          <w:highlight w:val="none"/>
        </w:rPr>
        <w:t>reflected the background of</w:t>
      </w:r>
      <w:r>
        <w:rPr>
          <w:rFonts w:ascii="Times New Roman" w:hAnsi="Times New Roman" w:cs="Times New Roman"/>
          <w:bCs/>
          <w:color w:val="auto"/>
          <w:szCs w:val="21"/>
          <w:highlight w:val="none"/>
        </w:rPr>
        <w:t xml:space="preserve"> local circulations, such as nocturnal mountain-valley winds, and their influence on water vapor transport conditions. </w:t>
      </w:r>
      <w:r>
        <w:rPr>
          <w:rFonts w:ascii="Times New Roman" w:hAnsi="Times New Roman" w:cs="Times New Roman"/>
          <w:color w:val="auto"/>
          <w:szCs w:val="21"/>
          <w:highlight w:val="none"/>
        </w:rPr>
        <w:t>[Conclusion]</w:t>
      </w:r>
      <w:r>
        <w:rPr>
          <w:rFonts w:ascii="Times New Roman" w:hAnsi="Times New Roman" w:cs="Times New Roman"/>
          <w:bCs/>
          <w:color w:val="auto"/>
          <w:szCs w:val="21"/>
          <w:highlight w:val="none"/>
        </w:rPr>
        <w:t xml:space="preserve"> Although dew in drip-irrigated cotton fields in arid regions is unlikely to alter the overall pattern of farmland water consumption, it can serve as a small water supplement with local ecological significance during low-precipitation growth stages. Film mulching reduces soil evaporation and helps retain soil moisture, while also altering near-surface water vapor transport and condensation interface conditions, thereby reducing the system-recorded dew input. Multi-year continuous lysimeter observations reveal the dew formation process and micrometeorological driving characteristics in cotton fields under film-mulched </w:t>
      </w:r>
      <w:r>
        <w:rPr>
          <w:rFonts w:hint="eastAsia" w:ascii="Times New Roman" w:hAnsi="Times New Roman" w:cs="Times New Roman"/>
          <w:bCs/>
          <w:color w:val="auto"/>
          <w:szCs w:val="21"/>
          <w:highlight w:val="none"/>
        </w:rPr>
        <w:t xml:space="preserve">underlying </w:t>
      </w:r>
      <w:r>
        <w:rPr>
          <w:rFonts w:ascii="Times New Roman" w:hAnsi="Times New Roman" w:cs="Times New Roman"/>
          <w:bCs/>
          <w:color w:val="auto"/>
          <w:szCs w:val="21"/>
          <w:highlight w:val="none"/>
        </w:rPr>
        <w:t xml:space="preserve">surface conditions, providing a basis for evaluating micro-scale water cycling in farmland </w:t>
      </w:r>
      <w:r>
        <w:rPr>
          <w:rFonts w:hint="eastAsia" w:ascii="Times New Roman" w:hAnsi="Times New Roman" w:cs="Times New Roman"/>
          <w:bCs/>
          <w:color w:val="auto"/>
          <w:szCs w:val="21"/>
          <w:highlight w:val="none"/>
        </w:rPr>
        <w:t xml:space="preserve">of </w:t>
      </w:r>
      <w:r>
        <w:rPr>
          <w:rFonts w:ascii="Times New Roman" w:hAnsi="Times New Roman" w:cs="Times New Roman"/>
          <w:bCs/>
          <w:color w:val="auto"/>
          <w:szCs w:val="21"/>
          <w:highlight w:val="none"/>
        </w:rPr>
        <w:t>arid</w:t>
      </w:r>
      <w:r>
        <w:rPr>
          <w:rFonts w:hint="eastAsia" w:ascii="Times New Roman" w:hAnsi="Times New Roman" w:cs="Times New Roman"/>
          <w:bCs/>
          <w:color w:val="auto"/>
          <w:szCs w:val="21"/>
          <w:highlight w:val="none"/>
        </w:rPr>
        <w:t xml:space="preserve"> regions</w:t>
      </w:r>
      <w:r>
        <w:rPr>
          <w:rFonts w:ascii="Times New Roman" w:hAnsi="Times New Roman" w:cs="Times New Roman"/>
          <w:bCs/>
          <w:color w:val="auto"/>
          <w:szCs w:val="21"/>
          <w:highlight w:val="none"/>
        </w:rPr>
        <w:t>.</w:t>
      </w:r>
    </w:p>
    <w:p w14:paraId="2217DFD5">
      <w:pPr>
        <w:widowControl/>
        <w:jc w:val="left"/>
        <w:rPr>
          <w:rFonts w:hint="eastAsia"/>
          <w:color w:val="auto"/>
          <w:highlight w:val="none"/>
        </w:rPr>
      </w:pPr>
      <w:r>
        <w:rPr>
          <w:rFonts w:ascii="Times New Roman" w:hAnsi="Times New Roman" w:cs="Times New Roman"/>
          <w:b/>
          <w:color w:val="auto"/>
          <w:szCs w:val="21"/>
          <w:highlight w:val="none"/>
        </w:rPr>
        <w:t>Keywords</w:t>
      </w:r>
      <w:r>
        <w:rPr>
          <w:rFonts w:hint="eastAsia" w:ascii="Times New Roman" w:hAnsi="Times New Roman" w:cs="Times New Roman"/>
          <w:b/>
          <w:color w:val="auto"/>
          <w:szCs w:val="21"/>
          <w:highlight w:val="none"/>
        </w:rPr>
        <w:t>：</w:t>
      </w:r>
      <w:r>
        <w:rPr>
          <w:rFonts w:ascii="Times New Roman" w:hAnsi="Times New Roman" w:cs="Times New Roman"/>
          <w:bCs/>
          <w:color w:val="auto"/>
          <w:szCs w:val="21"/>
          <w:highlight w:val="none"/>
        </w:rPr>
        <w:t>dew;</w:t>
      </w:r>
      <w:r>
        <w:rPr>
          <w:rFonts w:hint="eastAsia"/>
          <w:color w:val="auto"/>
          <w:szCs w:val="21"/>
          <w:highlight w:val="none"/>
        </w:rPr>
        <w:t xml:space="preserve"> </w:t>
      </w:r>
      <w:r>
        <w:rPr>
          <w:rFonts w:ascii="Times New Roman" w:hAnsi="Times New Roman" w:cs="Times New Roman"/>
          <w:bCs/>
          <w:color w:val="auto"/>
          <w:szCs w:val="21"/>
          <w:highlight w:val="none"/>
        </w:rPr>
        <w:t xml:space="preserve">meteorological factors; mulched drip irrigation; arid </w:t>
      </w:r>
      <w:r>
        <w:rPr>
          <w:rFonts w:hint="eastAsia" w:ascii="Times New Roman" w:hAnsi="Times New Roman" w:cs="Times New Roman"/>
          <w:bCs/>
          <w:color w:val="auto"/>
          <w:szCs w:val="21"/>
          <w:highlight w:val="none"/>
        </w:rPr>
        <w:t>regions</w:t>
      </w:r>
      <w:r>
        <w:rPr>
          <w:rFonts w:ascii="Times New Roman" w:hAnsi="Times New Roman" w:cs="Times New Roman"/>
          <w:bCs/>
          <w:color w:val="auto"/>
          <w:szCs w:val="21"/>
          <w:highlight w:val="none"/>
        </w:rPr>
        <w:t>; Manas River Basin;</w:t>
      </w:r>
      <w:r>
        <w:rPr>
          <w:rFonts w:hint="eastAsia"/>
          <w:color w:val="auto"/>
          <w:highlight w:val="none"/>
        </w:rPr>
        <w:t xml:space="preserve"> </w:t>
      </w:r>
      <w:r>
        <w:rPr>
          <w:rFonts w:ascii="Times New Roman" w:hAnsi="Times New Roman" w:cs="Times New Roman"/>
          <w:bCs/>
          <w:color w:val="auto"/>
          <w:szCs w:val="21"/>
          <w:highlight w:val="none"/>
        </w:rPr>
        <w:t>film mulching treatment;</w:t>
      </w:r>
      <w:r>
        <w:rPr>
          <w:rFonts w:hint="eastAsia" w:ascii="Times New Roman" w:hAnsi="Times New Roman" w:cs="Times New Roman"/>
          <w:bCs/>
          <w:color w:val="auto"/>
          <w:szCs w:val="21"/>
          <w:highlight w:val="none"/>
        </w:rPr>
        <w:t xml:space="preserve"> </w:t>
      </w:r>
      <w:r>
        <w:rPr>
          <w:rFonts w:hint="eastAsia" w:ascii="Times New Roman" w:hAnsi="Times New Roman" w:cs="Times New Roman"/>
          <w:color w:val="auto"/>
          <w:szCs w:val="21"/>
          <w:highlight w:val="none"/>
        </w:rPr>
        <w:t>lysimeter</w:t>
      </w:r>
      <w:r>
        <w:rPr>
          <w:rFonts w:ascii="Times New Roman" w:hAnsi="Times New Roman" w:cs="Times New Roman"/>
          <w:bCs/>
          <w:color w:val="auto"/>
          <w:szCs w:val="21"/>
          <w:highlight w:val="none"/>
          <w:lang w:bidi="ar"/>
        </w:rPr>
        <w:t>;</w:t>
      </w:r>
      <w:r>
        <w:rPr>
          <w:rFonts w:hint="eastAsia" w:ascii="Times New Roman" w:hAnsi="Times New Roman" w:cs="Times New Roman"/>
          <w:bCs/>
          <w:color w:val="auto"/>
          <w:szCs w:val="21"/>
          <w:highlight w:val="none"/>
          <w:lang w:bidi="ar"/>
        </w:rPr>
        <w:t xml:space="preserve"> </w:t>
      </w:r>
      <w:r>
        <w:rPr>
          <w:rFonts w:hint="eastAsia" w:ascii="Times New Roman" w:hAnsi="Times New Roman" w:cs="Times New Roman"/>
          <w:color w:val="auto"/>
          <w:szCs w:val="21"/>
          <w:highlight w:val="none"/>
        </w:rPr>
        <w:t>cotton field</w:t>
      </w:r>
    </w:p>
    <w:p w14:paraId="08F2C1A1">
      <w:pPr>
        <w:widowControl/>
        <w:jc w:val="left"/>
        <w:rPr>
          <w:rFonts w:hint="eastAsia"/>
          <w:color w:val="auto"/>
          <w:highlight w:val="none"/>
        </w:rPr>
      </w:pPr>
      <w:r>
        <w:rPr>
          <w:color w:val="auto"/>
          <w:highlight w:val="none"/>
        </w:rPr>
        <w:br w:type="page"/>
      </w:r>
    </w:p>
    <w:p w14:paraId="63FAE965">
      <w:pPr>
        <w:pStyle w:val="3"/>
        <w:spacing w:before="0" w:after="0" w:line="240" w:lineRule="auto"/>
        <w:rPr>
          <w:rFonts w:ascii="Times New Roman" w:hAnsi="Times New Roman" w:cs="Times New Roman"/>
          <w:color w:val="auto"/>
          <w:highlight w:val="none"/>
        </w:rPr>
      </w:pPr>
      <w:r>
        <w:rPr>
          <w:rFonts w:ascii="Times New Roman" w:hAnsi="Times New Roman" w:cs="Times New Roman"/>
          <w:color w:val="auto"/>
          <w:highlight w:val="none"/>
        </w:rPr>
        <w:t>0 引  言</w:t>
      </w:r>
    </w:p>
    <w:p w14:paraId="2BD8B277">
      <w:pPr>
        <w:widowControl/>
        <w:adjustRightInd w:val="0"/>
        <w:snapToGrid w:val="0"/>
        <w:ind w:firstLine="420" w:firstLineChars="200"/>
        <w:rPr>
          <w:rFonts w:ascii="Times New Roman" w:hAnsi="Times New Roman" w:eastAsia="宋体" w:cs="宋体"/>
          <w:snapToGrid w:val="0"/>
          <w:color w:val="auto"/>
          <w:kern w:val="0"/>
          <w:szCs w:val="21"/>
          <w:highlight w:val="none"/>
        </w:rPr>
      </w:pPr>
      <w:r>
        <w:rPr>
          <w:rFonts w:hint="eastAsia" w:ascii="Times New Roman" w:hAnsi="Times New Roman" w:eastAsia="宋体" w:cs="宋体"/>
          <w:snapToGrid w:val="0"/>
          <w:color w:val="auto"/>
          <w:kern w:val="0"/>
          <w:szCs w:val="21"/>
          <w:highlight w:val="none"/>
        </w:rPr>
        <w:t>水资源短缺是限制干旱和半干旱地区社会经济发展及生态系统稳定的重要因素。准确获取干旱区土壤水分信息并阐明其循环过程，是认识区域生态水文演变、优化农业水资源管理的重要基础</w:t>
      </w:r>
      <w:r>
        <w:rPr>
          <w:rFonts w:ascii="Times New Roman" w:hAnsi="Times New Roman" w:eastAsia="宋体" w:cs="Times New Roman"/>
          <w:snapToGrid w:val="0"/>
          <w:color w:val="auto"/>
          <w:kern w:val="0"/>
          <w:szCs w:val="21"/>
          <w:highlight w:val="none"/>
          <w:vertAlign w:val="superscript"/>
        </w:rPr>
        <w:t>[1]</w:t>
      </w:r>
      <w:r>
        <w:rPr>
          <w:rFonts w:hint="eastAsia" w:ascii="Times New Roman" w:hAnsi="Times New Roman" w:eastAsia="宋体" w:cs="宋体"/>
          <w:snapToGrid w:val="0"/>
          <w:color w:val="auto"/>
          <w:kern w:val="0"/>
          <w:szCs w:val="21"/>
          <w:highlight w:val="none"/>
        </w:rPr>
        <w:t>。</w:t>
      </w:r>
      <w:r>
        <w:rPr>
          <w:rFonts w:ascii="Times New Roman" w:hAnsi="Times New Roman" w:eastAsia="宋体" w:cs="宋体"/>
          <w:snapToGrid w:val="0"/>
          <w:color w:val="auto"/>
          <w:kern w:val="0"/>
          <w:szCs w:val="21"/>
          <w:highlight w:val="none"/>
        </w:rPr>
        <w:t>在降水稀少、蒸发强烈的地区，露水等降雨以外的微量水分输入可作为农业和造林用水的补充，并对近地表土壤水分状况产生一定影响</w:t>
      </w:r>
      <w:r>
        <w:rPr>
          <w:rFonts w:ascii="Times New Roman" w:hAnsi="Times New Roman" w:eastAsia="宋体" w:cs="Times New Roman"/>
          <w:snapToGrid w:val="0"/>
          <w:color w:val="auto"/>
          <w:kern w:val="0"/>
          <w:szCs w:val="21"/>
          <w:highlight w:val="none"/>
          <w:vertAlign w:val="superscript"/>
        </w:rPr>
        <w:t>[2]</w:t>
      </w:r>
      <w:r>
        <w:rPr>
          <w:rFonts w:hint="eastAsia" w:ascii="Times New Roman" w:hAnsi="Times New Roman" w:eastAsia="宋体" w:cs="宋体"/>
          <w:snapToGrid w:val="0"/>
          <w:color w:val="auto"/>
          <w:kern w:val="0"/>
          <w:szCs w:val="21"/>
          <w:highlight w:val="none"/>
        </w:rPr>
        <w:t>。凝结水是农田水循环和地表能量平衡的重要组成部分，通常指夜间地表或植物冠层温度降低至空气露点以下时，大气或土壤中的水汽在冷却表面凝结形成的液态水</w:t>
      </w:r>
      <w:r>
        <w:rPr>
          <w:rFonts w:ascii="Times New Roman" w:hAnsi="Times New Roman" w:eastAsia="宋体" w:cs="Times New Roman"/>
          <w:snapToGrid w:val="0"/>
          <w:color w:val="auto"/>
          <w:kern w:val="0"/>
          <w:szCs w:val="21"/>
          <w:highlight w:val="none"/>
          <w:vertAlign w:val="superscript"/>
        </w:rPr>
        <w:t>[3-4]</w:t>
      </w:r>
      <w:r>
        <w:rPr>
          <w:rFonts w:hint="eastAsia" w:ascii="Times New Roman" w:hAnsi="Times New Roman" w:eastAsia="宋体" w:cs="宋体"/>
          <w:snapToGrid w:val="0"/>
          <w:color w:val="auto"/>
          <w:kern w:val="0"/>
          <w:szCs w:val="21"/>
          <w:highlight w:val="none"/>
        </w:rPr>
        <w:t>。干旱区凝结水单次发生量通常较小，一般为</w:t>
      </w:r>
      <w:r>
        <w:rPr>
          <w:rFonts w:ascii="Times New Roman" w:hAnsi="Times New Roman" w:eastAsia="宋体" w:cs="宋体"/>
          <w:snapToGrid w:val="0"/>
          <w:color w:val="auto"/>
          <w:kern w:val="0"/>
          <w:szCs w:val="21"/>
          <w:highlight w:val="none"/>
        </w:rPr>
        <w:t>0.1</w:t>
      </w:r>
      <w:r>
        <w:rPr>
          <w:rFonts w:ascii="Times New Roman" w:hAnsi="Times New Roman" w:cs="Times New Roman"/>
          <w:color w:val="auto"/>
          <w:highlight w:val="none"/>
        </w:rPr>
        <w:t>～</w:t>
      </w:r>
      <w:r>
        <w:rPr>
          <w:rFonts w:ascii="Times New Roman" w:hAnsi="Times New Roman" w:eastAsia="宋体" w:cs="宋体"/>
          <w:snapToGrid w:val="0"/>
          <w:color w:val="auto"/>
          <w:kern w:val="0"/>
          <w:szCs w:val="21"/>
          <w:highlight w:val="none"/>
        </w:rPr>
        <w:t>0.5 mm</w:t>
      </w:r>
      <w:r>
        <w:rPr>
          <w:rFonts w:hint="eastAsia" w:ascii="Times New Roman" w:hAnsi="Times New Roman" w:eastAsia="宋体" w:cs="宋体"/>
          <w:snapToGrid w:val="0"/>
          <w:color w:val="auto"/>
          <w:kern w:val="0"/>
          <w:szCs w:val="21"/>
          <w:highlight w:val="none"/>
        </w:rPr>
        <w:t>，但其年累积量在部分地区可达到甚至超过同期降雨量</w:t>
      </w:r>
      <w:r>
        <w:rPr>
          <w:rFonts w:ascii="Times New Roman" w:hAnsi="Times New Roman" w:eastAsia="宋体" w:cs="Times New Roman"/>
          <w:snapToGrid w:val="0"/>
          <w:color w:val="auto"/>
          <w:kern w:val="0"/>
          <w:szCs w:val="21"/>
          <w:highlight w:val="none"/>
          <w:vertAlign w:val="superscript"/>
        </w:rPr>
        <w:t>[5-6]</w:t>
      </w:r>
      <w:r>
        <w:rPr>
          <w:rFonts w:hint="eastAsia" w:ascii="Times New Roman" w:hAnsi="Times New Roman" w:eastAsia="宋体" w:cs="宋体"/>
          <w:snapToGrid w:val="0"/>
          <w:color w:val="auto"/>
          <w:kern w:val="0"/>
          <w:szCs w:val="21"/>
          <w:highlight w:val="none"/>
        </w:rPr>
        <w:t>。已有研究表明，凝结水作为一种</w:t>
      </w:r>
      <w:r>
        <w:rPr>
          <w:rFonts w:ascii="Times New Roman" w:hAnsi="Times New Roman" w:eastAsia="宋体" w:cs="宋体"/>
          <w:snapToGrid w:val="0"/>
          <w:color w:val="auto"/>
          <w:kern w:val="0"/>
          <w:szCs w:val="21"/>
          <w:highlight w:val="none"/>
        </w:rPr>
        <w:t>具有一定稳定性的非降雨水源</w:t>
      </w:r>
      <w:r>
        <w:rPr>
          <w:rFonts w:hint="eastAsia" w:ascii="Times New Roman" w:hAnsi="Times New Roman" w:eastAsia="宋体" w:cs="宋体"/>
          <w:snapToGrid w:val="0"/>
          <w:color w:val="auto"/>
          <w:kern w:val="0"/>
          <w:szCs w:val="21"/>
          <w:highlight w:val="none"/>
        </w:rPr>
        <w:t>，在干旱区生态水文过程中具有重要作用</w:t>
      </w:r>
      <w:r>
        <w:rPr>
          <w:rFonts w:ascii="Times New Roman" w:hAnsi="Times New Roman" w:eastAsia="宋体" w:cs="Times New Roman"/>
          <w:snapToGrid w:val="0"/>
          <w:color w:val="auto"/>
          <w:kern w:val="0"/>
          <w:szCs w:val="21"/>
          <w:highlight w:val="none"/>
          <w:vertAlign w:val="superscript"/>
        </w:rPr>
        <w:t>[7]</w:t>
      </w:r>
      <w:r>
        <w:rPr>
          <w:rFonts w:hint="eastAsia" w:ascii="Times New Roman" w:hAnsi="Times New Roman" w:eastAsia="宋体" w:cs="宋体"/>
          <w:snapToGrid w:val="0"/>
          <w:color w:val="auto"/>
          <w:kern w:val="0"/>
          <w:szCs w:val="21"/>
          <w:highlight w:val="none"/>
        </w:rPr>
        <w:t>。凝结水不仅可被植物叶片吸收，帮助恢复细胞膨压、提高植物抗旱能力</w:t>
      </w:r>
      <w:r>
        <w:rPr>
          <w:rFonts w:ascii="Times New Roman" w:hAnsi="Times New Roman" w:eastAsia="宋体" w:cs="Times New Roman"/>
          <w:snapToGrid w:val="0"/>
          <w:color w:val="auto"/>
          <w:kern w:val="0"/>
          <w:szCs w:val="21"/>
          <w:highlight w:val="none"/>
          <w:vertAlign w:val="superscript"/>
        </w:rPr>
        <w:t>[8-9]</w:t>
      </w:r>
      <w:r>
        <w:rPr>
          <w:rFonts w:hint="eastAsia" w:ascii="Times New Roman" w:hAnsi="Times New Roman" w:eastAsia="宋体" w:cs="宋体"/>
          <w:snapToGrid w:val="0"/>
          <w:color w:val="auto"/>
          <w:kern w:val="0"/>
          <w:szCs w:val="21"/>
          <w:highlight w:val="none"/>
        </w:rPr>
        <w:t>，</w:t>
      </w:r>
      <w:r>
        <w:rPr>
          <w:rFonts w:ascii="Times New Roman" w:hAnsi="Times New Roman" w:eastAsia="宋体" w:cs="宋体"/>
          <w:snapToGrid w:val="0"/>
          <w:color w:val="auto"/>
          <w:kern w:val="0"/>
          <w:szCs w:val="21"/>
          <w:highlight w:val="none"/>
        </w:rPr>
        <w:t>还可通过降低叶片蒸腾损失、调节叶片水分和同位素平衡，影响植物水分利用过程</w:t>
      </w:r>
      <w:r>
        <w:rPr>
          <w:rFonts w:ascii="Times New Roman" w:hAnsi="Times New Roman" w:eastAsia="宋体" w:cs="宋体"/>
          <w:snapToGrid w:val="0"/>
          <w:color w:val="auto"/>
          <w:kern w:val="0"/>
          <w:szCs w:val="21"/>
          <w:highlight w:val="none"/>
          <w:vertAlign w:val="superscript"/>
        </w:rPr>
        <w:t>[10]</w:t>
      </w:r>
      <w:r>
        <w:rPr>
          <w:rFonts w:ascii="Times New Roman" w:hAnsi="Times New Roman" w:eastAsia="宋体" w:cs="宋体"/>
          <w:snapToGrid w:val="0"/>
          <w:color w:val="auto"/>
          <w:kern w:val="0"/>
          <w:szCs w:val="21"/>
          <w:highlight w:val="none"/>
        </w:rPr>
        <w:t>。此外，不同荒漠生境中凝结水发生量和动态过程存在差异</w:t>
      </w:r>
      <w:r>
        <w:rPr>
          <w:rFonts w:ascii="Times New Roman" w:hAnsi="Times New Roman" w:eastAsia="宋体" w:cs="宋体"/>
          <w:snapToGrid w:val="0"/>
          <w:color w:val="auto"/>
          <w:kern w:val="0"/>
          <w:szCs w:val="21"/>
          <w:highlight w:val="none"/>
          <w:vertAlign w:val="superscript"/>
        </w:rPr>
        <w:t>[11]</w:t>
      </w:r>
      <w:r>
        <w:rPr>
          <w:rFonts w:ascii="Times New Roman" w:hAnsi="Times New Roman" w:eastAsia="宋体" w:cs="宋体"/>
          <w:snapToGrid w:val="0"/>
          <w:color w:val="auto"/>
          <w:kern w:val="0"/>
          <w:szCs w:val="21"/>
          <w:highlight w:val="none"/>
        </w:rPr>
        <w:t>；凝结水及水汽吸附也是干旱、半干旱区生物土壤结皮和浅层土壤微生物维持生命活动的重要</w:t>
      </w:r>
      <w:r>
        <w:rPr>
          <w:rFonts w:hint="eastAsia" w:ascii="Times New Roman" w:hAnsi="Times New Roman" w:eastAsia="宋体" w:cs="宋体"/>
          <w:snapToGrid w:val="0"/>
          <w:color w:val="auto"/>
          <w:kern w:val="0"/>
          <w:szCs w:val="21"/>
          <w:highlight w:val="none"/>
        </w:rPr>
        <w:t>水分</w:t>
      </w:r>
      <w:r>
        <w:rPr>
          <w:rFonts w:ascii="Times New Roman" w:hAnsi="Times New Roman" w:eastAsia="宋体" w:cs="宋体"/>
          <w:snapToGrid w:val="0"/>
          <w:color w:val="auto"/>
          <w:kern w:val="0"/>
          <w:szCs w:val="21"/>
          <w:highlight w:val="none"/>
        </w:rPr>
        <w:t>来源</w:t>
      </w:r>
      <w:r>
        <w:rPr>
          <w:rFonts w:ascii="Times New Roman" w:hAnsi="Times New Roman" w:eastAsia="宋体" w:cs="宋体"/>
          <w:snapToGrid w:val="0"/>
          <w:color w:val="auto"/>
          <w:kern w:val="0"/>
          <w:szCs w:val="21"/>
          <w:highlight w:val="none"/>
          <w:vertAlign w:val="superscript"/>
        </w:rPr>
        <w:t>[12-14]</w:t>
      </w:r>
      <w:r>
        <w:rPr>
          <w:rFonts w:ascii="Times New Roman" w:hAnsi="Times New Roman" w:eastAsia="宋体" w:cs="宋体"/>
          <w:snapToGrid w:val="0"/>
          <w:color w:val="auto"/>
          <w:kern w:val="0"/>
          <w:szCs w:val="21"/>
          <w:highlight w:val="none"/>
        </w:rPr>
        <w:t>。</w:t>
      </w:r>
    </w:p>
    <w:p w14:paraId="334352DA">
      <w:pPr>
        <w:widowControl/>
        <w:adjustRightInd w:val="0"/>
        <w:snapToGrid w:val="0"/>
        <w:ind w:firstLine="420" w:firstLineChars="200"/>
        <w:rPr>
          <w:rFonts w:ascii="Times New Roman" w:hAnsi="Times New Roman" w:eastAsia="宋体" w:cs="宋体"/>
          <w:snapToGrid w:val="0"/>
          <w:color w:val="auto"/>
          <w:kern w:val="0"/>
          <w:szCs w:val="21"/>
          <w:highlight w:val="none"/>
        </w:rPr>
      </w:pPr>
      <w:r>
        <w:rPr>
          <w:rFonts w:hint="eastAsia" w:ascii="Times New Roman" w:hAnsi="Times New Roman" w:eastAsia="宋体" w:cs="宋体"/>
          <w:snapToGrid w:val="0"/>
          <w:color w:val="auto"/>
          <w:kern w:val="0"/>
          <w:szCs w:val="21"/>
          <w:highlight w:val="none"/>
        </w:rPr>
        <w:t>从形成机制看，地表及冠层凝结水的水汽来源主要包括两类：一是大气中的水汽在湍流输送或分子扩散作用下到达冷却表面并发生凝结，通常称为“大气凝结”；二是深层土壤水分在土壤热通量梯度驱动下向上迁移，并在较冷的土壤表层或植被冠层底部凝结，通常称为“土壤蒸馏”</w:t>
      </w:r>
      <w:r>
        <w:rPr>
          <w:rFonts w:ascii="Times New Roman" w:hAnsi="Times New Roman" w:eastAsia="宋体" w:cs="Times New Roman"/>
          <w:snapToGrid w:val="0"/>
          <w:color w:val="auto"/>
          <w:kern w:val="0"/>
          <w:szCs w:val="21"/>
          <w:highlight w:val="none"/>
          <w:vertAlign w:val="superscript"/>
        </w:rPr>
        <w:t>[15-16]</w:t>
      </w:r>
      <w:r>
        <w:rPr>
          <w:rFonts w:hint="eastAsia" w:ascii="Times New Roman" w:hAnsi="Times New Roman" w:eastAsia="宋体" w:cs="宋体"/>
          <w:snapToGrid w:val="0"/>
          <w:color w:val="auto"/>
          <w:kern w:val="0"/>
          <w:szCs w:val="21"/>
          <w:highlight w:val="none"/>
        </w:rPr>
        <w:t>。两类过程在自然条件下往往同时存在，其相对贡献受下垫面性质和微气象条件共同影响</w:t>
      </w:r>
      <w:r>
        <w:rPr>
          <w:rFonts w:ascii="Times New Roman" w:hAnsi="Times New Roman" w:eastAsia="宋体" w:cs="Times New Roman"/>
          <w:snapToGrid w:val="0"/>
          <w:color w:val="auto"/>
          <w:kern w:val="0"/>
          <w:szCs w:val="21"/>
          <w:highlight w:val="none"/>
          <w:vertAlign w:val="superscript"/>
        </w:rPr>
        <w:t>[17-18]</w:t>
      </w:r>
      <w:r>
        <w:rPr>
          <w:rFonts w:hint="eastAsia" w:ascii="Times New Roman" w:hAnsi="Times New Roman" w:eastAsia="宋体" w:cs="宋体"/>
          <w:snapToGrid w:val="0"/>
          <w:color w:val="auto"/>
          <w:kern w:val="0"/>
          <w:szCs w:val="21"/>
          <w:highlight w:val="none"/>
        </w:rPr>
        <w:t>。为准确定量凝结水及其不同来源，国内外学者在观测方法方面开展了大量探索。传统直接量测方法，如</w:t>
      </w:r>
      <w:r>
        <w:rPr>
          <w:rFonts w:ascii="Times New Roman" w:hAnsi="Times New Roman" w:eastAsia="宋体" w:cs="宋体"/>
          <w:snapToGrid w:val="0"/>
          <w:color w:val="auto"/>
          <w:kern w:val="0"/>
          <w:szCs w:val="21"/>
          <w:highlight w:val="none"/>
        </w:rPr>
        <w:t>Duvdevani</w:t>
      </w:r>
      <w:r>
        <w:rPr>
          <w:rFonts w:hint="eastAsia" w:ascii="Times New Roman" w:hAnsi="Times New Roman" w:eastAsia="宋体" w:cs="宋体"/>
          <w:snapToGrid w:val="0"/>
          <w:color w:val="auto"/>
          <w:kern w:val="0"/>
          <w:szCs w:val="21"/>
          <w:highlight w:val="none"/>
        </w:rPr>
        <w:t>木块法和人工凝结面法等，虽然操作简便，但容易改变自然下垫面的热力学性质，难以真实反映农田或荒漠地表的实际凝结过程</w:t>
      </w:r>
      <w:r>
        <w:rPr>
          <w:rFonts w:ascii="Times New Roman" w:hAnsi="Times New Roman" w:eastAsia="宋体" w:cs="Times New Roman"/>
          <w:snapToGrid w:val="0"/>
          <w:color w:val="auto"/>
          <w:kern w:val="0"/>
          <w:szCs w:val="21"/>
          <w:highlight w:val="none"/>
          <w:vertAlign w:val="superscript"/>
        </w:rPr>
        <w:t>[19-20]</w:t>
      </w:r>
      <w:r>
        <w:rPr>
          <w:rFonts w:hint="eastAsia" w:ascii="Times New Roman" w:hAnsi="Times New Roman" w:eastAsia="宋体" w:cs="宋体"/>
          <w:snapToGrid w:val="0"/>
          <w:color w:val="auto"/>
          <w:kern w:val="0"/>
          <w:szCs w:val="21"/>
          <w:highlight w:val="none"/>
        </w:rPr>
        <w:t>。</w:t>
      </w:r>
      <w:r>
        <w:rPr>
          <w:rFonts w:ascii="Times New Roman" w:hAnsi="Times New Roman" w:eastAsia="宋体" w:cs="宋体"/>
          <w:snapToGrid w:val="0"/>
          <w:color w:val="auto"/>
          <w:kern w:val="0"/>
          <w:szCs w:val="21"/>
          <w:highlight w:val="none"/>
        </w:rPr>
        <w:t>Penman-Monteith</w:t>
      </w:r>
      <w:r>
        <w:rPr>
          <w:rFonts w:hint="eastAsia" w:ascii="Times New Roman" w:hAnsi="Times New Roman" w:eastAsia="宋体" w:cs="宋体"/>
          <w:snapToGrid w:val="0"/>
          <w:color w:val="auto"/>
          <w:kern w:val="0"/>
          <w:szCs w:val="21"/>
          <w:highlight w:val="none"/>
        </w:rPr>
        <w:t>公式法、涡度相关法等间接估算方法则受夜间微风条件下湍流不稳定性的影响，估算结果存在一定不确定性</w:t>
      </w:r>
      <w:r>
        <w:rPr>
          <w:rFonts w:ascii="Times New Roman" w:hAnsi="Times New Roman" w:eastAsia="宋体" w:cs="Times New Roman"/>
          <w:snapToGrid w:val="0"/>
          <w:color w:val="auto"/>
          <w:kern w:val="0"/>
          <w:szCs w:val="21"/>
          <w:highlight w:val="none"/>
          <w:vertAlign w:val="superscript"/>
        </w:rPr>
        <w:t>[21-22]</w:t>
      </w:r>
      <w:r>
        <w:rPr>
          <w:rFonts w:hint="eastAsia" w:ascii="Times New Roman" w:hAnsi="Times New Roman" w:eastAsia="宋体" w:cs="宋体"/>
          <w:snapToGrid w:val="0"/>
          <w:color w:val="auto"/>
          <w:kern w:val="0"/>
          <w:szCs w:val="21"/>
          <w:highlight w:val="none"/>
        </w:rPr>
        <w:t>。近年来，随着传感器技术的发展，利用高精度大型称重式蒸渗仪连续监测“土壤</w:t>
      </w:r>
      <w:r>
        <w:rPr>
          <w:rFonts w:ascii="Times New Roman" w:hAnsi="Times New Roman" w:eastAsia="宋体" w:cs="宋体"/>
          <w:snapToGrid w:val="0"/>
          <w:color w:val="auto"/>
          <w:kern w:val="0"/>
          <w:szCs w:val="21"/>
          <w:highlight w:val="none"/>
        </w:rPr>
        <w:t>-</w:t>
      </w:r>
      <w:r>
        <w:rPr>
          <w:rFonts w:hint="eastAsia" w:ascii="Times New Roman" w:hAnsi="Times New Roman" w:eastAsia="宋体" w:cs="宋体"/>
          <w:snapToGrid w:val="0"/>
          <w:color w:val="auto"/>
          <w:kern w:val="0"/>
          <w:szCs w:val="21"/>
          <w:highlight w:val="none"/>
        </w:rPr>
        <w:t>作物”系统微小质量变化，并结合数据滤波方法剔除机械噪声，已成为定量田间凝结水过程和识别水分微循环特征的重要手段</w:t>
      </w:r>
      <w:r>
        <w:rPr>
          <w:rFonts w:ascii="Times New Roman" w:hAnsi="Times New Roman" w:eastAsia="宋体" w:cs="Times New Roman"/>
          <w:snapToGrid w:val="0"/>
          <w:color w:val="auto"/>
          <w:kern w:val="0"/>
          <w:szCs w:val="21"/>
          <w:highlight w:val="none"/>
          <w:vertAlign w:val="superscript"/>
        </w:rPr>
        <w:t>[23-25]</w:t>
      </w:r>
      <w:r>
        <w:rPr>
          <w:rFonts w:hint="eastAsia" w:ascii="Times New Roman" w:hAnsi="Times New Roman" w:eastAsia="宋体" w:cs="宋体"/>
          <w:snapToGrid w:val="0"/>
          <w:color w:val="auto"/>
          <w:kern w:val="0"/>
          <w:szCs w:val="21"/>
          <w:highlight w:val="none"/>
        </w:rPr>
        <w:t>。</w:t>
      </w:r>
    </w:p>
    <w:p w14:paraId="38CE43F2">
      <w:pPr>
        <w:widowControl/>
        <w:adjustRightInd w:val="0"/>
        <w:snapToGrid w:val="0"/>
        <w:ind w:firstLine="420" w:firstLineChars="200"/>
        <w:rPr>
          <w:rFonts w:ascii="Times New Roman" w:hAnsi="Times New Roman" w:eastAsia="宋体" w:cs="宋体"/>
          <w:snapToGrid w:val="0"/>
          <w:color w:val="auto"/>
          <w:kern w:val="0"/>
          <w:szCs w:val="21"/>
          <w:highlight w:val="none"/>
        </w:rPr>
      </w:pPr>
      <w:r>
        <w:rPr>
          <w:rFonts w:hint="eastAsia" w:ascii="Times New Roman" w:hAnsi="Times New Roman" w:eastAsia="宋体" w:cs="宋体"/>
          <w:snapToGrid w:val="0"/>
          <w:color w:val="auto"/>
          <w:kern w:val="0"/>
          <w:szCs w:val="21"/>
          <w:highlight w:val="none"/>
        </w:rPr>
        <w:t>在我国西北干旱区，地膜覆盖与膜下滴灌是绿洲农业中广泛应用的节水增温措施。不同滴灌定额和覆膜方式不仅影响作物根系分布与产量</w:t>
      </w:r>
      <w:r>
        <w:rPr>
          <w:rFonts w:ascii="Times New Roman" w:hAnsi="Times New Roman" w:eastAsia="宋体" w:cs="Times New Roman"/>
          <w:snapToGrid w:val="0"/>
          <w:color w:val="auto"/>
          <w:kern w:val="0"/>
          <w:szCs w:val="21"/>
          <w:highlight w:val="none"/>
          <w:vertAlign w:val="superscript"/>
        </w:rPr>
        <w:t>[26]</w:t>
      </w:r>
      <w:r>
        <w:rPr>
          <w:rFonts w:hint="eastAsia" w:ascii="Times New Roman" w:hAnsi="Times New Roman" w:eastAsia="宋体" w:cs="宋体"/>
          <w:snapToGrid w:val="0"/>
          <w:color w:val="auto"/>
          <w:kern w:val="0"/>
          <w:szCs w:val="21"/>
          <w:highlight w:val="none"/>
        </w:rPr>
        <w:t>，还会改变地表反照率、净辐射平衡以及冠层内外温湿度环境，从而重塑农田水汽交换的边界条件</w:t>
      </w:r>
      <w:r>
        <w:rPr>
          <w:rFonts w:ascii="Times New Roman" w:hAnsi="Times New Roman" w:eastAsia="宋体" w:cs="Times New Roman"/>
          <w:snapToGrid w:val="0"/>
          <w:color w:val="auto"/>
          <w:kern w:val="0"/>
          <w:szCs w:val="21"/>
          <w:highlight w:val="none"/>
          <w:vertAlign w:val="superscript"/>
        </w:rPr>
        <w:t>[27-28]</w:t>
      </w:r>
      <w:r>
        <w:rPr>
          <w:rFonts w:hint="eastAsia" w:ascii="Times New Roman" w:hAnsi="Times New Roman" w:eastAsia="宋体" w:cs="宋体"/>
          <w:snapToGrid w:val="0"/>
          <w:color w:val="auto"/>
          <w:kern w:val="0"/>
          <w:szCs w:val="21"/>
          <w:highlight w:val="none"/>
        </w:rPr>
        <w:t>。具体而言，塑料薄膜在保持土壤水分的同时，也阻隔了土壤与大气之间的直接水汽交换。覆膜条件下，深层土壤向上输送的水汽更容易被限制在膜下空间，难以直接参与膜面以上冠层或裸露地表的凝结过程</w:t>
      </w:r>
      <w:r>
        <w:rPr>
          <w:rFonts w:ascii="Times New Roman" w:hAnsi="Times New Roman" w:eastAsia="宋体" w:cs="Times New Roman"/>
          <w:snapToGrid w:val="0"/>
          <w:color w:val="auto"/>
          <w:kern w:val="0"/>
          <w:szCs w:val="21"/>
          <w:highlight w:val="none"/>
          <w:vertAlign w:val="superscript"/>
        </w:rPr>
        <w:t>[29]</w:t>
      </w:r>
      <w:r>
        <w:rPr>
          <w:rFonts w:hint="eastAsia" w:ascii="Times New Roman" w:hAnsi="Times New Roman" w:eastAsia="宋体" w:cs="宋体"/>
          <w:snapToGrid w:val="0"/>
          <w:color w:val="auto"/>
          <w:kern w:val="0"/>
          <w:szCs w:val="21"/>
          <w:highlight w:val="none"/>
        </w:rPr>
        <w:t>。因此，覆膜如何影响大气凝结与土壤凝结的相对贡献、如何改变棉田凝结水输入量，以及覆膜与不覆膜条件下凝结水补偿效应的差异，仍需基于长期野外原位观测进一步量化。</w:t>
      </w:r>
    </w:p>
    <w:p w14:paraId="5C117115">
      <w:pPr>
        <w:widowControl/>
        <w:adjustRightInd w:val="0"/>
        <w:snapToGrid w:val="0"/>
        <w:ind w:firstLine="420" w:firstLineChars="200"/>
        <w:rPr>
          <w:rFonts w:ascii="Times New Roman" w:hAnsi="Times New Roman" w:eastAsia="宋体" w:cs="宋体"/>
          <w:snapToGrid w:val="0"/>
          <w:color w:val="auto"/>
          <w:kern w:val="0"/>
          <w:szCs w:val="21"/>
          <w:highlight w:val="none"/>
        </w:rPr>
      </w:pPr>
      <w:r>
        <w:rPr>
          <w:rFonts w:hint="eastAsia" w:ascii="Times New Roman" w:hAnsi="Times New Roman" w:eastAsia="宋体" w:cs="宋体"/>
          <w:snapToGrid w:val="0"/>
          <w:color w:val="auto"/>
          <w:kern w:val="0"/>
          <w:szCs w:val="21"/>
          <w:highlight w:val="none"/>
        </w:rPr>
        <w:t>此外，凝结水形成受多种气象因子共同控制，包括空气温度、相对湿度、地表</w:t>
      </w:r>
      <w:r>
        <w:rPr>
          <w:rFonts w:ascii="Times New Roman" w:hAnsi="Times New Roman" w:eastAsia="宋体" w:cs="宋体"/>
          <w:snapToGrid w:val="0"/>
          <w:color w:val="auto"/>
          <w:kern w:val="0"/>
          <w:szCs w:val="21"/>
          <w:highlight w:val="none"/>
        </w:rPr>
        <w:t>-</w:t>
      </w:r>
      <w:r>
        <w:rPr>
          <w:rFonts w:hint="eastAsia" w:ascii="Times New Roman" w:hAnsi="Times New Roman" w:eastAsia="宋体" w:cs="宋体"/>
          <w:snapToGrid w:val="0"/>
          <w:color w:val="auto"/>
          <w:kern w:val="0"/>
          <w:szCs w:val="21"/>
          <w:highlight w:val="none"/>
        </w:rPr>
        <w:t>空气温差（</w:t>
      </w:r>
      <w:r>
        <w:rPr>
          <w:rFonts w:ascii="Times New Roman" w:hAnsi="Times New Roman" w:eastAsia="宋体" w:cs="宋体"/>
          <w:i/>
          <w:iCs/>
          <w:snapToGrid w:val="0"/>
          <w:color w:val="auto"/>
          <w:kern w:val="0"/>
          <w:szCs w:val="21"/>
          <w:highlight w:val="none"/>
        </w:rPr>
        <w:t>T</w:t>
      </w:r>
      <w:r>
        <w:rPr>
          <w:rFonts w:ascii="Times New Roman" w:hAnsi="Times New Roman" w:eastAsia="宋体" w:cs="宋体"/>
          <w:i/>
          <w:iCs/>
          <w:snapToGrid w:val="0"/>
          <w:color w:val="auto"/>
          <w:kern w:val="0"/>
          <w:szCs w:val="21"/>
          <w:highlight w:val="none"/>
          <w:vertAlign w:val="subscript"/>
        </w:rPr>
        <w:t>s</w:t>
      </w:r>
      <w:r>
        <w:rPr>
          <w:rFonts w:ascii="Times New Roman" w:hAnsi="Times New Roman" w:eastAsia="宋体" w:cs="宋体"/>
          <w:i/>
          <w:iCs/>
          <w:snapToGrid w:val="0"/>
          <w:color w:val="auto"/>
          <w:kern w:val="0"/>
          <w:szCs w:val="21"/>
          <w:highlight w:val="none"/>
        </w:rPr>
        <w:t>-T</w:t>
      </w:r>
      <w:r>
        <w:rPr>
          <w:rFonts w:ascii="Times New Roman" w:hAnsi="Times New Roman" w:eastAsia="宋体" w:cs="宋体"/>
          <w:i/>
          <w:iCs/>
          <w:snapToGrid w:val="0"/>
          <w:color w:val="auto"/>
          <w:kern w:val="0"/>
          <w:szCs w:val="21"/>
          <w:highlight w:val="none"/>
          <w:vertAlign w:val="subscript"/>
        </w:rPr>
        <w:t>a</w:t>
      </w:r>
      <w:r>
        <w:rPr>
          <w:rFonts w:hint="eastAsia" w:ascii="Times New Roman" w:hAnsi="Times New Roman" w:eastAsia="宋体" w:cs="宋体"/>
          <w:snapToGrid w:val="0"/>
          <w:color w:val="auto"/>
          <w:kern w:val="0"/>
          <w:szCs w:val="21"/>
          <w:highlight w:val="none"/>
        </w:rPr>
        <w:t>）、凝结面</w:t>
      </w:r>
      <w:r>
        <w:rPr>
          <w:rFonts w:ascii="Times New Roman" w:hAnsi="Times New Roman" w:eastAsia="宋体" w:cs="宋体"/>
          <w:snapToGrid w:val="0"/>
          <w:color w:val="auto"/>
          <w:kern w:val="0"/>
          <w:szCs w:val="21"/>
          <w:highlight w:val="none"/>
        </w:rPr>
        <w:t>-</w:t>
      </w:r>
      <w:r>
        <w:rPr>
          <w:rFonts w:hint="eastAsia" w:ascii="Times New Roman" w:hAnsi="Times New Roman" w:eastAsia="宋体" w:cs="宋体"/>
          <w:snapToGrid w:val="0"/>
          <w:color w:val="auto"/>
          <w:kern w:val="0"/>
          <w:szCs w:val="21"/>
          <w:highlight w:val="none"/>
        </w:rPr>
        <w:t>露点温差（</w:t>
      </w:r>
      <w:r>
        <w:rPr>
          <w:rFonts w:ascii="Times New Roman" w:hAnsi="Times New Roman" w:eastAsia="宋体" w:cs="宋体"/>
          <w:i/>
          <w:iCs/>
          <w:snapToGrid w:val="0"/>
          <w:color w:val="auto"/>
          <w:kern w:val="0"/>
          <w:szCs w:val="21"/>
          <w:highlight w:val="none"/>
        </w:rPr>
        <w:t>T</w:t>
      </w:r>
      <w:r>
        <w:rPr>
          <w:rFonts w:ascii="Times New Roman" w:hAnsi="Times New Roman" w:eastAsia="宋体" w:cs="宋体"/>
          <w:i/>
          <w:iCs/>
          <w:snapToGrid w:val="0"/>
          <w:color w:val="auto"/>
          <w:kern w:val="0"/>
          <w:szCs w:val="21"/>
          <w:highlight w:val="none"/>
          <w:vertAlign w:val="subscript"/>
        </w:rPr>
        <w:t>s</w:t>
      </w:r>
      <w:r>
        <w:rPr>
          <w:rFonts w:ascii="Times New Roman" w:hAnsi="Times New Roman" w:eastAsia="宋体" w:cs="宋体"/>
          <w:i/>
          <w:iCs/>
          <w:snapToGrid w:val="0"/>
          <w:color w:val="auto"/>
          <w:kern w:val="0"/>
          <w:szCs w:val="21"/>
          <w:highlight w:val="none"/>
        </w:rPr>
        <w:t>-T</w:t>
      </w:r>
      <w:r>
        <w:rPr>
          <w:rFonts w:ascii="Times New Roman" w:hAnsi="Times New Roman" w:eastAsia="宋体" w:cs="宋体"/>
          <w:i/>
          <w:iCs/>
          <w:snapToGrid w:val="0"/>
          <w:color w:val="auto"/>
          <w:kern w:val="0"/>
          <w:szCs w:val="21"/>
          <w:highlight w:val="none"/>
          <w:vertAlign w:val="subscript"/>
        </w:rPr>
        <w:t>d</w:t>
      </w:r>
      <w:r>
        <w:rPr>
          <w:rFonts w:hint="eastAsia" w:ascii="Times New Roman" w:hAnsi="Times New Roman" w:eastAsia="宋体" w:cs="宋体"/>
          <w:snapToGrid w:val="0"/>
          <w:color w:val="auto"/>
          <w:kern w:val="0"/>
          <w:szCs w:val="21"/>
          <w:highlight w:val="none"/>
        </w:rPr>
        <w:t>）、风速和风向等</w:t>
      </w:r>
      <w:r>
        <w:rPr>
          <w:rFonts w:ascii="Times New Roman" w:hAnsi="Times New Roman" w:eastAsia="宋体" w:cs="Times New Roman"/>
          <w:snapToGrid w:val="0"/>
          <w:color w:val="auto"/>
          <w:kern w:val="0"/>
          <w:szCs w:val="21"/>
          <w:highlight w:val="none"/>
          <w:vertAlign w:val="superscript"/>
        </w:rPr>
        <w:t>[30-31]</w:t>
      </w:r>
      <w:r>
        <w:rPr>
          <w:rFonts w:hint="eastAsia" w:ascii="Times New Roman" w:hAnsi="Times New Roman" w:eastAsia="宋体" w:cs="宋体"/>
          <w:snapToGrid w:val="0"/>
          <w:color w:val="auto"/>
          <w:kern w:val="0"/>
          <w:szCs w:val="21"/>
          <w:highlight w:val="none"/>
        </w:rPr>
        <w:t>。已有研究多关注自然荒漠生态系统、高寒草甸或黄土高原裸露农田中的凝结水气象驱动机制</w:t>
      </w:r>
      <w:r>
        <w:rPr>
          <w:rFonts w:ascii="Times New Roman" w:hAnsi="Times New Roman" w:eastAsia="宋体" w:cs="Times New Roman"/>
          <w:snapToGrid w:val="0"/>
          <w:color w:val="auto"/>
          <w:kern w:val="0"/>
          <w:szCs w:val="21"/>
          <w:highlight w:val="none"/>
          <w:vertAlign w:val="superscript"/>
        </w:rPr>
        <w:t>[32-34]</w:t>
      </w:r>
      <w:r>
        <w:rPr>
          <w:rFonts w:hint="eastAsia" w:ascii="Times New Roman" w:hAnsi="Times New Roman" w:eastAsia="宋体" w:cs="宋体"/>
          <w:snapToGrid w:val="0"/>
          <w:color w:val="auto"/>
          <w:kern w:val="0"/>
          <w:szCs w:val="21"/>
          <w:highlight w:val="none"/>
        </w:rPr>
        <w:t>，而针对干旱区绿洲膜下滴灌棉田这一特殊下垫面的研究仍相对不足。尤其是在玛纳斯河流域这类受天山地形影响明显的区域，夜间山谷风等局地环流可能通过输送冷湿气团影响凝结水形成，但其作用方式和气候指示意义仍有待进一步阐明</w:t>
      </w:r>
      <w:r>
        <w:rPr>
          <w:rFonts w:ascii="Times New Roman" w:hAnsi="Times New Roman" w:eastAsia="宋体" w:cs="Times New Roman"/>
          <w:snapToGrid w:val="0"/>
          <w:color w:val="auto"/>
          <w:kern w:val="0"/>
          <w:szCs w:val="21"/>
          <w:highlight w:val="none"/>
          <w:vertAlign w:val="superscript"/>
        </w:rPr>
        <w:t>[35]</w:t>
      </w:r>
      <w:r>
        <w:rPr>
          <w:rFonts w:hint="eastAsia" w:ascii="Times New Roman" w:hAnsi="Times New Roman" w:eastAsia="宋体" w:cs="宋体"/>
          <w:snapToGrid w:val="0"/>
          <w:color w:val="auto"/>
          <w:kern w:val="0"/>
          <w:szCs w:val="21"/>
          <w:highlight w:val="none"/>
        </w:rPr>
        <w:t>。</w:t>
      </w:r>
    </w:p>
    <w:p w14:paraId="242C0820">
      <w:pPr>
        <w:widowControl/>
        <w:adjustRightInd w:val="0"/>
        <w:snapToGrid w:val="0"/>
        <w:ind w:firstLine="420" w:firstLineChars="200"/>
        <w:rPr>
          <w:rFonts w:ascii="Times New Roman" w:hAnsi="Times New Roman" w:eastAsia="宋体" w:cs="宋体"/>
          <w:snapToGrid w:val="0"/>
          <w:color w:val="auto"/>
          <w:kern w:val="0"/>
          <w:szCs w:val="21"/>
          <w:highlight w:val="none"/>
        </w:rPr>
      </w:pPr>
      <w:r>
        <w:rPr>
          <w:rFonts w:hint="eastAsia" w:ascii="Times New Roman" w:hAnsi="Times New Roman" w:eastAsia="宋体" w:cs="宋体"/>
          <w:snapToGrid w:val="0"/>
          <w:color w:val="auto"/>
          <w:kern w:val="0"/>
          <w:szCs w:val="21"/>
          <w:highlight w:val="none"/>
        </w:rPr>
        <w:t>本研究依托石河子大学节水灌溉试验站，利用</w:t>
      </w:r>
      <w:r>
        <w:rPr>
          <w:rFonts w:ascii="Times New Roman" w:hAnsi="Times New Roman" w:eastAsia="宋体" w:cs="宋体"/>
          <w:snapToGrid w:val="0"/>
          <w:color w:val="auto"/>
          <w:kern w:val="0"/>
          <w:szCs w:val="21"/>
          <w:highlight w:val="none"/>
        </w:rPr>
        <w:t>3</w:t>
      </w:r>
      <w:r>
        <w:rPr>
          <w:rFonts w:hint="eastAsia" w:ascii="Times New Roman" w:hAnsi="Times New Roman" w:eastAsia="宋体" w:cs="宋体"/>
          <w:snapToGrid w:val="0"/>
          <w:color w:val="auto"/>
          <w:kern w:val="0"/>
          <w:szCs w:val="21"/>
          <w:highlight w:val="none"/>
        </w:rPr>
        <w:t>台高精度大型称重式蒸渗仪及配套自动气象站，对</w:t>
      </w:r>
      <w:r>
        <w:rPr>
          <w:rFonts w:ascii="Times New Roman" w:hAnsi="Times New Roman" w:eastAsia="宋体" w:cs="宋体"/>
          <w:snapToGrid w:val="0"/>
          <w:color w:val="auto"/>
          <w:kern w:val="0"/>
          <w:szCs w:val="21"/>
          <w:highlight w:val="none"/>
        </w:rPr>
        <w:t>2018</w:t>
      </w:r>
      <w:r>
        <w:rPr>
          <w:rFonts w:ascii="Times New Roman" w:hAnsi="Times New Roman" w:cs="Times New Roman"/>
          <w:color w:val="auto"/>
          <w:szCs w:val="21"/>
          <w:highlight w:val="none"/>
        </w:rPr>
        <w:t>—</w:t>
      </w:r>
      <w:r>
        <w:rPr>
          <w:rFonts w:ascii="Times New Roman" w:hAnsi="Times New Roman" w:eastAsia="宋体" w:cs="宋体"/>
          <w:snapToGrid w:val="0"/>
          <w:color w:val="auto"/>
          <w:kern w:val="0"/>
          <w:szCs w:val="21"/>
          <w:highlight w:val="none"/>
        </w:rPr>
        <w:t>2020</w:t>
      </w:r>
      <w:r>
        <w:rPr>
          <w:rFonts w:hint="eastAsia" w:ascii="Times New Roman" w:hAnsi="Times New Roman" w:eastAsia="宋体" w:cs="宋体"/>
          <w:snapToGrid w:val="0"/>
          <w:color w:val="auto"/>
          <w:kern w:val="0"/>
          <w:szCs w:val="21"/>
          <w:highlight w:val="none"/>
        </w:rPr>
        <w:t>年滴灌棉田凝结水过程进行连续监测。本研究以覆膜与不覆膜处理作为不同下垫面条件的对照，揭示干旱区绿洲棉田凝结水的发生过程、相对量级及其微气象驱动机制，并进一步识别覆膜对凝结水输入量及水汽来源通道的调节作用。在此基础上，本研究具体目标为：（</w:t>
      </w:r>
      <w:r>
        <w:rPr>
          <w:rFonts w:ascii="Times New Roman" w:hAnsi="Times New Roman" w:eastAsia="宋体" w:cs="宋体"/>
          <w:snapToGrid w:val="0"/>
          <w:color w:val="auto"/>
          <w:kern w:val="0"/>
          <w:szCs w:val="21"/>
          <w:highlight w:val="none"/>
        </w:rPr>
        <w:t>1</w:t>
      </w:r>
      <w:r>
        <w:rPr>
          <w:rFonts w:hint="eastAsia" w:ascii="Times New Roman" w:hAnsi="Times New Roman" w:eastAsia="宋体" w:cs="宋体"/>
          <w:snapToGrid w:val="0"/>
          <w:color w:val="auto"/>
          <w:kern w:val="0"/>
          <w:szCs w:val="21"/>
          <w:highlight w:val="none"/>
        </w:rPr>
        <w:t>）明确滴灌棉田全生育期凝结水的发生时段、动态变化特征及其在农田水分平衡中的相对量级；（</w:t>
      </w:r>
      <w:r>
        <w:rPr>
          <w:rFonts w:ascii="Times New Roman" w:hAnsi="Times New Roman" w:eastAsia="宋体" w:cs="宋体"/>
          <w:snapToGrid w:val="0"/>
          <w:color w:val="auto"/>
          <w:kern w:val="0"/>
          <w:szCs w:val="21"/>
          <w:highlight w:val="none"/>
        </w:rPr>
        <w:t>2</w:t>
      </w:r>
      <w:r>
        <w:rPr>
          <w:rFonts w:hint="eastAsia" w:ascii="Times New Roman" w:hAnsi="Times New Roman" w:eastAsia="宋体" w:cs="宋体"/>
          <w:snapToGrid w:val="0"/>
          <w:color w:val="auto"/>
          <w:kern w:val="0"/>
          <w:szCs w:val="21"/>
          <w:highlight w:val="none"/>
        </w:rPr>
        <w:t>）通过覆膜与不覆膜对比，分析覆膜对凝结水量及土壤</w:t>
      </w:r>
      <w:r>
        <w:rPr>
          <w:rFonts w:ascii="Times New Roman" w:hAnsi="Times New Roman" w:eastAsia="宋体" w:cs="宋体"/>
          <w:snapToGrid w:val="0"/>
          <w:color w:val="auto"/>
          <w:kern w:val="0"/>
          <w:szCs w:val="21"/>
          <w:highlight w:val="none"/>
        </w:rPr>
        <w:t>-</w:t>
      </w:r>
      <w:r>
        <w:rPr>
          <w:rFonts w:hint="eastAsia" w:ascii="Times New Roman" w:hAnsi="Times New Roman" w:eastAsia="宋体" w:cs="宋体"/>
          <w:snapToGrid w:val="0"/>
          <w:color w:val="auto"/>
          <w:kern w:val="0"/>
          <w:szCs w:val="21"/>
          <w:highlight w:val="none"/>
        </w:rPr>
        <w:t>冠层水汽交换通道的影响；（</w:t>
      </w:r>
      <w:r>
        <w:rPr>
          <w:rFonts w:ascii="Times New Roman" w:hAnsi="Times New Roman" w:eastAsia="宋体" w:cs="宋体"/>
          <w:snapToGrid w:val="0"/>
          <w:color w:val="auto"/>
          <w:kern w:val="0"/>
          <w:szCs w:val="21"/>
          <w:highlight w:val="none"/>
        </w:rPr>
        <w:t>3</w:t>
      </w:r>
      <w:r>
        <w:rPr>
          <w:rFonts w:hint="eastAsia" w:ascii="Times New Roman" w:hAnsi="Times New Roman" w:eastAsia="宋体" w:cs="宋体"/>
          <w:snapToGrid w:val="0"/>
          <w:color w:val="auto"/>
          <w:kern w:val="0"/>
          <w:szCs w:val="21"/>
          <w:highlight w:val="none"/>
        </w:rPr>
        <w:t>）解析空气温湿度、露点温度、地表</w:t>
      </w:r>
      <w:r>
        <w:rPr>
          <w:rFonts w:ascii="Times New Roman" w:hAnsi="Times New Roman" w:eastAsia="宋体" w:cs="宋体"/>
          <w:snapToGrid w:val="0"/>
          <w:color w:val="auto"/>
          <w:kern w:val="0"/>
          <w:szCs w:val="21"/>
          <w:highlight w:val="none"/>
        </w:rPr>
        <w:t>-</w:t>
      </w:r>
      <w:r>
        <w:rPr>
          <w:rFonts w:hint="eastAsia" w:ascii="Times New Roman" w:hAnsi="Times New Roman" w:eastAsia="宋体" w:cs="宋体"/>
          <w:snapToGrid w:val="0"/>
          <w:color w:val="auto"/>
          <w:kern w:val="0"/>
          <w:szCs w:val="21"/>
          <w:highlight w:val="none"/>
        </w:rPr>
        <w:t>空气温差、凝结面</w:t>
      </w:r>
      <w:r>
        <w:rPr>
          <w:rFonts w:ascii="Times New Roman" w:hAnsi="Times New Roman" w:eastAsia="宋体" w:cs="宋体"/>
          <w:snapToGrid w:val="0"/>
          <w:color w:val="auto"/>
          <w:kern w:val="0"/>
          <w:szCs w:val="21"/>
          <w:highlight w:val="none"/>
        </w:rPr>
        <w:t>-</w:t>
      </w:r>
      <w:r>
        <w:rPr>
          <w:rFonts w:hint="eastAsia" w:ascii="Times New Roman" w:hAnsi="Times New Roman" w:eastAsia="宋体" w:cs="宋体"/>
          <w:snapToGrid w:val="0"/>
          <w:color w:val="auto"/>
          <w:kern w:val="0"/>
          <w:szCs w:val="21"/>
          <w:highlight w:val="none"/>
        </w:rPr>
        <w:t>露点温差、风速及风向等微气象因子对凝结水形成的协同驱动机制，并结合玛纳斯河流域夜间山谷风特征，阐明局地环流对凝结水高发过程的气候指示意义。本研究结果不仅有助于完善干旱区农田水循环的微观理论，也将为绿洲农业水分精细化管理、作物水分利用效率的精准评估以及节水灌溉制度的优化提供科学依据。</w:t>
      </w:r>
    </w:p>
    <w:p w14:paraId="484070C4">
      <w:pPr>
        <w:pStyle w:val="3"/>
        <w:spacing w:before="0" w:after="0" w:line="240" w:lineRule="auto"/>
        <w:rPr>
          <w:rFonts w:hint="eastAsia" w:ascii="宋体" w:hAnsi="宋体" w:eastAsia="宋体" w:cs="宋体"/>
          <w:b w:val="0"/>
          <w:bCs w:val="0"/>
          <w:color w:val="auto"/>
          <w:highlight w:val="none"/>
        </w:rPr>
      </w:pPr>
      <w:r>
        <w:rPr>
          <w:rFonts w:ascii="Times New Roman" w:hAnsi="Times New Roman" w:eastAsia="宋体" w:cs="Times New Roman"/>
          <w:b w:val="0"/>
          <w:bCs w:val="0"/>
          <w:color w:val="auto"/>
          <w:highlight w:val="none"/>
        </w:rPr>
        <w:t xml:space="preserve">1 </w:t>
      </w:r>
      <w:r>
        <w:rPr>
          <w:rFonts w:hint="eastAsia" w:ascii="宋体" w:hAnsi="宋体" w:eastAsia="宋体" w:cs="宋体"/>
          <w:b w:val="0"/>
          <w:bCs w:val="0"/>
          <w:color w:val="auto"/>
          <w:highlight w:val="none"/>
        </w:rPr>
        <w:t>材料与方法</w:t>
      </w:r>
    </w:p>
    <w:p w14:paraId="6B32F16F">
      <w:pPr>
        <w:widowControl/>
        <w:adjustRightInd w:val="0"/>
        <w:snapToGrid w:val="0"/>
        <w:jc w:val="left"/>
        <w:rPr>
          <w:rFonts w:hint="eastAsia" w:ascii="黑体" w:hAnsi="黑体" w:eastAsia="黑体" w:cs="黑体"/>
          <w:color w:val="auto"/>
          <w:highlight w:val="none"/>
        </w:rPr>
      </w:pPr>
      <w:r>
        <w:rPr>
          <w:rFonts w:ascii="Times New Roman" w:hAnsi="Times New Roman" w:eastAsia="黑体" w:cs="Times New Roman"/>
          <w:color w:val="auto"/>
          <w:highlight w:val="none"/>
        </w:rPr>
        <w:t>1.1</w:t>
      </w:r>
      <w:r>
        <w:rPr>
          <w:rFonts w:hint="eastAsia" w:ascii="黑体" w:hAnsi="黑体" w:eastAsia="黑体" w:cs="黑体"/>
          <w:color w:val="auto"/>
          <w:highlight w:val="none"/>
        </w:rPr>
        <w:t xml:space="preserve"> 研究区概况</w:t>
      </w:r>
    </w:p>
    <w:p w14:paraId="1C650E30">
      <w:pPr>
        <w:widowControl/>
        <w:adjustRightInd w:val="0"/>
        <w:snapToGrid w:val="0"/>
        <w:ind w:firstLine="420" w:firstLineChars="200"/>
        <w:rPr>
          <w:rFonts w:ascii="Times New Roman" w:hAnsi="Times New Roman" w:eastAsia="宋体" w:cs="Times New Roman"/>
          <w:color w:val="auto"/>
          <w:kern w:val="0"/>
          <w:szCs w:val="21"/>
          <w:highlight w:val="none"/>
        </w:rPr>
      </w:pPr>
      <w:r>
        <w:rPr>
          <w:rFonts w:ascii="Times New Roman" w:hAnsi="Times New Roman" w:eastAsia="宋体" w:cs="Times New Roman"/>
          <w:color w:val="auto"/>
          <w:kern w:val="0"/>
          <w:szCs w:val="21"/>
          <w:highlight w:val="none"/>
        </w:rPr>
        <w:t>研究区位于石河子大学节水灌溉试验站，该站位于玛河流域中游绿洲灌区内，地理位置处于85°59'47″E</w:t>
      </w:r>
      <w:r>
        <w:rPr>
          <w:rFonts w:hint="eastAsia" w:ascii="Times New Roman" w:hAnsi="Times New Roman" w:eastAsia="宋体" w:cs="Times New Roman"/>
          <w:color w:val="auto"/>
          <w:kern w:val="0"/>
          <w:szCs w:val="21"/>
          <w:highlight w:val="none"/>
        </w:rPr>
        <w:t>、</w:t>
      </w:r>
      <w:r>
        <w:rPr>
          <w:rFonts w:ascii="Times New Roman" w:hAnsi="Times New Roman" w:eastAsia="宋体" w:cs="Times New Roman"/>
          <w:color w:val="auto"/>
          <w:kern w:val="0"/>
          <w:szCs w:val="21"/>
          <w:highlight w:val="none"/>
        </w:rPr>
        <w:t>44°19'28″N（见图1），属中温带大陆性干旱气候，年均日照时间为2865</w:t>
      </w:r>
      <w:r>
        <w:rPr>
          <w:rFonts w:hint="eastAsia" w:ascii="Times New Roman" w:hAnsi="Times New Roman" w:eastAsia="宋体" w:cs="Times New Roman"/>
          <w:color w:val="auto"/>
          <w:kern w:val="0"/>
          <w:szCs w:val="21"/>
          <w:highlight w:val="none"/>
        </w:rPr>
        <w:t xml:space="preserve"> </w:t>
      </w:r>
      <w:r>
        <w:rPr>
          <w:rFonts w:ascii="Times New Roman" w:hAnsi="Times New Roman" w:eastAsia="宋体" w:cs="Times New Roman"/>
          <w:color w:val="auto"/>
          <w:kern w:val="0"/>
          <w:szCs w:val="21"/>
          <w:highlight w:val="none"/>
        </w:rPr>
        <w:t>h，多年平均降雨量为207</w:t>
      </w:r>
      <w:r>
        <w:rPr>
          <w:rFonts w:hint="eastAsia" w:ascii="Times New Roman" w:hAnsi="Times New Roman" w:eastAsia="宋体" w:cs="Times New Roman"/>
          <w:color w:val="auto"/>
          <w:kern w:val="0"/>
          <w:szCs w:val="21"/>
          <w:highlight w:val="none"/>
        </w:rPr>
        <w:t xml:space="preserve"> </w:t>
      </w:r>
      <w:r>
        <w:rPr>
          <w:rFonts w:ascii="Times New Roman" w:hAnsi="Times New Roman" w:eastAsia="宋体" w:cs="Times New Roman"/>
          <w:color w:val="auto"/>
          <w:kern w:val="0"/>
          <w:szCs w:val="21"/>
          <w:highlight w:val="none"/>
        </w:rPr>
        <w:t>mm、蒸散量为1660</w:t>
      </w:r>
      <w:r>
        <w:rPr>
          <w:rFonts w:hint="eastAsia" w:ascii="Times New Roman" w:hAnsi="Times New Roman" w:eastAsia="宋体" w:cs="Times New Roman"/>
          <w:color w:val="auto"/>
          <w:kern w:val="0"/>
          <w:szCs w:val="21"/>
          <w:highlight w:val="none"/>
        </w:rPr>
        <w:t xml:space="preserve"> </w:t>
      </w:r>
      <w:r>
        <w:rPr>
          <w:rFonts w:ascii="Times New Roman" w:hAnsi="Times New Roman" w:eastAsia="宋体" w:cs="Times New Roman"/>
          <w:color w:val="auto"/>
          <w:kern w:val="0"/>
          <w:szCs w:val="21"/>
          <w:highlight w:val="none"/>
        </w:rPr>
        <w:t>mm，昼夜温差大，气温季节性变化较大，无霜期为170</w:t>
      </w:r>
      <w:r>
        <w:rPr>
          <w:rFonts w:hint="eastAsia" w:ascii="Times New Roman" w:hAnsi="Times New Roman" w:eastAsia="宋体" w:cs="Times New Roman"/>
          <w:color w:val="auto"/>
          <w:kern w:val="0"/>
          <w:szCs w:val="21"/>
          <w:highlight w:val="none"/>
        </w:rPr>
        <w:t xml:space="preserve"> </w:t>
      </w:r>
      <w:r>
        <w:rPr>
          <w:rFonts w:ascii="Times New Roman" w:hAnsi="Times New Roman" w:eastAsia="宋体" w:cs="Times New Roman"/>
          <w:color w:val="auto"/>
          <w:kern w:val="0"/>
          <w:szCs w:val="21"/>
          <w:highlight w:val="none"/>
        </w:rPr>
        <w:t>d。</w:t>
      </w:r>
    </w:p>
    <w:p w14:paraId="6BDDF96A">
      <w:pPr>
        <w:widowControl/>
        <w:jc w:val="center"/>
        <w:rPr>
          <w:rFonts w:hint="eastAsia" w:ascii="宋体" w:hAnsi="宋体" w:eastAsia="宋体"/>
          <w:color w:val="auto"/>
          <w:highlight w:val="none"/>
        </w:rPr>
      </w:pPr>
      <w:r>
        <w:rPr>
          <w:rFonts w:hint="eastAsia" w:ascii="宋体" w:hAnsi="宋体" w:eastAsia="宋体"/>
          <w:color w:val="auto"/>
          <w:highlight w:val="none"/>
        </w:rPr>
        <w:drawing>
          <wp:inline distT="0" distB="0" distL="0" distR="0">
            <wp:extent cx="3442335" cy="2219325"/>
            <wp:effectExtent l="0" t="0" r="5715" b="0"/>
            <wp:docPr id="165041687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416875" name="图片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3471286" cy="2237890"/>
                    </a:xfrm>
                    <a:prstGeom prst="rect">
                      <a:avLst/>
                    </a:prstGeom>
                    <a:noFill/>
                  </pic:spPr>
                </pic:pic>
              </a:graphicData>
            </a:graphic>
          </wp:inline>
        </w:drawing>
      </w:r>
    </w:p>
    <w:p w14:paraId="3DB63744">
      <w:pPr>
        <w:pStyle w:val="21"/>
        <w:adjustRightInd w:val="0"/>
        <w:snapToGrid w:val="0"/>
        <w:spacing w:line="254" w:lineRule="auto"/>
        <w:ind w:firstLine="360"/>
        <w:jc w:val="center"/>
        <w:rPr>
          <w:rFonts w:hint="eastAsia" w:ascii="黑体" w:hAnsi="黑体" w:eastAsia="黑体" w:cs="黑体"/>
          <w:bCs/>
          <w:color w:val="auto"/>
          <w:sz w:val="18"/>
          <w:szCs w:val="18"/>
          <w:highlight w:val="none"/>
        </w:rPr>
      </w:pPr>
      <w:r>
        <w:rPr>
          <w:rFonts w:hint="eastAsia" w:ascii="黑体" w:hAnsi="黑体" w:eastAsia="黑体" w:cs="黑体"/>
          <w:bCs/>
          <w:color w:val="auto"/>
          <w:sz w:val="18"/>
          <w:szCs w:val="18"/>
          <w:highlight w:val="none"/>
        </w:rPr>
        <w:t>图</w:t>
      </w:r>
      <w:r>
        <w:rPr>
          <w:rFonts w:eastAsia="黑体" w:cs="Times New Roman"/>
          <w:bCs/>
          <w:color w:val="auto"/>
          <w:sz w:val="18"/>
          <w:szCs w:val="18"/>
          <w:highlight w:val="none"/>
        </w:rPr>
        <w:t>1</w:t>
      </w:r>
      <w:r>
        <w:rPr>
          <w:rFonts w:eastAsia="黑体" w:cs="Times New Roman"/>
          <w:b/>
          <w:bCs/>
          <w:color w:val="auto"/>
          <w:sz w:val="18"/>
          <w:szCs w:val="18"/>
          <w:highlight w:val="none"/>
        </w:rPr>
        <w:t xml:space="preserve"> </w:t>
      </w:r>
      <w:r>
        <w:rPr>
          <w:rFonts w:hint="eastAsia" w:ascii="黑体" w:hAnsi="黑体" w:eastAsia="黑体" w:cs="黑体"/>
          <w:bCs/>
          <w:color w:val="auto"/>
          <w:sz w:val="18"/>
          <w:szCs w:val="18"/>
          <w:highlight w:val="none"/>
        </w:rPr>
        <w:t>石河子大学节水灌溉试验站地理位置</w:t>
      </w:r>
    </w:p>
    <w:p w14:paraId="12730AF1">
      <w:pPr>
        <w:adjustRightInd w:val="0"/>
        <w:snapToGrid w:val="0"/>
        <w:ind w:firstLine="482"/>
        <w:jc w:val="center"/>
        <w:rPr>
          <w:rFonts w:ascii="Times New Roman" w:hAnsi="Times New Roman" w:eastAsia="黑体" w:cs="Times New Roman"/>
          <w:bCs/>
          <w:color w:val="auto"/>
          <w:sz w:val="18"/>
          <w:szCs w:val="18"/>
          <w:highlight w:val="none"/>
        </w:rPr>
      </w:pPr>
      <w:r>
        <w:rPr>
          <w:rFonts w:hint="eastAsia" w:ascii="Times New Roman" w:hAnsi="Times New Roman" w:eastAsia="黑体" w:cs="Times New Roman"/>
          <w:bCs/>
          <w:color w:val="auto"/>
          <w:sz w:val="18"/>
          <w:szCs w:val="18"/>
          <w:highlight w:val="none"/>
        </w:rPr>
        <w:t>Fig.1</w:t>
      </w:r>
      <w:r>
        <w:rPr>
          <w:rFonts w:ascii="Times New Roman" w:hAnsi="Times New Roman" w:eastAsia="黑体" w:cs="Times New Roman"/>
          <w:bCs/>
          <w:color w:val="auto"/>
          <w:sz w:val="18"/>
          <w:szCs w:val="18"/>
          <w:highlight w:val="none"/>
        </w:rPr>
        <w:t xml:space="preserve"> Location map of </w:t>
      </w:r>
      <w:r>
        <w:rPr>
          <w:rFonts w:hint="eastAsia" w:ascii="Times New Roman" w:hAnsi="Times New Roman" w:eastAsia="黑体" w:cs="Times New Roman"/>
          <w:bCs/>
          <w:color w:val="auto"/>
          <w:sz w:val="18"/>
          <w:szCs w:val="18"/>
          <w:highlight w:val="none"/>
        </w:rPr>
        <w:t>W</w:t>
      </w:r>
      <w:r>
        <w:rPr>
          <w:rFonts w:ascii="Times New Roman" w:hAnsi="Times New Roman" w:eastAsia="黑体" w:cs="Times New Roman"/>
          <w:bCs/>
          <w:color w:val="auto"/>
          <w:sz w:val="18"/>
          <w:szCs w:val="18"/>
          <w:highlight w:val="none"/>
        </w:rPr>
        <w:t>ater-</w:t>
      </w:r>
      <w:r>
        <w:rPr>
          <w:rFonts w:hint="eastAsia" w:ascii="Times New Roman" w:hAnsi="Times New Roman" w:eastAsia="黑体" w:cs="Times New Roman"/>
          <w:bCs/>
          <w:color w:val="auto"/>
          <w:sz w:val="18"/>
          <w:szCs w:val="18"/>
          <w:highlight w:val="none"/>
        </w:rPr>
        <w:t>s</w:t>
      </w:r>
      <w:r>
        <w:rPr>
          <w:rFonts w:ascii="Times New Roman" w:hAnsi="Times New Roman" w:eastAsia="黑体" w:cs="Times New Roman"/>
          <w:bCs/>
          <w:color w:val="auto"/>
          <w:sz w:val="18"/>
          <w:szCs w:val="18"/>
          <w:highlight w:val="none"/>
        </w:rPr>
        <w:t xml:space="preserve">aving </w:t>
      </w:r>
      <w:r>
        <w:rPr>
          <w:rFonts w:hint="eastAsia" w:ascii="Times New Roman" w:hAnsi="Times New Roman" w:eastAsia="黑体" w:cs="Times New Roman"/>
          <w:bCs/>
          <w:color w:val="auto"/>
          <w:sz w:val="18"/>
          <w:szCs w:val="18"/>
          <w:highlight w:val="none"/>
        </w:rPr>
        <w:t>I</w:t>
      </w:r>
      <w:r>
        <w:rPr>
          <w:rFonts w:ascii="Times New Roman" w:hAnsi="Times New Roman" w:eastAsia="黑体" w:cs="Times New Roman"/>
          <w:bCs/>
          <w:color w:val="auto"/>
          <w:sz w:val="18"/>
          <w:szCs w:val="18"/>
          <w:highlight w:val="none"/>
        </w:rPr>
        <w:t>rrigation</w:t>
      </w:r>
      <w:r>
        <w:rPr>
          <w:rFonts w:hint="eastAsia" w:ascii="Times New Roman" w:hAnsi="Times New Roman" w:eastAsia="黑体" w:cs="Times New Roman"/>
          <w:bCs/>
          <w:color w:val="auto"/>
          <w:sz w:val="18"/>
          <w:szCs w:val="18"/>
          <w:highlight w:val="none"/>
        </w:rPr>
        <w:t xml:space="preserve"> E</w:t>
      </w:r>
      <w:r>
        <w:rPr>
          <w:rFonts w:ascii="Times New Roman" w:hAnsi="Times New Roman" w:eastAsia="黑体" w:cs="Times New Roman"/>
          <w:bCs/>
          <w:color w:val="auto"/>
          <w:sz w:val="18"/>
          <w:szCs w:val="18"/>
          <w:highlight w:val="none"/>
        </w:rPr>
        <w:t xml:space="preserve">xperimental </w:t>
      </w:r>
      <w:r>
        <w:rPr>
          <w:rFonts w:hint="eastAsia" w:ascii="Times New Roman" w:hAnsi="Times New Roman" w:eastAsia="黑体" w:cs="Times New Roman"/>
          <w:bCs/>
          <w:color w:val="auto"/>
          <w:sz w:val="18"/>
          <w:szCs w:val="18"/>
          <w:highlight w:val="none"/>
        </w:rPr>
        <w:t>S</w:t>
      </w:r>
      <w:r>
        <w:rPr>
          <w:rFonts w:ascii="Times New Roman" w:hAnsi="Times New Roman" w:eastAsia="黑体" w:cs="Times New Roman"/>
          <w:bCs/>
          <w:color w:val="auto"/>
          <w:sz w:val="18"/>
          <w:szCs w:val="18"/>
          <w:highlight w:val="none"/>
        </w:rPr>
        <w:t>tation of Shihezi University</w:t>
      </w:r>
    </w:p>
    <w:p w14:paraId="62776DDB">
      <w:pPr>
        <w:widowControl/>
        <w:adjustRightInd w:val="0"/>
        <w:snapToGrid w:val="0"/>
        <w:rPr>
          <w:rFonts w:hint="eastAsia" w:ascii="黑体" w:hAnsi="黑体" w:eastAsia="黑体" w:cs="黑体"/>
          <w:color w:val="auto"/>
          <w:highlight w:val="none"/>
        </w:rPr>
      </w:pPr>
      <w:r>
        <w:rPr>
          <w:rFonts w:ascii="Times New Roman" w:hAnsi="Times New Roman" w:eastAsia="黑体" w:cs="Times New Roman"/>
          <w:color w:val="auto"/>
          <w:highlight w:val="none"/>
        </w:rPr>
        <w:t>1.2</w:t>
      </w:r>
      <w:r>
        <w:rPr>
          <w:rFonts w:hint="eastAsia" w:ascii="黑体" w:hAnsi="黑体" w:eastAsia="黑体" w:cs="黑体"/>
          <w:color w:val="auto"/>
          <w:highlight w:val="none"/>
        </w:rPr>
        <w:t xml:space="preserve"> </w:t>
      </w:r>
      <w:r>
        <w:rPr>
          <w:rFonts w:hint="eastAsia" w:ascii="黑体" w:hAnsi="黑体" w:eastAsia="黑体" w:cs="黑体"/>
          <w:color w:val="auto"/>
          <w:highlight w:val="none"/>
        </w:rPr>
        <w:t>试验</w:t>
      </w:r>
      <w:r>
        <w:rPr>
          <w:rFonts w:hint="eastAsia" w:ascii="黑体" w:hAnsi="黑体" w:eastAsia="黑体" w:cs="黑体"/>
          <w:color w:val="auto"/>
          <w:highlight w:val="none"/>
        </w:rPr>
        <w:t>方法</w:t>
      </w:r>
    </w:p>
    <w:p w14:paraId="1ABE4E24">
      <w:pPr>
        <w:adjustRightInd w:val="0"/>
        <w:snapToGrid w:val="0"/>
        <w:rPr>
          <w:rFonts w:ascii="Times New Roman" w:hAnsi="Times New Roman" w:eastAsia="楷体" w:cs="Times New Roman"/>
          <w:color w:val="auto"/>
          <w:highlight w:val="none"/>
        </w:rPr>
      </w:pPr>
      <w:r>
        <w:rPr>
          <w:rFonts w:ascii="Times New Roman" w:hAnsi="Times New Roman" w:eastAsia="楷体" w:cs="Times New Roman"/>
          <w:color w:val="auto"/>
          <w:highlight w:val="none"/>
        </w:rPr>
        <w:t>1.2.1</w:t>
      </w:r>
      <w:bookmarkStart w:id="1" w:name="_Hlk38724827"/>
      <w:r>
        <w:rPr>
          <w:rFonts w:ascii="Times New Roman" w:hAnsi="Times New Roman" w:eastAsia="楷体" w:cs="Times New Roman"/>
          <w:color w:val="auto"/>
          <w:highlight w:val="none"/>
        </w:rPr>
        <w:t>试验设计</w:t>
      </w:r>
    </w:p>
    <w:bookmarkEnd w:id="1"/>
    <w:p w14:paraId="11C87DEB">
      <w:pPr>
        <w:adjustRightInd w:val="0"/>
        <w:snapToGrid w:val="0"/>
        <w:ind w:firstLine="420" w:firstLineChars="200"/>
        <w:rPr>
          <w:rFonts w:ascii="Times New Roman" w:hAnsi="Times New Roman" w:eastAsia="宋体" w:cs="Times New Roman"/>
          <w:snapToGrid w:val="0"/>
          <w:color w:val="auto"/>
          <w:kern w:val="0"/>
          <w:szCs w:val="21"/>
          <w:highlight w:val="none"/>
        </w:rPr>
      </w:pPr>
      <w:r>
        <w:rPr>
          <w:rFonts w:ascii="Times New Roman" w:hAnsi="Times New Roman" w:eastAsia="宋体" w:cs="Times New Roman"/>
          <w:snapToGrid w:val="0"/>
          <w:color w:val="auto"/>
          <w:kern w:val="0"/>
          <w:szCs w:val="21"/>
          <w:highlight w:val="none"/>
        </w:rPr>
        <w:t>试验于2</w:t>
      </w:r>
      <w:r>
        <w:rPr>
          <w:rFonts w:ascii="Times New Roman" w:hAnsi="Times New Roman" w:eastAsia="宋体" w:cs="Times New Roman"/>
          <w:snapToGrid w:val="0"/>
          <w:color w:val="auto"/>
          <w:kern w:val="0"/>
          <w:szCs w:val="21"/>
          <w:highlight w:val="none"/>
        </w:rPr>
        <w:t>018年6月20日至2020年10月5日在石河子大学节水灌溉试验站</w:t>
      </w:r>
      <w:r>
        <w:rPr>
          <w:rFonts w:hint="eastAsia" w:ascii="Times New Roman" w:hAnsi="Times New Roman" w:eastAsia="宋体" w:cs="Times New Roman"/>
          <w:snapToGrid w:val="0"/>
          <w:color w:val="auto"/>
          <w:kern w:val="0"/>
          <w:szCs w:val="21"/>
          <w:highlight w:val="none"/>
        </w:rPr>
        <w:t>进行，气象数据主要通过试验站内同一自动气象站完成，监测距离地面2 m高处（即棉花冠层上方）的空气温度（</w:t>
      </w:r>
      <w:r>
        <w:rPr>
          <w:rFonts w:hint="eastAsia" w:ascii="Times New Roman" w:hAnsi="Times New Roman" w:eastAsia="宋体" w:cs="Times New Roman"/>
          <w:i/>
          <w:iCs/>
          <w:snapToGrid w:val="0"/>
          <w:color w:val="auto"/>
          <w:kern w:val="0"/>
          <w:szCs w:val="21"/>
          <w:highlight w:val="none"/>
        </w:rPr>
        <w:t>T</w:t>
      </w:r>
      <w:r>
        <w:rPr>
          <w:rFonts w:hint="eastAsia" w:ascii="Times New Roman" w:hAnsi="Times New Roman" w:eastAsia="宋体" w:cs="Times New Roman"/>
          <w:i/>
          <w:iCs/>
          <w:snapToGrid w:val="0"/>
          <w:color w:val="auto"/>
          <w:kern w:val="0"/>
          <w:szCs w:val="21"/>
          <w:highlight w:val="none"/>
          <w:vertAlign w:val="subscript"/>
        </w:rPr>
        <w:t>a</w:t>
      </w:r>
      <w:r>
        <w:rPr>
          <w:rFonts w:hint="eastAsia" w:ascii="Times New Roman" w:hAnsi="Times New Roman" w:eastAsia="宋体" w:cs="Times New Roman"/>
          <w:snapToGrid w:val="0"/>
          <w:color w:val="auto"/>
          <w:kern w:val="0"/>
          <w:szCs w:val="21"/>
          <w:highlight w:val="none"/>
        </w:rPr>
        <w:t>）、相对湿度、降水、辐射、风速和风向等数据，记录间隔为1 h。空气温度、相对湿度、露点温度、风速和风向等变量代表试验区共同气象背景，并非每台蒸渗仪分别进行独立气象观测。</w:t>
      </w:r>
    </w:p>
    <w:p w14:paraId="539354BF">
      <w:pPr>
        <w:adjustRightInd w:val="0"/>
        <w:snapToGrid w:val="0"/>
        <w:ind w:firstLine="420" w:firstLineChars="200"/>
        <w:rPr>
          <w:rFonts w:ascii="Times New Roman" w:hAnsi="Times New Roman" w:eastAsia="宋体" w:cs="Times New Roman"/>
          <w:snapToGrid w:val="0"/>
          <w:color w:val="auto"/>
          <w:kern w:val="0"/>
          <w:szCs w:val="21"/>
          <w:highlight w:val="none"/>
        </w:rPr>
      </w:pPr>
      <w:r>
        <w:rPr>
          <w:rFonts w:hint="eastAsia" w:ascii="Times New Roman" w:hAnsi="Times New Roman" w:eastAsia="宋体" w:cs="Times New Roman"/>
          <w:snapToGrid w:val="0"/>
          <w:color w:val="auto"/>
          <w:kern w:val="0"/>
          <w:szCs w:val="21"/>
          <w:highlight w:val="none"/>
        </w:rPr>
        <w:t>地表温度（</w:t>
      </w:r>
      <w:r>
        <w:rPr>
          <w:rFonts w:hint="eastAsia" w:ascii="Times New Roman" w:hAnsi="Times New Roman" w:eastAsia="宋体" w:cs="Times New Roman"/>
          <w:i/>
          <w:iCs/>
          <w:snapToGrid w:val="0"/>
          <w:color w:val="auto"/>
          <w:kern w:val="0"/>
          <w:szCs w:val="21"/>
          <w:highlight w:val="none"/>
        </w:rPr>
        <w:t>T</w:t>
      </w:r>
      <w:r>
        <w:rPr>
          <w:rFonts w:hint="eastAsia" w:ascii="Times New Roman" w:hAnsi="Times New Roman" w:eastAsia="宋体" w:cs="Times New Roman"/>
          <w:i/>
          <w:iCs/>
          <w:snapToGrid w:val="0"/>
          <w:color w:val="auto"/>
          <w:kern w:val="0"/>
          <w:szCs w:val="21"/>
          <w:highlight w:val="none"/>
          <w:vertAlign w:val="subscript"/>
        </w:rPr>
        <w:t>s</w:t>
      </w:r>
      <w:r>
        <w:rPr>
          <w:rFonts w:hint="eastAsia" w:ascii="Times New Roman" w:hAnsi="Times New Roman" w:eastAsia="宋体" w:cs="Times New Roman"/>
          <w:snapToGrid w:val="0"/>
          <w:color w:val="auto"/>
          <w:kern w:val="0"/>
          <w:szCs w:val="21"/>
          <w:highlight w:val="none"/>
        </w:rPr>
        <w:t>）由红外温度传感器按处理分别测定，其中覆膜处理测定膜面温度，不覆膜处理测定裸土表面温度，用于表征不同下垫面的热力差异。本文中，空气温度记为</w:t>
      </w:r>
      <w:r>
        <w:rPr>
          <w:rFonts w:hint="eastAsia" w:ascii="Times New Roman" w:hAnsi="Times New Roman" w:eastAsia="宋体" w:cs="Times New Roman"/>
          <w:i/>
          <w:iCs/>
          <w:snapToGrid w:val="0"/>
          <w:color w:val="auto"/>
          <w:kern w:val="0"/>
          <w:szCs w:val="21"/>
          <w:highlight w:val="none"/>
        </w:rPr>
        <w:t>T</w:t>
      </w:r>
      <w:r>
        <w:rPr>
          <w:rFonts w:hint="eastAsia" w:ascii="Times New Roman" w:hAnsi="Times New Roman" w:eastAsia="宋体" w:cs="Times New Roman"/>
          <w:i/>
          <w:iCs/>
          <w:snapToGrid w:val="0"/>
          <w:color w:val="auto"/>
          <w:kern w:val="0"/>
          <w:szCs w:val="21"/>
          <w:highlight w:val="none"/>
          <w:vertAlign w:val="subscript"/>
        </w:rPr>
        <w:t>a</w:t>
      </w:r>
      <w:r>
        <w:rPr>
          <w:rFonts w:hint="eastAsia" w:ascii="Times New Roman" w:hAnsi="Times New Roman" w:eastAsia="宋体" w:cs="Times New Roman"/>
          <w:snapToGrid w:val="0"/>
          <w:color w:val="auto"/>
          <w:kern w:val="0"/>
          <w:szCs w:val="21"/>
          <w:highlight w:val="none"/>
        </w:rPr>
        <w:t>，露点温度记为</w:t>
      </w:r>
      <w:r>
        <w:rPr>
          <w:rFonts w:hint="eastAsia" w:ascii="Times New Roman" w:hAnsi="Times New Roman" w:eastAsia="宋体" w:cs="Times New Roman"/>
          <w:i/>
          <w:iCs/>
          <w:snapToGrid w:val="0"/>
          <w:color w:val="auto"/>
          <w:kern w:val="0"/>
          <w:szCs w:val="21"/>
          <w:highlight w:val="none"/>
        </w:rPr>
        <w:t>T</w:t>
      </w:r>
      <w:r>
        <w:rPr>
          <w:rFonts w:hint="eastAsia" w:ascii="Times New Roman" w:hAnsi="Times New Roman" w:eastAsia="宋体" w:cs="Times New Roman"/>
          <w:i/>
          <w:iCs/>
          <w:snapToGrid w:val="0"/>
          <w:color w:val="auto"/>
          <w:kern w:val="0"/>
          <w:szCs w:val="21"/>
          <w:highlight w:val="none"/>
          <w:vertAlign w:val="subscript"/>
        </w:rPr>
        <w:t>d</w:t>
      </w:r>
      <w:r>
        <w:rPr>
          <w:rFonts w:hint="eastAsia" w:ascii="Times New Roman" w:hAnsi="Times New Roman" w:eastAsia="宋体" w:cs="Times New Roman"/>
          <w:snapToGrid w:val="0"/>
          <w:color w:val="auto"/>
          <w:kern w:val="0"/>
          <w:szCs w:val="21"/>
          <w:highlight w:val="none"/>
        </w:rPr>
        <w:t>。为避免符号含义混淆，本文将</w:t>
      </w:r>
      <w:r>
        <w:rPr>
          <w:rFonts w:hint="eastAsia" w:ascii="Times New Roman" w:hAnsi="Times New Roman" w:eastAsia="宋体" w:cs="Times New Roman"/>
          <w:i/>
          <w:iCs/>
          <w:snapToGrid w:val="0"/>
          <w:color w:val="auto"/>
          <w:kern w:val="0"/>
          <w:szCs w:val="21"/>
          <w:highlight w:val="none"/>
        </w:rPr>
        <w:t>T</w:t>
      </w:r>
      <w:r>
        <w:rPr>
          <w:rFonts w:hint="eastAsia" w:ascii="Times New Roman" w:hAnsi="Times New Roman" w:eastAsia="宋体" w:cs="Times New Roman"/>
          <w:i/>
          <w:iCs/>
          <w:snapToGrid w:val="0"/>
          <w:color w:val="auto"/>
          <w:kern w:val="0"/>
          <w:szCs w:val="21"/>
          <w:highlight w:val="none"/>
          <w:vertAlign w:val="subscript"/>
        </w:rPr>
        <w:t>s</w:t>
      </w:r>
      <w:r>
        <w:rPr>
          <w:rFonts w:hint="eastAsia" w:ascii="Times New Roman" w:hAnsi="Times New Roman" w:eastAsia="宋体" w:cs="Times New Roman"/>
          <w:snapToGrid w:val="0"/>
          <w:color w:val="auto"/>
          <w:kern w:val="0"/>
          <w:szCs w:val="21"/>
          <w:highlight w:val="none"/>
        </w:rPr>
        <w:t>-</w:t>
      </w:r>
      <w:r>
        <w:rPr>
          <w:rFonts w:hint="eastAsia" w:ascii="Times New Roman" w:hAnsi="Times New Roman" w:eastAsia="宋体" w:cs="Times New Roman"/>
          <w:i/>
          <w:iCs/>
          <w:snapToGrid w:val="0"/>
          <w:color w:val="auto"/>
          <w:kern w:val="0"/>
          <w:szCs w:val="21"/>
          <w:highlight w:val="none"/>
        </w:rPr>
        <w:t>T</w:t>
      </w:r>
      <w:r>
        <w:rPr>
          <w:rFonts w:hint="eastAsia" w:ascii="Times New Roman" w:hAnsi="Times New Roman" w:eastAsia="宋体" w:cs="Times New Roman"/>
          <w:i/>
          <w:iCs/>
          <w:snapToGrid w:val="0"/>
          <w:color w:val="auto"/>
          <w:kern w:val="0"/>
          <w:szCs w:val="21"/>
          <w:highlight w:val="none"/>
          <w:vertAlign w:val="subscript"/>
        </w:rPr>
        <w:t>a</w:t>
      </w:r>
      <w:r>
        <w:rPr>
          <w:rFonts w:hint="eastAsia" w:ascii="Times New Roman" w:hAnsi="Times New Roman" w:eastAsia="宋体" w:cs="Times New Roman"/>
          <w:snapToGrid w:val="0"/>
          <w:color w:val="auto"/>
          <w:kern w:val="0"/>
          <w:szCs w:val="21"/>
          <w:highlight w:val="none"/>
        </w:rPr>
        <w:t>统一表述为“地表-空气温差”，用于反映地表或膜面相对于近地层空气的热力状态；同时引入</w:t>
      </w:r>
      <w:r>
        <w:rPr>
          <w:rFonts w:hint="eastAsia" w:ascii="Times New Roman" w:hAnsi="Times New Roman" w:eastAsia="宋体" w:cs="Times New Roman"/>
          <w:i/>
          <w:iCs/>
          <w:snapToGrid w:val="0"/>
          <w:color w:val="auto"/>
          <w:kern w:val="0"/>
          <w:szCs w:val="21"/>
          <w:highlight w:val="none"/>
        </w:rPr>
        <w:t>T</w:t>
      </w:r>
      <w:r>
        <w:rPr>
          <w:rFonts w:hint="eastAsia" w:ascii="Times New Roman" w:hAnsi="Times New Roman" w:eastAsia="宋体" w:cs="Times New Roman"/>
          <w:i/>
          <w:iCs/>
          <w:snapToGrid w:val="0"/>
          <w:color w:val="auto"/>
          <w:kern w:val="0"/>
          <w:szCs w:val="21"/>
          <w:highlight w:val="none"/>
          <w:vertAlign w:val="subscript"/>
        </w:rPr>
        <w:t>s</w:t>
      </w:r>
      <w:r>
        <w:rPr>
          <w:rFonts w:hint="eastAsia" w:ascii="Times New Roman" w:hAnsi="Times New Roman" w:eastAsia="宋体" w:cs="Times New Roman"/>
          <w:snapToGrid w:val="0"/>
          <w:color w:val="auto"/>
          <w:kern w:val="0"/>
          <w:szCs w:val="21"/>
          <w:highlight w:val="none"/>
        </w:rPr>
        <w:t>-</w:t>
      </w:r>
      <w:r>
        <w:rPr>
          <w:rFonts w:hint="eastAsia" w:ascii="Times New Roman" w:hAnsi="Times New Roman" w:eastAsia="宋体" w:cs="Times New Roman"/>
          <w:i/>
          <w:iCs/>
          <w:snapToGrid w:val="0"/>
          <w:color w:val="auto"/>
          <w:kern w:val="0"/>
          <w:szCs w:val="21"/>
          <w:highlight w:val="none"/>
        </w:rPr>
        <w:t>T</w:t>
      </w:r>
      <w:r>
        <w:rPr>
          <w:rFonts w:hint="eastAsia" w:ascii="Times New Roman" w:hAnsi="Times New Roman" w:eastAsia="宋体" w:cs="Times New Roman"/>
          <w:i/>
          <w:iCs/>
          <w:snapToGrid w:val="0"/>
          <w:color w:val="auto"/>
          <w:kern w:val="0"/>
          <w:szCs w:val="21"/>
          <w:highlight w:val="none"/>
          <w:vertAlign w:val="subscript"/>
        </w:rPr>
        <w:t>d</w:t>
      </w:r>
      <w:r>
        <w:rPr>
          <w:rFonts w:hint="eastAsia" w:ascii="Times New Roman" w:hAnsi="Times New Roman" w:eastAsia="宋体" w:cs="Times New Roman"/>
          <w:snapToGrid w:val="0"/>
          <w:color w:val="auto"/>
          <w:kern w:val="0"/>
          <w:szCs w:val="21"/>
          <w:highlight w:val="none"/>
        </w:rPr>
        <w:t>作为“凝结面-露点温差”，用于直接表征凝结发生的热力条件。当</w:t>
      </w:r>
      <w:r>
        <w:rPr>
          <w:rFonts w:hint="eastAsia" w:ascii="Times New Roman" w:hAnsi="Times New Roman" w:eastAsia="宋体" w:cs="Times New Roman"/>
          <w:i/>
          <w:iCs/>
          <w:snapToGrid w:val="0"/>
          <w:color w:val="auto"/>
          <w:kern w:val="0"/>
          <w:szCs w:val="21"/>
          <w:highlight w:val="none"/>
        </w:rPr>
        <w:t>T</w:t>
      </w:r>
      <w:r>
        <w:rPr>
          <w:rFonts w:hint="eastAsia" w:ascii="Times New Roman" w:hAnsi="Times New Roman" w:eastAsia="宋体" w:cs="Times New Roman"/>
          <w:i/>
          <w:iCs/>
          <w:snapToGrid w:val="0"/>
          <w:color w:val="auto"/>
          <w:kern w:val="0"/>
          <w:szCs w:val="21"/>
          <w:highlight w:val="none"/>
          <w:vertAlign w:val="subscript"/>
        </w:rPr>
        <w:t>s</w:t>
      </w:r>
      <w:r>
        <w:rPr>
          <w:rFonts w:hint="eastAsia" w:ascii="Times New Roman" w:hAnsi="Times New Roman" w:eastAsia="宋体" w:cs="Times New Roman"/>
          <w:snapToGrid w:val="0"/>
          <w:color w:val="auto"/>
          <w:kern w:val="0"/>
          <w:szCs w:val="21"/>
          <w:highlight w:val="none"/>
        </w:rPr>
        <w:t>-</w:t>
      </w:r>
      <w:r>
        <w:rPr>
          <w:rFonts w:hint="eastAsia" w:ascii="Times New Roman" w:hAnsi="Times New Roman" w:eastAsia="宋体" w:cs="Times New Roman"/>
          <w:i/>
          <w:iCs/>
          <w:snapToGrid w:val="0"/>
          <w:color w:val="auto"/>
          <w:kern w:val="0"/>
          <w:szCs w:val="21"/>
          <w:highlight w:val="none"/>
        </w:rPr>
        <w:t>T</w:t>
      </w:r>
      <w:r>
        <w:rPr>
          <w:rFonts w:hint="eastAsia" w:ascii="Times New Roman" w:hAnsi="Times New Roman" w:eastAsia="宋体" w:cs="Times New Roman"/>
          <w:i/>
          <w:iCs/>
          <w:snapToGrid w:val="0"/>
          <w:color w:val="auto"/>
          <w:kern w:val="0"/>
          <w:szCs w:val="21"/>
          <w:highlight w:val="none"/>
          <w:vertAlign w:val="subscript"/>
        </w:rPr>
        <w:t>d</w:t>
      </w:r>
      <w:r>
        <w:rPr>
          <w:rFonts w:hint="eastAsia" w:ascii="Times New Roman" w:hAnsi="Times New Roman" w:eastAsia="宋体" w:cs="Times New Roman"/>
          <w:snapToGrid w:val="0"/>
          <w:color w:val="auto"/>
          <w:kern w:val="0"/>
          <w:szCs w:val="21"/>
          <w:highlight w:val="none"/>
        </w:rPr>
        <w:t>≤0时，说明地表或膜面温度达到或低于空气露点温度，具备水汽凝结的基本温度条件。</w:t>
      </w:r>
    </w:p>
    <w:p w14:paraId="5626FBF3">
      <w:pPr>
        <w:adjustRightInd w:val="0"/>
        <w:snapToGrid w:val="0"/>
        <w:rPr>
          <w:rFonts w:ascii="Times New Roman" w:hAnsi="Times New Roman" w:eastAsia="宋体" w:cs="Times New Roman"/>
          <w:color w:val="auto"/>
          <w:highlight w:val="none"/>
        </w:rPr>
      </w:pPr>
      <w:r>
        <w:rPr>
          <w:rFonts w:ascii="Times New Roman" w:hAnsi="Times New Roman" w:eastAsia="宋体" w:cs="Times New Roman"/>
          <w:color w:val="auto"/>
          <w:highlight w:val="none"/>
        </w:rPr>
        <w:t>1.2.2</w:t>
      </w:r>
      <w:bookmarkStart w:id="2" w:name="_Hlk38725034"/>
      <w:r>
        <w:rPr>
          <w:rFonts w:hint="eastAsia" w:ascii="Times New Roman" w:hAnsi="Times New Roman" w:eastAsia="楷体" w:cs="Times New Roman"/>
          <w:color w:val="auto"/>
          <w:highlight w:val="none"/>
        </w:rPr>
        <w:t>凝结水监测</w:t>
      </w:r>
    </w:p>
    <w:p w14:paraId="309C8DF1">
      <w:pPr>
        <w:widowControl/>
        <w:adjustRightInd w:val="0"/>
        <w:snapToGrid w:val="0"/>
        <w:ind w:firstLine="420" w:firstLineChars="200"/>
        <w:rPr>
          <w:rFonts w:ascii="Times New Roman" w:hAnsi="Times New Roman" w:eastAsia="宋体" w:cs="Times New Roman"/>
          <w:strike/>
          <w:color w:val="auto"/>
          <w:highlight w:val="none"/>
        </w:rPr>
      </w:pPr>
      <w:r>
        <w:rPr>
          <w:rFonts w:ascii="Times New Roman" w:hAnsi="Times New Roman" w:eastAsia="宋体" w:cs="Times New Roman"/>
          <w:color w:val="auto"/>
          <w:highlight w:val="none"/>
        </w:rPr>
        <w:t>试验棉田采用“干播湿出”的方式，棉花生育期依据田间物候观测记录划分。考虑到不同年份气温、降水和出苗进程存在差异，各年份棉花进入苗期、蕾期、花铃期和吐絮期的具体日期并不完全一致。为保证不同年份和不同生育期凝结水过程比较的准确性，本文按照各年份实际观测到的生育期起止日期对蒸渗仪和气象数据进行分段统计，具体划分见表1。供试棉花为玛纳斯河流域主栽品种，采用新疆绿洲棉区常规的高密度种植模式。覆膜处理采用常规透明塑料宽膜，实现对棉花播种行及主要根区土壤的有效覆盖（行间部分裸露）。试验期间棉田采用滴灌（不覆膜处理采用相同定额的裸地滴灌），常规灌水周期约为8</w:t>
      </w:r>
      <w:r>
        <w:rPr>
          <w:rFonts w:hint="eastAsia" w:ascii="Times New Roman" w:hAnsi="Times New Roman" w:eastAsia="宋体" w:cs="Times New Roman"/>
          <w:color w:val="auto"/>
          <w:highlight w:val="none"/>
        </w:rPr>
        <w:t xml:space="preserve"> d</w:t>
      </w:r>
      <w:r>
        <w:rPr>
          <w:rFonts w:ascii="Times New Roman" w:hAnsi="Times New Roman" w:eastAsia="宋体" w:cs="Times New Roman"/>
          <w:color w:val="auto"/>
          <w:highlight w:val="none"/>
        </w:rPr>
        <w:t>/次</w:t>
      </w:r>
      <w:r>
        <w:rPr>
          <w:rFonts w:hint="eastAsia" w:ascii="Times New Roman" w:hAnsi="Times New Roman" w:eastAsia="宋体" w:cs="Times New Roman"/>
          <w:color w:val="auto"/>
          <w:highlight w:val="none"/>
        </w:rPr>
        <w:t>,</w:t>
      </w:r>
      <w:r>
        <w:rPr>
          <w:rFonts w:ascii="Times New Roman" w:hAnsi="Times New Roman" w:eastAsia="宋体" w:cs="Times New Roman"/>
          <w:color w:val="auto"/>
          <w:highlight w:val="none"/>
        </w:rPr>
        <w:t>每次灌水定额约为</w:t>
      </w:r>
      <w:r>
        <w:rPr>
          <w:rFonts w:hint="eastAsia" w:ascii="Times New Roman" w:hAnsi="Times New Roman" w:eastAsia="宋体" w:cs="Times New Roman"/>
          <w:color w:val="auto"/>
          <w:highlight w:val="none"/>
        </w:rPr>
        <w:t xml:space="preserve">40 </w:t>
      </w:r>
      <w:r>
        <w:rPr>
          <w:rFonts w:ascii="Times New Roman" w:hAnsi="Times New Roman" w:eastAsia="宋体" w:cs="Times New Roman"/>
          <w:color w:val="auto"/>
          <w:highlight w:val="none"/>
        </w:rPr>
        <w:t>mm。灌水后土壤湿度的显著增加，会直接促进深层土壤水汽向上输送，进而对田间微气象及凝结水形成产生重要影响。播种深度为</w:t>
      </w:r>
      <w:r>
        <w:rPr>
          <w:rFonts w:ascii="Times New Roman" w:hAnsi="Times New Roman" w:eastAsia="宋体" w:cs="Times New Roman"/>
          <w:color w:val="auto"/>
          <w:szCs w:val="21"/>
          <w:highlight w:val="none"/>
        </w:rPr>
        <w:t>3</w:t>
      </w:r>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szCs w:val="21"/>
          <w:highlight w:val="none"/>
        </w:rPr>
        <w:t>4</w:t>
      </w:r>
      <w:r>
        <w:rPr>
          <w:rFonts w:hint="eastAsia" w:ascii="Times New Roman" w:hAnsi="Times New Roman" w:eastAsia="宋体" w:cs="Times New Roman"/>
          <w:color w:val="auto"/>
          <w:szCs w:val="21"/>
          <w:highlight w:val="none"/>
        </w:rPr>
        <w:t xml:space="preserve"> </w:t>
      </w:r>
      <w:r>
        <w:rPr>
          <w:rFonts w:ascii="Times New Roman" w:hAnsi="Times New Roman" w:eastAsia="宋体" w:cs="Times New Roman"/>
          <w:color w:val="auto"/>
          <w:szCs w:val="21"/>
          <w:highlight w:val="none"/>
        </w:rPr>
        <w:t>cm</w:t>
      </w:r>
      <w:r>
        <w:rPr>
          <w:rFonts w:ascii="Times New Roman" w:hAnsi="Times New Roman" w:eastAsia="宋体" w:cs="Times New Roman"/>
          <w:color w:val="auto"/>
          <w:highlight w:val="none"/>
        </w:rPr>
        <w:t>，全生育期内的凝结水量由</w:t>
      </w:r>
      <w:r>
        <w:rPr>
          <w:rFonts w:ascii="Times New Roman" w:hAnsi="Times New Roman" w:eastAsia="宋体" w:cs="Times New Roman"/>
          <w:color w:val="auto"/>
          <w:szCs w:val="21"/>
          <w:highlight w:val="none"/>
        </w:rPr>
        <w:t>3</w:t>
      </w:r>
      <w:r>
        <w:rPr>
          <w:rFonts w:ascii="Times New Roman" w:hAnsi="Times New Roman" w:eastAsia="宋体" w:cs="Times New Roman"/>
          <w:color w:val="auto"/>
          <w:highlight w:val="none"/>
        </w:rPr>
        <w:t>台规格为</w:t>
      </w:r>
      <w:r>
        <w:rPr>
          <w:rFonts w:ascii="Times New Roman" w:hAnsi="Times New Roman" w:eastAsia="宋体" w:cs="Times New Roman"/>
          <w:color w:val="auto"/>
          <w:szCs w:val="21"/>
          <w:highlight w:val="none"/>
        </w:rPr>
        <w:t>2</w:t>
      </w:r>
      <w:r>
        <w:rPr>
          <w:rFonts w:hint="eastAsia" w:ascii="Times New Roman" w:hAnsi="Times New Roman" w:eastAsia="宋体" w:cs="Times New Roman"/>
          <w:color w:val="auto"/>
          <w:szCs w:val="21"/>
          <w:highlight w:val="none"/>
        </w:rPr>
        <w:t xml:space="preserve"> </w:t>
      </w:r>
      <w:r>
        <w:rPr>
          <w:rFonts w:ascii="Times New Roman" w:hAnsi="Times New Roman" w:eastAsia="宋体" w:cs="Times New Roman"/>
          <w:color w:val="auto"/>
          <w:szCs w:val="21"/>
          <w:highlight w:val="none"/>
        </w:rPr>
        <w:t>m×2</w:t>
      </w:r>
      <w:r>
        <w:rPr>
          <w:rFonts w:hint="eastAsia" w:ascii="Times New Roman" w:hAnsi="Times New Roman" w:eastAsia="宋体" w:cs="Times New Roman"/>
          <w:color w:val="auto"/>
          <w:szCs w:val="21"/>
          <w:highlight w:val="none"/>
        </w:rPr>
        <w:t xml:space="preserve"> </w:t>
      </w:r>
      <w:r>
        <w:rPr>
          <w:rFonts w:ascii="Times New Roman" w:hAnsi="Times New Roman" w:eastAsia="宋体" w:cs="Times New Roman"/>
          <w:color w:val="auto"/>
          <w:szCs w:val="21"/>
          <w:highlight w:val="none"/>
        </w:rPr>
        <w:t>m×2</w:t>
      </w:r>
      <w:r>
        <w:rPr>
          <w:rFonts w:hint="eastAsia" w:ascii="Times New Roman" w:hAnsi="Times New Roman" w:eastAsia="宋体" w:cs="Times New Roman"/>
          <w:color w:val="auto"/>
          <w:szCs w:val="21"/>
          <w:highlight w:val="none"/>
        </w:rPr>
        <w:t xml:space="preserve"> </w:t>
      </w:r>
      <w:r>
        <w:rPr>
          <w:rFonts w:ascii="Times New Roman" w:hAnsi="Times New Roman" w:eastAsia="宋体" w:cs="Times New Roman"/>
          <w:color w:val="auto"/>
          <w:szCs w:val="21"/>
          <w:highlight w:val="none"/>
        </w:rPr>
        <w:t>m</w:t>
      </w:r>
      <w:r>
        <w:rPr>
          <w:rFonts w:ascii="Times New Roman" w:hAnsi="Times New Roman" w:eastAsia="宋体" w:cs="Times New Roman"/>
          <w:color w:val="auto"/>
          <w:highlight w:val="none"/>
        </w:rPr>
        <w:t>型号为</w:t>
      </w:r>
      <w:r>
        <w:rPr>
          <w:rFonts w:ascii="Times New Roman" w:hAnsi="Times New Roman" w:eastAsia="宋体" w:cs="Times New Roman"/>
          <w:color w:val="auto"/>
          <w:szCs w:val="21"/>
          <w:highlight w:val="none"/>
        </w:rPr>
        <w:t>QYZS-2010</w:t>
      </w:r>
      <w:r>
        <w:rPr>
          <w:rFonts w:ascii="Times New Roman" w:hAnsi="Times New Roman" w:eastAsia="宋体" w:cs="Times New Roman"/>
          <w:color w:val="auto"/>
          <w:highlight w:val="none"/>
        </w:rPr>
        <w:t>的大型称重式蒸渗仪进行实时监测，为减小风速、空气湿度、土壤温度、土壤含水量、土壤组成和质地等多种因素对观测</w:t>
      </w:r>
      <w:r>
        <w:rPr>
          <w:rFonts w:ascii="Times New Roman" w:hAnsi="Times New Roman" w:eastAsia="宋体" w:cs="Times New Roman"/>
          <w:color w:val="auto"/>
          <w:highlight w:val="none"/>
        </w:rPr>
        <w:t>试验</w:t>
      </w:r>
      <w:r>
        <w:rPr>
          <w:rFonts w:ascii="Times New Roman" w:hAnsi="Times New Roman" w:eastAsia="宋体" w:cs="Times New Roman"/>
          <w:color w:val="auto"/>
          <w:highlight w:val="none"/>
        </w:rPr>
        <w:t>的影响，保证数据的可靠性，其中两台设置为覆膜滴灌方式，另一台设置为不覆膜滴灌方式，蒸</w:t>
      </w:r>
      <w:r>
        <w:rPr>
          <w:rFonts w:ascii="Times New Roman" w:hAnsi="Times New Roman" w:eastAsia="宋体" w:cs="Times New Roman"/>
          <w:color w:val="auto"/>
          <w:szCs w:val="21"/>
          <w:highlight w:val="none"/>
        </w:rPr>
        <w:t>渗仪有效蒸散面积为4.0</w:t>
      </w:r>
      <w:r>
        <w:rPr>
          <w:rFonts w:hint="eastAsia" w:ascii="Times New Roman" w:hAnsi="Times New Roman" w:eastAsia="宋体" w:cs="Times New Roman"/>
          <w:color w:val="auto"/>
          <w:szCs w:val="21"/>
          <w:highlight w:val="none"/>
        </w:rPr>
        <w:t xml:space="preserve"> </w:t>
      </w:r>
      <w:r>
        <w:rPr>
          <w:rFonts w:ascii="Times New Roman" w:hAnsi="Times New Roman" w:eastAsia="宋体" w:cs="Times New Roman"/>
          <w:color w:val="auto"/>
          <w:szCs w:val="21"/>
          <w:highlight w:val="none"/>
        </w:rPr>
        <w:t>m</w:t>
      </w:r>
      <w:r>
        <w:rPr>
          <w:rFonts w:ascii="Times New Roman" w:hAnsi="Times New Roman" w:eastAsia="宋体" w:cs="Times New Roman"/>
          <w:color w:val="auto"/>
          <w:szCs w:val="21"/>
          <w:highlight w:val="none"/>
          <w:vertAlign w:val="superscript"/>
        </w:rPr>
        <w:t>2</w:t>
      </w:r>
      <w:r>
        <w:rPr>
          <w:rFonts w:ascii="Times New Roman" w:hAnsi="Times New Roman" w:eastAsia="宋体" w:cs="Times New Roman"/>
          <w:color w:val="auto"/>
          <w:szCs w:val="21"/>
          <w:highlight w:val="none"/>
        </w:rPr>
        <w:t>。</w:t>
      </w:r>
      <w:r>
        <w:rPr>
          <w:rFonts w:ascii="Times New Roman" w:hAnsi="Times New Roman" w:eastAsia="宋体" w:cs="Times New Roman"/>
          <w:color w:val="auto"/>
          <w:highlight w:val="none"/>
        </w:rPr>
        <w:t>试验期内通过测量蒸渗仪内土壤重量变化量引起的位移传感器变化间接量测蒸散量、渗漏量和凝结量。该蒸渗仪精度为0.02</w:t>
      </w:r>
      <w:r>
        <w:rPr>
          <w:rFonts w:hint="eastAsia" w:ascii="Times New Roman" w:hAnsi="Times New Roman" w:eastAsia="宋体" w:cs="Times New Roman"/>
          <w:color w:val="auto"/>
          <w:highlight w:val="none"/>
        </w:rPr>
        <w:t xml:space="preserve"> </w:t>
      </w:r>
      <w:r>
        <w:rPr>
          <w:rFonts w:ascii="Times New Roman" w:hAnsi="Times New Roman" w:eastAsia="宋体" w:cs="Times New Roman"/>
          <w:color w:val="auto"/>
          <w:highlight w:val="none"/>
        </w:rPr>
        <w:t>mm，虽然棉田夜间小时凝结速率较小（平均约0.05</w:t>
      </w:r>
      <w:r>
        <w:rPr>
          <w:rFonts w:hint="eastAsia" w:ascii="Times New Roman" w:hAnsi="Times New Roman" w:eastAsia="宋体" w:cs="Times New Roman"/>
          <w:color w:val="auto"/>
          <w:highlight w:val="none"/>
        </w:rPr>
        <w:t xml:space="preserve"> </w:t>
      </w:r>
      <w:r>
        <w:rPr>
          <w:rFonts w:ascii="Times New Roman" w:hAnsi="Times New Roman" w:eastAsia="宋体" w:cs="Times New Roman"/>
          <w:color w:val="auto"/>
          <w:highlight w:val="none"/>
        </w:rPr>
        <w:t>mm/h），但仍高于仪器的精度底限；且夜间长达数小时的累积凝结量通常可达0.2~0.5</w:t>
      </w:r>
      <w:r>
        <w:rPr>
          <w:rFonts w:hint="eastAsia" w:ascii="Times New Roman" w:hAnsi="Times New Roman" w:eastAsia="宋体" w:cs="Times New Roman"/>
          <w:color w:val="auto"/>
          <w:highlight w:val="none"/>
        </w:rPr>
        <w:t xml:space="preserve"> </w:t>
      </w:r>
      <w:r>
        <w:rPr>
          <w:rFonts w:ascii="Times New Roman" w:hAnsi="Times New Roman" w:eastAsia="宋体" w:cs="Times New Roman"/>
          <w:color w:val="auto"/>
          <w:highlight w:val="none"/>
        </w:rPr>
        <w:t>mm，远超仪器的误差范围</w:t>
      </w:r>
      <w:r>
        <w:rPr>
          <w:rFonts w:hint="eastAsia" w:ascii="Times New Roman" w:hAnsi="Times New Roman" w:eastAsia="宋体" w:cs="Times New Roman"/>
          <w:snapToGrid w:val="0"/>
          <w:color w:val="auto"/>
          <w:kern w:val="0"/>
          <w:szCs w:val="21"/>
          <w:highlight w:val="none"/>
          <w:vertAlign w:val="superscript"/>
        </w:rPr>
        <w:t>[6]</w:t>
      </w:r>
      <w:r>
        <w:rPr>
          <w:rFonts w:ascii="Times New Roman" w:hAnsi="Times New Roman" w:eastAsia="宋体" w:cs="Times New Roman"/>
          <w:color w:val="auto"/>
          <w:highlight w:val="none"/>
        </w:rPr>
        <w:t>，因此采用该高精度大型称重式蒸渗仪测定夜间凝结水量在物理上是可行且可靠的，数据采集时间间隔为1</w:t>
      </w:r>
      <w:r>
        <w:rPr>
          <w:rFonts w:hint="eastAsia" w:ascii="Times New Roman" w:hAnsi="Times New Roman" w:eastAsia="宋体" w:cs="Times New Roman"/>
          <w:color w:val="auto"/>
          <w:highlight w:val="none"/>
        </w:rPr>
        <w:t xml:space="preserve"> </w:t>
      </w:r>
      <w:r>
        <w:rPr>
          <w:rFonts w:ascii="Times New Roman" w:hAnsi="Times New Roman" w:eastAsia="宋体" w:cs="Times New Roman"/>
          <w:color w:val="auto"/>
          <w:highlight w:val="none"/>
        </w:rPr>
        <w:t>h。受限于大型称重式蒸渗仪的设备数量与安装条件，本研究中不覆膜处理仅设置1个观测台，缺乏统计学意义上的重复。因此，本研究中覆膜与不覆膜的差异主要界定为观测对比结果，旨在探讨不同下垫面条件对凝结水量的影响趋势，未进行显著性检验。</w:t>
      </w:r>
    </w:p>
    <w:bookmarkEnd w:id="2"/>
    <w:p w14:paraId="00FE2947">
      <w:pPr>
        <w:adjustRightInd w:val="0"/>
        <w:snapToGrid w:val="0"/>
        <w:rPr>
          <w:rFonts w:ascii="Times New Roman" w:hAnsi="Times New Roman" w:eastAsia="楷体" w:cs="Times New Roman"/>
          <w:color w:val="auto"/>
          <w:highlight w:val="none"/>
        </w:rPr>
      </w:pPr>
      <w:r>
        <w:rPr>
          <w:rFonts w:ascii="Times New Roman" w:hAnsi="Times New Roman" w:eastAsia="楷体" w:cs="Times New Roman"/>
          <w:color w:val="auto"/>
          <w:highlight w:val="none"/>
        </w:rPr>
        <w:t>1.2.3 数据分析</w:t>
      </w:r>
    </w:p>
    <w:p w14:paraId="31822A4A">
      <w:pPr>
        <w:widowControl/>
        <w:adjustRightInd w:val="0"/>
        <w:snapToGrid w:val="0"/>
        <w:ind w:firstLine="420" w:firstLineChars="200"/>
        <w:rPr>
          <w:rFonts w:ascii="Times New Roman" w:hAnsi="Times New Roman" w:eastAsia="宋体" w:cs="Times New Roman"/>
          <w:snapToGrid w:val="0"/>
          <w:color w:val="auto"/>
          <w:kern w:val="0"/>
          <w:szCs w:val="21"/>
          <w:highlight w:val="none"/>
        </w:rPr>
      </w:pPr>
      <w:r>
        <w:rPr>
          <w:rFonts w:ascii="Times New Roman" w:hAnsi="Times New Roman" w:eastAsia="宋体" w:cs="Times New Roman"/>
          <w:snapToGrid w:val="0"/>
          <w:color w:val="auto"/>
          <w:kern w:val="0"/>
          <w:szCs w:val="21"/>
          <w:highlight w:val="none"/>
        </w:rPr>
        <w:t>使用SPSS对气象数据的缺失数值进行补缺，使用Excel2016、Origin9.1进行</w:t>
      </w:r>
      <w:r>
        <w:rPr>
          <w:rFonts w:ascii="Times New Roman" w:hAnsi="Times New Roman" w:eastAsia="宋体" w:cs="Times New Roman"/>
          <w:snapToGrid w:val="0"/>
          <w:color w:val="auto"/>
          <w:kern w:val="0"/>
          <w:szCs w:val="21"/>
          <w:highlight w:val="none"/>
        </w:rPr>
        <w:t>试验</w:t>
      </w:r>
      <w:r>
        <w:rPr>
          <w:rFonts w:ascii="Times New Roman" w:hAnsi="Times New Roman" w:eastAsia="宋体" w:cs="Times New Roman"/>
          <w:snapToGrid w:val="0"/>
          <w:color w:val="auto"/>
          <w:kern w:val="0"/>
          <w:szCs w:val="21"/>
          <w:highlight w:val="none"/>
        </w:rPr>
        <w:t>数据的处理和绘图。在气象因子与凝结量关系分析中，将各蒸渗仪同一时刻的凝结量分别与自动气象站记录的同期气象变量进行匹配。因不同处理蒸渗仪发生有效凝结的时刻和凝结强度并不完全一致，图中不同蒸渗仪散点对应的气象变量范围可能存在差异；这种差异主要反映不同处理及不同有效凝结时段下凝结响应的变化，并不代表气象条件存在明显空间差异。气象因子与凝结水量之间的关系采用单因子回归分析进行拟合，并计算拟合方程、决定系数（</w:t>
      </w:r>
      <w:r>
        <w:rPr>
          <w:rFonts w:ascii="Times New Roman" w:hAnsi="Times New Roman" w:eastAsia="宋体" w:cs="Times New Roman"/>
          <w:i/>
          <w:iCs/>
          <w:snapToGrid w:val="0"/>
          <w:color w:val="auto"/>
          <w:kern w:val="0"/>
          <w:szCs w:val="21"/>
          <w:highlight w:val="none"/>
        </w:rPr>
        <w:t>R²</w:t>
      </w:r>
      <w:r>
        <w:rPr>
          <w:rFonts w:ascii="Times New Roman" w:hAnsi="Times New Roman" w:eastAsia="宋体" w:cs="Times New Roman"/>
          <w:snapToGrid w:val="0"/>
          <w:color w:val="auto"/>
          <w:kern w:val="0"/>
          <w:szCs w:val="21"/>
          <w:highlight w:val="none"/>
        </w:rPr>
        <w:t>）和显著性水平</w:t>
      </w:r>
      <w:r>
        <w:rPr>
          <w:rFonts w:ascii="Times New Roman" w:hAnsi="Times New Roman" w:eastAsia="宋体" w:cs="Times New Roman"/>
          <w:snapToGrid w:val="0"/>
          <w:color w:val="auto"/>
          <w:kern w:val="0"/>
          <w:szCs w:val="21"/>
          <w:highlight w:val="none"/>
        </w:rPr>
        <w:t>（</w:t>
      </w:r>
      <w:r>
        <w:rPr>
          <w:rFonts w:ascii="Times New Roman" w:hAnsi="Times New Roman" w:eastAsia="宋体" w:cs="Times New Roman"/>
          <w:i/>
          <w:iCs/>
          <w:snapToGrid w:val="0"/>
          <w:color w:val="auto"/>
          <w:kern w:val="0"/>
          <w:szCs w:val="21"/>
          <w:highlight w:val="none"/>
        </w:rPr>
        <w:t>p</w:t>
      </w:r>
      <w:r>
        <w:rPr>
          <w:rFonts w:ascii="Times New Roman" w:hAnsi="Times New Roman" w:eastAsia="宋体" w:cs="Times New Roman"/>
          <w:snapToGrid w:val="0"/>
          <w:color w:val="auto"/>
          <w:kern w:val="0"/>
          <w:szCs w:val="21"/>
          <w:highlight w:val="none"/>
        </w:rPr>
        <w:t>）。图</w:t>
      </w:r>
      <w:r>
        <w:rPr>
          <w:rFonts w:hint="eastAsia" w:ascii="Times New Roman" w:hAnsi="Times New Roman" w:eastAsia="宋体" w:cs="Times New Roman"/>
          <w:snapToGrid w:val="0"/>
          <w:color w:val="auto"/>
          <w:kern w:val="0"/>
          <w:szCs w:val="21"/>
          <w:highlight w:val="none"/>
        </w:rPr>
        <w:t>5</w:t>
      </w:r>
      <w:r>
        <w:rPr>
          <w:rFonts w:ascii="Times New Roman" w:hAnsi="Times New Roman" w:cs="Times New Roman"/>
          <w:color w:val="auto"/>
          <w:szCs w:val="21"/>
          <w:highlight w:val="none"/>
        </w:rPr>
        <w:t>—</w:t>
      </w:r>
      <w:r>
        <w:rPr>
          <w:rFonts w:ascii="Times New Roman" w:hAnsi="Times New Roman" w:eastAsia="宋体" w:cs="Times New Roman"/>
          <w:snapToGrid w:val="0"/>
          <w:color w:val="auto"/>
          <w:kern w:val="0"/>
          <w:szCs w:val="21"/>
          <w:highlight w:val="none"/>
        </w:rPr>
        <w:t>图7中每个散点代表一个有效观测时段内凝结量与同期气象因子的对应关系；样本量</w:t>
      </w:r>
      <w:r>
        <w:rPr>
          <w:rFonts w:ascii="Times New Roman" w:hAnsi="Times New Roman" w:eastAsia="宋体" w:cs="Times New Roman"/>
          <w:i/>
          <w:iCs/>
          <w:snapToGrid w:val="0"/>
          <w:color w:val="auto"/>
          <w:kern w:val="0"/>
          <w:szCs w:val="21"/>
          <w:highlight w:val="none"/>
        </w:rPr>
        <w:t>n</w:t>
      </w:r>
      <w:r>
        <w:rPr>
          <w:rFonts w:ascii="Times New Roman" w:hAnsi="Times New Roman" w:eastAsia="宋体" w:cs="Times New Roman"/>
          <w:snapToGrid w:val="0"/>
          <w:color w:val="auto"/>
          <w:kern w:val="0"/>
          <w:szCs w:val="21"/>
          <w:highlight w:val="none"/>
        </w:rPr>
        <w:t>为参与该回归分析的有效观测点数。图中统一标注拟合方程、</w:t>
      </w:r>
      <w:r>
        <w:rPr>
          <w:rFonts w:ascii="Times New Roman" w:hAnsi="Times New Roman" w:eastAsia="宋体" w:cs="Times New Roman"/>
          <w:i/>
          <w:iCs/>
          <w:snapToGrid w:val="0"/>
          <w:color w:val="auto"/>
          <w:kern w:val="0"/>
          <w:szCs w:val="21"/>
          <w:highlight w:val="none"/>
        </w:rPr>
        <w:t>R²</w:t>
      </w:r>
      <w:r>
        <w:rPr>
          <w:rFonts w:ascii="Times New Roman" w:hAnsi="Times New Roman" w:eastAsia="宋体" w:cs="Times New Roman"/>
          <w:snapToGrid w:val="0"/>
          <w:color w:val="auto"/>
          <w:kern w:val="0"/>
          <w:szCs w:val="21"/>
          <w:highlight w:val="none"/>
        </w:rPr>
        <w:t>、</w:t>
      </w:r>
      <w:r>
        <w:rPr>
          <w:rFonts w:ascii="Times New Roman" w:hAnsi="Times New Roman" w:eastAsia="宋体" w:cs="Times New Roman"/>
          <w:i/>
          <w:iCs/>
          <w:snapToGrid w:val="0"/>
          <w:color w:val="auto"/>
          <w:kern w:val="0"/>
          <w:szCs w:val="21"/>
          <w:highlight w:val="none"/>
        </w:rPr>
        <w:t>p</w:t>
      </w:r>
      <w:r>
        <w:rPr>
          <w:rFonts w:ascii="Times New Roman" w:hAnsi="Times New Roman" w:eastAsia="宋体" w:cs="Times New Roman"/>
          <w:snapToGrid w:val="0"/>
          <w:color w:val="auto"/>
          <w:kern w:val="0"/>
          <w:szCs w:val="21"/>
          <w:highlight w:val="none"/>
        </w:rPr>
        <w:t>值和样本量</w:t>
      </w:r>
      <w:r>
        <w:rPr>
          <w:rFonts w:ascii="Times New Roman" w:hAnsi="Times New Roman" w:eastAsia="宋体" w:cs="Times New Roman"/>
          <w:i/>
          <w:iCs/>
          <w:snapToGrid w:val="0"/>
          <w:color w:val="auto"/>
          <w:kern w:val="0"/>
          <w:szCs w:val="21"/>
          <w:highlight w:val="none"/>
        </w:rPr>
        <w:t>n</w:t>
      </w:r>
      <w:r>
        <w:rPr>
          <w:rFonts w:ascii="Times New Roman" w:hAnsi="Times New Roman" w:eastAsia="宋体" w:cs="Times New Roman"/>
          <w:snapToGrid w:val="0"/>
          <w:color w:val="auto"/>
          <w:kern w:val="0"/>
          <w:szCs w:val="21"/>
          <w:highlight w:val="none"/>
        </w:rPr>
        <w:t>；显著性水平以</w:t>
      </w:r>
      <w:r>
        <w:rPr>
          <w:rFonts w:ascii="Times New Roman" w:hAnsi="Times New Roman" w:eastAsia="宋体" w:cs="Times New Roman"/>
          <w:i/>
          <w:iCs/>
          <w:snapToGrid w:val="0"/>
          <w:color w:val="auto"/>
          <w:kern w:val="0"/>
          <w:szCs w:val="21"/>
          <w:highlight w:val="none"/>
        </w:rPr>
        <w:t>p</w:t>
      </w:r>
      <w:r>
        <w:rPr>
          <w:rFonts w:ascii="Times New Roman" w:hAnsi="Times New Roman" w:eastAsia="宋体" w:cs="Times New Roman"/>
          <w:snapToGrid w:val="0"/>
          <w:color w:val="auto"/>
          <w:kern w:val="0"/>
          <w:szCs w:val="21"/>
          <w:highlight w:val="none"/>
        </w:rPr>
        <w:t>&lt;0.05表示差异显著，</w:t>
      </w:r>
      <w:r>
        <w:rPr>
          <w:rFonts w:ascii="Times New Roman" w:hAnsi="Times New Roman" w:eastAsia="宋体" w:cs="Times New Roman"/>
          <w:i/>
          <w:iCs/>
          <w:snapToGrid w:val="0"/>
          <w:color w:val="auto"/>
          <w:kern w:val="0"/>
          <w:szCs w:val="21"/>
          <w:highlight w:val="none"/>
        </w:rPr>
        <w:t>p</w:t>
      </w:r>
      <w:r>
        <w:rPr>
          <w:rFonts w:ascii="Times New Roman" w:hAnsi="Times New Roman" w:eastAsia="宋体" w:cs="Times New Roman"/>
          <w:snapToGrid w:val="0"/>
          <w:color w:val="auto"/>
          <w:kern w:val="0"/>
          <w:szCs w:val="21"/>
          <w:highlight w:val="none"/>
        </w:rPr>
        <w:t>&lt;0.01表示差异极显著，p≥0.05表示未达到显著水平。</w:t>
      </w:r>
      <w:r>
        <w:rPr>
          <w:rFonts w:ascii="Times New Roman" w:hAnsi="Times New Roman" w:eastAsia="宋体" w:cs="Times New Roman"/>
          <w:snapToGrid w:val="0"/>
          <w:color w:val="auto"/>
          <w:kern w:val="0"/>
          <w:szCs w:val="21"/>
          <w:highlight w:val="none"/>
        </w:rPr>
        <w:t>为提高蒸渗仪数据的精度，首先剔除数据坏点以及发生降水、大雾天气的数据（降水天气的判定依据为雨量筒日降水量≥0.1</w:t>
      </w:r>
      <w:r>
        <w:rPr>
          <w:rFonts w:hint="eastAsia" w:ascii="Times New Roman" w:hAnsi="Times New Roman" w:eastAsia="宋体" w:cs="Times New Roman"/>
          <w:snapToGrid w:val="0"/>
          <w:color w:val="auto"/>
          <w:kern w:val="0"/>
          <w:szCs w:val="21"/>
          <w:highlight w:val="none"/>
        </w:rPr>
        <w:t xml:space="preserve"> </w:t>
      </w:r>
      <w:r>
        <w:rPr>
          <w:rFonts w:ascii="Times New Roman" w:hAnsi="Times New Roman" w:eastAsia="宋体" w:cs="Times New Roman"/>
          <w:snapToGrid w:val="0"/>
          <w:color w:val="auto"/>
          <w:kern w:val="0"/>
          <w:szCs w:val="21"/>
          <w:highlight w:val="none"/>
        </w:rPr>
        <w:t>mm；</w:t>
      </w:r>
      <w:r>
        <w:rPr>
          <w:rFonts w:hint="eastAsia" w:ascii="Times New Roman" w:hAnsi="Times New Roman" w:eastAsia="宋体" w:cs="Times New Roman"/>
          <w:snapToGrid w:val="0"/>
          <w:color w:val="auto"/>
          <w:kern w:val="0"/>
          <w:szCs w:val="21"/>
          <w:highlight w:val="none"/>
        </w:rPr>
        <w:t>大雾天气结合能见度仪与相对湿度&gt;95%进行综合判定</w:t>
      </w:r>
      <w:r>
        <w:rPr>
          <w:rFonts w:ascii="Times New Roman" w:hAnsi="Times New Roman" w:eastAsia="宋体" w:cs="Times New Roman"/>
          <w:snapToGrid w:val="0"/>
          <w:color w:val="auto"/>
          <w:kern w:val="0"/>
          <w:szCs w:val="21"/>
          <w:highlight w:val="none"/>
        </w:rPr>
        <w:t>），随后参考</w:t>
      </w:r>
      <w:r>
        <w:rPr>
          <w:rFonts w:ascii="Times New Roman" w:hAnsi="Times New Roman" w:eastAsia="宋体" w:cs="Times New Roman"/>
          <w:snapToGrid w:val="0"/>
          <w:color w:val="auto"/>
          <w:kern w:val="0"/>
          <w:szCs w:val="21"/>
          <w:highlight w:val="none"/>
        </w:rPr>
        <w:t>季辰</w:t>
      </w:r>
      <w:r>
        <w:rPr>
          <w:rFonts w:hint="eastAsia" w:ascii="Times New Roman" w:hAnsi="Times New Roman" w:eastAsia="宋体" w:cs="Times New Roman"/>
          <w:snapToGrid w:val="0"/>
          <w:color w:val="auto"/>
          <w:kern w:val="0"/>
          <w:szCs w:val="21"/>
          <w:highlight w:val="none"/>
          <w:lang w:val="en-US" w:eastAsia="zh-CN"/>
        </w:rPr>
        <w:t>等</w:t>
      </w:r>
      <w:r>
        <w:rPr>
          <w:rFonts w:ascii="Times New Roman" w:hAnsi="Times New Roman" w:eastAsia="宋体" w:cs="Times New Roman"/>
          <w:snapToGrid w:val="0"/>
          <w:color w:val="auto"/>
          <w:kern w:val="0"/>
          <w:szCs w:val="21"/>
          <w:highlight w:val="none"/>
          <w:vertAlign w:val="superscript"/>
        </w:rPr>
        <w:t>[</w:t>
      </w:r>
      <w:r>
        <w:rPr>
          <w:rFonts w:hint="eastAsia" w:ascii="Times New Roman" w:hAnsi="Times New Roman" w:eastAsia="宋体" w:cs="Times New Roman"/>
          <w:snapToGrid w:val="0"/>
          <w:color w:val="auto"/>
          <w:kern w:val="0"/>
          <w:szCs w:val="21"/>
          <w:highlight w:val="none"/>
          <w:vertAlign w:val="superscript"/>
        </w:rPr>
        <w:t>23</w:t>
      </w:r>
      <w:r>
        <w:rPr>
          <w:rFonts w:ascii="Times New Roman" w:hAnsi="Times New Roman" w:eastAsia="宋体" w:cs="Times New Roman"/>
          <w:snapToGrid w:val="0"/>
          <w:color w:val="auto"/>
          <w:kern w:val="0"/>
          <w:szCs w:val="21"/>
          <w:highlight w:val="none"/>
          <w:vertAlign w:val="superscript"/>
        </w:rPr>
        <w:t>]</w:t>
      </w:r>
      <w:r>
        <w:rPr>
          <w:rFonts w:ascii="Times New Roman" w:hAnsi="Times New Roman" w:eastAsia="宋体" w:cs="Times New Roman"/>
          <w:snapToGrid w:val="0"/>
          <w:color w:val="auto"/>
          <w:kern w:val="0"/>
          <w:szCs w:val="21"/>
          <w:highlight w:val="none"/>
        </w:rPr>
        <w:t>提出的蒸渗仪数据筛选方法，设定一个值δ筛选数据</w:t>
      </w:r>
      <w:r>
        <w:rPr>
          <w:rFonts w:hint="eastAsia" w:ascii="Times New Roman" w:hAnsi="Times New Roman" w:eastAsia="宋体" w:cs="Times New Roman"/>
          <w:snapToGrid w:val="0"/>
          <w:color w:val="auto"/>
          <w:kern w:val="0"/>
          <w:szCs w:val="21"/>
          <w:highlight w:val="none"/>
        </w:rPr>
        <w:t>。</w:t>
      </w:r>
      <w:r>
        <w:rPr>
          <w:rFonts w:ascii="Times New Roman" w:hAnsi="Times New Roman" w:eastAsia="宋体" w:cs="Times New Roman"/>
          <w:i/>
          <w:iCs/>
          <w:snapToGrid w:val="0"/>
          <w:color w:val="auto"/>
          <w:kern w:val="0"/>
          <w:szCs w:val="21"/>
          <w:highlight w:val="none"/>
        </w:rPr>
        <w:t>δ</w:t>
      </w:r>
      <w:r>
        <w:rPr>
          <w:rFonts w:ascii="Times New Roman" w:hAnsi="Times New Roman" w:eastAsia="宋体" w:cs="Times New Roman"/>
          <w:snapToGrid w:val="0"/>
          <w:color w:val="auto"/>
          <w:kern w:val="0"/>
          <w:szCs w:val="21"/>
          <w:highlight w:val="none"/>
        </w:rPr>
        <w:t>值的设定依据仪器自身的测量精度及田间风速引起的机械震动噪音，本研究中保留满足以下公式</w:t>
      </w:r>
      <w:r>
        <w:rPr>
          <w:rFonts w:hint="eastAsia" w:ascii="Times New Roman" w:hAnsi="Times New Roman" w:eastAsia="宋体" w:cs="Times New Roman"/>
          <w:snapToGrid w:val="0"/>
          <w:color w:val="auto"/>
          <w:kern w:val="0"/>
          <w:szCs w:val="21"/>
          <w:highlight w:val="none"/>
        </w:rPr>
        <w:t>的平稳数据，具体为</w:t>
      </w:r>
    </w:p>
    <w:p w14:paraId="699D13C7">
      <w:pPr>
        <w:pStyle w:val="2"/>
        <w:rPr>
          <w:rFonts w:ascii="Times New Roman" w:hAnsi="Times New Roman" w:eastAsia="宋体" w:cs="Times New Roman"/>
          <w:color w:val="auto"/>
          <w:szCs w:val="21"/>
          <w:highlight w:val="none"/>
        </w:rPr>
      </w:pPr>
      <m:oMathPara>
        <m:oMath>
          <m:eqArr>
            <m:eqArrPr>
              <m:maxDist m:val="1"/>
              <m:ctrlPr>
                <w:rPr>
                  <w:rFonts w:ascii="Cambria Math" w:hAnsi="Cambria Math" w:eastAsia="宋体" w:cs="Times New Roman"/>
                  <w:i/>
                  <w:color w:val="auto"/>
                  <w:szCs w:val="21"/>
                  <w:highlight w:val="none"/>
                </w:rPr>
              </m:ctrlPr>
            </m:eqArrPr>
            <m:e>
              <m:d>
                <m:dPr>
                  <m:begChr m:val="|"/>
                  <m:endChr m:val="|"/>
                  <m:ctrlPr>
                    <w:rPr>
                      <w:rFonts w:ascii="Cambria Math" w:hAnsi="Cambria Math" w:eastAsia="宋体" w:cs="Times New Roman"/>
                      <w:i/>
                      <w:color w:val="auto"/>
                      <w:szCs w:val="21"/>
                      <w:highlight w:val="none"/>
                    </w:rPr>
                  </m:ctrlPr>
                </m:dPr>
                <m:e>
                  <m:sSub>
                    <m:sSubPr>
                      <m:ctrlPr>
                        <w:rPr>
                          <w:rFonts w:ascii="Cambria Math" w:hAnsi="Cambria Math" w:eastAsia="宋体" w:cs="Times New Roman"/>
                          <w:i/>
                          <w:color w:val="auto"/>
                          <w:szCs w:val="21"/>
                          <w:highlight w:val="none"/>
                        </w:rPr>
                      </m:ctrlPr>
                    </m:sSubPr>
                    <m:e>
                      <m:r>
                        <m:rPr/>
                        <w:rPr>
                          <w:rFonts w:ascii="Cambria Math" w:hAnsi="Cambria Math" w:eastAsia="宋体" w:cs="Times New Roman"/>
                          <w:color w:val="auto"/>
                          <w:szCs w:val="21"/>
                          <w:highlight w:val="none"/>
                        </w:rPr>
                        <m:t>x</m:t>
                      </m:r>
                      <m:ctrlPr>
                        <w:rPr>
                          <w:rFonts w:ascii="Cambria Math" w:hAnsi="Cambria Math" w:eastAsia="宋体" w:cs="Times New Roman"/>
                          <w:i/>
                          <w:color w:val="auto"/>
                          <w:szCs w:val="21"/>
                          <w:highlight w:val="none"/>
                        </w:rPr>
                      </m:ctrlPr>
                    </m:e>
                    <m:sub>
                      <m:r>
                        <m:rPr/>
                        <w:rPr>
                          <w:rFonts w:ascii="Cambria Math" w:hAnsi="Cambria Math" w:eastAsia="宋体" w:cs="Times New Roman"/>
                          <w:color w:val="auto"/>
                          <w:szCs w:val="21"/>
                          <w:highlight w:val="none"/>
                        </w:rPr>
                        <m:t>i</m:t>
                      </m:r>
                      <m:ctrlPr>
                        <w:rPr>
                          <w:rFonts w:ascii="Cambria Math" w:hAnsi="Cambria Math" w:eastAsia="宋体" w:cs="Times New Roman"/>
                          <w:i/>
                          <w:color w:val="auto"/>
                          <w:szCs w:val="21"/>
                          <w:highlight w:val="none"/>
                        </w:rPr>
                      </m:ctrlPr>
                    </m:sub>
                  </m:sSub>
                  <m:r>
                    <m:rPr/>
                    <w:rPr>
                      <w:rFonts w:ascii="Cambria Math" w:hAnsi="Cambria Math" w:eastAsia="宋体" w:cs="Times New Roman"/>
                      <w:color w:val="auto"/>
                      <w:szCs w:val="21"/>
                      <w:highlight w:val="none"/>
                    </w:rPr>
                    <m:t>−</m:t>
                  </m:r>
                  <m:sSub>
                    <m:sSubPr>
                      <m:ctrlPr>
                        <w:rPr>
                          <w:rFonts w:ascii="Cambria Math" w:hAnsi="Cambria Math" w:eastAsia="宋体" w:cs="Times New Roman"/>
                          <w:i/>
                          <w:color w:val="auto"/>
                          <w:szCs w:val="21"/>
                          <w:highlight w:val="none"/>
                        </w:rPr>
                      </m:ctrlPr>
                    </m:sSubPr>
                    <m:e>
                      <m:r>
                        <m:rPr/>
                        <w:rPr>
                          <w:rFonts w:ascii="Cambria Math" w:hAnsi="Cambria Math" w:eastAsia="宋体" w:cs="Times New Roman"/>
                          <w:color w:val="auto"/>
                          <w:szCs w:val="21"/>
                          <w:highlight w:val="none"/>
                        </w:rPr>
                        <m:t>x</m:t>
                      </m:r>
                      <m:ctrlPr>
                        <w:rPr>
                          <w:rFonts w:ascii="Cambria Math" w:hAnsi="Cambria Math" w:eastAsia="宋体" w:cs="Times New Roman"/>
                          <w:i/>
                          <w:color w:val="auto"/>
                          <w:szCs w:val="21"/>
                          <w:highlight w:val="none"/>
                        </w:rPr>
                      </m:ctrlPr>
                    </m:e>
                    <m:sub>
                      <m:r>
                        <m:rPr/>
                        <w:rPr>
                          <w:rFonts w:ascii="Cambria Math" w:hAnsi="Cambria Math" w:eastAsia="宋体" w:cs="Times New Roman"/>
                          <w:color w:val="auto"/>
                          <w:szCs w:val="21"/>
                          <w:highlight w:val="none"/>
                        </w:rPr>
                        <m:t>a</m:t>
                      </m:r>
                      <m:ctrlPr>
                        <w:rPr>
                          <w:rFonts w:ascii="Cambria Math" w:hAnsi="Cambria Math" w:eastAsia="宋体" w:cs="Times New Roman"/>
                          <w:i/>
                          <w:color w:val="auto"/>
                          <w:szCs w:val="21"/>
                          <w:highlight w:val="none"/>
                        </w:rPr>
                      </m:ctrlPr>
                    </m:sub>
                  </m:sSub>
                  <m:ctrlPr>
                    <w:rPr>
                      <w:rFonts w:ascii="Cambria Math" w:hAnsi="Cambria Math" w:eastAsia="宋体" w:cs="Times New Roman"/>
                      <w:i/>
                      <w:color w:val="auto"/>
                      <w:szCs w:val="21"/>
                      <w:highlight w:val="none"/>
                    </w:rPr>
                  </m:ctrlPr>
                </m:e>
              </m:d>
              <m:r>
                <m:rPr/>
                <w:rPr>
                  <w:rFonts w:ascii="Cambria Math" w:hAnsi="Cambria Math" w:eastAsia="宋体" w:cs="Times New Roman"/>
                  <w:color w:val="auto"/>
                  <w:szCs w:val="21"/>
                  <w:highlight w:val="none"/>
                </w:rPr>
                <m:t>&lt;δ#</m:t>
              </m:r>
              <m:d>
                <m:dPr>
                  <m:ctrlPr>
                    <w:rPr>
                      <w:rFonts w:ascii="Cambria Math" w:hAnsi="Cambria Math" w:eastAsia="宋体" w:cs="Times New Roman"/>
                      <w:i/>
                      <w:color w:val="auto"/>
                      <w:szCs w:val="21"/>
                      <w:highlight w:val="none"/>
                    </w:rPr>
                  </m:ctrlPr>
                </m:dPr>
                <m:e>
                  <m:r>
                    <m:rPr/>
                    <w:rPr>
                      <w:rFonts w:ascii="Cambria Math" w:hAnsi="Cambria Math" w:eastAsia="宋体" w:cs="Times New Roman"/>
                      <w:color w:val="auto"/>
                      <w:szCs w:val="21"/>
                      <w:highlight w:val="none"/>
                    </w:rPr>
                    <m:t>1</m:t>
                  </m:r>
                  <m:ctrlPr>
                    <w:rPr>
                      <w:rFonts w:ascii="Cambria Math" w:hAnsi="Cambria Math" w:eastAsia="宋体" w:cs="Times New Roman"/>
                      <w:i/>
                      <w:color w:val="auto"/>
                      <w:szCs w:val="21"/>
                      <w:highlight w:val="none"/>
                    </w:rPr>
                  </m:ctrlPr>
                </m:e>
              </m:d>
              <m:ctrlPr>
                <w:rPr>
                  <w:rFonts w:ascii="Cambria Math" w:hAnsi="Cambria Math" w:eastAsia="宋体" w:cs="Times New Roman"/>
                  <w:i/>
                  <w:color w:val="auto"/>
                  <w:szCs w:val="21"/>
                  <w:highlight w:val="none"/>
                </w:rPr>
              </m:ctrlPr>
            </m:e>
          </m:eqArr>
        </m:oMath>
      </m:oMathPara>
    </w:p>
    <w:p w14:paraId="4A0C95CB">
      <w:pPr>
        <w:adjustRightInd w:val="0"/>
        <w:snapToGrid w:val="0"/>
        <w:rPr>
          <w:rFonts w:ascii="Times New Roman" w:hAnsi="Times New Roman" w:eastAsia="宋体" w:cs="Times New Roman"/>
          <w:color w:val="auto"/>
          <w:szCs w:val="21"/>
          <w:highlight w:val="none"/>
        </w:rPr>
      </w:pPr>
      <w:r>
        <w:rPr>
          <w:rFonts w:hint="eastAsia" w:ascii="宋体" w:hAnsi="宋体" w:eastAsia="宋体" w:cs="宋体"/>
          <w:color w:val="auto"/>
          <w:spacing w:val="15"/>
          <w:kern w:val="0"/>
          <w:szCs w:val="21"/>
          <w:highlight w:val="none"/>
        </w:rPr>
        <w:t>式中，</w:t>
      </w:r>
      <m:oMath>
        <m:sSub>
          <m:sSubPr>
            <m:ctrlPr>
              <w:rPr>
                <w:rFonts w:ascii="Cambria Math" w:hAnsi="Cambria Math" w:eastAsia="宋体" w:cs="宋体"/>
                <w:i/>
                <w:color w:val="auto"/>
                <w:spacing w:val="15"/>
                <w:kern w:val="0"/>
                <w:szCs w:val="21"/>
                <w:highlight w:val="none"/>
              </w:rPr>
            </m:ctrlPr>
          </m:sSubPr>
          <m:e>
            <m:r>
              <m:rPr/>
              <w:rPr>
                <w:rFonts w:ascii="Cambria Math" w:hAnsi="Cambria Math" w:eastAsia="宋体" w:cs="宋体"/>
                <w:color w:val="auto"/>
                <w:spacing w:val="15"/>
                <w:kern w:val="0"/>
                <w:szCs w:val="21"/>
                <w:highlight w:val="none"/>
              </w:rPr>
              <m:t>x</m:t>
            </m:r>
            <m:ctrlPr>
              <w:rPr>
                <w:rFonts w:ascii="Cambria Math" w:hAnsi="Cambria Math" w:eastAsia="宋体" w:cs="宋体"/>
                <w:i/>
                <w:color w:val="auto"/>
                <w:spacing w:val="15"/>
                <w:kern w:val="0"/>
                <w:szCs w:val="21"/>
                <w:highlight w:val="none"/>
              </w:rPr>
            </m:ctrlPr>
          </m:e>
          <m:sub>
            <m:r>
              <m:rPr/>
              <w:rPr>
                <w:rFonts w:ascii="Cambria Math" w:hAnsi="Cambria Math" w:eastAsia="宋体" w:cs="宋体"/>
                <w:color w:val="auto"/>
                <w:spacing w:val="15"/>
                <w:kern w:val="0"/>
                <w:szCs w:val="21"/>
                <w:highlight w:val="none"/>
              </w:rPr>
              <m:t>i</m:t>
            </m:r>
            <m:ctrlPr>
              <w:rPr>
                <w:rFonts w:ascii="Cambria Math" w:hAnsi="Cambria Math" w:eastAsia="宋体" w:cs="宋体"/>
                <w:i/>
                <w:color w:val="auto"/>
                <w:spacing w:val="15"/>
                <w:kern w:val="0"/>
                <w:szCs w:val="21"/>
                <w:highlight w:val="none"/>
              </w:rPr>
            </m:ctrlPr>
          </m:sub>
        </m:sSub>
      </m:oMath>
      <w:r>
        <w:rPr>
          <w:rFonts w:ascii="Times New Roman" w:hAnsi="Times New Roman" w:eastAsia="宋体" w:cs="Times New Roman"/>
          <w:color w:val="auto"/>
          <w:szCs w:val="21"/>
          <w:highlight w:val="none"/>
        </w:rPr>
        <w:t>为当前时刻蒸渗仪原始读数</w:t>
      </w:r>
      <w:r>
        <w:rPr>
          <w:rFonts w:hint="eastAsia" w:ascii="Times New Roman" w:hAnsi="Times New Roman" w:eastAsia="宋体" w:cs="Times New Roman"/>
          <w:color w:val="auto"/>
          <w:szCs w:val="21"/>
          <w:highlight w:val="none"/>
        </w:rPr>
        <w:t>；</w:t>
      </w:r>
      <m:oMath>
        <m:sSub>
          <m:sSubPr>
            <m:ctrlPr>
              <w:rPr>
                <w:rFonts w:ascii="Cambria Math" w:hAnsi="Cambria Math" w:eastAsia="宋体" w:cs="Times New Roman"/>
                <w:i/>
                <w:color w:val="auto"/>
                <w:szCs w:val="21"/>
                <w:highlight w:val="none"/>
              </w:rPr>
            </m:ctrlPr>
          </m:sSubPr>
          <m:e>
            <m:r>
              <m:rPr/>
              <w:rPr>
                <w:rFonts w:ascii="Cambria Math" w:hAnsi="Cambria Math" w:eastAsia="宋体" w:cs="Times New Roman"/>
                <w:color w:val="auto"/>
                <w:szCs w:val="21"/>
                <w:highlight w:val="none"/>
              </w:rPr>
              <m:t>x</m:t>
            </m:r>
            <m:ctrlPr>
              <w:rPr>
                <w:rFonts w:ascii="Cambria Math" w:hAnsi="Cambria Math" w:eastAsia="宋体" w:cs="Times New Roman"/>
                <w:i/>
                <w:color w:val="auto"/>
                <w:szCs w:val="21"/>
                <w:highlight w:val="none"/>
              </w:rPr>
            </m:ctrlPr>
          </m:e>
          <m:sub>
            <m:r>
              <m:rPr/>
              <w:rPr>
                <w:rFonts w:ascii="Cambria Math" w:hAnsi="Cambria Math" w:eastAsia="宋体" w:cs="Times New Roman"/>
                <w:color w:val="auto"/>
                <w:szCs w:val="21"/>
                <w:highlight w:val="none"/>
              </w:rPr>
              <m:t>a</m:t>
            </m:r>
            <m:ctrlPr>
              <w:rPr>
                <w:rFonts w:ascii="Cambria Math" w:hAnsi="Cambria Math" w:eastAsia="宋体" w:cs="Times New Roman"/>
                <w:i/>
                <w:color w:val="auto"/>
                <w:szCs w:val="21"/>
                <w:highlight w:val="none"/>
              </w:rPr>
            </m:ctrlPr>
          </m:sub>
        </m:sSub>
      </m:oMath>
      <w:r>
        <w:rPr>
          <w:rFonts w:ascii="Times New Roman" w:hAnsi="Times New Roman" w:eastAsia="宋体" w:cs="Times New Roman"/>
          <w:color w:val="auto"/>
          <w:szCs w:val="21"/>
          <w:highlight w:val="none"/>
        </w:rPr>
        <w:t>为相邻时段内读数的移动平均值</w:t>
      </w:r>
      <w:r>
        <w:rPr>
          <w:rFonts w:hint="eastAsia" w:ascii="Times New Roman" w:hAnsi="Times New Roman" w:eastAsia="宋体" w:cs="Times New Roman"/>
          <w:color w:val="auto"/>
          <w:szCs w:val="21"/>
          <w:highlight w:val="none"/>
        </w:rPr>
        <w:t>；</w:t>
      </w:r>
      <w:r>
        <w:rPr>
          <w:rFonts w:ascii="Times New Roman" w:hAnsi="Times New Roman" w:eastAsia="宋体" w:cs="Times New Roman"/>
          <w:i/>
          <w:iCs/>
          <w:color w:val="auto"/>
          <w:szCs w:val="21"/>
          <w:highlight w:val="none"/>
        </w:rPr>
        <w:t>δ</w:t>
      </w:r>
      <w:r>
        <w:rPr>
          <w:rFonts w:ascii="Times New Roman" w:hAnsi="Times New Roman" w:eastAsia="宋体" w:cs="Times New Roman"/>
          <w:color w:val="auto"/>
          <w:szCs w:val="21"/>
          <w:highlight w:val="none"/>
        </w:rPr>
        <w:t>为设定的噪音阈值（取0.02</w:t>
      </w:r>
      <w:r>
        <w:rPr>
          <w:rFonts w:hint="eastAsia" w:ascii="Times New Roman" w:hAnsi="Times New Roman" w:eastAsia="宋体" w:cs="Times New Roman"/>
          <w:color w:val="auto"/>
          <w:szCs w:val="21"/>
          <w:highlight w:val="none"/>
        </w:rPr>
        <w:t xml:space="preserve"> </w:t>
      </w:r>
      <w:r>
        <w:rPr>
          <w:rFonts w:ascii="Times New Roman" w:hAnsi="Times New Roman" w:eastAsia="宋体" w:cs="Times New Roman"/>
          <w:color w:val="auto"/>
          <w:szCs w:val="21"/>
          <w:highlight w:val="none"/>
        </w:rPr>
        <w:t>mm）</w:t>
      </w:r>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szCs w:val="21"/>
          <w:highlight w:val="none"/>
        </w:rPr>
        <w:t>该公式有效剔除了高频随机噪音的干扰。</w:t>
      </w:r>
    </w:p>
    <w:p w14:paraId="5FDB5C78">
      <w:pPr>
        <w:adjustRightInd w:val="0"/>
        <w:snapToGrid w:val="0"/>
        <w:ind w:firstLine="420" w:firstLineChars="200"/>
        <w:rPr>
          <w:rFonts w:hint="eastAsia" w:ascii="宋体" w:hAnsi="宋体" w:eastAsia="宋体" w:cs="Times New Roman"/>
          <w:color w:val="auto"/>
          <w:szCs w:val="21"/>
          <w:highlight w:val="none"/>
        </w:rPr>
      </w:pPr>
      <w:r>
        <w:rPr>
          <w:rFonts w:ascii="宋体" w:hAnsi="宋体" w:eastAsia="宋体" w:cs="Times New Roman"/>
          <w:color w:val="auto"/>
          <w:szCs w:val="21"/>
          <w:highlight w:val="none"/>
        </w:rPr>
        <w:t>根据蒸渗仪测量的通用物理换算方法，</w:t>
      </w:r>
      <w:r>
        <w:rPr>
          <w:rFonts w:hint="eastAsia" w:ascii="宋体" w:hAnsi="宋体" w:eastAsia="宋体" w:cs="Times New Roman"/>
          <w:color w:val="auto"/>
          <w:szCs w:val="21"/>
          <w:highlight w:val="none"/>
        </w:rPr>
        <w:t>其重量变化转换为凝结水深算公式为</w:t>
      </w:r>
    </w:p>
    <w:p w14:paraId="7D774B9F">
      <w:pPr>
        <w:pStyle w:val="2"/>
        <w:rPr>
          <w:rFonts w:hint="eastAsia" w:ascii="宋体" w:hAnsi="宋体" w:eastAsia="宋体" w:cs="Times New Roman"/>
          <w:color w:val="auto"/>
          <w:highlight w:val="none"/>
        </w:rPr>
      </w:pPr>
      <m:oMathPara>
        <m:oMath>
          <m:eqArr>
            <m:eqArrPr>
              <m:maxDist m:val="1"/>
              <m:ctrlPr>
                <w:rPr>
                  <w:rFonts w:ascii="Cambria Math" w:hAnsi="Cambria Math" w:cs="Times New Roman"/>
                  <w:i/>
                  <w:color w:val="auto"/>
                  <w:highlight w:val="none"/>
                </w:rPr>
              </m:ctrlPr>
            </m:eqArrPr>
            <m:e>
              <m:r>
                <m:rPr/>
                <w:rPr>
                  <w:rFonts w:ascii="Cambria Math" w:hAnsi="Cambria Math" w:cs="Times New Roman"/>
                  <w:color w:val="auto"/>
                  <w:highlight w:val="none"/>
                </w:rPr>
                <m:t>C=</m:t>
              </m:r>
              <m:f>
                <m:fPr>
                  <m:ctrlPr>
                    <w:rPr>
                      <w:rFonts w:ascii="Cambria Math" w:hAnsi="Cambria Math" w:cs="Times New Roman"/>
                      <w:i/>
                      <w:color w:val="auto"/>
                      <w:highlight w:val="none"/>
                    </w:rPr>
                  </m:ctrlPr>
                </m:fPr>
                <m:num>
                  <m:r>
                    <m:rPr>
                      <m:sty m:val="p"/>
                    </m:rPr>
                    <w:rPr>
                      <w:rFonts w:ascii="Cambria Math" w:hAnsi="Cambria Math" w:cs="Times New Roman"/>
                      <w:color w:val="auto"/>
                      <w:highlight w:val="none"/>
                    </w:rPr>
                    <m:t>Δ</m:t>
                  </m:r>
                  <m:r>
                    <m:rPr/>
                    <w:rPr>
                      <w:rFonts w:ascii="Cambria Math" w:hAnsi="Cambria Math" w:cs="Times New Roman"/>
                      <w:color w:val="auto"/>
                      <w:highlight w:val="none"/>
                    </w:rPr>
                    <m:t>W</m:t>
                  </m:r>
                  <m:ctrlPr>
                    <w:rPr>
                      <w:rFonts w:ascii="Cambria Math" w:hAnsi="Cambria Math" w:cs="Times New Roman"/>
                      <w:i/>
                      <w:color w:val="auto"/>
                      <w:highlight w:val="none"/>
                    </w:rPr>
                  </m:ctrlPr>
                </m:num>
                <m:den>
                  <m:r>
                    <m:rPr/>
                    <w:rPr>
                      <w:rFonts w:ascii="Cambria Math" w:hAnsi="Cambria Math" w:cs="Times New Roman"/>
                      <w:color w:val="auto"/>
                      <w:highlight w:val="none"/>
                    </w:rPr>
                    <m:t>ρ×S</m:t>
                  </m:r>
                  <m:ctrlPr>
                    <w:rPr>
                      <w:rFonts w:ascii="Cambria Math" w:hAnsi="Cambria Math" w:cs="Times New Roman"/>
                      <w:i/>
                      <w:color w:val="auto"/>
                      <w:highlight w:val="none"/>
                    </w:rPr>
                  </m:ctrlPr>
                </m:den>
              </m:f>
              <m:r>
                <m:rPr/>
                <w:rPr>
                  <w:rFonts w:ascii="Cambria Math" w:hAnsi="Cambria Math" w:cs="Times New Roman"/>
                  <w:color w:val="auto"/>
                  <w:highlight w:val="none"/>
                </w:rPr>
                <m:t>×1000#</m:t>
              </m:r>
              <m:d>
                <m:dPr>
                  <m:ctrlPr>
                    <w:rPr>
                      <w:rFonts w:ascii="Cambria Math" w:hAnsi="Cambria Math" w:cs="Times New Roman"/>
                      <w:i/>
                      <w:color w:val="auto"/>
                      <w:highlight w:val="none"/>
                    </w:rPr>
                  </m:ctrlPr>
                </m:dPr>
                <m:e>
                  <m:r>
                    <m:rPr/>
                    <w:rPr>
                      <w:rFonts w:ascii="Cambria Math" w:hAnsi="Cambria Math" w:cs="Times New Roman"/>
                      <w:color w:val="auto"/>
                      <w:highlight w:val="none"/>
                    </w:rPr>
                    <m:t>2</m:t>
                  </m:r>
                  <m:ctrlPr>
                    <w:rPr>
                      <w:rFonts w:ascii="Cambria Math" w:hAnsi="Cambria Math" w:cs="Times New Roman"/>
                      <w:i/>
                      <w:color w:val="auto"/>
                      <w:highlight w:val="none"/>
                    </w:rPr>
                  </m:ctrlPr>
                </m:e>
              </m:d>
              <m:ctrlPr>
                <w:rPr>
                  <w:rFonts w:ascii="Cambria Math" w:hAnsi="Cambria Math" w:cs="Times New Roman"/>
                  <w:i/>
                  <w:color w:val="auto"/>
                  <w:highlight w:val="none"/>
                </w:rPr>
              </m:ctrlPr>
            </m:e>
          </m:eqArr>
        </m:oMath>
      </m:oMathPara>
    </w:p>
    <w:p w14:paraId="649CFF68">
      <w:pPr>
        <w:widowControl/>
        <w:adjustRightInd w:val="0"/>
        <w:snapToGrid w:val="0"/>
        <w:textAlignment w:val="baseline"/>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式中</w:t>
      </w:r>
      <w:r>
        <w:rPr>
          <w:rFonts w:hint="eastAsia" w:ascii="Times New Roman" w:hAnsi="Times New Roman" w:eastAsia="宋体" w:cs="Times New Roman"/>
          <w:color w:val="auto"/>
          <w:szCs w:val="21"/>
          <w:highlight w:val="none"/>
        </w:rPr>
        <w:t>，</w:t>
      </w:r>
      <w:r>
        <w:rPr>
          <w:rFonts w:ascii="Times New Roman" w:hAnsi="Times New Roman" w:eastAsia="宋体" w:cs="Times New Roman"/>
          <w:i/>
          <w:iCs/>
          <w:color w:val="auto"/>
          <w:szCs w:val="21"/>
          <w:highlight w:val="none"/>
        </w:rPr>
        <w:t>C</w:t>
      </w:r>
      <w:r>
        <w:rPr>
          <w:rFonts w:ascii="Times New Roman" w:hAnsi="Times New Roman" w:eastAsia="宋体" w:cs="Times New Roman"/>
          <w:color w:val="auto"/>
          <w:szCs w:val="21"/>
          <w:highlight w:val="none"/>
        </w:rPr>
        <w:t>为凝结水深度（mm）；</w:t>
      </w:r>
      <m:oMath>
        <m:r>
          <m:rPr/>
          <w:rPr>
            <w:rFonts w:ascii="Cambria Math" w:hAnsi="Cambria Math" w:eastAsia="宋体" w:cs="Times New Roman"/>
            <w:color w:val="auto"/>
            <w:szCs w:val="21"/>
            <w:highlight w:val="none"/>
          </w:rPr>
          <m:t>∆W</m:t>
        </m:r>
      </m:oMath>
      <w:r>
        <w:rPr>
          <w:rFonts w:ascii="Times New Roman" w:hAnsi="Times New Roman" w:eastAsia="宋体" w:cs="Times New Roman"/>
          <w:color w:val="auto"/>
          <w:szCs w:val="21"/>
          <w:highlight w:val="none"/>
        </w:rPr>
        <w:t>为蒸渗仪在</w:t>
      </w:r>
      <m:oMath>
        <m:r>
          <m:rPr/>
          <w:rPr>
            <w:rFonts w:ascii="Cambria Math" w:hAnsi="Cambria Math" w:eastAsia="宋体" w:cs="Times New Roman"/>
            <w:color w:val="auto"/>
            <w:szCs w:val="21"/>
            <w:highlight w:val="none"/>
          </w:rPr>
          <m:t>∆t</m:t>
        </m:r>
      </m:oMath>
      <w:r>
        <w:rPr>
          <w:rFonts w:ascii="Times New Roman" w:hAnsi="Times New Roman" w:eastAsia="宋体" w:cs="Times New Roman"/>
          <w:color w:val="auto"/>
          <w:szCs w:val="21"/>
          <w:highlight w:val="none"/>
        </w:rPr>
        <w:t>时间内的重量增加量（kg）</w:t>
      </w:r>
      <w:r>
        <w:rPr>
          <w:rFonts w:hint="eastAsia" w:ascii="Times New Roman" w:hAnsi="Times New Roman" w:eastAsia="宋体" w:cs="Times New Roman"/>
          <w:color w:val="auto"/>
          <w:szCs w:val="21"/>
          <w:highlight w:val="none"/>
        </w:rPr>
        <w:t>,即</w:t>
      </w:r>
      <m:oMath>
        <m:r>
          <m:rPr/>
          <w:rPr>
            <w:rFonts w:ascii="Cambria Math" w:hAnsi="Cambria Math" w:eastAsia="宋体" w:cs="Times New Roman"/>
            <w:color w:val="auto"/>
            <w:szCs w:val="21"/>
            <w:highlight w:val="none"/>
          </w:rPr>
          <m:t>∆W=</m:t>
        </m:r>
        <m:sSub>
          <m:sSubPr>
            <m:ctrlPr>
              <w:rPr>
                <w:rFonts w:ascii="Cambria Math" w:hAnsi="Cambria Math" w:eastAsia="宋体" w:cs="Times New Roman"/>
                <w:i/>
                <w:color w:val="auto"/>
                <w:szCs w:val="21"/>
                <w:highlight w:val="none"/>
              </w:rPr>
            </m:ctrlPr>
          </m:sSubPr>
          <m:e>
            <m:r>
              <m:rPr/>
              <w:rPr>
                <w:rFonts w:ascii="Cambria Math" w:hAnsi="Cambria Math" w:eastAsia="宋体" w:cs="Times New Roman"/>
                <w:color w:val="auto"/>
                <w:szCs w:val="21"/>
                <w:highlight w:val="none"/>
              </w:rPr>
              <m:t>W</m:t>
            </m:r>
            <m:ctrlPr>
              <w:rPr>
                <w:rFonts w:ascii="Cambria Math" w:hAnsi="Cambria Math" w:eastAsia="宋体" w:cs="Times New Roman"/>
                <w:i/>
                <w:color w:val="auto"/>
                <w:szCs w:val="21"/>
                <w:highlight w:val="none"/>
              </w:rPr>
            </m:ctrlPr>
          </m:e>
          <m:sub>
            <m:r>
              <m:rPr/>
              <w:rPr>
                <w:rFonts w:ascii="Cambria Math" w:hAnsi="Cambria Math" w:eastAsia="宋体" w:cs="Times New Roman"/>
                <w:color w:val="auto"/>
                <w:szCs w:val="21"/>
                <w:highlight w:val="none"/>
              </w:rPr>
              <m:t>t</m:t>
            </m:r>
            <m:ctrlPr>
              <w:rPr>
                <w:rFonts w:ascii="Cambria Math" w:hAnsi="Cambria Math" w:eastAsia="宋体" w:cs="Times New Roman"/>
                <w:i/>
                <w:color w:val="auto"/>
                <w:szCs w:val="21"/>
                <w:highlight w:val="none"/>
              </w:rPr>
            </m:ctrlPr>
          </m:sub>
        </m:sSub>
        <m:r>
          <m:rPr/>
          <w:rPr>
            <w:rFonts w:ascii="Cambria Math" w:hAnsi="Cambria Math" w:eastAsia="宋体" w:cs="Times New Roman"/>
            <w:color w:val="auto"/>
            <w:szCs w:val="21"/>
            <w:highlight w:val="none"/>
          </w:rPr>
          <m:t>−</m:t>
        </m:r>
        <m:sSub>
          <m:sSubPr>
            <m:ctrlPr>
              <w:rPr>
                <w:rFonts w:ascii="Cambria Math" w:hAnsi="Cambria Math" w:eastAsia="宋体" w:cs="Times New Roman"/>
                <w:i/>
                <w:color w:val="auto"/>
                <w:szCs w:val="21"/>
                <w:highlight w:val="none"/>
              </w:rPr>
            </m:ctrlPr>
          </m:sSubPr>
          <m:e>
            <m:r>
              <m:rPr/>
              <w:rPr>
                <w:rFonts w:ascii="Cambria Math" w:hAnsi="Cambria Math" w:eastAsia="宋体" w:cs="Times New Roman"/>
                <w:color w:val="auto"/>
                <w:szCs w:val="21"/>
                <w:highlight w:val="none"/>
              </w:rPr>
              <m:t>W</m:t>
            </m:r>
            <m:ctrlPr>
              <w:rPr>
                <w:rFonts w:ascii="Cambria Math" w:hAnsi="Cambria Math" w:eastAsia="宋体" w:cs="Times New Roman"/>
                <w:i/>
                <w:color w:val="auto"/>
                <w:szCs w:val="21"/>
                <w:highlight w:val="none"/>
              </w:rPr>
            </m:ctrlPr>
          </m:e>
          <m:sub>
            <m:r>
              <m:rPr/>
              <w:rPr>
                <w:rFonts w:ascii="Cambria Math" w:hAnsi="Cambria Math" w:eastAsia="宋体" w:cs="Times New Roman"/>
                <w:color w:val="auto"/>
                <w:szCs w:val="21"/>
                <w:highlight w:val="none"/>
              </w:rPr>
              <m:t>t−1</m:t>
            </m:r>
            <m:ctrlPr>
              <w:rPr>
                <w:rFonts w:ascii="Cambria Math" w:hAnsi="Cambria Math" w:eastAsia="宋体" w:cs="Times New Roman"/>
                <w:i/>
                <w:color w:val="auto"/>
                <w:szCs w:val="21"/>
                <w:highlight w:val="none"/>
              </w:rPr>
            </m:ctrlPr>
          </m:sub>
        </m:sSub>
      </m:oMath>
      <w:r>
        <w:rPr>
          <w:rFonts w:hint="eastAsia" w:ascii="Times New Roman" w:hAnsi="Times New Roman" w:eastAsia="宋体" w:cs="Times New Roman"/>
          <w:color w:val="auto"/>
          <w:szCs w:val="21"/>
          <w:highlight w:val="none"/>
        </w:rPr>
        <w:t>（</w:t>
      </w:r>
      <m:oMath>
        <m:sSub>
          <m:sSubPr>
            <m:ctrlPr>
              <w:rPr>
                <w:rFonts w:ascii="Cambria Math" w:hAnsi="Cambria Math" w:eastAsia="宋体" w:cs="Times New Roman"/>
                <w:i/>
                <w:color w:val="auto"/>
                <w:szCs w:val="21"/>
                <w:highlight w:val="none"/>
              </w:rPr>
            </m:ctrlPr>
          </m:sSubPr>
          <m:e>
            <m:r>
              <m:rPr/>
              <w:rPr>
                <w:rFonts w:ascii="Cambria Math" w:hAnsi="Cambria Math" w:eastAsia="宋体" w:cs="Times New Roman"/>
                <w:color w:val="auto"/>
                <w:szCs w:val="21"/>
                <w:highlight w:val="none"/>
              </w:rPr>
              <m:t>W</m:t>
            </m:r>
            <m:ctrlPr>
              <w:rPr>
                <w:rFonts w:ascii="Cambria Math" w:hAnsi="Cambria Math" w:eastAsia="宋体" w:cs="Times New Roman"/>
                <w:i/>
                <w:color w:val="auto"/>
                <w:szCs w:val="21"/>
                <w:highlight w:val="none"/>
              </w:rPr>
            </m:ctrlPr>
          </m:e>
          <m:sub>
            <m:r>
              <m:rPr/>
              <w:rPr>
                <w:rFonts w:ascii="Cambria Math" w:hAnsi="Cambria Math" w:eastAsia="宋体" w:cs="Times New Roman"/>
                <w:color w:val="auto"/>
                <w:szCs w:val="21"/>
                <w:highlight w:val="none"/>
              </w:rPr>
              <m:t>t</m:t>
            </m:r>
            <m:ctrlPr>
              <w:rPr>
                <w:rFonts w:ascii="Cambria Math" w:hAnsi="Cambria Math" w:eastAsia="宋体" w:cs="Times New Roman"/>
                <w:i/>
                <w:color w:val="auto"/>
                <w:szCs w:val="21"/>
                <w:highlight w:val="none"/>
              </w:rPr>
            </m:ctrlPr>
          </m:sub>
        </m:sSub>
      </m:oMath>
      <w:r>
        <w:rPr>
          <w:rFonts w:hint="eastAsia" w:ascii="Times New Roman" w:hAnsi="Times New Roman" w:eastAsia="宋体" w:cs="Times New Roman"/>
          <w:color w:val="auto"/>
          <w:szCs w:val="21"/>
          <w:highlight w:val="none"/>
        </w:rPr>
        <w:t>和</w:t>
      </w:r>
      <m:oMath>
        <m:sSub>
          <m:sSubPr>
            <m:ctrlPr>
              <w:rPr>
                <w:rFonts w:ascii="Cambria Math" w:hAnsi="Cambria Math" w:eastAsia="宋体" w:cs="Times New Roman"/>
                <w:i/>
                <w:color w:val="auto"/>
                <w:szCs w:val="21"/>
                <w:highlight w:val="none"/>
              </w:rPr>
            </m:ctrlPr>
          </m:sSubPr>
          <m:e>
            <m:r>
              <m:rPr/>
              <w:rPr>
                <w:rFonts w:ascii="Cambria Math" w:hAnsi="Cambria Math" w:eastAsia="宋体" w:cs="Times New Roman"/>
                <w:color w:val="auto"/>
                <w:szCs w:val="21"/>
                <w:highlight w:val="none"/>
              </w:rPr>
              <m:t>W</m:t>
            </m:r>
            <m:ctrlPr>
              <w:rPr>
                <w:rFonts w:ascii="Cambria Math" w:hAnsi="Cambria Math" w:eastAsia="宋体" w:cs="Times New Roman"/>
                <w:i/>
                <w:color w:val="auto"/>
                <w:szCs w:val="21"/>
                <w:highlight w:val="none"/>
              </w:rPr>
            </m:ctrlPr>
          </m:e>
          <m:sub>
            <m:r>
              <m:rPr/>
              <w:rPr>
                <w:rFonts w:ascii="Cambria Math" w:hAnsi="Cambria Math" w:eastAsia="宋体" w:cs="Times New Roman"/>
                <w:color w:val="auto"/>
                <w:szCs w:val="21"/>
                <w:highlight w:val="none"/>
              </w:rPr>
              <m:t>t−1</m:t>
            </m:r>
            <m:ctrlPr>
              <w:rPr>
                <w:rFonts w:ascii="Cambria Math" w:hAnsi="Cambria Math" w:eastAsia="宋体" w:cs="Times New Roman"/>
                <w:i/>
                <w:color w:val="auto"/>
                <w:szCs w:val="21"/>
                <w:highlight w:val="none"/>
              </w:rPr>
            </m:ctrlPr>
          </m:sub>
        </m:sSub>
      </m:oMath>
      <w:r>
        <w:rPr>
          <w:rFonts w:hint="eastAsia" w:ascii="Times New Roman" w:hAnsi="Times New Roman" w:eastAsia="宋体" w:cs="Times New Roman"/>
          <w:color w:val="auto"/>
          <w:szCs w:val="21"/>
          <w:highlight w:val="none"/>
        </w:rPr>
        <w:t>分别为当前和前一时刻的有效重量读数）</w:t>
      </w:r>
      <w:r>
        <w:rPr>
          <w:rFonts w:ascii="Times New Roman" w:hAnsi="Times New Roman" w:eastAsia="宋体" w:cs="Times New Roman"/>
          <w:color w:val="auto"/>
          <w:szCs w:val="21"/>
          <w:highlight w:val="none"/>
        </w:rPr>
        <w:t>；</w:t>
      </w:r>
      <w:r>
        <w:rPr>
          <w:rFonts w:ascii="等线" w:hAnsi="等线" w:eastAsia="等线" w:cs="Times New Roman"/>
          <w:color w:val="auto"/>
          <w:position w:val="-10"/>
          <w:szCs w:val="21"/>
          <w:highlight w:val="none"/>
        </w:rPr>
        <w:object>
          <v:shape id="_x0000_i1025" o:spt="75" type="#_x0000_t75" style="height:14.2pt;width:14.2pt;" o:ole="t" filled="f" o:preferrelative="t" stroked="f" coordsize="21600,21600">
            <v:path/>
            <v:fill on="f" focussize="0,0"/>
            <v:stroke on="f" joinstyle="miter"/>
            <v:imagedata r:id="rId7" o:title=""/>
            <o:lock v:ext="edit" aspectratio="t"/>
            <w10:wrap type="none"/>
            <w10:anchorlock/>
          </v:shape>
          <o:OLEObject Type="Embed" ProgID="Equation.DSMT4" ShapeID="_x0000_i1025" DrawAspect="Content" ObjectID="_1468075725" r:id="rId6">
            <o:LockedField>false</o:LockedField>
          </o:OLEObject>
        </w:object>
      </w:r>
      <w:r>
        <w:rPr>
          <w:rFonts w:ascii="Times New Roman" w:hAnsi="Times New Roman" w:eastAsia="宋体" w:cs="Times New Roman"/>
          <w:color w:val="auto"/>
          <w:szCs w:val="21"/>
          <w:highlight w:val="none"/>
        </w:rPr>
        <w:t>为水密度（</w:t>
      </w:r>
      <w:r>
        <w:rPr>
          <w:rFonts w:ascii="Times New Roman" w:hAnsi="Times New Roman" w:eastAsia="等线" w:cs="Times New Roman"/>
          <w:color w:val="auto"/>
          <w:szCs w:val="21"/>
          <w:highlight w:val="none"/>
        </w:rPr>
        <w:t>1000kg/m</w:t>
      </w:r>
      <w:r>
        <w:rPr>
          <w:rFonts w:ascii="Times New Roman" w:hAnsi="Times New Roman" w:eastAsia="等线" w:cs="Times New Roman"/>
          <w:color w:val="auto"/>
          <w:szCs w:val="21"/>
          <w:highlight w:val="none"/>
          <w:vertAlign w:val="superscript"/>
        </w:rPr>
        <w:t>3</w:t>
      </w: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rPr>
        <w:t>，</w:t>
      </w:r>
      <w:r>
        <w:rPr>
          <w:rFonts w:hint="eastAsia" w:ascii="Times New Roman" w:hAnsi="Times New Roman" w:eastAsia="宋体" w:cs="Times New Roman"/>
          <w:i/>
          <w:iCs/>
          <w:color w:val="auto"/>
          <w:szCs w:val="21"/>
          <w:highlight w:val="none"/>
        </w:rPr>
        <w:t>S</w:t>
      </w:r>
      <w:r>
        <w:rPr>
          <w:rFonts w:ascii="Times New Roman" w:hAnsi="Times New Roman" w:eastAsia="宋体" w:cs="Times New Roman"/>
          <w:color w:val="auto"/>
          <w:szCs w:val="21"/>
          <w:highlight w:val="none"/>
        </w:rPr>
        <w:t>为蒸渗仪有效面积（本试验为4.0m</w:t>
      </w:r>
      <w:r>
        <w:rPr>
          <w:rFonts w:ascii="Times New Roman" w:hAnsi="Times New Roman" w:eastAsia="宋体" w:cs="Times New Roman"/>
          <w:color w:val="auto"/>
          <w:szCs w:val="21"/>
          <w:highlight w:val="none"/>
          <w:vertAlign w:val="superscript"/>
        </w:rPr>
        <w:t>2</w:t>
      </w:r>
      <w:r>
        <w:rPr>
          <w:rFonts w:ascii="Times New Roman" w:hAnsi="Times New Roman" w:eastAsia="宋体" w:cs="Times New Roman"/>
          <w:color w:val="auto"/>
          <w:szCs w:val="21"/>
          <w:highlight w:val="none"/>
        </w:rPr>
        <w:t>）。在保留数据中按照</w:t>
      </w:r>
      <m:oMath>
        <m:r>
          <m:rPr/>
          <w:rPr>
            <w:rFonts w:ascii="Cambria Math" w:hAnsi="Cambria Math" w:eastAsia="宋体" w:cs="Times New Roman"/>
            <w:color w:val="auto"/>
            <w:szCs w:val="21"/>
            <w:highlight w:val="none"/>
          </w:rPr>
          <m:t>∆W=</m:t>
        </m:r>
        <m:sSub>
          <m:sSubPr>
            <m:ctrlPr>
              <w:rPr>
                <w:rFonts w:ascii="Cambria Math" w:hAnsi="Cambria Math" w:eastAsia="宋体" w:cs="Times New Roman"/>
                <w:i/>
                <w:color w:val="auto"/>
                <w:szCs w:val="21"/>
                <w:highlight w:val="none"/>
              </w:rPr>
            </m:ctrlPr>
          </m:sSubPr>
          <m:e>
            <m:r>
              <m:rPr/>
              <w:rPr>
                <w:rFonts w:ascii="Cambria Math" w:hAnsi="Cambria Math" w:eastAsia="宋体" w:cs="Times New Roman"/>
                <w:color w:val="auto"/>
                <w:szCs w:val="21"/>
                <w:highlight w:val="none"/>
              </w:rPr>
              <m:t>W</m:t>
            </m:r>
            <m:ctrlPr>
              <w:rPr>
                <w:rFonts w:ascii="Cambria Math" w:hAnsi="Cambria Math" w:eastAsia="宋体" w:cs="Times New Roman"/>
                <w:i/>
                <w:color w:val="auto"/>
                <w:szCs w:val="21"/>
                <w:highlight w:val="none"/>
              </w:rPr>
            </m:ctrlPr>
          </m:e>
          <m:sub>
            <m:r>
              <m:rPr/>
              <w:rPr>
                <w:rFonts w:ascii="Cambria Math" w:hAnsi="Cambria Math" w:eastAsia="宋体" w:cs="Times New Roman"/>
                <w:color w:val="auto"/>
                <w:szCs w:val="21"/>
                <w:highlight w:val="none"/>
              </w:rPr>
              <m:t>t</m:t>
            </m:r>
            <m:ctrlPr>
              <w:rPr>
                <w:rFonts w:ascii="Cambria Math" w:hAnsi="Cambria Math" w:eastAsia="宋体" w:cs="Times New Roman"/>
                <w:i/>
                <w:color w:val="auto"/>
                <w:szCs w:val="21"/>
                <w:highlight w:val="none"/>
              </w:rPr>
            </m:ctrlPr>
          </m:sub>
        </m:sSub>
        <m:r>
          <m:rPr/>
          <w:rPr>
            <w:rFonts w:ascii="Cambria Math" w:hAnsi="Cambria Math" w:eastAsia="宋体" w:cs="Times New Roman"/>
            <w:color w:val="auto"/>
            <w:szCs w:val="21"/>
            <w:highlight w:val="none"/>
          </w:rPr>
          <m:t>−</m:t>
        </m:r>
        <m:sSub>
          <m:sSubPr>
            <m:ctrlPr>
              <w:rPr>
                <w:rFonts w:ascii="Cambria Math" w:hAnsi="Cambria Math" w:eastAsia="宋体" w:cs="Times New Roman"/>
                <w:i/>
                <w:color w:val="auto"/>
                <w:szCs w:val="21"/>
                <w:highlight w:val="none"/>
              </w:rPr>
            </m:ctrlPr>
          </m:sSubPr>
          <m:e>
            <m:r>
              <m:rPr/>
              <w:rPr>
                <w:rFonts w:ascii="Cambria Math" w:hAnsi="Cambria Math" w:eastAsia="宋体" w:cs="Times New Roman"/>
                <w:color w:val="auto"/>
                <w:szCs w:val="21"/>
                <w:highlight w:val="none"/>
              </w:rPr>
              <m:t>W</m:t>
            </m:r>
            <m:ctrlPr>
              <w:rPr>
                <w:rFonts w:ascii="Cambria Math" w:hAnsi="Cambria Math" w:eastAsia="宋体" w:cs="Times New Roman"/>
                <w:i/>
                <w:color w:val="auto"/>
                <w:szCs w:val="21"/>
                <w:highlight w:val="none"/>
              </w:rPr>
            </m:ctrlPr>
          </m:e>
          <m:sub>
            <m:r>
              <m:rPr/>
              <w:rPr>
                <w:rFonts w:ascii="Cambria Math" w:hAnsi="Cambria Math" w:eastAsia="宋体" w:cs="Times New Roman"/>
                <w:color w:val="auto"/>
                <w:szCs w:val="21"/>
                <w:highlight w:val="none"/>
              </w:rPr>
              <m:t>t−1</m:t>
            </m:r>
            <m:ctrlPr>
              <w:rPr>
                <w:rFonts w:ascii="Cambria Math" w:hAnsi="Cambria Math" w:eastAsia="宋体" w:cs="Times New Roman"/>
                <w:i/>
                <w:color w:val="auto"/>
                <w:szCs w:val="21"/>
                <w:highlight w:val="none"/>
              </w:rPr>
            </m:ctrlPr>
          </m:sub>
        </m:sSub>
      </m:oMath>
      <w:r>
        <w:rPr>
          <w:rFonts w:ascii="宋体" w:hAnsi="宋体" w:eastAsia="宋体" w:cs="Times New Roman"/>
          <w:color w:val="auto"/>
          <w:szCs w:val="21"/>
          <w:highlight w:val="none"/>
        </w:rPr>
        <w:t>计算质量变化量。本研究明确数据符号约定如下</w:t>
      </w:r>
      <w:r>
        <w:rPr>
          <w:rFonts w:hint="eastAsia" w:ascii="宋体" w:hAnsi="宋体" w:eastAsia="宋体" w:cs="Times New Roman"/>
          <w:color w:val="auto"/>
          <w:szCs w:val="21"/>
          <w:highlight w:val="none"/>
        </w:rPr>
        <w:t>。</w:t>
      </w:r>
    </w:p>
    <w:p w14:paraId="75FF214E">
      <w:pPr>
        <w:widowControl/>
        <w:adjustRightInd w:val="0"/>
        <w:snapToGrid w:val="0"/>
        <w:ind w:firstLine="420" w:firstLineChars="200"/>
        <w:textAlignment w:val="baseline"/>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（1）当</w:t>
      </w:r>
      <m:oMath>
        <m:r>
          <m:rPr/>
          <w:rPr>
            <w:rFonts w:ascii="Cambria Math" w:hAnsi="Cambria Math" w:eastAsia="宋体" w:cs="Times New Roman"/>
            <w:color w:val="auto"/>
            <w:szCs w:val="21"/>
            <w:highlight w:val="none"/>
          </w:rPr>
          <m:t>∆W&gt;0</m:t>
        </m:r>
      </m:oMath>
      <w:r>
        <w:rPr>
          <w:rFonts w:ascii="Times New Roman" w:hAnsi="Times New Roman" w:eastAsia="宋体" w:cs="Times New Roman"/>
          <w:color w:val="auto"/>
          <w:szCs w:val="21"/>
          <w:highlight w:val="none"/>
        </w:rPr>
        <w:t>时，表示发生凝结。例如，若</w:t>
      </w:r>
      <m:oMath>
        <m:r>
          <m:rPr/>
          <w:rPr>
            <w:rFonts w:ascii="Cambria Math" w:hAnsi="Cambria Math" w:eastAsia="宋体" w:cs="Times New Roman"/>
            <w:color w:val="auto"/>
            <w:szCs w:val="21"/>
            <w:highlight w:val="none"/>
          </w:rPr>
          <m:t>t−1</m:t>
        </m:r>
      </m:oMath>
      <w:r>
        <w:rPr>
          <w:rFonts w:ascii="Times New Roman" w:hAnsi="Times New Roman" w:eastAsia="宋体" w:cs="Times New Roman"/>
          <w:color w:val="auto"/>
          <w:szCs w:val="21"/>
          <w:highlight w:val="none"/>
        </w:rPr>
        <w:t>时刻质量为100.00kg，</w:t>
      </w:r>
      <m:oMath>
        <m:r>
          <m:rPr/>
          <w:rPr>
            <w:rFonts w:ascii="Cambria Math" w:hAnsi="Cambria Math" w:eastAsia="宋体" w:cs="Times New Roman"/>
            <w:color w:val="auto"/>
            <w:szCs w:val="21"/>
            <w:highlight w:val="none"/>
          </w:rPr>
          <m:t>t</m:t>
        </m:r>
      </m:oMath>
      <w:r>
        <w:rPr>
          <w:rFonts w:ascii="Times New Roman" w:hAnsi="Times New Roman" w:eastAsia="宋体" w:cs="Times New Roman"/>
          <w:color w:val="auto"/>
          <w:szCs w:val="21"/>
          <w:highlight w:val="none"/>
        </w:rPr>
        <w:t>时刻质量为100.05kg，则</w:t>
      </w:r>
      <m:oMath>
        <m:r>
          <m:rPr/>
          <w:rPr>
            <w:rFonts w:ascii="Cambria Math" w:hAnsi="Cambria Math" w:eastAsia="宋体" w:cs="Times New Roman"/>
            <w:color w:val="auto"/>
            <w:szCs w:val="21"/>
            <w:highlight w:val="none"/>
          </w:rPr>
          <m:t>ΔW=0.05kg&gt;0</m:t>
        </m:r>
      </m:oMath>
      <w:r>
        <w:rPr>
          <w:rFonts w:ascii="Times New Roman" w:hAnsi="Times New Roman" w:eastAsia="宋体" w:cs="Times New Roman"/>
          <w:color w:val="auto"/>
          <w:szCs w:val="21"/>
          <w:highlight w:val="none"/>
        </w:rPr>
        <w:t>，将其代入公式</w:t>
      </w:r>
      <w:r>
        <w:rPr>
          <w:rFonts w:hint="eastAsia" w:ascii="Times New Roman" w:hAnsi="Times New Roman" w:eastAsia="宋体" w:cs="Times New Roman"/>
          <w:color w:val="auto"/>
          <w:szCs w:val="21"/>
          <w:highlight w:val="none"/>
        </w:rPr>
        <w:t>（2）</w:t>
      </w:r>
      <w:r>
        <w:rPr>
          <w:rFonts w:ascii="Times New Roman" w:hAnsi="Times New Roman" w:eastAsia="宋体" w:cs="Times New Roman"/>
          <w:color w:val="auto"/>
          <w:szCs w:val="21"/>
          <w:highlight w:val="none"/>
        </w:rPr>
        <w:t>换算为水深后进行正值累加，即为凝结水量；</w:t>
      </w:r>
    </w:p>
    <w:p w14:paraId="57AD9616">
      <w:pPr>
        <w:widowControl/>
        <w:adjustRightInd w:val="0"/>
        <w:snapToGrid w:val="0"/>
        <w:ind w:firstLine="420" w:firstLineChars="200"/>
        <w:textAlignment w:val="baseline"/>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（2）当</w:t>
      </w:r>
      <m:oMath>
        <m:r>
          <m:rPr/>
          <w:rPr>
            <w:rFonts w:ascii="Cambria Math" w:hAnsi="Cambria Math" w:eastAsia="宋体" w:cs="Times New Roman"/>
            <w:color w:val="auto"/>
            <w:szCs w:val="21"/>
            <w:highlight w:val="none"/>
          </w:rPr>
          <m:t>∆W&lt;0</m:t>
        </m:r>
      </m:oMath>
      <w:r>
        <w:rPr>
          <w:rFonts w:ascii="Times New Roman" w:hAnsi="Times New Roman" w:eastAsia="宋体" w:cs="Times New Roman"/>
          <w:color w:val="auto"/>
          <w:szCs w:val="21"/>
          <w:highlight w:val="none"/>
        </w:rPr>
        <w:t>时，代表系统质量减少，判定为蒸散过程。将其取绝对值代入公式</w:t>
      </w:r>
      <w:r>
        <w:rPr>
          <w:rFonts w:hint="eastAsia" w:ascii="Times New Roman" w:hAnsi="Times New Roman" w:eastAsia="宋体" w:cs="Times New Roman"/>
          <w:color w:val="auto"/>
          <w:szCs w:val="21"/>
          <w:highlight w:val="none"/>
        </w:rPr>
        <w:t>（2）</w:t>
      </w:r>
      <w:r>
        <w:rPr>
          <w:rFonts w:ascii="Times New Roman" w:hAnsi="Times New Roman" w:eastAsia="宋体" w:cs="Times New Roman"/>
          <w:color w:val="auto"/>
          <w:szCs w:val="21"/>
          <w:highlight w:val="none"/>
        </w:rPr>
        <w:t>换算为水深后进行累加，即为蒸散量。</w:t>
      </w:r>
    </w:p>
    <w:p w14:paraId="3963A16F">
      <w:pPr>
        <w:pStyle w:val="2"/>
        <w:adjustRightInd w:val="0"/>
        <w:snapToGrid w:val="0"/>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具体数据处理流程如图2所示</w:t>
      </w:r>
      <w:r>
        <w:rPr>
          <w:rFonts w:hint="eastAsia" w:ascii="Times New Roman" w:hAnsi="Times New Roman" w:eastAsia="宋体" w:cs="Times New Roman"/>
          <w:color w:val="auto"/>
          <w:szCs w:val="21"/>
          <w:highlight w:val="none"/>
        </w:rPr>
        <w:t>。</w:t>
      </w:r>
    </w:p>
    <w:p w14:paraId="3E34F831">
      <w:pPr>
        <w:widowControl/>
        <w:ind w:firstLine="420" w:firstLineChars="200"/>
        <w:jc w:val="center"/>
        <w:rPr>
          <w:rFonts w:hint="eastAsia" w:ascii="宋体" w:hAnsi="宋体" w:eastAsia="宋体"/>
          <w:color w:val="auto"/>
          <w:highlight w:val="none"/>
        </w:rPr>
      </w:pPr>
      <w:r>
        <w:rPr>
          <w:rFonts w:hint="eastAsia" w:ascii="宋体" w:hAnsi="宋体" w:eastAsia="宋体"/>
          <w:color w:val="auto"/>
          <w:highlight w:val="none"/>
        </w:rPr>
        <w:object>
          <v:shape id="_x0000_i1026" o:spt="75" type="#_x0000_t75" style="height:215.15pt;width:152.35pt;" o:ole="t" filled="f" o:preferrelative="t" stroked="f" coordsize="21600,21600">
            <v:path/>
            <v:fill on="f" focussize="0,0"/>
            <v:stroke on="f" joinstyle="miter"/>
            <v:imagedata r:id="rId9" o:title=""/>
            <o:lock v:ext="edit" aspectratio="t"/>
            <w10:wrap type="none"/>
            <w10:anchorlock/>
          </v:shape>
          <o:OLEObject Type="Embed" ProgID="Visio.Drawing.15" ShapeID="_x0000_i1026" DrawAspect="Content" ObjectID="_1468075726" r:id="rId8">
            <o:LockedField>false</o:LockedField>
          </o:OLEObject>
        </w:object>
      </w:r>
    </w:p>
    <w:p w14:paraId="1122339D">
      <w:pPr>
        <w:pStyle w:val="21"/>
        <w:adjustRightInd w:val="0"/>
        <w:spacing w:line="254" w:lineRule="auto"/>
        <w:ind w:firstLine="0" w:firstLineChars="0"/>
        <w:jc w:val="center"/>
        <w:rPr>
          <w:rFonts w:eastAsia="黑体" w:cs="Times New Roman"/>
          <w:bCs/>
          <w:color w:val="auto"/>
          <w:sz w:val="18"/>
          <w:szCs w:val="18"/>
          <w:highlight w:val="none"/>
        </w:rPr>
      </w:pPr>
      <w:r>
        <w:rPr>
          <w:rFonts w:eastAsia="黑体" w:cs="Times New Roman"/>
          <w:bCs/>
          <w:color w:val="auto"/>
          <w:sz w:val="18"/>
          <w:szCs w:val="18"/>
          <w:highlight w:val="none"/>
        </w:rPr>
        <w:t>图2</w:t>
      </w:r>
      <w:r>
        <w:rPr>
          <w:rFonts w:eastAsia="黑体" w:cs="Times New Roman"/>
          <w:b/>
          <w:bCs/>
          <w:color w:val="auto"/>
          <w:sz w:val="18"/>
          <w:szCs w:val="18"/>
          <w:highlight w:val="none"/>
        </w:rPr>
        <w:t xml:space="preserve"> </w:t>
      </w:r>
      <w:r>
        <w:rPr>
          <w:rFonts w:eastAsia="黑体" w:cs="Times New Roman"/>
          <w:bCs/>
          <w:color w:val="auto"/>
          <w:sz w:val="18"/>
          <w:szCs w:val="18"/>
          <w:highlight w:val="none"/>
        </w:rPr>
        <w:t>蒸渗仪数据处理流程</w:t>
      </w:r>
    </w:p>
    <w:p w14:paraId="6822D045">
      <w:pPr>
        <w:ind w:firstLine="482"/>
        <w:jc w:val="center"/>
        <w:rPr>
          <w:rFonts w:ascii="Times New Roman" w:hAnsi="Times New Roman" w:eastAsia="黑体" w:cs="Times New Roman"/>
          <w:bCs/>
          <w:color w:val="auto"/>
          <w:sz w:val="18"/>
          <w:szCs w:val="18"/>
          <w:highlight w:val="none"/>
        </w:rPr>
      </w:pPr>
      <w:r>
        <w:rPr>
          <w:rFonts w:hint="eastAsia" w:ascii="Times New Roman" w:hAnsi="Times New Roman" w:eastAsia="黑体" w:cs="Times New Roman"/>
          <w:bCs/>
          <w:color w:val="auto"/>
          <w:sz w:val="18"/>
          <w:szCs w:val="18"/>
          <w:highlight w:val="none"/>
        </w:rPr>
        <w:t>Fig.2</w:t>
      </w:r>
      <w:r>
        <w:rPr>
          <w:rFonts w:ascii="Times New Roman" w:hAnsi="Times New Roman" w:eastAsia="黑体" w:cs="Times New Roman"/>
          <w:bCs/>
          <w:color w:val="auto"/>
          <w:sz w:val="18"/>
          <w:szCs w:val="18"/>
          <w:highlight w:val="none"/>
        </w:rPr>
        <w:t xml:space="preserve"> Flowchart of lysimeter data processing</w:t>
      </w:r>
    </w:p>
    <w:p w14:paraId="1A9CD6C9">
      <w:pPr>
        <w:pStyle w:val="2"/>
        <w:adjustRightInd w:val="0"/>
        <w:snapToGrid w:val="0"/>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为进一步分析凝结水在年内和不同生育期内的总体发生过程，本文在小时尺度凝结量计算的基础上开展逐日统计。以每日0:00—8:00内蒸渗仪记录的正质量变化累积量作为日凝结量（</w:t>
      </w:r>
      <w:r>
        <w:rPr>
          <w:rFonts w:ascii="Times New Roman" w:hAnsi="Times New Roman" w:eastAsia="宋体" w:cs="Times New Roman"/>
          <w:i/>
          <w:iCs/>
          <w:color w:val="auto"/>
          <w:szCs w:val="21"/>
          <w:highlight w:val="none"/>
        </w:rPr>
        <w:t>C</w:t>
      </w:r>
      <w:r>
        <w:rPr>
          <w:rFonts w:ascii="Times New Roman" w:hAnsi="Times New Roman" w:eastAsia="宋体" w:cs="Times New Roman"/>
          <w:i/>
          <w:iCs/>
          <w:color w:val="auto"/>
          <w:szCs w:val="21"/>
          <w:highlight w:val="none"/>
          <w:vertAlign w:val="subscript"/>
        </w:rPr>
        <w:t>d</w:t>
      </w:r>
      <w:r>
        <w:rPr>
          <w:rFonts w:ascii="Times New Roman" w:hAnsi="Times New Roman" w:eastAsia="宋体" w:cs="Times New Roman"/>
          <w:color w:val="auto"/>
          <w:szCs w:val="21"/>
          <w:highlight w:val="none"/>
        </w:rPr>
        <w:t>）。考虑蒸渗仪测量精度和夜间风速扰动带来的随机误差，当</w:t>
      </w:r>
      <w:r>
        <w:rPr>
          <w:rFonts w:ascii="Times New Roman" w:hAnsi="Times New Roman" w:eastAsia="宋体" w:cs="Times New Roman"/>
          <w:i/>
          <w:iCs/>
          <w:color w:val="auto"/>
          <w:szCs w:val="21"/>
          <w:highlight w:val="none"/>
        </w:rPr>
        <w:t>C</w:t>
      </w:r>
      <w:r>
        <w:rPr>
          <w:rFonts w:ascii="Times New Roman" w:hAnsi="Times New Roman" w:eastAsia="宋体" w:cs="Times New Roman"/>
          <w:i/>
          <w:iCs/>
          <w:color w:val="auto"/>
          <w:szCs w:val="21"/>
          <w:highlight w:val="none"/>
          <w:vertAlign w:val="subscript"/>
        </w:rPr>
        <w:t>d</w:t>
      </w:r>
      <w:r>
        <w:rPr>
          <w:rFonts w:ascii="Times New Roman" w:hAnsi="Times New Roman" w:eastAsia="宋体" w:cs="Times New Roman"/>
          <w:color w:val="auto"/>
          <w:szCs w:val="21"/>
          <w:highlight w:val="none"/>
        </w:rPr>
        <w:t>&gt;0.02 mm时判定该日发生凝结水，并记为凝结日；当</w:t>
      </w:r>
      <w:r>
        <w:rPr>
          <w:rFonts w:ascii="Times New Roman" w:hAnsi="Times New Roman" w:eastAsia="宋体" w:cs="Times New Roman"/>
          <w:i/>
          <w:iCs/>
          <w:color w:val="auto"/>
          <w:szCs w:val="21"/>
          <w:highlight w:val="none"/>
        </w:rPr>
        <w:t>C</w:t>
      </w:r>
      <w:r>
        <w:rPr>
          <w:rFonts w:ascii="Times New Roman" w:hAnsi="Times New Roman" w:eastAsia="宋体" w:cs="Times New Roman"/>
          <w:i/>
          <w:iCs/>
          <w:color w:val="auto"/>
          <w:szCs w:val="21"/>
          <w:highlight w:val="none"/>
          <w:vertAlign w:val="subscript"/>
        </w:rPr>
        <w:t>d</w:t>
      </w:r>
      <w:r>
        <w:rPr>
          <w:rFonts w:ascii="Times New Roman" w:hAnsi="Times New Roman" w:eastAsia="宋体" w:cs="Times New Roman"/>
          <w:color w:val="auto"/>
          <w:szCs w:val="21"/>
          <w:highlight w:val="none"/>
        </w:rPr>
        <w:t>≤0.02 mm时判定为无有效凝结日。各生育期凝结水发生率按“凝结日数/表中统计期天数×100%”计算。该口径以生育期统计尺度为分母，可避免仅以有可用记录的日期为分母造成发生率偏高，因此所得发生率可理解为生育期尺度上的保守发生频度。同时统计各生育期凝结水总量和日均凝结强度，以综合表征凝结水的发生频次、累积量及季节变化特征。</w:t>
      </w:r>
    </w:p>
    <w:p w14:paraId="0DE8B031">
      <w:pPr>
        <w:pStyle w:val="3"/>
        <w:spacing w:before="0" w:after="0" w:line="240" w:lineRule="auto"/>
        <w:rPr>
          <w:rFonts w:ascii="Times New Roman" w:hAnsi="Times New Roman" w:eastAsia="宋体" w:cs="Times New Roman"/>
          <w:b w:val="0"/>
          <w:bCs w:val="0"/>
          <w:color w:val="auto"/>
          <w:highlight w:val="none"/>
        </w:rPr>
      </w:pPr>
      <w:r>
        <w:rPr>
          <w:rFonts w:ascii="Times New Roman" w:hAnsi="Times New Roman" w:eastAsia="宋体" w:cs="Times New Roman"/>
          <w:b w:val="0"/>
          <w:bCs w:val="0"/>
          <w:color w:val="auto"/>
          <w:highlight w:val="none"/>
        </w:rPr>
        <w:t>2 结果与分析</w:t>
      </w:r>
    </w:p>
    <w:p w14:paraId="32BC131B">
      <w:pPr>
        <w:widowControl/>
        <w:adjustRightInd w:val="0"/>
        <w:snapToGrid w:val="0"/>
        <w:rPr>
          <w:rFonts w:ascii="Times New Roman" w:hAnsi="Times New Roman" w:eastAsia="黑体" w:cs="Times New Roman"/>
          <w:color w:val="auto"/>
          <w:highlight w:val="none"/>
        </w:rPr>
      </w:pPr>
      <w:r>
        <w:rPr>
          <w:rFonts w:ascii="Times New Roman" w:hAnsi="Times New Roman" w:eastAsia="黑体" w:cs="Times New Roman"/>
          <w:color w:val="auto"/>
          <w:highlight w:val="none"/>
        </w:rPr>
        <w:t>2.1 凝结水动态变化</w:t>
      </w:r>
    </w:p>
    <w:p w14:paraId="7435BB56">
      <w:pPr>
        <w:adjustRightInd w:val="0"/>
        <w:snapToGrid w:val="0"/>
        <w:rPr>
          <w:rFonts w:ascii="Times New Roman" w:hAnsi="Times New Roman" w:eastAsia="楷体" w:cs="Times New Roman"/>
          <w:color w:val="auto"/>
          <w:highlight w:val="none"/>
        </w:rPr>
      </w:pPr>
      <w:r>
        <w:rPr>
          <w:rFonts w:ascii="Times New Roman" w:hAnsi="Times New Roman" w:eastAsia="楷体" w:cs="Times New Roman"/>
          <w:color w:val="auto"/>
          <w:highlight w:val="none"/>
        </w:rPr>
        <w:t>2.1.1 全育期凝结水发生频次与日内动态变化</w:t>
      </w:r>
    </w:p>
    <w:p w14:paraId="4C60CBDA">
      <w:pPr>
        <w:pStyle w:val="2"/>
        <w:adjustRightInd w:val="0"/>
        <w:snapToGrid w:val="0"/>
        <w:spacing w:after="0"/>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为避免仅依据少数典型日平均曲线评价凝结水动态变化，本文首先对2018—2020年不同生育期逐日凝结水发生情况进行统计（</w:t>
      </w:r>
      <w:r>
        <w:rPr>
          <w:rFonts w:hint="eastAsia" w:ascii="Times New Roman" w:hAnsi="Times New Roman" w:eastAsia="宋体" w:cs="Times New Roman"/>
          <w:color w:val="auto"/>
          <w:szCs w:val="21"/>
          <w:highlight w:val="none"/>
        </w:rPr>
        <w:t>见</w:t>
      </w:r>
      <w:r>
        <w:rPr>
          <w:rFonts w:ascii="Times New Roman" w:hAnsi="Times New Roman" w:eastAsia="宋体" w:cs="Times New Roman"/>
          <w:color w:val="auto"/>
          <w:szCs w:val="21"/>
          <w:highlight w:val="none"/>
        </w:rPr>
        <w:t>表1），并在此基础上选取晴朗无降水典型日绘制日内变化曲线（</w:t>
      </w:r>
      <w:r>
        <w:rPr>
          <w:rFonts w:hint="eastAsia" w:ascii="Times New Roman" w:hAnsi="Times New Roman" w:eastAsia="宋体" w:cs="Times New Roman"/>
          <w:color w:val="auto"/>
          <w:szCs w:val="21"/>
          <w:highlight w:val="none"/>
        </w:rPr>
        <w:t>见</w:t>
      </w:r>
      <w:r>
        <w:rPr>
          <w:rFonts w:ascii="Times New Roman" w:hAnsi="Times New Roman" w:eastAsia="宋体" w:cs="Times New Roman"/>
          <w:color w:val="auto"/>
          <w:szCs w:val="21"/>
          <w:highlight w:val="none"/>
        </w:rPr>
        <w:t>图3）。凝结日数/统计期天数及发生率用于反映凝结水在年内和生育期尺度上的总体发生特征，典型日曲线则用于揭示凝结水在一昼夜内的形成、增强和消退过程。</w:t>
      </w:r>
    </w:p>
    <w:p w14:paraId="38793C8B">
      <w:pPr>
        <w:widowControl/>
        <w:adjustRightInd w:val="0"/>
        <w:snapToGrid w:val="0"/>
        <w:jc w:val="center"/>
        <w:rPr>
          <w:rFonts w:hint="eastAsia" w:ascii="黑体" w:hAnsi="黑体" w:eastAsia="黑体" w:cs="Times New Roman"/>
          <w:color w:val="auto"/>
          <w:kern w:val="0"/>
          <w:sz w:val="18"/>
          <w:szCs w:val="18"/>
          <w:highlight w:val="none"/>
        </w:rPr>
      </w:pPr>
      <w:r>
        <w:rPr>
          <w:rFonts w:ascii="黑体" w:hAnsi="黑体" w:eastAsia="黑体" w:cs="Times New Roman"/>
          <w:color w:val="auto"/>
          <w:kern w:val="0"/>
          <w:sz w:val="18"/>
          <w:szCs w:val="18"/>
          <w:highlight w:val="none"/>
        </w:rPr>
        <w:t>表</w:t>
      </w:r>
      <w:r>
        <w:rPr>
          <w:rFonts w:ascii="Times New Roman" w:hAnsi="Times New Roman" w:eastAsia="黑体" w:cs="Times New Roman"/>
          <w:color w:val="auto"/>
          <w:kern w:val="0"/>
          <w:sz w:val="18"/>
          <w:szCs w:val="18"/>
          <w:highlight w:val="none"/>
        </w:rPr>
        <w:t>1</w:t>
      </w:r>
      <w:r>
        <w:rPr>
          <w:rFonts w:ascii="Times New Roman" w:hAnsi="Times New Roman" w:eastAsia="黑体" w:cs="Times New Roman"/>
          <w:color w:val="auto"/>
          <w:sz w:val="18"/>
          <w:szCs w:val="18"/>
          <w:highlight w:val="none"/>
        </w:rPr>
        <w:t xml:space="preserve">  </w:t>
      </w:r>
      <w:r>
        <w:rPr>
          <w:rFonts w:ascii="Times New Roman" w:hAnsi="Times New Roman" w:eastAsia="黑体" w:cs="Times New Roman"/>
          <w:color w:val="auto"/>
          <w:kern w:val="0"/>
          <w:sz w:val="18"/>
          <w:szCs w:val="18"/>
          <w:highlight w:val="none"/>
        </w:rPr>
        <w:t>2018—2020</w:t>
      </w:r>
      <w:r>
        <w:rPr>
          <w:rFonts w:ascii="黑体" w:hAnsi="黑体" w:eastAsia="黑体" w:cs="Times New Roman"/>
          <w:color w:val="auto"/>
          <w:kern w:val="0"/>
          <w:sz w:val="18"/>
          <w:szCs w:val="18"/>
          <w:highlight w:val="none"/>
        </w:rPr>
        <w:t>年不同生育期凝结日数/统计期天数及发生率</w:t>
      </w:r>
    </w:p>
    <w:p w14:paraId="1E146BE0">
      <w:pPr>
        <w:widowControl/>
        <w:adjustRightInd w:val="0"/>
        <w:snapToGrid w:val="0"/>
        <w:jc w:val="center"/>
        <w:rPr>
          <w:rFonts w:hint="eastAsia" w:ascii="Times New Roman" w:hAnsi="楷体" w:eastAsia="宋体" w:cs="Times New Roman"/>
          <w:color w:val="auto"/>
          <w:kern w:val="0"/>
          <w:sz w:val="15"/>
          <w:szCs w:val="15"/>
          <w:highlight w:val="none"/>
        </w:rPr>
      </w:pPr>
      <w:r>
        <w:rPr>
          <w:rFonts w:ascii="Times New Roman" w:hAnsi="Times New Roman" w:eastAsia="宋体"/>
          <w:color w:val="auto"/>
          <w:sz w:val="18"/>
          <w:szCs w:val="20"/>
          <w:highlight w:val="none"/>
        </w:rPr>
        <w:t>Table 1</w:t>
      </w:r>
      <w:r>
        <w:rPr>
          <w:rFonts w:ascii="Times New Roman" w:hAnsi="Times New Roman" w:eastAsia="黑体" w:cs="Times New Roman"/>
          <w:color w:val="auto"/>
          <w:sz w:val="18"/>
          <w:szCs w:val="18"/>
          <w:highlight w:val="none"/>
        </w:rPr>
        <w:t xml:space="preserve">  </w:t>
      </w:r>
      <w:r>
        <w:rPr>
          <w:rFonts w:hint="eastAsia" w:ascii="Times New Roman" w:hAnsi="Times New Roman" w:eastAsia="宋体"/>
          <w:color w:val="auto"/>
          <w:sz w:val="18"/>
          <w:szCs w:val="20"/>
          <w:highlight w:val="none"/>
        </w:rPr>
        <w:t>Number of d</w:t>
      </w:r>
      <w:r>
        <w:rPr>
          <w:rFonts w:ascii="Times New Roman" w:hAnsi="Times New Roman" w:eastAsia="宋体"/>
          <w:color w:val="auto"/>
          <w:sz w:val="18"/>
          <w:szCs w:val="20"/>
          <w:highlight w:val="none"/>
        </w:rPr>
        <w:t xml:space="preserve">ew occurrence days/statistical-period days and occurrence rate during different growth stages </w:t>
      </w:r>
      <w:r>
        <w:rPr>
          <w:rFonts w:hint="eastAsia" w:ascii="Times New Roman" w:hAnsi="Times New Roman" w:eastAsia="宋体"/>
          <w:color w:val="auto"/>
          <w:sz w:val="18"/>
          <w:szCs w:val="20"/>
          <w:highlight w:val="none"/>
        </w:rPr>
        <w:t>(</w:t>
      </w:r>
      <w:r>
        <w:rPr>
          <w:rFonts w:ascii="Times New Roman" w:hAnsi="Times New Roman" w:eastAsia="宋体"/>
          <w:color w:val="auto"/>
          <w:sz w:val="18"/>
          <w:szCs w:val="20"/>
          <w:highlight w:val="none"/>
        </w:rPr>
        <w:t>2018</w:t>
      </w:r>
      <w:r>
        <w:rPr>
          <w:rFonts w:hint="eastAsia" w:ascii="Times New Roman" w:hAnsi="Times New Roman" w:eastAsia="宋体"/>
          <w:color w:val="auto"/>
          <w:sz w:val="18"/>
          <w:szCs w:val="20"/>
          <w:highlight w:val="none"/>
        </w:rPr>
        <w:t>—</w:t>
      </w:r>
      <w:r>
        <w:rPr>
          <w:rFonts w:ascii="Times New Roman" w:hAnsi="Times New Roman" w:eastAsia="宋体"/>
          <w:color w:val="auto"/>
          <w:sz w:val="18"/>
          <w:szCs w:val="20"/>
          <w:highlight w:val="none"/>
        </w:rPr>
        <w:t>2020</w:t>
      </w:r>
      <w:r>
        <w:rPr>
          <w:rFonts w:hint="eastAsia" w:ascii="Times New Roman" w:hAnsi="Times New Roman" w:eastAsia="宋体"/>
          <w:color w:val="auto"/>
          <w:sz w:val="18"/>
          <w:szCs w:val="20"/>
          <w:highlight w:val="none"/>
        </w:rPr>
        <w:t>)</w:t>
      </w:r>
    </w:p>
    <w:tbl>
      <w:tblPr>
        <w:tblStyle w:val="11"/>
        <w:tblW w:w="8778" w:type="dxa"/>
        <w:jc w:val="center"/>
        <w:tblLayout w:type="fixed"/>
        <w:tblCellMar>
          <w:top w:w="0" w:type="dxa"/>
          <w:left w:w="108" w:type="dxa"/>
          <w:bottom w:w="0" w:type="dxa"/>
          <w:right w:w="108" w:type="dxa"/>
        </w:tblCellMar>
      </w:tblPr>
      <w:tblGrid>
        <w:gridCol w:w="642"/>
        <w:gridCol w:w="918"/>
        <w:gridCol w:w="1701"/>
        <w:gridCol w:w="806"/>
        <w:gridCol w:w="1232"/>
        <w:gridCol w:w="1034"/>
        <w:gridCol w:w="1285"/>
        <w:gridCol w:w="1160"/>
      </w:tblGrid>
      <w:tr w14:paraId="1D4DA259">
        <w:tblPrEx>
          <w:tblCellMar>
            <w:top w:w="0" w:type="dxa"/>
            <w:left w:w="108" w:type="dxa"/>
            <w:bottom w:w="0" w:type="dxa"/>
            <w:right w:w="108" w:type="dxa"/>
          </w:tblCellMar>
        </w:tblPrEx>
        <w:trPr>
          <w:trHeight w:val="300" w:hRule="atLeast"/>
          <w:jc w:val="center"/>
        </w:trPr>
        <w:tc>
          <w:tcPr>
            <w:tcW w:w="642" w:type="dxa"/>
            <w:tcBorders>
              <w:top w:val="single" w:color="auto" w:sz="12" w:space="0"/>
              <w:left w:val="nil"/>
              <w:bottom w:val="single" w:color="auto" w:sz="4" w:space="0"/>
              <w:right w:val="nil"/>
            </w:tcBorders>
            <w:vAlign w:val="center"/>
          </w:tcPr>
          <w:p w14:paraId="107B3FE1">
            <w:pPr>
              <w:widowControl/>
              <w:adjustRightInd w:val="0"/>
              <w:snapToGrid w:val="0"/>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年份</w:t>
            </w:r>
          </w:p>
        </w:tc>
        <w:tc>
          <w:tcPr>
            <w:tcW w:w="918" w:type="dxa"/>
            <w:tcBorders>
              <w:top w:val="single" w:color="auto" w:sz="12" w:space="0"/>
              <w:left w:val="nil"/>
              <w:bottom w:val="single" w:color="auto" w:sz="4" w:space="0"/>
              <w:right w:val="nil"/>
            </w:tcBorders>
            <w:vAlign w:val="center"/>
          </w:tcPr>
          <w:p w14:paraId="634E437F">
            <w:pPr>
              <w:widowControl/>
              <w:adjustRightInd w:val="0"/>
              <w:snapToGrid w:val="0"/>
              <w:jc w:val="left"/>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生育期</w:t>
            </w:r>
          </w:p>
        </w:tc>
        <w:tc>
          <w:tcPr>
            <w:tcW w:w="1701" w:type="dxa"/>
            <w:tcBorders>
              <w:top w:val="single" w:color="auto" w:sz="12" w:space="0"/>
              <w:left w:val="nil"/>
              <w:bottom w:val="single" w:color="auto" w:sz="4" w:space="0"/>
              <w:right w:val="nil"/>
            </w:tcBorders>
            <w:vAlign w:val="center"/>
          </w:tcPr>
          <w:p w14:paraId="4C805825">
            <w:pPr>
              <w:widowControl/>
              <w:adjustRightInd w:val="0"/>
              <w:snapToGrid w:val="0"/>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起止日期</w:t>
            </w:r>
          </w:p>
        </w:tc>
        <w:tc>
          <w:tcPr>
            <w:tcW w:w="806" w:type="dxa"/>
            <w:tcBorders>
              <w:top w:val="single" w:color="auto" w:sz="12" w:space="0"/>
              <w:left w:val="nil"/>
              <w:bottom w:val="single" w:color="auto" w:sz="4" w:space="0"/>
              <w:right w:val="nil"/>
            </w:tcBorders>
            <w:vAlign w:val="center"/>
          </w:tcPr>
          <w:p w14:paraId="72C26AB1">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olor w:val="auto"/>
                <w:sz w:val="15"/>
                <w:szCs w:val="15"/>
                <w:highlight w:val="none"/>
              </w:rPr>
              <w:t>统计期天数</w:t>
            </w:r>
            <w:r>
              <w:rPr>
                <w:rFonts w:hint="eastAsia" w:ascii="宋体" w:hAnsi="宋体" w:eastAsia="宋体"/>
                <w:color w:val="auto"/>
                <w:sz w:val="15"/>
                <w:szCs w:val="15"/>
                <w:highlight w:val="none"/>
              </w:rPr>
              <w:t>/</w:t>
            </w:r>
            <w:r>
              <w:rPr>
                <w:rFonts w:ascii="Times New Roman" w:hAnsi="Times New Roman" w:eastAsia="宋体" w:cs="Times New Roman"/>
                <w:color w:val="auto"/>
                <w:sz w:val="15"/>
                <w:szCs w:val="15"/>
                <w:highlight w:val="none"/>
              </w:rPr>
              <w:t>d</w:t>
            </w:r>
          </w:p>
        </w:tc>
        <w:tc>
          <w:tcPr>
            <w:tcW w:w="1232" w:type="dxa"/>
            <w:tcBorders>
              <w:top w:val="single" w:color="auto" w:sz="12" w:space="0"/>
              <w:left w:val="nil"/>
              <w:bottom w:val="single" w:color="auto" w:sz="4" w:space="0"/>
              <w:right w:val="nil"/>
            </w:tcBorders>
            <w:noWrap/>
            <w:vAlign w:val="center"/>
          </w:tcPr>
          <w:p w14:paraId="2783EDAE">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olor w:val="auto"/>
                <w:sz w:val="15"/>
                <w:szCs w:val="15"/>
                <w:highlight w:val="none"/>
              </w:rPr>
              <w:t>覆膜凝结日数/统计期天数</w:t>
            </w:r>
          </w:p>
        </w:tc>
        <w:tc>
          <w:tcPr>
            <w:tcW w:w="1034" w:type="dxa"/>
            <w:tcBorders>
              <w:top w:val="single" w:color="auto" w:sz="12" w:space="0"/>
              <w:left w:val="nil"/>
              <w:bottom w:val="single" w:color="auto" w:sz="4" w:space="0"/>
              <w:right w:val="nil"/>
            </w:tcBorders>
            <w:vAlign w:val="center"/>
          </w:tcPr>
          <w:p w14:paraId="0B41FCEA">
            <w:pPr>
              <w:widowControl/>
              <w:adjustRightInd w:val="0"/>
              <w:snapToGrid w:val="0"/>
              <w:jc w:val="center"/>
              <w:rPr>
                <w:rFonts w:ascii="Times New Roman" w:hAnsi="Times New Roman" w:eastAsia="宋体" w:cs="Times New Roman"/>
                <w:color w:val="auto"/>
                <w:sz w:val="15"/>
                <w:szCs w:val="15"/>
                <w:highlight w:val="none"/>
              </w:rPr>
            </w:pPr>
            <w:r>
              <w:rPr>
                <w:rFonts w:ascii="Times New Roman" w:hAnsi="Times New Roman" w:eastAsia="宋体" w:cs="Times New Roman"/>
                <w:color w:val="auto"/>
                <w:sz w:val="15"/>
                <w:szCs w:val="15"/>
                <w:highlight w:val="none"/>
              </w:rPr>
              <w:t>覆膜</w:t>
            </w:r>
          </w:p>
          <w:p w14:paraId="7D90422B">
            <w:pPr>
              <w:widowControl/>
              <w:adjustRightInd w:val="0"/>
              <w:snapToGrid w:val="0"/>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sz w:val="15"/>
                <w:szCs w:val="15"/>
                <w:highlight w:val="none"/>
              </w:rPr>
              <w:t>发生率/%</w:t>
            </w:r>
          </w:p>
        </w:tc>
        <w:tc>
          <w:tcPr>
            <w:tcW w:w="1285" w:type="dxa"/>
            <w:tcBorders>
              <w:top w:val="single" w:color="auto" w:sz="12" w:space="0"/>
              <w:left w:val="nil"/>
              <w:bottom w:val="single" w:color="auto" w:sz="4" w:space="0"/>
              <w:right w:val="nil"/>
            </w:tcBorders>
            <w:vAlign w:val="center"/>
          </w:tcPr>
          <w:p w14:paraId="22476F6C">
            <w:pPr>
              <w:widowControl/>
              <w:adjustRightInd w:val="0"/>
              <w:snapToGrid w:val="0"/>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sz w:val="15"/>
                <w:szCs w:val="15"/>
                <w:highlight w:val="none"/>
              </w:rPr>
              <w:t>不覆膜凝结日数/统计期天数</w:t>
            </w:r>
          </w:p>
        </w:tc>
        <w:tc>
          <w:tcPr>
            <w:tcW w:w="1160" w:type="dxa"/>
            <w:tcBorders>
              <w:top w:val="single" w:color="auto" w:sz="12" w:space="0"/>
              <w:left w:val="nil"/>
              <w:bottom w:val="single" w:color="auto" w:sz="4" w:space="0"/>
              <w:right w:val="nil"/>
            </w:tcBorders>
            <w:vAlign w:val="center"/>
          </w:tcPr>
          <w:p w14:paraId="298A4931">
            <w:pPr>
              <w:widowControl/>
              <w:adjustRightInd w:val="0"/>
              <w:snapToGrid w:val="0"/>
              <w:jc w:val="center"/>
              <w:rPr>
                <w:rFonts w:ascii="Times New Roman" w:hAnsi="Times New Roman" w:eastAsia="宋体" w:cs="Times New Roman"/>
                <w:color w:val="auto"/>
                <w:sz w:val="15"/>
                <w:szCs w:val="15"/>
                <w:highlight w:val="none"/>
              </w:rPr>
            </w:pPr>
            <w:r>
              <w:rPr>
                <w:rFonts w:ascii="Times New Roman" w:hAnsi="Times New Roman" w:eastAsia="宋体" w:cs="Times New Roman"/>
                <w:color w:val="auto"/>
                <w:sz w:val="15"/>
                <w:szCs w:val="15"/>
                <w:highlight w:val="none"/>
              </w:rPr>
              <w:t>不覆膜</w:t>
            </w:r>
          </w:p>
          <w:p w14:paraId="3926B72A">
            <w:pPr>
              <w:widowControl/>
              <w:adjustRightInd w:val="0"/>
              <w:snapToGrid w:val="0"/>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sz w:val="15"/>
                <w:szCs w:val="15"/>
                <w:highlight w:val="none"/>
              </w:rPr>
              <w:t>发生率/%</w:t>
            </w:r>
          </w:p>
        </w:tc>
      </w:tr>
      <w:tr w14:paraId="42D7E5A1">
        <w:tblPrEx>
          <w:tblCellMar>
            <w:top w:w="0" w:type="dxa"/>
            <w:left w:w="108" w:type="dxa"/>
            <w:bottom w:w="0" w:type="dxa"/>
            <w:right w:w="108" w:type="dxa"/>
          </w:tblCellMar>
        </w:tblPrEx>
        <w:trPr>
          <w:trHeight w:val="283" w:hRule="atLeast"/>
          <w:jc w:val="center"/>
        </w:trPr>
        <w:tc>
          <w:tcPr>
            <w:tcW w:w="642" w:type="dxa"/>
            <w:tcBorders>
              <w:top w:val="single" w:color="auto" w:sz="4" w:space="0"/>
              <w:left w:val="nil"/>
              <w:bottom w:val="nil"/>
              <w:right w:val="nil"/>
            </w:tcBorders>
            <w:noWrap/>
            <w:vAlign w:val="center"/>
          </w:tcPr>
          <w:p w14:paraId="4659ECE0">
            <w:pPr>
              <w:widowControl/>
              <w:adjustRightInd w:val="0"/>
              <w:snapToGrid w:val="0"/>
              <w:jc w:val="center"/>
              <w:rPr>
                <w:rFonts w:ascii="Times New Roman" w:hAnsi="Times New Roman" w:eastAsia="等线" w:cs="Times New Roman"/>
                <w:color w:val="auto"/>
                <w:kern w:val="0"/>
                <w:sz w:val="15"/>
                <w:szCs w:val="15"/>
                <w:highlight w:val="none"/>
              </w:rPr>
            </w:pPr>
            <w:r>
              <w:rPr>
                <w:rFonts w:hint="eastAsia" w:ascii="Times New Roman" w:hAnsi="Times New Roman" w:eastAsia="等线" w:cs="Times New Roman"/>
                <w:color w:val="auto"/>
                <w:kern w:val="0"/>
                <w:sz w:val="15"/>
                <w:szCs w:val="15"/>
                <w:highlight w:val="none"/>
              </w:rPr>
              <w:t>2</w:t>
            </w:r>
            <w:r>
              <w:rPr>
                <w:rFonts w:ascii="Times New Roman" w:hAnsi="Times New Roman" w:eastAsia="等线" w:cs="Times New Roman"/>
                <w:color w:val="auto"/>
                <w:kern w:val="0"/>
                <w:sz w:val="15"/>
                <w:szCs w:val="15"/>
                <w:highlight w:val="none"/>
              </w:rPr>
              <w:t>018</w:t>
            </w:r>
          </w:p>
        </w:tc>
        <w:tc>
          <w:tcPr>
            <w:tcW w:w="918" w:type="dxa"/>
            <w:tcBorders>
              <w:top w:val="single" w:color="auto" w:sz="4" w:space="0"/>
              <w:left w:val="nil"/>
              <w:bottom w:val="nil"/>
              <w:right w:val="nil"/>
            </w:tcBorders>
            <w:noWrap/>
            <w:vAlign w:val="center"/>
          </w:tcPr>
          <w:p w14:paraId="02E11E3A">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蕾期末</w:t>
            </w:r>
          </w:p>
        </w:tc>
        <w:tc>
          <w:tcPr>
            <w:tcW w:w="1701" w:type="dxa"/>
            <w:tcBorders>
              <w:top w:val="single" w:color="auto" w:sz="4" w:space="0"/>
              <w:left w:val="nil"/>
              <w:bottom w:val="nil"/>
              <w:right w:val="nil"/>
            </w:tcBorders>
            <w:vAlign w:val="center"/>
          </w:tcPr>
          <w:p w14:paraId="11514A2D">
            <w:pPr>
              <w:widowControl/>
              <w:adjustRightInd w:val="0"/>
              <w:snapToGrid w:val="0"/>
              <w:rPr>
                <w:rFonts w:ascii="Times New Roman" w:hAnsi="Times New Roman" w:eastAsia="宋体" w:cs="Times New Roman"/>
                <w:color w:val="auto"/>
                <w:kern w:val="0"/>
                <w:sz w:val="15"/>
                <w:szCs w:val="15"/>
                <w:highlight w:val="none"/>
              </w:rPr>
            </w:pPr>
            <w:r>
              <w:rPr>
                <w:rFonts w:hint="eastAsia" w:ascii="Times New Roman" w:hAnsi="Times New Roman" w:eastAsia="宋体" w:cs="Times New Roman"/>
                <w:color w:val="auto"/>
                <w:kern w:val="0"/>
                <w:sz w:val="15"/>
                <w:szCs w:val="15"/>
                <w:highlight w:val="none"/>
              </w:rPr>
              <w:t>6月20日</w:t>
            </w:r>
            <w:r>
              <w:rPr>
                <w:rFonts w:ascii="Times New Roman" w:hAnsi="Times New Roman" w:eastAsia="宋体" w:cs="Times New Roman"/>
                <w:color w:val="auto"/>
                <w:kern w:val="0"/>
                <w:sz w:val="15"/>
                <w:szCs w:val="15"/>
                <w:highlight w:val="none"/>
              </w:rPr>
              <w:t>—</w:t>
            </w:r>
            <w:r>
              <w:rPr>
                <w:rFonts w:hint="eastAsia" w:ascii="Times New Roman" w:hAnsi="Times New Roman" w:eastAsia="宋体" w:cs="Times New Roman"/>
                <w:color w:val="auto"/>
                <w:kern w:val="0"/>
                <w:sz w:val="15"/>
                <w:szCs w:val="15"/>
                <w:highlight w:val="none"/>
              </w:rPr>
              <w:t>7月10日</w:t>
            </w:r>
          </w:p>
        </w:tc>
        <w:tc>
          <w:tcPr>
            <w:tcW w:w="806" w:type="dxa"/>
            <w:tcBorders>
              <w:top w:val="single" w:color="auto" w:sz="4" w:space="0"/>
              <w:left w:val="nil"/>
              <w:bottom w:val="nil"/>
              <w:right w:val="nil"/>
            </w:tcBorders>
            <w:noWrap/>
            <w:vAlign w:val="center"/>
          </w:tcPr>
          <w:p w14:paraId="76974F2D">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21</w:t>
            </w:r>
          </w:p>
        </w:tc>
        <w:tc>
          <w:tcPr>
            <w:tcW w:w="1232" w:type="dxa"/>
            <w:tcBorders>
              <w:top w:val="single" w:color="auto" w:sz="4" w:space="0"/>
              <w:left w:val="nil"/>
              <w:bottom w:val="nil"/>
              <w:right w:val="nil"/>
            </w:tcBorders>
            <w:noWrap/>
            <w:vAlign w:val="center"/>
          </w:tcPr>
          <w:p w14:paraId="25C57659">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21/21</w:t>
            </w:r>
          </w:p>
        </w:tc>
        <w:tc>
          <w:tcPr>
            <w:tcW w:w="1034" w:type="dxa"/>
            <w:tcBorders>
              <w:top w:val="single" w:color="auto" w:sz="4" w:space="0"/>
              <w:left w:val="nil"/>
              <w:bottom w:val="nil"/>
              <w:right w:val="nil"/>
            </w:tcBorders>
            <w:noWrap/>
            <w:vAlign w:val="center"/>
          </w:tcPr>
          <w:p w14:paraId="2359F7B2">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100.00</w:t>
            </w:r>
          </w:p>
        </w:tc>
        <w:tc>
          <w:tcPr>
            <w:tcW w:w="1285" w:type="dxa"/>
            <w:tcBorders>
              <w:top w:val="single" w:color="auto" w:sz="4" w:space="0"/>
              <w:left w:val="nil"/>
              <w:bottom w:val="nil"/>
              <w:right w:val="nil"/>
            </w:tcBorders>
            <w:noWrap/>
            <w:vAlign w:val="center"/>
          </w:tcPr>
          <w:p w14:paraId="4D802674">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21/21</w:t>
            </w:r>
          </w:p>
        </w:tc>
        <w:tc>
          <w:tcPr>
            <w:tcW w:w="1160" w:type="dxa"/>
            <w:tcBorders>
              <w:top w:val="single" w:color="auto" w:sz="4" w:space="0"/>
              <w:left w:val="nil"/>
              <w:bottom w:val="nil"/>
              <w:right w:val="nil"/>
            </w:tcBorders>
            <w:noWrap/>
            <w:vAlign w:val="center"/>
          </w:tcPr>
          <w:p w14:paraId="48501239">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100.00</w:t>
            </w:r>
          </w:p>
        </w:tc>
      </w:tr>
      <w:tr w14:paraId="3476F161">
        <w:tblPrEx>
          <w:tblCellMar>
            <w:top w:w="0" w:type="dxa"/>
            <w:left w:w="108" w:type="dxa"/>
            <w:bottom w:w="0" w:type="dxa"/>
            <w:right w:w="108" w:type="dxa"/>
          </w:tblCellMar>
        </w:tblPrEx>
        <w:trPr>
          <w:trHeight w:val="283" w:hRule="atLeast"/>
          <w:jc w:val="center"/>
        </w:trPr>
        <w:tc>
          <w:tcPr>
            <w:tcW w:w="642" w:type="dxa"/>
            <w:tcBorders>
              <w:top w:val="nil"/>
              <w:left w:val="nil"/>
              <w:bottom w:val="nil"/>
              <w:right w:val="nil"/>
            </w:tcBorders>
            <w:noWrap/>
            <w:vAlign w:val="center"/>
          </w:tcPr>
          <w:p w14:paraId="6F9131EB">
            <w:pPr>
              <w:widowControl/>
              <w:adjustRightInd w:val="0"/>
              <w:snapToGrid w:val="0"/>
              <w:jc w:val="center"/>
              <w:rPr>
                <w:rFonts w:ascii="Times New Roman" w:hAnsi="Times New Roman" w:eastAsia="等线" w:cs="Times New Roman"/>
                <w:color w:val="auto"/>
                <w:kern w:val="0"/>
                <w:sz w:val="15"/>
                <w:szCs w:val="15"/>
                <w:highlight w:val="none"/>
              </w:rPr>
            </w:pPr>
          </w:p>
        </w:tc>
        <w:tc>
          <w:tcPr>
            <w:tcW w:w="918" w:type="dxa"/>
            <w:tcBorders>
              <w:top w:val="nil"/>
              <w:left w:val="nil"/>
              <w:bottom w:val="nil"/>
              <w:right w:val="nil"/>
            </w:tcBorders>
            <w:noWrap/>
            <w:vAlign w:val="center"/>
          </w:tcPr>
          <w:p w14:paraId="3034FBCF">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花铃期</w:t>
            </w:r>
          </w:p>
        </w:tc>
        <w:tc>
          <w:tcPr>
            <w:tcW w:w="1701" w:type="dxa"/>
            <w:tcBorders>
              <w:top w:val="nil"/>
              <w:left w:val="nil"/>
              <w:bottom w:val="nil"/>
              <w:right w:val="nil"/>
            </w:tcBorders>
            <w:vAlign w:val="center"/>
          </w:tcPr>
          <w:p w14:paraId="7BACFC5A">
            <w:pPr>
              <w:widowControl/>
              <w:adjustRightInd w:val="0"/>
              <w:snapToGrid w:val="0"/>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7月11日—8月2日</w:t>
            </w:r>
          </w:p>
        </w:tc>
        <w:tc>
          <w:tcPr>
            <w:tcW w:w="806" w:type="dxa"/>
            <w:tcBorders>
              <w:top w:val="nil"/>
              <w:left w:val="nil"/>
              <w:bottom w:val="nil"/>
              <w:right w:val="nil"/>
            </w:tcBorders>
            <w:noWrap/>
            <w:vAlign w:val="center"/>
          </w:tcPr>
          <w:p w14:paraId="365A05D4">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23</w:t>
            </w:r>
          </w:p>
        </w:tc>
        <w:tc>
          <w:tcPr>
            <w:tcW w:w="1232" w:type="dxa"/>
            <w:tcBorders>
              <w:top w:val="nil"/>
              <w:left w:val="nil"/>
              <w:bottom w:val="nil"/>
              <w:right w:val="nil"/>
            </w:tcBorders>
            <w:noWrap/>
            <w:vAlign w:val="center"/>
          </w:tcPr>
          <w:p w14:paraId="369E56AE">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17/23</w:t>
            </w:r>
          </w:p>
        </w:tc>
        <w:tc>
          <w:tcPr>
            <w:tcW w:w="1034" w:type="dxa"/>
            <w:tcBorders>
              <w:top w:val="nil"/>
              <w:left w:val="nil"/>
              <w:bottom w:val="nil"/>
              <w:right w:val="nil"/>
            </w:tcBorders>
            <w:noWrap/>
            <w:vAlign w:val="center"/>
          </w:tcPr>
          <w:p w14:paraId="737021AE">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73.91</w:t>
            </w:r>
          </w:p>
        </w:tc>
        <w:tc>
          <w:tcPr>
            <w:tcW w:w="1285" w:type="dxa"/>
            <w:tcBorders>
              <w:top w:val="nil"/>
              <w:left w:val="nil"/>
              <w:bottom w:val="nil"/>
              <w:right w:val="nil"/>
            </w:tcBorders>
            <w:noWrap/>
            <w:vAlign w:val="center"/>
          </w:tcPr>
          <w:p w14:paraId="2FC91390">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16/23</w:t>
            </w:r>
          </w:p>
        </w:tc>
        <w:tc>
          <w:tcPr>
            <w:tcW w:w="1160" w:type="dxa"/>
            <w:tcBorders>
              <w:top w:val="nil"/>
              <w:left w:val="nil"/>
              <w:bottom w:val="nil"/>
              <w:right w:val="nil"/>
            </w:tcBorders>
            <w:noWrap/>
            <w:vAlign w:val="center"/>
          </w:tcPr>
          <w:p w14:paraId="50003ED2">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69.57</w:t>
            </w:r>
          </w:p>
        </w:tc>
      </w:tr>
      <w:tr w14:paraId="4BFF80F3">
        <w:tblPrEx>
          <w:tblCellMar>
            <w:top w:w="0" w:type="dxa"/>
            <w:left w:w="108" w:type="dxa"/>
            <w:bottom w:w="0" w:type="dxa"/>
            <w:right w:w="108" w:type="dxa"/>
          </w:tblCellMar>
        </w:tblPrEx>
        <w:trPr>
          <w:trHeight w:val="283" w:hRule="atLeast"/>
          <w:jc w:val="center"/>
        </w:trPr>
        <w:tc>
          <w:tcPr>
            <w:tcW w:w="642" w:type="dxa"/>
            <w:tcBorders>
              <w:top w:val="nil"/>
              <w:left w:val="nil"/>
              <w:bottom w:val="nil"/>
              <w:right w:val="nil"/>
            </w:tcBorders>
            <w:noWrap/>
            <w:vAlign w:val="center"/>
          </w:tcPr>
          <w:p w14:paraId="5216F014">
            <w:pPr>
              <w:widowControl/>
              <w:adjustRightInd w:val="0"/>
              <w:snapToGrid w:val="0"/>
              <w:jc w:val="center"/>
              <w:rPr>
                <w:rFonts w:ascii="Times New Roman" w:hAnsi="Times New Roman" w:eastAsia="等线" w:cs="Times New Roman"/>
                <w:color w:val="auto"/>
                <w:kern w:val="0"/>
                <w:sz w:val="15"/>
                <w:szCs w:val="15"/>
                <w:highlight w:val="none"/>
              </w:rPr>
            </w:pPr>
          </w:p>
        </w:tc>
        <w:tc>
          <w:tcPr>
            <w:tcW w:w="918" w:type="dxa"/>
            <w:tcBorders>
              <w:top w:val="nil"/>
              <w:left w:val="nil"/>
              <w:bottom w:val="nil"/>
              <w:right w:val="nil"/>
            </w:tcBorders>
            <w:noWrap/>
            <w:vAlign w:val="center"/>
          </w:tcPr>
          <w:p w14:paraId="550500F0">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吐絮期</w:t>
            </w:r>
          </w:p>
        </w:tc>
        <w:tc>
          <w:tcPr>
            <w:tcW w:w="1701" w:type="dxa"/>
            <w:tcBorders>
              <w:top w:val="nil"/>
              <w:left w:val="nil"/>
              <w:bottom w:val="nil"/>
              <w:right w:val="nil"/>
            </w:tcBorders>
            <w:vAlign w:val="center"/>
          </w:tcPr>
          <w:p w14:paraId="3C01D094">
            <w:pPr>
              <w:widowControl/>
              <w:adjustRightInd w:val="0"/>
              <w:snapToGrid w:val="0"/>
              <w:rPr>
                <w:rFonts w:ascii="Times New Roman" w:hAnsi="Times New Roman" w:eastAsia="等线" w:cs="Times New Roman"/>
                <w:color w:val="auto"/>
                <w:kern w:val="0"/>
                <w:sz w:val="15"/>
                <w:szCs w:val="15"/>
                <w:highlight w:val="none"/>
              </w:rPr>
            </w:pPr>
            <w:r>
              <w:rPr>
                <w:rFonts w:hint="eastAsia" w:ascii="Times New Roman" w:hAnsi="Times New Roman" w:eastAsia="宋体"/>
                <w:color w:val="auto"/>
                <w:sz w:val="15"/>
                <w:szCs w:val="15"/>
                <w:highlight w:val="none"/>
              </w:rPr>
              <w:t>8月30日</w:t>
            </w:r>
            <w:r>
              <w:rPr>
                <w:rFonts w:ascii="Times New Roman" w:hAnsi="Times New Roman" w:eastAsia="宋体" w:cs="Times New Roman"/>
                <w:color w:val="auto"/>
                <w:kern w:val="0"/>
                <w:sz w:val="15"/>
                <w:szCs w:val="15"/>
                <w:highlight w:val="none"/>
              </w:rPr>
              <w:t>—</w:t>
            </w:r>
            <w:r>
              <w:rPr>
                <w:rFonts w:hint="eastAsia" w:ascii="Times New Roman" w:hAnsi="Times New Roman" w:eastAsia="宋体" w:cs="Times New Roman"/>
                <w:color w:val="auto"/>
                <w:kern w:val="0"/>
                <w:sz w:val="15"/>
                <w:szCs w:val="15"/>
                <w:highlight w:val="none"/>
              </w:rPr>
              <w:t>9月22日</w:t>
            </w:r>
          </w:p>
        </w:tc>
        <w:tc>
          <w:tcPr>
            <w:tcW w:w="806" w:type="dxa"/>
            <w:tcBorders>
              <w:top w:val="nil"/>
              <w:left w:val="nil"/>
              <w:bottom w:val="nil"/>
              <w:right w:val="nil"/>
            </w:tcBorders>
            <w:noWrap/>
            <w:vAlign w:val="center"/>
          </w:tcPr>
          <w:p w14:paraId="2CAB8BFE">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24</w:t>
            </w:r>
          </w:p>
        </w:tc>
        <w:tc>
          <w:tcPr>
            <w:tcW w:w="1232" w:type="dxa"/>
            <w:tcBorders>
              <w:top w:val="nil"/>
              <w:left w:val="nil"/>
              <w:bottom w:val="nil"/>
              <w:right w:val="nil"/>
            </w:tcBorders>
            <w:noWrap/>
            <w:vAlign w:val="center"/>
          </w:tcPr>
          <w:p w14:paraId="4C265B07">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22/24</w:t>
            </w:r>
          </w:p>
        </w:tc>
        <w:tc>
          <w:tcPr>
            <w:tcW w:w="1034" w:type="dxa"/>
            <w:tcBorders>
              <w:top w:val="nil"/>
              <w:left w:val="nil"/>
              <w:bottom w:val="nil"/>
              <w:right w:val="nil"/>
            </w:tcBorders>
            <w:noWrap/>
            <w:vAlign w:val="center"/>
          </w:tcPr>
          <w:p w14:paraId="767EE784">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91.67</w:t>
            </w:r>
          </w:p>
        </w:tc>
        <w:tc>
          <w:tcPr>
            <w:tcW w:w="1285" w:type="dxa"/>
            <w:tcBorders>
              <w:top w:val="nil"/>
              <w:left w:val="nil"/>
              <w:bottom w:val="nil"/>
              <w:right w:val="nil"/>
            </w:tcBorders>
            <w:noWrap/>
            <w:vAlign w:val="center"/>
          </w:tcPr>
          <w:p w14:paraId="7D84BA32">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22/24</w:t>
            </w:r>
          </w:p>
        </w:tc>
        <w:tc>
          <w:tcPr>
            <w:tcW w:w="1160" w:type="dxa"/>
            <w:tcBorders>
              <w:top w:val="nil"/>
              <w:left w:val="nil"/>
              <w:bottom w:val="nil"/>
              <w:right w:val="nil"/>
            </w:tcBorders>
            <w:noWrap/>
            <w:vAlign w:val="center"/>
          </w:tcPr>
          <w:p w14:paraId="67E80B1F">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91.67</w:t>
            </w:r>
          </w:p>
        </w:tc>
      </w:tr>
      <w:tr w14:paraId="17FCB171">
        <w:tblPrEx>
          <w:tblCellMar>
            <w:top w:w="0" w:type="dxa"/>
            <w:left w:w="108" w:type="dxa"/>
            <w:bottom w:w="0" w:type="dxa"/>
            <w:right w:w="108" w:type="dxa"/>
          </w:tblCellMar>
        </w:tblPrEx>
        <w:trPr>
          <w:trHeight w:val="283" w:hRule="atLeast"/>
          <w:jc w:val="center"/>
        </w:trPr>
        <w:tc>
          <w:tcPr>
            <w:tcW w:w="642" w:type="dxa"/>
            <w:tcBorders>
              <w:top w:val="nil"/>
              <w:left w:val="nil"/>
              <w:bottom w:val="nil"/>
              <w:right w:val="nil"/>
            </w:tcBorders>
            <w:noWrap/>
            <w:vAlign w:val="center"/>
          </w:tcPr>
          <w:p w14:paraId="2402B834">
            <w:pPr>
              <w:widowControl/>
              <w:adjustRightInd w:val="0"/>
              <w:snapToGrid w:val="0"/>
              <w:jc w:val="center"/>
              <w:rPr>
                <w:rFonts w:ascii="Times New Roman" w:hAnsi="Times New Roman" w:eastAsia="等线" w:cs="Times New Roman"/>
                <w:color w:val="auto"/>
                <w:kern w:val="0"/>
                <w:sz w:val="15"/>
                <w:szCs w:val="15"/>
                <w:highlight w:val="none"/>
              </w:rPr>
            </w:pPr>
          </w:p>
        </w:tc>
        <w:tc>
          <w:tcPr>
            <w:tcW w:w="918" w:type="dxa"/>
            <w:tcBorders>
              <w:top w:val="nil"/>
              <w:left w:val="nil"/>
              <w:bottom w:val="nil"/>
              <w:right w:val="nil"/>
            </w:tcBorders>
            <w:noWrap/>
            <w:vAlign w:val="center"/>
          </w:tcPr>
          <w:p w14:paraId="17617923">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总计</w:t>
            </w:r>
          </w:p>
        </w:tc>
        <w:tc>
          <w:tcPr>
            <w:tcW w:w="1701" w:type="dxa"/>
            <w:tcBorders>
              <w:top w:val="nil"/>
              <w:left w:val="nil"/>
              <w:bottom w:val="nil"/>
              <w:right w:val="nil"/>
            </w:tcBorders>
            <w:vAlign w:val="center"/>
          </w:tcPr>
          <w:p w14:paraId="1170E9D1">
            <w:pPr>
              <w:widowControl/>
              <w:adjustRightInd w:val="0"/>
              <w:snapToGrid w:val="0"/>
              <w:rPr>
                <w:rFonts w:ascii="Times New Roman" w:hAnsi="Times New Roman" w:eastAsia="等线" w:cs="Times New Roman"/>
                <w:color w:val="auto"/>
                <w:kern w:val="0"/>
                <w:sz w:val="15"/>
                <w:szCs w:val="15"/>
                <w:highlight w:val="none"/>
              </w:rPr>
            </w:pPr>
            <w:r>
              <w:rPr>
                <w:rFonts w:hint="eastAsia" w:ascii="Times New Roman" w:hAnsi="Times New Roman" w:eastAsia="宋体" w:cs="Times New Roman"/>
                <w:color w:val="auto"/>
                <w:kern w:val="0"/>
                <w:sz w:val="15"/>
                <w:szCs w:val="15"/>
                <w:highlight w:val="none"/>
              </w:rPr>
              <w:t>6月20日</w:t>
            </w:r>
            <w:r>
              <w:rPr>
                <w:rFonts w:ascii="Times New Roman" w:hAnsi="Times New Roman" w:eastAsia="宋体" w:cs="Times New Roman"/>
                <w:color w:val="auto"/>
                <w:kern w:val="0"/>
                <w:sz w:val="15"/>
                <w:szCs w:val="15"/>
                <w:highlight w:val="none"/>
              </w:rPr>
              <w:t>—</w:t>
            </w:r>
            <w:r>
              <w:rPr>
                <w:rFonts w:hint="eastAsia" w:ascii="Times New Roman" w:hAnsi="Times New Roman" w:eastAsia="宋体" w:cs="Times New Roman"/>
                <w:color w:val="auto"/>
                <w:kern w:val="0"/>
                <w:sz w:val="15"/>
                <w:szCs w:val="15"/>
                <w:highlight w:val="none"/>
              </w:rPr>
              <w:t>9月22日</w:t>
            </w:r>
          </w:p>
        </w:tc>
        <w:tc>
          <w:tcPr>
            <w:tcW w:w="806" w:type="dxa"/>
            <w:tcBorders>
              <w:top w:val="nil"/>
              <w:left w:val="nil"/>
              <w:bottom w:val="nil"/>
              <w:right w:val="nil"/>
            </w:tcBorders>
            <w:noWrap/>
            <w:vAlign w:val="center"/>
          </w:tcPr>
          <w:p w14:paraId="33C6AFF3">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68</w:t>
            </w:r>
          </w:p>
        </w:tc>
        <w:tc>
          <w:tcPr>
            <w:tcW w:w="1232" w:type="dxa"/>
            <w:tcBorders>
              <w:top w:val="nil"/>
              <w:left w:val="nil"/>
              <w:bottom w:val="nil"/>
              <w:right w:val="nil"/>
            </w:tcBorders>
            <w:noWrap/>
            <w:vAlign w:val="center"/>
          </w:tcPr>
          <w:p w14:paraId="6858B984">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60/68</w:t>
            </w:r>
          </w:p>
        </w:tc>
        <w:tc>
          <w:tcPr>
            <w:tcW w:w="1034" w:type="dxa"/>
            <w:tcBorders>
              <w:top w:val="nil"/>
              <w:left w:val="nil"/>
              <w:bottom w:val="nil"/>
              <w:right w:val="nil"/>
            </w:tcBorders>
            <w:noWrap/>
            <w:vAlign w:val="center"/>
          </w:tcPr>
          <w:p w14:paraId="2ED1FEA8">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88.24</w:t>
            </w:r>
          </w:p>
        </w:tc>
        <w:tc>
          <w:tcPr>
            <w:tcW w:w="1285" w:type="dxa"/>
            <w:tcBorders>
              <w:top w:val="nil"/>
              <w:left w:val="nil"/>
              <w:bottom w:val="nil"/>
              <w:right w:val="nil"/>
            </w:tcBorders>
            <w:noWrap/>
            <w:vAlign w:val="center"/>
          </w:tcPr>
          <w:p w14:paraId="4923369E">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59/68</w:t>
            </w:r>
          </w:p>
        </w:tc>
        <w:tc>
          <w:tcPr>
            <w:tcW w:w="1160" w:type="dxa"/>
            <w:tcBorders>
              <w:top w:val="nil"/>
              <w:left w:val="nil"/>
              <w:bottom w:val="nil"/>
              <w:right w:val="nil"/>
            </w:tcBorders>
            <w:noWrap/>
            <w:vAlign w:val="center"/>
          </w:tcPr>
          <w:p w14:paraId="66F31F17">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86.76</w:t>
            </w:r>
          </w:p>
        </w:tc>
      </w:tr>
      <w:tr w14:paraId="0B7BF55B">
        <w:tblPrEx>
          <w:tblCellMar>
            <w:top w:w="0" w:type="dxa"/>
            <w:left w:w="108" w:type="dxa"/>
            <w:bottom w:w="0" w:type="dxa"/>
            <w:right w:w="108" w:type="dxa"/>
          </w:tblCellMar>
        </w:tblPrEx>
        <w:trPr>
          <w:trHeight w:val="283" w:hRule="atLeast"/>
          <w:jc w:val="center"/>
        </w:trPr>
        <w:tc>
          <w:tcPr>
            <w:tcW w:w="642" w:type="dxa"/>
            <w:tcBorders>
              <w:top w:val="nil"/>
              <w:left w:val="nil"/>
              <w:bottom w:val="nil"/>
              <w:right w:val="nil"/>
            </w:tcBorders>
            <w:noWrap/>
            <w:vAlign w:val="center"/>
          </w:tcPr>
          <w:p w14:paraId="542FE7BC">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2019</w:t>
            </w:r>
          </w:p>
        </w:tc>
        <w:tc>
          <w:tcPr>
            <w:tcW w:w="918" w:type="dxa"/>
            <w:tcBorders>
              <w:top w:val="nil"/>
              <w:left w:val="nil"/>
              <w:bottom w:val="nil"/>
              <w:right w:val="nil"/>
            </w:tcBorders>
            <w:noWrap/>
            <w:vAlign w:val="center"/>
          </w:tcPr>
          <w:p w14:paraId="4CD9ED2A">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苗期</w:t>
            </w:r>
          </w:p>
        </w:tc>
        <w:tc>
          <w:tcPr>
            <w:tcW w:w="1701" w:type="dxa"/>
            <w:tcBorders>
              <w:top w:val="nil"/>
              <w:left w:val="nil"/>
              <w:bottom w:val="nil"/>
              <w:right w:val="nil"/>
            </w:tcBorders>
            <w:vAlign w:val="center"/>
          </w:tcPr>
          <w:p w14:paraId="5F6C443D">
            <w:pPr>
              <w:widowControl/>
              <w:adjustRightInd w:val="0"/>
              <w:snapToGrid w:val="0"/>
              <w:rPr>
                <w:rFonts w:ascii="Times New Roman" w:hAnsi="Times New Roman" w:eastAsia="等线" w:cs="Times New Roman"/>
                <w:color w:val="auto"/>
                <w:kern w:val="0"/>
                <w:sz w:val="15"/>
                <w:szCs w:val="15"/>
                <w:highlight w:val="none"/>
              </w:rPr>
            </w:pPr>
            <w:r>
              <w:rPr>
                <w:rFonts w:hint="eastAsia" w:ascii="Times New Roman" w:hAnsi="Times New Roman" w:eastAsia="宋体"/>
                <w:color w:val="auto"/>
                <w:sz w:val="15"/>
                <w:szCs w:val="15"/>
                <w:highlight w:val="none"/>
              </w:rPr>
              <w:t>4月13日</w:t>
            </w:r>
            <w:r>
              <w:rPr>
                <w:rFonts w:ascii="Times New Roman" w:hAnsi="Times New Roman" w:eastAsia="宋体" w:cs="Times New Roman"/>
                <w:color w:val="auto"/>
                <w:kern w:val="0"/>
                <w:sz w:val="15"/>
                <w:szCs w:val="15"/>
                <w:highlight w:val="none"/>
              </w:rPr>
              <w:t>—</w:t>
            </w:r>
            <w:r>
              <w:rPr>
                <w:rFonts w:hint="eastAsia" w:ascii="Times New Roman" w:hAnsi="Times New Roman" w:eastAsia="宋体" w:cs="Times New Roman"/>
                <w:color w:val="auto"/>
                <w:kern w:val="0"/>
                <w:sz w:val="15"/>
                <w:szCs w:val="15"/>
                <w:highlight w:val="none"/>
              </w:rPr>
              <w:t>5月27日</w:t>
            </w:r>
          </w:p>
        </w:tc>
        <w:tc>
          <w:tcPr>
            <w:tcW w:w="806" w:type="dxa"/>
            <w:tcBorders>
              <w:top w:val="nil"/>
              <w:left w:val="nil"/>
              <w:bottom w:val="nil"/>
              <w:right w:val="nil"/>
            </w:tcBorders>
            <w:noWrap/>
            <w:vAlign w:val="center"/>
          </w:tcPr>
          <w:p w14:paraId="5782CC26">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45</w:t>
            </w:r>
          </w:p>
        </w:tc>
        <w:tc>
          <w:tcPr>
            <w:tcW w:w="1232" w:type="dxa"/>
            <w:tcBorders>
              <w:top w:val="nil"/>
              <w:left w:val="nil"/>
              <w:bottom w:val="nil"/>
              <w:right w:val="nil"/>
            </w:tcBorders>
            <w:noWrap/>
            <w:vAlign w:val="center"/>
          </w:tcPr>
          <w:p w14:paraId="4FDEAE89">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37/45</w:t>
            </w:r>
          </w:p>
        </w:tc>
        <w:tc>
          <w:tcPr>
            <w:tcW w:w="1034" w:type="dxa"/>
            <w:tcBorders>
              <w:top w:val="nil"/>
              <w:left w:val="nil"/>
              <w:bottom w:val="nil"/>
              <w:right w:val="nil"/>
            </w:tcBorders>
            <w:noWrap/>
            <w:vAlign w:val="center"/>
          </w:tcPr>
          <w:p w14:paraId="2CDAAAB7">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82.22</w:t>
            </w:r>
          </w:p>
        </w:tc>
        <w:tc>
          <w:tcPr>
            <w:tcW w:w="1285" w:type="dxa"/>
            <w:tcBorders>
              <w:top w:val="nil"/>
              <w:left w:val="nil"/>
              <w:bottom w:val="nil"/>
              <w:right w:val="nil"/>
            </w:tcBorders>
            <w:noWrap/>
            <w:vAlign w:val="center"/>
          </w:tcPr>
          <w:p w14:paraId="5BD40C5D">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35/45</w:t>
            </w:r>
          </w:p>
        </w:tc>
        <w:tc>
          <w:tcPr>
            <w:tcW w:w="1160" w:type="dxa"/>
            <w:tcBorders>
              <w:top w:val="nil"/>
              <w:left w:val="nil"/>
              <w:bottom w:val="nil"/>
              <w:right w:val="nil"/>
            </w:tcBorders>
            <w:noWrap/>
            <w:vAlign w:val="center"/>
          </w:tcPr>
          <w:p w14:paraId="70EB3C7A">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77.78</w:t>
            </w:r>
          </w:p>
        </w:tc>
      </w:tr>
      <w:tr w14:paraId="41E35DEA">
        <w:tblPrEx>
          <w:tblCellMar>
            <w:top w:w="0" w:type="dxa"/>
            <w:left w:w="108" w:type="dxa"/>
            <w:bottom w:w="0" w:type="dxa"/>
            <w:right w:w="108" w:type="dxa"/>
          </w:tblCellMar>
        </w:tblPrEx>
        <w:trPr>
          <w:trHeight w:val="283" w:hRule="atLeast"/>
          <w:jc w:val="center"/>
        </w:trPr>
        <w:tc>
          <w:tcPr>
            <w:tcW w:w="642" w:type="dxa"/>
            <w:tcBorders>
              <w:top w:val="nil"/>
              <w:left w:val="nil"/>
              <w:bottom w:val="nil"/>
              <w:right w:val="nil"/>
            </w:tcBorders>
            <w:noWrap/>
            <w:vAlign w:val="center"/>
          </w:tcPr>
          <w:p w14:paraId="2D80603A">
            <w:pPr>
              <w:widowControl/>
              <w:adjustRightInd w:val="0"/>
              <w:snapToGrid w:val="0"/>
              <w:jc w:val="center"/>
              <w:rPr>
                <w:rFonts w:ascii="Times New Roman" w:hAnsi="Times New Roman" w:eastAsia="等线" w:cs="Times New Roman"/>
                <w:color w:val="auto"/>
                <w:kern w:val="0"/>
                <w:sz w:val="15"/>
                <w:szCs w:val="15"/>
                <w:highlight w:val="none"/>
              </w:rPr>
            </w:pPr>
          </w:p>
        </w:tc>
        <w:tc>
          <w:tcPr>
            <w:tcW w:w="918" w:type="dxa"/>
            <w:tcBorders>
              <w:top w:val="nil"/>
              <w:left w:val="nil"/>
              <w:bottom w:val="nil"/>
              <w:right w:val="nil"/>
            </w:tcBorders>
            <w:noWrap/>
            <w:vAlign w:val="center"/>
          </w:tcPr>
          <w:p w14:paraId="30F86571">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蕾期</w:t>
            </w:r>
          </w:p>
        </w:tc>
        <w:tc>
          <w:tcPr>
            <w:tcW w:w="1701" w:type="dxa"/>
            <w:tcBorders>
              <w:top w:val="nil"/>
              <w:left w:val="nil"/>
              <w:bottom w:val="nil"/>
              <w:right w:val="nil"/>
            </w:tcBorders>
            <w:vAlign w:val="center"/>
          </w:tcPr>
          <w:p w14:paraId="445867C2">
            <w:pPr>
              <w:widowControl/>
              <w:adjustRightInd w:val="0"/>
              <w:snapToGrid w:val="0"/>
              <w:rPr>
                <w:rFonts w:ascii="Times New Roman" w:hAnsi="Times New Roman" w:eastAsia="宋体"/>
                <w:color w:val="auto"/>
                <w:sz w:val="15"/>
                <w:szCs w:val="15"/>
                <w:highlight w:val="none"/>
              </w:rPr>
            </w:pPr>
            <w:r>
              <w:rPr>
                <w:rFonts w:hint="eastAsia" w:ascii="Times New Roman" w:hAnsi="Times New Roman" w:eastAsia="宋体"/>
                <w:color w:val="auto"/>
                <w:sz w:val="15"/>
                <w:szCs w:val="15"/>
                <w:highlight w:val="none"/>
              </w:rPr>
              <w:t>5月28日</w:t>
            </w:r>
            <w:r>
              <w:rPr>
                <w:rFonts w:ascii="Times New Roman" w:hAnsi="Times New Roman" w:eastAsia="宋体" w:cs="Times New Roman"/>
                <w:color w:val="auto"/>
                <w:kern w:val="0"/>
                <w:sz w:val="15"/>
                <w:szCs w:val="15"/>
                <w:highlight w:val="none"/>
              </w:rPr>
              <w:t>—</w:t>
            </w:r>
            <w:r>
              <w:rPr>
                <w:rFonts w:hint="eastAsia" w:ascii="Times New Roman" w:hAnsi="Times New Roman" w:eastAsia="宋体" w:cs="Times New Roman"/>
                <w:color w:val="auto"/>
                <w:kern w:val="0"/>
                <w:sz w:val="15"/>
                <w:szCs w:val="15"/>
                <w:highlight w:val="none"/>
              </w:rPr>
              <w:t>6月28日</w:t>
            </w:r>
          </w:p>
        </w:tc>
        <w:tc>
          <w:tcPr>
            <w:tcW w:w="806" w:type="dxa"/>
            <w:tcBorders>
              <w:top w:val="nil"/>
              <w:left w:val="nil"/>
              <w:bottom w:val="nil"/>
              <w:right w:val="nil"/>
            </w:tcBorders>
            <w:noWrap/>
            <w:vAlign w:val="center"/>
          </w:tcPr>
          <w:p w14:paraId="0E9150CD">
            <w:pPr>
              <w:widowControl/>
              <w:adjustRightInd w:val="0"/>
              <w:snapToGrid w:val="0"/>
              <w:jc w:val="center"/>
              <w:rPr>
                <w:rFonts w:ascii="Times New Roman" w:hAnsi="Times New Roman" w:eastAsia="宋体"/>
                <w:color w:val="auto"/>
                <w:sz w:val="15"/>
                <w:szCs w:val="15"/>
                <w:highlight w:val="none"/>
              </w:rPr>
            </w:pPr>
            <w:r>
              <w:rPr>
                <w:rFonts w:ascii="Times New Roman" w:hAnsi="Times New Roman" w:eastAsia="宋体"/>
                <w:color w:val="auto"/>
                <w:sz w:val="15"/>
                <w:szCs w:val="15"/>
                <w:highlight w:val="none"/>
              </w:rPr>
              <w:t>32</w:t>
            </w:r>
          </w:p>
        </w:tc>
        <w:tc>
          <w:tcPr>
            <w:tcW w:w="1232" w:type="dxa"/>
            <w:tcBorders>
              <w:top w:val="nil"/>
              <w:left w:val="nil"/>
              <w:bottom w:val="nil"/>
              <w:right w:val="nil"/>
            </w:tcBorders>
            <w:noWrap/>
            <w:vAlign w:val="center"/>
          </w:tcPr>
          <w:p w14:paraId="77D57B59">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32/32</w:t>
            </w:r>
          </w:p>
        </w:tc>
        <w:tc>
          <w:tcPr>
            <w:tcW w:w="1034" w:type="dxa"/>
            <w:tcBorders>
              <w:top w:val="nil"/>
              <w:left w:val="nil"/>
              <w:bottom w:val="nil"/>
              <w:right w:val="nil"/>
            </w:tcBorders>
            <w:noWrap/>
            <w:vAlign w:val="center"/>
          </w:tcPr>
          <w:p w14:paraId="53E9EBFC">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100.00</w:t>
            </w:r>
          </w:p>
        </w:tc>
        <w:tc>
          <w:tcPr>
            <w:tcW w:w="1285" w:type="dxa"/>
            <w:tcBorders>
              <w:top w:val="nil"/>
              <w:left w:val="nil"/>
              <w:bottom w:val="nil"/>
              <w:right w:val="nil"/>
            </w:tcBorders>
            <w:noWrap/>
            <w:vAlign w:val="center"/>
          </w:tcPr>
          <w:p w14:paraId="500EF6B1">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31/32</w:t>
            </w:r>
          </w:p>
        </w:tc>
        <w:tc>
          <w:tcPr>
            <w:tcW w:w="1160" w:type="dxa"/>
            <w:tcBorders>
              <w:top w:val="nil"/>
              <w:left w:val="nil"/>
              <w:bottom w:val="nil"/>
              <w:right w:val="nil"/>
            </w:tcBorders>
            <w:noWrap/>
            <w:vAlign w:val="center"/>
          </w:tcPr>
          <w:p w14:paraId="691ABD77">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96.88</w:t>
            </w:r>
          </w:p>
        </w:tc>
      </w:tr>
      <w:tr w14:paraId="1BAF124A">
        <w:tblPrEx>
          <w:tblCellMar>
            <w:top w:w="0" w:type="dxa"/>
            <w:left w:w="108" w:type="dxa"/>
            <w:bottom w:w="0" w:type="dxa"/>
            <w:right w:w="108" w:type="dxa"/>
          </w:tblCellMar>
        </w:tblPrEx>
        <w:trPr>
          <w:trHeight w:val="283" w:hRule="atLeast"/>
          <w:jc w:val="center"/>
        </w:trPr>
        <w:tc>
          <w:tcPr>
            <w:tcW w:w="642" w:type="dxa"/>
            <w:tcBorders>
              <w:top w:val="nil"/>
              <w:left w:val="nil"/>
              <w:bottom w:val="nil"/>
              <w:right w:val="nil"/>
            </w:tcBorders>
            <w:noWrap/>
            <w:vAlign w:val="center"/>
          </w:tcPr>
          <w:p w14:paraId="4A96B220">
            <w:pPr>
              <w:widowControl/>
              <w:adjustRightInd w:val="0"/>
              <w:snapToGrid w:val="0"/>
              <w:jc w:val="center"/>
              <w:rPr>
                <w:rFonts w:ascii="Times New Roman" w:hAnsi="Times New Roman" w:eastAsia="等线" w:cs="Times New Roman"/>
                <w:color w:val="auto"/>
                <w:kern w:val="0"/>
                <w:sz w:val="15"/>
                <w:szCs w:val="15"/>
                <w:highlight w:val="none"/>
              </w:rPr>
            </w:pPr>
          </w:p>
        </w:tc>
        <w:tc>
          <w:tcPr>
            <w:tcW w:w="918" w:type="dxa"/>
            <w:tcBorders>
              <w:top w:val="nil"/>
              <w:left w:val="nil"/>
              <w:bottom w:val="nil"/>
              <w:right w:val="nil"/>
            </w:tcBorders>
            <w:noWrap/>
            <w:vAlign w:val="center"/>
          </w:tcPr>
          <w:p w14:paraId="123C407B">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花铃期</w:t>
            </w:r>
          </w:p>
        </w:tc>
        <w:tc>
          <w:tcPr>
            <w:tcW w:w="1701" w:type="dxa"/>
            <w:tcBorders>
              <w:top w:val="nil"/>
              <w:left w:val="nil"/>
              <w:bottom w:val="nil"/>
              <w:right w:val="nil"/>
            </w:tcBorders>
            <w:vAlign w:val="center"/>
          </w:tcPr>
          <w:p w14:paraId="2C8273C5">
            <w:pPr>
              <w:widowControl/>
              <w:adjustRightInd w:val="0"/>
              <w:snapToGrid w:val="0"/>
              <w:rPr>
                <w:rFonts w:ascii="Times New Roman" w:hAnsi="Times New Roman" w:eastAsia="等线" w:cs="Times New Roman"/>
                <w:color w:val="auto"/>
                <w:kern w:val="0"/>
                <w:sz w:val="15"/>
                <w:szCs w:val="15"/>
                <w:highlight w:val="none"/>
              </w:rPr>
            </w:pPr>
            <w:r>
              <w:rPr>
                <w:rFonts w:hint="eastAsia" w:ascii="Times New Roman" w:hAnsi="Times New Roman" w:eastAsia="宋体"/>
                <w:color w:val="auto"/>
                <w:sz w:val="15"/>
                <w:szCs w:val="15"/>
                <w:highlight w:val="none"/>
              </w:rPr>
              <w:t>6月29日</w:t>
            </w:r>
            <w:r>
              <w:rPr>
                <w:rFonts w:ascii="Times New Roman" w:hAnsi="Times New Roman" w:eastAsia="宋体" w:cs="Times New Roman"/>
                <w:color w:val="auto"/>
                <w:kern w:val="0"/>
                <w:sz w:val="15"/>
                <w:szCs w:val="15"/>
                <w:highlight w:val="none"/>
              </w:rPr>
              <w:t>—</w:t>
            </w:r>
            <w:r>
              <w:rPr>
                <w:rFonts w:hint="eastAsia" w:ascii="Times New Roman" w:hAnsi="Times New Roman" w:eastAsia="宋体" w:cs="Times New Roman"/>
                <w:color w:val="auto"/>
                <w:kern w:val="0"/>
                <w:sz w:val="15"/>
                <w:szCs w:val="15"/>
                <w:highlight w:val="none"/>
              </w:rPr>
              <w:t>8月20日</w:t>
            </w:r>
          </w:p>
        </w:tc>
        <w:tc>
          <w:tcPr>
            <w:tcW w:w="806" w:type="dxa"/>
            <w:tcBorders>
              <w:top w:val="nil"/>
              <w:left w:val="nil"/>
              <w:bottom w:val="nil"/>
              <w:right w:val="nil"/>
            </w:tcBorders>
            <w:noWrap/>
            <w:vAlign w:val="center"/>
          </w:tcPr>
          <w:p w14:paraId="23A0122D">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53</w:t>
            </w:r>
          </w:p>
        </w:tc>
        <w:tc>
          <w:tcPr>
            <w:tcW w:w="1232" w:type="dxa"/>
            <w:tcBorders>
              <w:top w:val="nil"/>
              <w:left w:val="nil"/>
              <w:bottom w:val="nil"/>
              <w:right w:val="nil"/>
            </w:tcBorders>
            <w:noWrap/>
            <w:vAlign w:val="center"/>
          </w:tcPr>
          <w:p w14:paraId="4EE6185F">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52/53</w:t>
            </w:r>
          </w:p>
        </w:tc>
        <w:tc>
          <w:tcPr>
            <w:tcW w:w="1034" w:type="dxa"/>
            <w:tcBorders>
              <w:top w:val="nil"/>
              <w:left w:val="nil"/>
              <w:bottom w:val="nil"/>
              <w:right w:val="nil"/>
            </w:tcBorders>
            <w:noWrap/>
            <w:vAlign w:val="center"/>
          </w:tcPr>
          <w:p w14:paraId="6C41CE0C">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98.11</w:t>
            </w:r>
          </w:p>
        </w:tc>
        <w:tc>
          <w:tcPr>
            <w:tcW w:w="1285" w:type="dxa"/>
            <w:tcBorders>
              <w:top w:val="nil"/>
              <w:left w:val="nil"/>
              <w:bottom w:val="nil"/>
              <w:right w:val="nil"/>
            </w:tcBorders>
            <w:noWrap/>
            <w:vAlign w:val="center"/>
          </w:tcPr>
          <w:p w14:paraId="338AA4E3">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52/53</w:t>
            </w:r>
          </w:p>
        </w:tc>
        <w:tc>
          <w:tcPr>
            <w:tcW w:w="1160" w:type="dxa"/>
            <w:tcBorders>
              <w:top w:val="nil"/>
              <w:left w:val="nil"/>
              <w:bottom w:val="nil"/>
              <w:right w:val="nil"/>
            </w:tcBorders>
            <w:noWrap/>
            <w:vAlign w:val="center"/>
          </w:tcPr>
          <w:p w14:paraId="68E45C1F">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98.11</w:t>
            </w:r>
          </w:p>
        </w:tc>
      </w:tr>
      <w:tr w14:paraId="07C74D04">
        <w:tblPrEx>
          <w:tblCellMar>
            <w:top w:w="0" w:type="dxa"/>
            <w:left w:w="108" w:type="dxa"/>
            <w:bottom w:w="0" w:type="dxa"/>
            <w:right w:w="108" w:type="dxa"/>
          </w:tblCellMar>
        </w:tblPrEx>
        <w:trPr>
          <w:trHeight w:val="283" w:hRule="atLeast"/>
          <w:jc w:val="center"/>
        </w:trPr>
        <w:tc>
          <w:tcPr>
            <w:tcW w:w="642" w:type="dxa"/>
            <w:tcBorders>
              <w:top w:val="nil"/>
              <w:left w:val="nil"/>
              <w:bottom w:val="nil"/>
              <w:right w:val="nil"/>
            </w:tcBorders>
            <w:noWrap/>
            <w:vAlign w:val="center"/>
          </w:tcPr>
          <w:p w14:paraId="265D727B">
            <w:pPr>
              <w:widowControl/>
              <w:adjustRightInd w:val="0"/>
              <w:snapToGrid w:val="0"/>
              <w:jc w:val="center"/>
              <w:rPr>
                <w:rFonts w:ascii="Times New Roman" w:hAnsi="Times New Roman" w:eastAsia="等线" w:cs="Times New Roman"/>
                <w:color w:val="auto"/>
                <w:kern w:val="0"/>
                <w:sz w:val="15"/>
                <w:szCs w:val="15"/>
                <w:highlight w:val="none"/>
              </w:rPr>
            </w:pPr>
          </w:p>
        </w:tc>
        <w:tc>
          <w:tcPr>
            <w:tcW w:w="918" w:type="dxa"/>
            <w:tcBorders>
              <w:top w:val="nil"/>
              <w:left w:val="nil"/>
              <w:bottom w:val="nil"/>
              <w:right w:val="nil"/>
            </w:tcBorders>
            <w:noWrap/>
            <w:vAlign w:val="center"/>
          </w:tcPr>
          <w:p w14:paraId="69FDAB1A">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吐絮期</w:t>
            </w:r>
          </w:p>
        </w:tc>
        <w:tc>
          <w:tcPr>
            <w:tcW w:w="1701" w:type="dxa"/>
            <w:tcBorders>
              <w:top w:val="nil"/>
              <w:left w:val="nil"/>
              <w:bottom w:val="nil"/>
              <w:right w:val="nil"/>
            </w:tcBorders>
            <w:vAlign w:val="center"/>
          </w:tcPr>
          <w:p w14:paraId="4399FD28">
            <w:pPr>
              <w:widowControl/>
              <w:adjustRightInd w:val="0"/>
              <w:snapToGrid w:val="0"/>
              <w:rPr>
                <w:rFonts w:ascii="Times New Roman" w:hAnsi="Times New Roman" w:eastAsia="等线" w:cs="Times New Roman"/>
                <w:color w:val="auto"/>
                <w:kern w:val="0"/>
                <w:sz w:val="15"/>
                <w:szCs w:val="15"/>
                <w:highlight w:val="none"/>
              </w:rPr>
            </w:pPr>
            <w:r>
              <w:rPr>
                <w:rFonts w:hint="eastAsia" w:ascii="Times New Roman" w:hAnsi="Times New Roman" w:eastAsia="宋体"/>
                <w:color w:val="auto"/>
                <w:sz w:val="15"/>
                <w:szCs w:val="15"/>
                <w:highlight w:val="none"/>
              </w:rPr>
              <w:t>8月21日</w:t>
            </w:r>
            <w:r>
              <w:rPr>
                <w:rFonts w:ascii="Times New Roman" w:hAnsi="Times New Roman" w:eastAsia="宋体" w:cs="Times New Roman"/>
                <w:color w:val="auto"/>
                <w:kern w:val="0"/>
                <w:sz w:val="15"/>
                <w:szCs w:val="15"/>
                <w:highlight w:val="none"/>
              </w:rPr>
              <w:t>—</w:t>
            </w:r>
            <w:r>
              <w:rPr>
                <w:rFonts w:hint="eastAsia" w:ascii="Times New Roman" w:hAnsi="Times New Roman" w:eastAsia="宋体" w:cs="Times New Roman"/>
                <w:color w:val="auto"/>
                <w:kern w:val="0"/>
                <w:sz w:val="15"/>
                <w:szCs w:val="15"/>
                <w:highlight w:val="none"/>
              </w:rPr>
              <w:t>10月5日</w:t>
            </w:r>
          </w:p>
        </w:tc>
        <w:tc>
          <w:tcPr>
            <w:tcW w:w="806" w:type="dxa"/>
            <w:tcBorders>
              <w:top w:val="nil"/>
              <w:left w:val="nil"/>
              <w:bottom w:val="nil"/>
              <w:right w:val="nil"/>
            </w:tcBorders>
            <w:noWrap/>
            <w:vAlign w:val="center"/>
          </w:tcPr>
          <w:p w14:paraId="0591B2EA">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46</w:t>
            </w:r>
          </w:p>
        </w:tc>
        <w:tc>
          <w:tcPr>
            <w:tcW w:w="1232" w:type="dxa"/>
            <w:tcBorders>
              <w:top w:val="nil"/>
              <w:left w:val="nil"/>
              <w:bottom w:val="nil"/>
              <w:right w:val="nil"/>
            </w:tcBorders>
            <w:noWrap/>
            <w:vAlign w:val="center"/>
          </w:tcPr>
          <w:p w14:paraId="41896425">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45/46</w:t>
            </w:r>
          </w:p>
        </w:tc>
        <w:tc>
          <w:tcPr>
            <w:tcW w:w="1034" w:type="dxa"/>
            <w:tcBorders>
              <w:top w:val="nil"/>
              <w:left w:val="nil"/>
              <w:bottom w:val="nil"/>
              <w:right w:val="nil"/>
            </w:tcBorders>
            <w:noWrap/>
            <w:vAlign w:val="center"/>
          </w:tcPr>
          <w:p w14:paraId="4ED3AE91">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97.83</w:t>
            </w:r>
          </w:p>
        </w:tc>
        <w:tc>
          <w:tcPr>
            <w:tcW w:w="1285" w:type="dxa"/>
            <w:tcBorders>
              <w:top w:val="nil"/>
              <w:left w:val="nil"/>
              <w:bottom w:val="nil"/>
              <w:right w:val="nil"/>
            </w:tcBorders>
            <w:noWrap/>
            <w:vAlign w:val="center"/>
          </w:tcPr>
          <w:p w14:paraId="29DCC353">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45/46</w:t>
            </w:r>
          </w:p>
        </w:tc>
        <w:tc>
          <w:tcPr>
            <w:tcW w:w="1160" w:type="dxa"/>
            <w:tcBorders>
              <w:top w:val="nil"/>
              <w:left w:val="nil"/>
              <w:bottom w:val="nil"/>
              <w:right w:val="nil"/>
            </w:tcBorders>
            <w:noWrap/>
            <w:vAlign w:val="center"/>
          </w:tcPr>
          <w:p w14:paraId="153E080B">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97.83</w:t>
            </w:r>
          </w:p>
        </w:tc>
      </w:tr>
      <w:tr w14:paraId="377525F9">
        <w:tblPrEx>
          <w:tblCellMar>
            <w:top w:w="0" w:type="dxa"/>
            <w:left w:w="108" w:type="dxa"/>
            <w:bottom w:w="0" w:type="dxa"/>
            <w:right w:w="108" w:type="dxa"/>
          </w:tblCellMar>
        </w:tblPrEx>
        <w:trPr>
          <w:trHeight w:val="283" w:hRule="atLeast"/>
          <w:jc w:val="center"/>
        </w:trPr>
        <w:tc>
          <w:tcPr>
            <w:tcW w:w="642" w:type="dxa"/>
            <w:tcBorders>
              <w:top w:val="nil"/>
              <w:left w:val="nil"/>
              <w:bottom w:val="nil"/>
              <w:right w:val="nil"/>
            </w:tcBorders>
            <w:noWrap/>
            <w:vAlign w:val="center"/>
          </w:tcPr>
          <w:p w14:paraId="03E23CB7">
            <w:pPr>
              <w:widowControl/>
              <w:adjustRightInd w:val="0"/>
              <w:snapToGrid w:val="0"/>
              <w:jc w:val="center"/>
              <w:rPr>
                <w:rFonts w:ascii="Times New Roman" w:hAnsi="Times New Roman" w:eastAsia="等线" w:cs="Times New Roman"/>
                <w:color w:val="auto"/>
                <w:kern w:val="0"/>
                <w:sz w:val="15"/>
                <w:szCs w:val="15"/>
                <w:highlight w:val="none"/>
              </w:rPr>
            </w:pPr>
          </w:p>
        </w:tc>
        <w:tc>
          <w:tcPr>
            <w:tcW w:w="918" w:type="dxa"/>
            <w:tcBorders>
              <w:top w:val="nil"/>
              <w:left w:val="nil"/>
              <w:bottom w:val="nil"/>
              <w:right w:val="nil"/>
            </w:tcBorders>
            <w:noWrap/>
            <w:vAlign w:val="center"/>
          </w:tcPr>
          <w:p w14:paraId="193FFD0B">
            <w:pPr>
              <w:widowControl/>
              <w:adjustRightInd w:val="0"/>
              <w:snapToGrid w:val="0"/>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总计</w:t>
            </w:r>
          </w:p>
        </w:tc>
        <w:tc>
          <w:tcPr>
            <w:tcW w:w="1701" w:type="dxa"/>
            <w:tcBorders>
              <w:top w:val="nil"/>
              <w:left w:val="nil"/>
              <w:bottom w:val="nil"/>
              <w:right w:val="nil"/>
            </w:tcBorders>
            <w:vAlign w:val="center"/>
          </w:tcPr>
          <w:p w14:paraId="46DB4A30">
            <w:pPr>
              <w:widowControl/>
              <w:adjustRightInd w:val="0"/>
              <w:snapToGrid w:val="0"/>
              <w:rPr>
                <w:rFonts w:ascii="Times New Roman" w:hAnsi="Times New Roman" w:eastAsia="宋体"/>
                <w:color w:val="auto"/>
                <w:sz w:val="15"/>
                <w:szCs w:val="15"/>
                <w:highlight w:val="none"/>
              </w:rPr>
            </w:pPr>
            <w:r>
              <w:rPr>
                <w:rFonts w:ascii="Times New Roman" w:hAnsi="Times New Roman" w:eastAsia="宋体"/>
                <w:color w:val="auto"/>
                <w:sz w:val="15"/>
                <w:szCs w:val="15"/>
                <w:highlight w:val="none"/>
              </w:rPr>
              <w:t>4月13日—</w:t>
            </w:r>
            <w:r>
              <w:rPr>
                <w:rFonts w:hint="eastAsia" w:ascii="Times New Roman" w:hAnsi="Times New Roman" w:eastAsia="宋体"/>
                <w:color w:val="auto"/>
                <w:sz w:val="15"/>
                <w:szCs w:val="15"/>
                <w:highlight w:val="none"/>
              </w:rPr>
              <w:t>10</w:t>
            </w:r>
            <w:r>
              <w:rPr>
                <w:rFonts w:ascii="Times New Roman" w:hAnsi="Times New Roman" w:eastAsia="宋体"/>
                <w:color w:val="auto"/>
                <w:sz w:val="15"/>
                <w:szCs w:val="15"/>
                <w:highlight w:val="none"/>
              </w:rPr>
              <w:t>月</w:t>
            </w:r>
            <w:r>
              <w:rPr>
                <w:rFonts w:hint="eastAsia" w:ascii="Times New Roman" w:hAnsi="Times New Roman" w:eastAsia="宋体"/>
                <w:color w:val="auto"/>
                <w:sz w:val="15"/>
                <w:szCs w:val="15"/>
                <w:highlight w:val="none"/>
              </w:rPr>
              <w:t>5</w:t>
            </w:r>
            <w:r>
              <w:rPr>
                <w:rFonts w:ascii="Times New Roman" w:hAnsi="Times New Roman" w:eastAsia="宋体"/>
                <w:color w:val="auto"/>
                <w:sz w:val="15"/>
                <w:szCs w:val="15"/>
                <w:highlight w:val="none"/>
              </w:rPr>
              <w:t>日</w:t>
            </w:r>
          </w:p>
        </w:tc>
        <w:tc>
          <w:tcPr>
            <w:tcW w:w="806" w:type="dxa"/>
            <w:tcBorders>
              <w:top w:val="nil"/>
              <w:left w:val="nil"/>
              <w:bottom w:val="nil"/>
              <w:right w:val="nil"/>
            </w:tcBorders>
            <w:noWrap/>
            <w:vAlign w:val="center"/>
          </w:tcPr>
          <w:p w14:paraId="65BA004E">
            <w:pPr>
              <w:widowControl/>
              <w:adjustRightInd w:val="0"/>
              <w:snapToGrid w:val="0"/>
              <w:jc w:val="center"/>
              <w:rPr>
                <w:rFonts w:ascii="Times New Roman" w:hAnsi="Times New Roman" w:eastAsia="宋体"/>
                <w:color w:val="auto"/>
                <w:sz w:val="15"/>
                <w:szCs w:val="15"/>
                <w:highlight w:val="none"/>
              </w:rPr>
            </w:pPr>
            <w:r>
              <w:rPr>
                <w:rFonts w:hint="eastAsia" w:ascii="Times New Roman" w:hAnsi="Times New Roman" w:eastAsia="宋体"/>
                <w:color w:val="auto"/>
                <w:sz w:val="15"/>
                <w:szCs w:val="15"/>
                <w:highlight w:val="none"/>
              </w:rPr>
              <w:t>176</w:t>
            </w:r>
          </w:p>
        </w:tc>
        <w:tc>
          <w:tcPr>
            <w:tcW w:w="1232" w:type="dxa"/>
            <w:tcBorders>
              <w:top w:val="nil"/>
              <w:left w:val="nil"/>
              <w:bottom w:val="nil"/>
              <w:right w:val="nil"/>
            </w:tcBorders>
            <w:noWrap/>
            <w:vAlign w:val="center"/>
          </w:tcPr>
          <w:p w14:paraId="2BAAAD9E">
            <w:pPr>
              <w:widowControl/>
              <w:adjustRightInd w:val="0"/>
              <w:snapToGrid w:val="0"/>
              <w:jc w:val="center"/>
              <w:rPr>
                <w:rFonts w:ascii="Times New Roman" w:hAnsi="Times New Roman" w:eastAsia="宋体"/>
                <w:color w:val="auto"/>
                <w:sz w:val="15"/>
                <w:szCs w:val="15"/>
                <w:highlight w:val="none"/>
              </w:rPr>
            </w:pPr>
            <w:r>
              <w:rPr>
                <w:rFonts w:hint="eastAsia" w:ascii="Times New Roman" w:hAnsi="Times New Roman" w:eastAsia="宋体"/>
                <w:color w:val="auto"/>
                <w:sz w:val="15"/>
                <w:szCs w:val="15"/>
                <w:highlight w:val="none"/>
              </w:rPr>
              <w:t>166/176</w:t>
            </w:r>
          </w:p>
        </w:tc>
        <w:tc>
          <w:tcPr>
            <w:tcW w:w="1034" w:type="dxa"/>
            <w:tcBorders>
              <w:top w:val="nil"/>
              <w:left w:val="nil"/>
              <w:bottom w:val="nil"/>
              <w:right w:val="nil"/>
            </w:tcBorders>
            <w:noWrap/>
            <w:vAlign w:val="center"/>
          </w:tcPr>
          <w:p w14:paraId="4DD354D9">
            <w:pPr>
              <w:widowControl/>
              <w:adjustRightInd w:val="0"/>
              <w:snapToGrid w:val="0"/>
              <w:jc w:val="center"/>
              <w:rPr>
                <w:rFonts w:ascii="Times New Roman" w:hAnsi="Times New Roman" w:eastAsia="宋体"/>
                <w:color w:val="auto"/>
                <w:sz w:val="15"/>
                <w:szCs w:val="15"/>
                <w:highlight w:val="none"/>
              </w:rPr>
            </w:pPr>
            <w:r>
              <w:rPr>
                <w:rFonts w:hint="eastAsia" w:ascii="Times New Roman" w:hAnsi="Times New Roman" w:eastAsia="宋体"/>
                <w:color w:val="auto"/>
                <w:sz w:val="15"/>
                <w:szCs w:val="15"/>
                <w:highlight w:val="none"/>
              </w:rPr>
              <w:t>94.32</w:t>
            </w:r>
          </w:p>
        </w:tc>
        <w:tc>
          <w:tcPr>
            <w:tcW w:w="1285" w:type="dxa"/>
            <w:tcBorders>
              <w:top w:val="nil"/>
              <w:left w:val="nil"/>
              <w:bottom w:val="nil"/>
              <w:right w:val="nil"/>
            </w:tcBorders>
            <w:noWrap/>
            <w:vAlign w:val="center"/>
          </w:tcPr>
          <w:p w14:paraId="3F6AE97D">
            <w:pPr>
              <w:widowControl/>
              <w:adjustRightInd w:val="0"/>
              <w:snapToGrid w:val="0"/>
              <w:jc w:val="center"/>
              <w:rPr>
                <w:rFonts w:ascii="Times New Roman" w:hAnsi="Times New Roman" w:eastAsia="宋体"/>
                <w:color w:val="auto"/>
                <w:sz w:val="15"/>
                <w:szCs w:val="15"/>
                <w:highlight w:val="none"/>
              </w:rPr>
            </w:pPr>
            <w:r>
              <w:rPr>
                <w:rFonts w:hint="eastAsia" w:ascii="Times New Roman" w:hAnsi="Times New Roman" w:eastAsia="宋体"/>
                <w:color w:val="auto"/>
                <w:sz w:val="15"/>
                <w:szCs w:val="15"/>
                <w:highlight w:val="none"/>
              </w:rPr>
              <w:t>163/176</w:t>
            </w:r>
          </w:p>
        </w:tc>
        <w:tc>
          <w:tcPr>
            <w:tcW w:w="1160" w:type="dxa"/>
            <w:tcBorders>
              <w:top w:val="nil"/>
              <w:left w:val="nil"/>
              <w:bottom w:val="nil"/>
              <w:right w:val="nil"/>
            </w:tcBorders>
            <w:noWrap/>
            <w:vAlign w:val="center"/>
          </w:tcPr>
          <w:p w14:paraId="038C4664">
            <w:pPr>
              <w:widowControl/>
              <w:adjustRightInd w:val="0"/>
              <w:snapToGrid w:val="0"/>
              <w:jc w:val="center"/>
              <w:rPr>
                <w:rFonts w:ascii="Times New Roman" w:hAnsi="Times New Roman" w:eastAsia="宋体"/>
                <w:color w:val="auto"/>
                <w:sz w:val="15"/>
                <w:szCs w:val="15"/>
                <w:highlight w:val="none"/>
              </w:rPr>
            </w:pPr>
            <w:r>
              <w:rPr>
                <w:rFonts w:hint="eastAsia" w:ascii="Times New Roman" w:hAnsi="Times New Roman" w:eastAsia="宋体"/>
                <w:color w:val="auto"/>
                <w:sz w:val="15"/>
                <w:szCs w:val="15"/>
                <w:highlight w:val="none"/>
              </w:rPr>
              <w:t>92.61</w:t>
            </w:r>
          </w:p>
        </w:tc>
      </w:tr>
      <w:tr w14:paraId="10F04216">
        <w:tblPrEx>
          <w:tblCellMar>
            <w:top w:w="0" w:type="dxa"/>
            <w:left w:w="108" w:type="dxa"/>
            <w:bottom w:w="0" w:type="dxa"/>
            <w:right w:w="108" w:type="dxa"/>
          </w:tblCellMar>
        </w:tblPrEx>
        <w:trPr>
          <w:trHeight w:val="283" w:hRule="atLeast"/>
          <w:jc w:val="center"/>
        </w:trPr>
        <w:tc>
          <w:tcPr>
            <w:tcW w:w="642" w:type="dxa"/>
            <w:tcBorders>
              <w:top w:val="nil"/>
              <w:left w:val="nil"/>
              <w:bottom w:val="nil"/>
              <w:right w:val="nil"/>
            </w:tcBorders>
            <w:noWrap/>
            <w:vAlign w:val="center"/>
          </w:tcPr>
          <w:p w14:paraId="243E8B6A">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2020</w:t>
            </w:r>
          </w:p>
        </w:tc>
        <w:tc>
          <w:tcPr>
            <w:tcW w:w="918" w:type="dxa"/>
            <w:tcBorders>
              <w:top w:val="nil"/>
              <w:left w:val="nil"/>
              <w:bottom w:val="nil"/>
              <w:right w:val="nil"/>
            </w:tcBorders>
            <w:noWrap/>
            <w:vAlign w:val="center"/>
          </w:tcPr>
          <w:p w14:paraId="0E771FB4">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苗期</w:t>
            </w:r>
          </w:p>
        </w:tc>
        <w:tc>
          <w:tcPr>
            <w:tcW w:w="1701" w:type="dxa"/>
            <w:tcBorders>
              <w:top w:val="nil"/>
              <w:left w:val="nil"/>
              <w:bottom w:val="nil"/>
              <w:right w:val="nil"/>
            </w:tcBorders>
            <w:vAlign w:val="center"/>
          </w:tcPr>
          <w:p w14:paraId="0B07E6BB">
            <w:pPr>
              <w:widowControl/>
              <w:adjustRightInd w:val="0"/>
              <w:snapToGrid w:val="0"/>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4月1</w:t>
            </w:r>
            <w:r>
              <w:rPr>
                <w:rFonts w:hint="eastAsia" w:ascii="Times New Roman" w:hAnsi="Times New Roman" w:eastAsia="宋体"/>
                <w:color w:val="auto"/>
                <w:sz w:val="15"/>
                <w:szCs w:val="15"/>
                <w:highlight w:val="none"/>
              </w:rPr>
              <w:t>5</w:t>
            </w:r>
            <w:r>
              <w:rPr>
                <w:rFonts w:ascii="Times New Roman" w:hAnsi="Times New Roman" w:eastAsia="宋体"/>
                <w:color w:val="auto"/>
                <w:sz w:val="15"/>
                <w:szCs w:val="15"/>
                <w:highlight w:val="none"/>
              </w:rPr>
              <w:t>日—</w:t>
            </w:r>
            <w:r>
              <w:rPr>
                <w:rFonts w:hint="eastAsia" w:ascii="Times New Roman" w:hAnsi="Times New Roman" w:eastAsia="宋体"/>
                <w:color w:val="auto"/>
                <w:sz w:val="15"/>
                <w:szCs w:val="15"/>
                <w:highlight w:val="none"/>
              </w:rPr>
              <w:t>5</w:t>
            </w:r>
            <w:r>
              <w:rPr>
                <w:rFonts w:ascii="Times New Roman" w:hAnsi="Times New Roman" w:eastAsia="宋体"/>
                <w:color w:val="auto"/>
                <w:sz w:val="15"/>
                <w:szCs w:val="15"/>
                <w:highlight w:val="none"/>
              </w:rPr>
              <w:t>月</w:t>
            </w:r>
            <w:r>
              <w:rPr>
                <w:rFonts w:hint="eastAsia" w:ascii="Times New Roman" w:hAnsi="Times New Roman" w:eastAsia="宋体"/>
                <w:color w:val="auto"/>
                <w:sz w:val="15"/>
                <w:szCs w:val="15"/>
                <w:highlight w:val="none"/>
              </w:rPr>
              <w:t>27</w:t>
            </w:r>
            <w:r>
              <w:rPr>
                <w:rFonts w:ascii="Times New Roman" w:hAnsi="Times New Roman" w:eastAsia="宋体"/>
                <w:color w:val="auto"/>
                <w:sz w:val="15"/>
                <w:szCs w:val="15"/>
                <w:highlight w:val="none"/>
              </w:rPr>
              <w:t>日</w:t>
            </w:r>
          </w:p>
        </w:tc>
        <w:tc>
          <w:tcPr>
            <w:tcW w:w="806" w:type="dxa"/>
            <w:tcBorders>
              <w:top w:val="nil"/>
              <w:left w:val="nil"/>
              <w:bottom w:val="nil"/>
              <w:right w:val="nil"/>
            </w:tcBorders>
            <w:noWrap/>
            <w:vAlign w:val="center"/>
          </w:tcPr>
          <w:p w14:paraId="492B3919">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43</w:t>
            </w:r>
          </w:p>
        </w:tc>
        <w:tc>
          <w:tcPr>
            <w:tcW w:w="1232" w:type="dxa"/>
            <w:tcBorders>
              <w:top w:val="nil"/>
              <w:left w:val="nil"/>
              <w:bottom w:val="nil"/>
              <w:right w:val="nil"/>
            </w:tcBorders>
            <w:noWrap/>
            <w:vAlign w:val="center"/>
          </w:tcPr>
          <w:p w14:paraId="1A3A5185">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35/43</w:t>
            </w:r>
          </w:p>
        </w:tc>
        <w:tc>
          <w:tcPr>
            <w:tcW w:w="1034" w:type="dxa"/>
            <w:tcBorders>
              <w:top w:val="nil"/>
              <w:left w:val="nil"/>
              <w:bottom w:val="nil"/>
              <w:right w:val="nil"/>
            </w:tcBorders>
            <w:noWrap/>
            <w:vAlign w:val="center"/>
          </w:tcPr>
          <w:p w14:paraId="4A562233">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81.40</w:t>
            </w:r>
          </w:p>
        </w:tc>
        <w:tc>
          <w:tcPr>
            <w:tcW w:w="1285" w:type="dxa"/>
            <w:tcBorders>
              <w:top w:val="nil"/>
              <w:left w:val="nil"/>
              <w:bottom w:val="nil"/>
              <w:right w:val="nil"/>
            </w:tcBorders>
            <w:noWrap/>
            <w:vAlign w:val="center"/>
          </w:tcPr>
          <w:p w14:paraId="656AD1EC">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33/43</w:t>
            </w:r>
          </w:p>
        </w:tc>
        <w:tc>
          <w:tcPr>
            <w:tcW w:w="1160" w:type="dxa"/>
            <w:tcBorders>
              <w:top w:val="nil"/>
              <w:left w:val="nil"/>
              <w:bottom w:val="nil"/>
              <w:right w:val="nil"/>
            </w:tcBorders>
            <w:noWrap/>
            <w:vAlign w:val="center"/>
          </w:tcPr>
          <w:p w14:paraId="4E042AF1">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76.74</w:t>
            </w:r>
          </w:p>
        </w:tc>
      </w:tr>
      <w:tr w14:paraId="167721CF">
        <w:tblPrEx>
          <w:tblCellMar>
            <w:top w:w="0" w:type="dxa"/>
            <w:left w:w="108" w:type="dxa"/>
            <w:bottom w:w="0" w:type="dxa"/>
            <w:right w:w="108" w:type="dxa"/>
          </w:tblCellMar>
        </w:tblPrEx>
        <w:trPr>
          <w:trHeight w:val="283" w:hRule="atLeast"/>
          <w:jc w:val="center"/>
        </w:trPr>
        <w:tc>
          <w:tcPr>
            <w:tcW w:w="642" w:type="dxa"/>
            <w:tcBorders>
              <w:top w:val="nil"/>
              <w:left w:val="nil"/>
              <w:bottom w:val="nil"/>
              <w:right w:val="nil"/>
            </w:tcBorders>
            <w:noWrap/>
            <w:vAlign w:val="center"/>
          </w:tcPr>
          <w:p w14:paraId="6C23F3FF">
            <w:pPr>
              <w:widowControl/>
              <w:adjustRightInd w:val="0"/>
              <w:snapToGrid w:val="0"/>
              <w:jc w:val="center"/>
              <w:rPr>
                <w:rFonts w:ascii="Times New Roman" w:hAnsi="Times New Roman" w:eastAsia="等线" w:cs="Times New Roman"/>
                <w:color w:val="auto"/>
                <w:kern w:val="0"/>
                <w:sz w:val="15"/>
                <w:szCs w:val="15"/>
                <w:highlight w:val="none"/>
              </w:rPr>
            </w:pPr>
          </w:p>
        </w:tc>
        <w:tc>
          <w:tcPr>
            <w:tcW w:w="918" w:type="dxa"/>
            <w:tcBorders>
              <w:top w:val="nil"/>
              <w:left w:val="nil"/>
              <w:bottom w:val="nil"/>
              <w:right w:val="nil"/>
            </w:tcBorders>
            <w:noWrap/>
            <w:vAlign w:val="center"/>
          </w:tcPr>
          <w:p w14:paraId="3A546BB5">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蕾期</w:t>
            </w:r>
          </w:p>
        </w:tc>
        <w:tc>
          <w:tcPr>
            <w:tcW w:w="1701" w:type="dxa"/>
            <w:tcBorders>
              <w:top w:val="nil"/>
              <w:left w:val="nil"/>
              <w:bottom w:val="nil"/>
              <w:right w:val="nil"/>
            </w:tcBorders>
            <w:vAlign w:val="center"/>
          </w:tcPr>
          <w:p w14:paraId="53B4D226">
            <w:pPr>
              <w:widowControl/>
              <w:adjustRightInd w:val="0"/>
              <w:snapToGrid w:val="0"/>
              <w:rPr>
                <w:rFonts w:ascii="Times New Roman" w:hAnsi="Times New Roman" w:eastAsia="等线" w:cs="Times New Roman"/>
                <w:color w:val="auto"/>
                <w:kern w:val="0"/>
                <w:sz w:val="15"/>
                <w:szCs w:val="15"/>
                <w:highlight w:val="none"/>
              </w:rPr>
            </w:pPr>
            <w:r>
              <w:rPr>
                <w:rFonts w:hint="eastAsia" w:ascii="Times New Roman" w:hAnsi="Times New Roman" w:eastAsia="宋体"/>
                <w:color w:val="auto"/>
                <w:sz w:val="15"/>
                <w:szCs w:val="15"/>
                <w:highlight w:val="none"/>
              </w:rPr>
              <w:t>5月28日</w:t>
            </w:r>
            <w:r>
              <w:rPr>
                <w:rFonts w:ascii="Times New Roman" w:hAnsi="Times New Roman" w:eastAsia="宋体"/>
                <w:color w:val="auto"/>
                <w:sz w:val="15"/>
                <w:szCs w:val="15"/>
                <w:highlight w:val="none"/>
              </w:rPr>
              <w:t>—</w:t>
            </w:r>
            <w:r>
              <w:rPr>
                <w:rFonts w:hint="eastAsia" w:ascii="Times New Roman" w:hAnsi="Times New Roman" w:eastAsia="宋体"/>
                <w:color w:val="auto"/>
                <w:sz w:val="15"/>
                <w:szCs w:val="15"/>
                <w:highlight w:val="none"/>
              </w:rPr>
              <w:t>6月28日</w:t>
            </w:r>
          </w:p>
        </w:tc>
        <w:tc>
          <w:tcPr>
            <w:tcW w:w="806" w:type="dxa"/>
            <w:tcBorders>
              <w:top w:val="nil"/>
              <w:left w:val="nil"/>
              <w:bottom w:val="nil"/>
              <w:right w:val="nil"/>
            </w:tcBorders>
            <w:noWrap/>
            <w:vAlign w:val="center"/>
          </w:tcPr>
          <w:p w14:paraId="5AEEDC03">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32</w:t>
            </w:r>
          </w:p>
        </w:tc>
        <w:tc>
          <w:tcPr>
            <w:tcW w:w="1232" w:type="dxa"/>
            <w:tcBorders>
              <w:top w:val="nil"/>
              <w:left w:val="nil"/>
              <w:bottom w:val="nil"/>
              <w:right w:val="nil"/>
            </w:tcBorders>
            <w:noWrap/>
            <w:vAlign w:val="center"/>
          </w:tcPr>
          <w:p w14:paraId="187B41A0">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30/32</w:t>
            </w:r>
          </w:p>
        </w:tc>
        <w:tc>
          <w:tcPr>
            <w:tcW w:w="1034" w:type="dxa"/>
            <w:tcBorders>
              <w:top w:val="nil"/>
              <w:left w:val="nil"/>
              <w:bottom w:val="nil"/>
              <w:right w:val="nil"/>
            </w:tcBorders>
            <w:noWrap/>
            <w:vAlign w:val="center"/>
          </w:tcPr>
          <w:p w14:paraId="4B914521">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93.75</w:t>
            </w:r>
          </w:p>
        </w:tc>
        <w:tc>
          <w:tcPr>
            <w:tcW w:w="1285" w:type="dxa"/>
            <w:tcBorders>
              <w:top w:val="nil"/>
              <w:left w:val="nil"/>
              <w:bottom w:val="nil"/>
              <w:right w:val="nil"/>
            </w:tcBorders>
            <w:noWrap/>
            <w:vAlign w:val="center"/>
          </w:tcPr>
          <w:p w14:paraId="1F15F10F">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30/32</w:t>
            </w:r>
          </w:p>
        </w:tc>
        <w:tc>
          <w:tcPr>
            <w:tcW w:w="1160" w:type="dxa"/>
            <w:tcBorders>
              <w:top w:val="nil"/>
              <w:left w:val="nil"/>
              <w:bottom w:val="nil"/>
              <w:right w:val="nil"/>
            </w:tcBorders>
            <w:noWrap/>
            <w:vAlign w:val="center"/>
          </w:tcPr>
          <w:p w14:paraId="27CD9FC5">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93.75</w:t>
            </w:r>
          </w:p>
        </w:tc>
      </w:tr>
      <w:tr w14:paraId="32B28E16">
        <w:tblPrEx>
          <w:tblCellMar>
            <w:top w:w="0" w:type="dxa"/>
            <w:left w:w="108" w:type="dxa"/>
            <w:bottom w:w="0" w:type="dxa"/>
            <w:right w:w="108" w:type="dxa"/>
          </w:tblCellMar>
        </w:tblPrEx>
        <w:trPr>
          <w:trHeight w:val="283" w:hRule="atLeast"/>
          <w:jc w:val="center"/>
        </w:trPr>
        <w:tc>
          <w:tcPr>
            <w:tcW w:w="642" w:type="dxa"/>
            <w:tcBorders>
              <w:top w:val="nil"/>
              <w:left w:val="nil"/>
              <w:right w:val="nil"/>
            </w:tcBorders>
            <w:noWrap/>
            <w:vAlign w:val="center"/>
          </w:tcPr>
          <w:p w14:paraId="7358C27C">
            <w:pPr>
              <w:widowControl/>
              <w:adjustRightInd w:val="0"/>
              <w:snapToGrid w:val="0"/>
              <w:jc w:val="center"/>
              <w:rPr>
                <w:rFonts w:ascii="Times New Roman" w:hAnsi="Times New Roman" w:eastAsia="等线" w:cs="Times New Roman"/>
                <w:color w:val="auto"/>
                <w:kern w:val="0"/>
                <w:sz w:val="15"/>
                <w:szCs w:val="15"/>
                <w:highlight w:val="none"/>
              </w:rPr>
            </w:pPr>
          </w:p>
        </w:tc>
        <w:tc>
          <w:tcPr>
            <w:tcW w:w="918" w:type="dxa"/>
            <w:tcBorders>
              <w:top w:val="nil"/>
              <w:left w:val="nil"/>
              <w:right w:val="nil"/>
            </w:tcBorders>
            <w:noWrap/>
            <w:vAlign w:val="center"/>
          </w:tcPr>
          <w:p w14:paraId="2F2A0968">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花铃期</w:t>
            </w:r>
          </w:p>
        </w:tc>
        <w:tc>
          <w:tcPr>
            <w:tcW w:w="1701" w:type="dxa"/>
            <w:tcBorders>
              <w:top w:val="nil"/>
              <w:left w:val="nil"/>
              <w:right w:val="nil"/>
            </w:tcBorders>
            <w:vAlign w:val="center"/>
          </w:tcPr>
          <w:p w14:paraId="7AB7A615">
            <w:pPr>
              <w:widowControl/>
              <w:adjustRightInd w:val="0"/>
              <w:snapToGrid w:val="0"/>
              <w:rPr>
                <w:rFonts w:ascii="Times New Roman" w:hAnsi="Times New Roman" w:eastAsia="等线" w:cs="Times New Roman"/>
                <w:color w:val="auto"/>
                <w:kern w:val="0"/>
                <w:sz w:val="15"/>
                <w:szCs w:val="15"/>
                <w:highlight w:val="none"/>
              </w:rPr>
            </w:pPr>
            <w:r>
              <w:rPr>
                <w:rFonts w:hint="eastAsia" w:ascii="Times New Roman" w:hAnsi="Times New Roman" w:eastAsia="宋体"/>
                <w:color w:val="auto"/>
                <w:sz w:val="15"/>
                <w:szCs w:val="15"/>
                <w:highlight w:val="none"/>
              </w:rPr>
              <w:t>6月29日</w:t>
            </w:r>
            <w:r>
              <w:rPr>
                <w:rFonts w:ascii="Times New Roman" w:hAnsi="Times New Roman" w:eastAsia="宋体"/>
                <w:color w:val="auto"/>
                <w:sz w:val="15"/>
                <w:szCs w:val="15"/>
                <w:highlight w:val="none"/>
              </w:rPr>
              <w:t>—</w:t>
            </w:r>
            <w:r>
              <w:rPr>
                <w:rFonts w:hint="eastAsia" w:ascii="Times New Roman" w:hAnsi="Times New Roman" w:eastAsia="宋体"/>
                <w:color w:val="auto"/>
                <w:sz w:val="15"/>
                <w:szCs w:val="15"/>
                <w:highlight w:val="none"/>
              </w:rPr>
              <w:t>8月20日</w:t>
            </w:r>
          </w:p>
        </w:tc>
        <w:tc>
          <w:tcPr>
            <w:tcW w:w="806" w:type="dxa"/>
            <w:tcBorders>
              <w:top w:val="nil"/>
              <w:left w:val="nil"/>
              <w:right w:val="nil"/>
            </w:tcBorders>
            <w:noWrap/>
            <w:vAlign w:val="center"/>
          </w:tcPr>
          <w:p w14:paraId="726B6285">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53</w:t>
            </w:r>
          </w:p>
        </w:tc>
        <w:tc>
          <w:tcPr>
            <w:tcW w:w="1232" w:type="dxa"/>
            <w:tcBorders>
              <w:top w:val="nil"/>
              <w:left w:val="nil"/>
              <w:right w:val="nil"/>
            </w:tcBorders>
            <w:noWrap/>
            <w:vAlign w:val="center"/>
          </w:tcPr>
          <w:p w14:paraId="1CAF81ED">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49/53</w:t>
            </w:r>
          </w:p>
        </w:tc>
        <w:tc>
          <w:tcPr>
            <w:tcW w:w="1034" w:type="dxa"/>
            <w:tcBorders>
              <w:top w:val="nil"/>
              <w:left w:val="nil"/>
              <w:right w:val="nil"/>
            </w:tcBorders>
            <w:noWrap/>
            <w:vAlign w:val="center"/>
          </w:tcPr>
          <w:p w14:paraId="14183372">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92.45</w:t>
            </w:r>
          </w:p>
        </w:tc>
        <w:tc>
          <w:tcPr>
            <w:tcW w:w="1285" w:type="dxa"/>
            <w:tcBorders>
              <w:top w:val="nil"/>
              <w:left w:val="nil"/>
              <w:right w:val="nil"/>
            </w:tcBorders>
            <w:noWrap/>
            <w:vAlign w:val="center"/>
          </w:tcPr>
          <w:p w14:paraId="7F7A67CA">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47/53</w:t>
            </w:r>
          </w:p>
        </w:tc>
        <w:tc>
          <w:tcPr>
            <w:tcW w:w="1160" w:type="dxa"/>
            <w:tcBorders>
              <w:top w:val="nil"/>
              <w:left w:val="nil"/>
              <w:right w:val="nil"/>
            </w:tcBorders>
            <w:noWrap/>
            <w:vAlign w:val="center"/>
          </w:tcPr>
          <w:p w14:paraId="15ECA63F">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88.68</w:t>
            </w:r>
          </w:p>
        </w:tc>
      </w:tr>
      <w:tr w14:paraId="1B93EBFE">
        <w:tblPrEx>
          <w:tblCellMar>
            <w:top w:w="0" w:type="dxa"/>
            <w:left w:w="108" w:type="dxa"/>
            <w:bottom w:w="0" w:type="dxa"/>
            <w:right w:w="108" w:type="dxa"/>
          </w:tblCellMar>
        </w:tblPrEx>
        <w:trPr>
          <w:trHeight w:val="283" w:hRule="atLeast"/>
          <w:jc w:val="center"/>
        </w:trPr>
        <w:tc>
          <w:tcPr>
            <w:tcW w:w="642" w:type="dxa"/>
            <w:tcBorders>
              <w:top w:val="nil"/>
              <w:left w:val="nil"/>
              <w:bottom w:val="nil"/>
              <w:right w:val="nil"/>
            </w:tcBorders>
            <w:noWrap/>
            <w:vAlign w:val="center"/>
          </w:tcPr>
          <w:p w14:paraId="0701BB9C">
            <w:pPr>
              <w:widowControl/>
              <w:adjustRightInd w:val="0"/>
              <w:snapToGrid w:val="0"/>
              <w:jc w:val="center"/>
              <w:rPr>
                <w:rFonts w:ascii="Times New Roman" w:hAnsi="Times New Roman" w:eastAsia="等线" w:cs="Times New Roman"/>
                <w:color w:val="auto"/>
                <w:kern w:val="0"/>
                <w:sz w:val="15"/>
                <w:szCs w:val="15"/>
                <w:highlight w:val="none"/>
              </w:rPr>
            </w:pPr>
          </w:p>
        </w:tc>
        <w:tc>
          <w:tcPr>
            <w:tcW w:w="918" w:type="dxa"/>
            <w:tcBorders>
              <w:top w:val="nil"/>
              <w:left w:val="nil"/>
              <w:bottom w:val="nil"/>
              <w:right w:val="nil"/>
            </w:tcBorders>
            <w:noWrap/>
            <w:vAlign w:val="center"/>
          </w:tcPr>
          <w:p w14:paraId="68870C70">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吐絮期</w:t>
            </w:r>
          </w:p>
        </w:tc>
        <w:tc>
          <w:tcPr>
            <w:tcW w:w="1701" w:type="dxa"/>
            <w:tcBorders>
              <w:top w:val="nil"/>
              <w:left w:val="nil"/>
              <w:bottom w:val="nil"/>
              <w:right w:val="nil"/>
            </w:tcBorders>
            <w:vAlign w:val="center"/>
          </w:tcPr>
          <w:p w14:paraId="1FF50A71">
            <w:pPr>
              <w:widowControl/>
              <w:adjustRightInd w:val="0"/>
              <w:snapToGrid w:val="0"/>
              <w:rPr>
                <w:rFonts w:ascii="Times New Roman" w:hAnsi="Times New Roman" w:eastAsia="等线" w:cs="Times New Roman"/>
                <w:color w:val="auto"/>
                <w:kern w:val="0"/>
                <w:sz w:val="15"/>
                <w:szCs w:val="15"/>
                <w:highlight w:val="none"/>
              </w:rPr>
            </w:pPr>
            <w:r>
              <w:rPr>
                <w:rFonts w:hint="eastAsia" w:ascii="Times New Roman" w:hAnsi="Times New Roman" w:eastAsia="宋体"/>
                <w:color w:val="auto"/>
                <w:sz w:val="15"/>
                <w:szCs w:val="15"/>
                <w:highlight w:val="none"/>
              </w:rPr>
              <w:t>8月21日</w:t>
            </w:r>
            <w:r>
              <w:rPr>
                <w:rFonts w:ascii="Times New Roman" w:hAnsi="Times New Roman" w:eastAsia="宋体"/>
                <w:color w:val="auto"/>
                <w:sz w:val="15"/>
                <w:szCs w:val="15"/>
                <w:highlight w:val="none"/>
              </w:rPr>
              <w:t>—</w:t>
            </w:r>
            <w:r>
              <w:rPr>
                <w:rFonts w:hint="eastAsia" w:ascii="Times New Roman" w:hAnsi="Times New Roman" w:eastAsia="宋体"/>
                <w:color w:val="auto"/>
                <w:sz w:val="15"/>
                <w:szCs w:val="15"/>
                <w:highlight w:val="none"/>
              </w:rPr>
              <w:t>10月5日</w:t>
            </w:r>
          </w:p>
        </w:tc>
        <w:tc>
          <w:tcPr>
            <w:tcW w:w="806" w:type="dxa"/>
            <w:tcBorders>
              <w:top w:val="nil"/>
              <w:left w:val="nil"/>
              <w:bottom w:val="nil"/>
              <w:right w:val="nil"/>
            </w:tcBorders>
            <w:noWrap/>
            <w:vAlign w:val="center"/>
          </w:tcPr>
          <w:p w14:paraId="169E5E28">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46</w:t>
            </w:r>
          </w:p>
        </w:tc>
        <w:tc>
          <w:tcPr>
            <w:tcW w:w="1232" w:type="dxa"/>
            <w:tcBorders>
              <w:top w:val="nil"/>
              <w:left w:val="nil"/>
              <w:bottom w:val="nil"/>
              <w:right w:val="nil"/>
            </w:tcBorders>
            <w:noWrap/>
            <w:vAlign w:val="center"/>
          </w:tcPr>
          <w:p w14:paraId="548ED47C">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45/46</w:t>
            </w:r>
          </w:p>
        </w:tc>
        <w:tc>
          <w:tcPr>
            <w:tcW w:w="1034" w:type="dxa"/>
            <w:tcBorders>
              <w:top w:val="nil"/>
              <w:left w:val="nil"/>
              <w:bottom w:val="nil"/>
              <w:right w:val="nil"/>
            </w:tcBorders>
            <w:noWrap/>
            <w:vAlign w:val="center"/>
          </w:tcPr>
          <w:p w14:paraId="067A7C7B">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97.83</w:t>
            </w:r>
          </w:p>
        </w:tc>
        <w:tc>
          <w:tcPr>
            <w:tcW w:w="1285" w:type="dxa"/>
            <w:tcBorders>
              <w:top w:val="nil"/>
              <w:left w:val="nil"/>
              <w:bottom w:val="nil"/>
              <w:right w:val="nil"/>
            </w:tcBorders>
            <w:noWrap/>
            <w:vAlign w:val="center"/>
          </w:tcPr>
          <w:p w14:paraId="24062F96">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45/46</w:t>
            </w:r>
          </w:p>
        </w:tc>
        <w:tc>
          <w:tcPr>
            <w:tcW w:w="1160" w:type="dxa"/>
            <w:tcBorders>
              <w:top w:val="nil"/>
              <w:left w:val="nil"/>
              <w:bottom w:val="nil"/>
              <w:right w:val="nil"/>
            </w:tcBorders>
            <w:noWrap/>
            <w:vAlign w:val="center"/>
          </w:tcPr>
          <w:p w14:paraId="1C5C4A1D">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宋体"/>
                <w:color w:val="auto"/>
                <w:sz w:val="15"/>
                <w:szCs w:val="15"/>
                <w:highlight w:val="none"/>
              </w:rPr>
              <w:t>97.83</w:t>
            </w:r>
          </w:p>
        </w:tc>
      </w:tr>
      <w:tr w14:paraId="0B707D67">
        <w:tblPrEx>
          <w:tblCellMar>
            <w:top w:w="0" w:type="dxa"/>
            <w:left w:w="108" w:type="dxa"/>
            <w:bottom w:w="0" w:type="dxa"/>
            <w:right w:w="108" w:type="dxa"/>
          </w:tblCellMar>
        </w:tblPrEx>
        <w:trPr>
          <w:trHeight w:val="283" w:hRule="atLeast"/>
          <w:jc w:val="center"/>
        </w:trPr>
        <w:tc>
          <w:tcPr>
            <w:tcW w:w="642" w:type="dxa"/>
            <w:tcBorders>
              <w:top w:val="nil"/>
              <w:left w:val="nil"/>
              <w:bottom w:val="single" w:color="auto" w:sz="12" w:space="0"/>
              <w:right w:val="nil"/>
            </w:tcBorders>
            <w:noWrap/>
            <w:vAlign w:val="center"/>
          </w:tcPr>
          <w:p w14:paraId="14D11E42">
            <w:pPr>
              <w:widowControl/>
              <w:adjustRightInd w:val="0"/>
              <w:snapToGrid w:val="0"/>
              <w:jc w:val="center"/>
              <w:rPr>
                <w:rFonts w:ascii="Times New Roman" w:hAnsi="Times New Roman" w:eastAsia="等线" w:cs="Times New Roman"/>
                <w:color w:val="auto"/>
                <w:kern w:val="0"/>
                <w:sz w:val="15"/>
                <w:szCs w:val="15"/>
                <w:highlight w:val="none"/>
              </w:rPr>
            </w:pPr>
          </w:p>
        </w:tc>
        <w:tc>
          <w:tcPr>
            <w:tcW w:w="918" w:type="dxa"/>
            <w:tcBorders>
              <w:top w:val="nil"/>
              <w:left w:val="nil"/>
              <w:bottom w:val="single" w:color="auto" w:sz="12" w:space="0"/>
              <w:right w:val="nil"/>
            </w:tcBorders>
            <w:noWrap/>
            <w:vAlign w:val="center"/>
          </w:tcPr>
          <w:p w14:paraId="3582792F">
            <w:pPr>
              <w:widowControl/>
              <w:adjustRightInd w:val="0"/>
              <w:snapToGrid w:val="0"/>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总计</w:t>
            </w:r>
          </w:p>
        </w:tc>
        <w:tc>
          <w:tcPr>
            <w:tcW w:w="1701" w:type="dxa"/>
            <w:tcBorders>
              <w:top w:val="nil"/>
              <w:left w:val="nil"/>
              <w:bottom w:val="single" w:color="auto" w:sz="12" w:space="0"/>
              <w:right w:val="nil"/>
            </w:tcBorders>
            <w:vAlign w:val="center"/>
          </w:tcPr>
          <w:p w14:paraId="696FC42F">
            <w:pPr>
              <w:widowControl/>
              <w:adjustRightInd w:val="0"/>
              <w:snapToGrid w:val="0"/>
              <w:jc w:val="center"/>
              <w:rPr>
                <w:rFonts w:ascii="Times New Roman" w:hAnsi="Times New Roman" w:eastAsia="宋体"/>
                <w:color w:val="auto"/>
                <w:sz w:val="15"/>
                <w:szCs w:val="15"/>
                <w:highlight w:val="none"/>
              </w:rPr>
            </w:pPr>
            <w:r>
              <w:rPr>
                <w:rFonts w:ascii="Times New Roman" w:hAnsi="Times New Roman" w:eastAsia="宋体"/>
                <w:color w:val="auto"/>
                <w:sz w:val="15"/>
                <w:szCs w:val="15"/>
                <w:highlight w:val="none"/>
              </w:rPr>
              <w:t>4月1</w:t>
            </w:r>
            <w:r>
              <w:rPr>
                <w:rFonts w:hint="eastAsia" w:ascii="Times New Roman" w:hAnsi="Times New Roman" w:eastAsia="宋体"/>
                <w:color w:val="auto"/>
                <w:sz w:val="15"/>
                <w:szCs w:val="15"/>
                <w:highlight w:val="none"/>
              </w:rPr>
              <w:t>5</w:t>
            </w:r>
            <w:r>
              <w:rPr>
                <w:rFonts w:ascii="Times New Roman" w:hAnsi="Times New Roman" w:eastAsia="宋体"/>
                <w:color w:val="auto"/>
                <w:sz w:val="15"/>
                <w:szCs w:val="15"/>
                <w:highlight w:val="none"/>
              </w:rPr>
              <w:t>日—</w:t>
            </w:r>
            <w:r>
              <w:rPr>
                <w:rFonts w:hint="eastAsia" w:ascii="Times New Roman" w:hAnsi="Times New Roman" w:eastAsia="宋体"/>
                <w:color w:val="auto"/>
                <w:sz w:val="15"/>
                <w:szCs w:val="15"/>
                <w:highlight w:val="none"/>
              </w:rPr>
              <w:t>10</w:t>
            </w:r>
            <w:r>
              <w:rPr>
                <w:rFonts w:ascii="Times New Roman" w:hAnsi="Times New Roman" w:eastAsia="宋体"/>
                <w:color w:val="auto"/>
                <w:sz w:val="15"/>
                <w:szCs w:val="15"/>
                <w:highlight w:val="none"/>
              </w:rPr>
              <w:t>月</w:t>
            </w:r>
            <w:r>
              <w:rPr>
                <w:rFonts w:hint="eastAsia" w:ascii="Times New Roman" w:hAnsi="Times New Roman" w:eastAsia="宋体"/>
                <w:color w:val="auto"/>
                <w:sz w:val="15"/>
                <w:szCs w:val="15"/>
                <w:highlight w:val="none"/>
              </w:rPr>
              <w:t>5</w:t>
            </w:r>
            <w:r>
              <w:rPr>
                <w:rFonts w:ascii="Times New Roman" w:hAnsi="Times New Roman" w:eastAsia="宋体"/>
                <w:color w:val="auto"/>
                <w:sz w:val="15"/>
                <w:szCs w:val="15"/>
                <w:highlight w:val="none"/>
              </w:rPr>
              <w:t>日</w:t>
            </w:r>
          </w:p>
        </w:tc>
        <w:tc>
          <w:tcPr>
            <w:tcW w:w="806" w:type="dxa"/>
            <w:tcBorders>
              <w:top w:val="nil"/>
              <w:left w:val="nil"/>
              <w:bottom w:val="single" w:color="auto" w:sz="12" w:space="0"/>
              <w:right w:val="nil"/>
            </w:tcBorders>
            <w:noWrap/>
            <w:vAlign w:val="center"/>
          </w:tcPr>
          <w:p w14:paraId="7FC61D2E">
            <w:pPr>
              <w:widowControl/>
              <w:adjustRightInd w:val="0"/>
              <w:snapToGrid w:val="0"/>
              <w:jc w:val="center"/>
              <w:rPr>
                <w:rFonts w:ascii="Times New Roman" w:hAnsi="Times New Roman" w:eastAsia="宋体"/>
                <w:color w:val="auto"/>
                <w:sz w:val="15"/>
                <w:szCs w:val="15"/>
                <w:highlight w:val="none"/>
              </w:rPr>
            </w:pPr>
            <w:r>
              <w:rPr>
                <w:rFonts w:hint="eastAsia" w:ascii="Times New Roman" w:hAnsi="Times New Roman" w:eastAsia="宋体"/>
                <w:color w:val="auto"/>
                <w:sz w:val="15"/>
                <w:szCs w:val="15"/>
                <w:highlight w:val="none"/>
              </w:rPr>
              <w:t>174</w:t>
            </w:r>
          </w:p>
        </w:tc>
        <w:tc>
          <w:tcPr>
            <w:tcW w:w="1232" w:type="dxa"/>
            <w:tcBorders>
              <w:top w:val="nil"/>
              <w:left w:val="nil"/>
              <w:bottom w:val="single" w:color="auto" w:sz="12" w:space="0"/>
              <w:right w:val="nil"/>
            </w:tcBorders>
            <w:noWrap/>
            <w:vAlign w:val="center"/>
          </w:tcPr>
          <w:p w14:paraId="6E5A734E">
            <w:pPr>
              <w:widowControl/>
              <w:adjustRightInd w:val="0"/>
              <w:snapToGrid w:val="0"/>
              <w:jc w:val="center"/>
              <w:rPr>
                <w:rFonts w:ascii="Times New Roman" w:hAnsi="Times New Roman" w:eastAsia="宋体"/>
                <w:color w:val="auto"/>
                <w:sz w:val="15"/>
                <w:szCs w:val="15"/>
                <w:highlight w:val="none"/>
              </w:rPr>
            </w:pPr>
            <w:r>
              <w:rPr>
                <w:rFonts w:hint="eastAsia" w:ascii="Times New Roman" w:hAnsi="Times New Roman" w:eastAsia="宋体"/>
                <w:color w:val="auto"/>
                <w:sz w:val="15"/>
                <w:szCs w:val="15"/>
                <w:highlight w:val="none"/>
              </w:rPr>
              <w:t>159/174</w:t>
            </w:r>
          </w:p>
        </w:tc>
        <w:tc>
          <w:tcPr>
            <w:tcW w:w="1034" w:type="dxa"/>
            <w:tcBorders>
              <w:top w:val="nil"/>
              <w:left w:val="nil"/>
              <w:bottom w:val="single" w:color="auto" w:sz="12" w:space="0"/>
              <w:right w:val="nil"/>
            </w:tcBorders>
            <w:noWrap/>
            <w:vAlign w:val="center"/>
          </w:tcPr>
          <w:p w14:paraId="1F067272">
            <w:pPr>
              <w:widowControl/>
              <w:adjustRightInd w:val="0"/>
              <w:snapToGrid w:val="0"/>
              <w:jc w:val="center"/>
              <w:rPr>
                <w:rFonts w:ascii="Times New Roman" w:hAnsi="Times New Roman" w:eastAsia="宋体"/>
                <w:color w:val="auto"/>
                <w:sz w:val="15"/>
                <w:szCs w:val="15"/>
                <w:highlight w:val="none"/>
              </w:rPr>
            </w:pPr>
            <w:r>
              <w:rPr>
                <w:rFonts w:hint="eastAsia" w:ascii="Times New Roman" w:hAnsi="Times New Roman" w:eastAsia="宋体"/>
                <w:color w:val="auto"/>
                <w:sz w:val="15"/>
                <w:szCs w:val="15"/>
                <w:highlight w:val="none"/>
              </w:rPr>
              <w:t>91.38</w:t>
            </w:r>
          </w:p>
        </w:tc>
        <w:tc>
          <w:tcPr>
            <w:tcW w:w="1285" w:type="dxa"/>
            <w:tcBorders>
              <w:top w:val="nil"/>
              <w:left w:val="nil"/>
              <w:bottom w:val="single" w:color="auto" w:sz="12" w:space="0"/>
              <w:right w:val="nil"/>
            </w:tcBorders>
            <w:noWrap/>
            <w:vAlign w:val="center"/>
          </w:tcPr>
          <w:p w14:paraId="556143AC">
            <w:pPr>
              <w:widowControl/>
              <w:adjustRightInd w:val="0"/>
              <w:snapToGrid w:val="0"/>
              <w:jc w:val="center"/>
              <w:rPr>
                <w:rFonts w:ascii="Times New Roman" w:hAnsi="Times New Roman" w:eastAsia="宋体"/>
                <w:color w:val="auto"/>
                <w:sz w:val="15"/>
                <w:szCs w:val="15"/>
                <w:highlight w:val="none"/>
              </w:rPr>
            </w:pPr>
            <w:r>
              <w:rPr>
                <w:rFonts w:hint="eastAsia" w:ascii="Times New Roman" w:hAnsi="Times New Roman" w:eastAsia="宋体"/>
                <w:color w:val="auto"/>
                <w:sz w:val="15"/>
                <w:szCs w:val="15"/>
                <w:highlight w:val="none"/>
              </w:rPr>
              <w:t>155/174</w:t>
            </w:r>
          </w:p>
        </w:tc>
        <w:tc>
          <w:tcPr>
            <w:tcW w:w="1160" w:type="dxa"/>
            <w:tcBorders>
              <w:top w:val="nil"/>
              <w:left w:val="nil"/>
              <w:bottom w:val="single" w:color="auto" w:sz="12" w:space="0"/>
              <w:right w:val="nil"/>
            </w:tcBorders>
            <w:noWrap/>
            <w:vAlign w:val="center"/>
          </w:tcPr>
          <w:p w14:paraId="0F6E0989">
            <w:pPr>
              <w:widowControl/>
              <w:adjustRightInd w:val="0"/>
              <w:snapToGrid w:val="0"/>
              <w:jc w:val="center"/>
              <w:rPr>
                <w:rFonts w:ascii="Times New Roman" w:hAnsi="Times New Roman" w:eastAsia="宋体"/>
                <w:color w:val="auto"/>
                <w:sz w:val="15"/>
                <w:szCs w:val="15"/>
                <w:highlight w:val="none"/>
              </w:rPr>
            </w:pPr>
            <w:r>
              <w:rPr>
                <w:rFonts w:hint="eastAsia" w:ascii="Times New Roman" w:hAnsi="Times New Roman" w:eastAsia="宋体"/>
                <w:color w:val="auto"/>
                <w:sz w:val="15"/>
                <w:szCs w:val="15"/>
                <w:highlight w:val="none"/>
              </w:rPr>
              <w:t>89.08</w:t>
            </w:r>
          </w:p>
        </w:tc>
      </w:tr>
    </w:tbl>
    <w:p w14:paraId="75878778">
      <w:pPr>
        <w:adjustRightInd w:val="0"/>
        <w:snapToGrid w:val="0"/>
        <w:jc w:val="left"/>
        <w:rPr>
          <w:rFonts w:hint="eastAsia"/>
          <w:color w:val="auto"/>
          <w:sz w:val="15"/>
          <w:szCs w:val="15"/>
          <w:highlight w:val="none"/>
        </w:rPr>
      </w:pPr>
      <w:r>
        <w:rPr>
          <w:rFonts w:ascii="Times New Roman" w:hAnsi="Times New Roman" w:eastAsia="宋体"/>
          <w:color w:val="auto"/>
          <w:sz w:val="15"/>
          <w:szCs w:val="15"/>
          <w:highlight w:val="none"/>
        </w:rPr>
        <w:t>注：表中“</w:t>
      </w:r>
      <w:r>
        <w:rPr>
          <w:rFonts w:ascii="Times New Roman" w:hAnsi="Times New Roman" w:eastAsia="宋体"/>
          <w:i/>
          <w:iCs/>
          <w:color w:val="auto"/>
          <w:sz w:val="15"/>
          <w:szCs w:val="15"/>
          <w:highlight w:val="none"/>
        </w:rPr>
        <w:t>n</w:t>
      </w:r>
      <w:r>
        <w:rPr>
          <w:rFonts w:ascii="Times New Roman" w:hAnsi="Times New Roman" w:eastAsia="宋体"/>
          <w:color w:val="auto"/>
          <w:sz w:val="15"/>
          <w:szCs w:val="15"/>
          <w:highlight w:val="none"/>
        </w:rPr>
        <w:t>/</w:t>
      </w:r>
      <w:r>
        <w:rPr>
          <w:rFonts w:ascii="Times New Roman" w:hAnsi="Times New Roman" w:eastAsia="宋体"/>
          <w:i/>
          <w:iCs/>
          <w:color w:val="auto"/>
          <w:sz w:val="15"/>
          <w:szCs w:val="15"/>
          <w:highlight w:val="none"/>
        </w:rPr>
        <w:t>N</w:t>
      </w:r>
      <w:r>
        <w:rPr>
          <w:rFonts w:ascii="Times New Roman" w:hAnsi="Times New Roman" w:eastAsia="宋体"/>
          <w:color w:val="auto"/>
          <w:sz w:val="15"/>
          <w:szCs w:val="15"/>
          <w:highlight w:val="none"/>
        </w:rPr>
        <w:t>”表示凝结日数/表中统计期天数，发生率=</w:t>
      </w:r>
      <w:r>
        <w:rPr>
          <w:rFonts w:ascii="Times New Roman" w:hAnsi="Times New Roman" w:eastAsia="宋体"/>
          <w:i/>
          <w:iCs/>
          <w:color w:val="auto"/>
          <w:sz w:val="15"/>
          <w:szCs w:val="15"/>
          <w:highlight w:val="none"/>
        </w:rPr>
        <w:t>n</w:t>
      </w:r>
      <w:r>
        <w:rPr>
          <w:rFonts w:ascii="Times New Roman" w:hAnsi="Times New Roman" w:eastAsia="宋体"/>
          <w:color w:val="auto"/>
          <w:sz w:val="15"/>
          <w:szCs w:val="15"/>
          <w:highlight w:val="none"/>
        </w:rPr>
        <w:t>/</w:t>
      </w:r>
      <w:r>
        <w:rPr>
          <w:rFonts w:ascii="Times New Roman" w:hAnsi="Times New Roman" w:eastAsia="宋体"/>
          <w:i/>
          <w:iCs/>
          <w:color w:val="auto"/>
          <w:sz w:val="15"/>
          <w:szCs w:val="15"/>
          <w:highlight w:val="none"/>
        </w:rPr>
        <w:t>N</w:t>
      </w:r>
      <w:r>
        <w:rPr>
          <w:rFonts w:ascii="Times New Roman" w:hAnsi="Times New Roman" w:eastAsia="宋体"/>
          <w:color w:val="auto"/>
          <w:sz w:val="15"/>
          <w:szCs w:val="15"/>
          <w:highlight w:val="none"/>
        </w:rPr>
        <w:t>×100%。当每日0:00—8:00 正质量变化累积量</w:t>
      </w:r>
      <w:r>
        <w:rPr>
          <w:rFonts w:ascii="Times New Roman" w:hAnsi="Times New Roman" w:eastAsia="宋体"/>
          <w:i/>
          <w:iCs/>
          <w:color w:val="auto"/>
          <w:sz w:val="15"/>
          <w:szCs w:val="15"/>
          <w:highlight w:val="none"/>
        </w:rPr>
        <w:t>C</w:t>
      </w:r>
      <w:r>
        <w:rPr>
          <w:rFonts w:ascii="Times New Roman" w:hAnsi="Times New Roman" w:eastAsia="宋体"/>
          <w:i/>
          <w:iCs/>
          <w:color w:val="auto"/>
          <w:sz w:val="15"/>
          <w:szCs w:val="15"/>
          <w:highlight w:val="none"/>
          <w:vertAlign w:val="subscript"/>
        </w:rPr>
        <w:t>d</w:t>
      </w:r>
      <w:r>
        <w:rPr>
          <w:rFonts w:ascii="Times New Roman" w:hAnsi="Times New Roman" w:eastAsia="宋体"/>
          <w:color w:val="auto"/>
          <w:sz w:val="15"/>
          <w:szCs w:val="15"/>
          <w:highlight w:val="none"/>
        </w:rPr>
        <w:t>&gt;0.02 mm时判为凝结日。统计期天数以表1列出的各生育阶段为准；2018年总计为蕾期末、花铃期和吐絮期三段之和，吐絮期按原始日汇总数据实际记录时段8月30日至9月22日统计。该发生率反映统计期内凝结水发生频度，</w:t>
      </w:r>
      <w:r>
        <w:rPr>
          <w:rFonts w:hint="eastAsia" w:ascii="Times New Roman" w:hAnsi="Times New Roman" w:eastAsia="宋体"/>
          <w:color w:val="auto"/>
          <w:sz w:val="15"/>
          <w:szCs w:val="15"/>
          <w:highlight w:val="none"/>
        </w:rPr>
        <w:t>并非</w:t>
      </w:r>
      <w:r>
        <w:rPr>
          <w:rFonts w:ascii="Times New Roman" w:hAnsi="Times New Roman" w:eastAsia="宋体"/>
          <w:color w:val="auto"/>
          <w:sz w:val="15"/>
          <w:szCs w:val="15"/>
          <w:highlight w:val="none"/>
        </w:rPr>
        <w:t>自然条件下绝对每天均发生凝结水。</w:t>
      </w:r>
    </w:p>
    <w:p w14:paraId="6B65097E">
      <w:pPr>
        <w:pStyle w:val="2"/>
        <w:adjustRightInd w:val="0"/>
        <w:snapToGrid w:val="0"/>
        <w:ind w:firstLine="420" w:firstLineChars="200"/>
        <w:rPr>
          <w:rFonts w:hint="eastAsia"/>
          <w:color w:val="auto"/>
          <w:highlight w:val="none"/>
        </w:rPr>
      </w:pPr>
      <w:r>
        <w:rPr>
          <w:rFonts w:ascii="Times New Roman" w:hAnsi="Times New Roman" w:eastAsia="宋体"/>
          <w:color w:val="auto"/>
          <w:highlight w:val="none"/>
        </w:rPr>
        <w:t>由表1可知，棉田凝结水在生育期内并非偶发过程，而是在多个生育阶段持续出现。按每日0:00—8:00正质量变化累积量</w:t>
      </w:r>
      <w:r>
        <w:rPr>
          <w:rFonts w:ascii="Times New Roman" w:hAnsi="Times New Roman" w:eastAsia="宋体"/>
          <w:i/>
          <w:iCs/>
          <w:color w:val="auto"/>
          <w:highlight w:val="none"/>
        </w:rPr>
        <w:t>C</w:t>
      </w:r>
      <w:r>
        <w:rPr>
          <w:rFonts w:ascii="Times New Roman" w:hAnsi="Times New Roman" w:eastAsia="宋体"/>
          <w:i/>
          <w:iCs/>
          <w:color w:val="auto"/>
          <w:highlight w:val="none"/>
          <w:vertAlign w:val="subscript"/>
        </w:rPr>
        <w:t>d</w:t>
      </w:r>
      <w:r>
        <w:rPr>
          <w:rFonts w:ascii="Times New Roman" w:hAnsi="Times New Roman" w:eastAsia="宋体"/>
          <w:color w:val="auto"/>
          <w:highlight w:val="none"/>
        </w:rPr>
        <w:t>&gt;0.02 mm判定凝结日，并以“凝结日数/统计期天数（发生率）”表示各处理发生情况。采用统计期天数为分母后，除2018年蕾期末覆膜与不覆膜处理均为21/21（100.00%）、2019蕾期覆膜处理为32/32（100.00%）外，其余生育阶段发生率为69.57%～98.11%，说明凝结水具有较高发生频度，但并非各阶段均为满频发生。从年内变化看，蕾期至花铃期凝结水发生频率和凝结强度相对较高，吐絮期虽仍可发生凝结，但随着气温降低、冠层结构变化和蒸散减弱，凝结水累积量整体下降。</w:t>
      </w:r>
    </w:p>
    <w:p w14:paraId="1E2A0D34">
      <w:pPr>
        <w:pStyle w:val="2"/>
        <w:adjustRightInd w:val="0"/>
        <w:snapToGrid w:val="0"/>
        <w:jc w:val="center"/>
        <w:rPr>
          <w:rFonts w:hint="eastAsia"/>
          <w:color w:val="auto"/>
          <w:highlight w:val="none"/>
        </w:rPr>
      </w:pPr>
      <w:r>
        <w:rPr>
          <w:color w:val="auto"/>
          <w:highlight w:val="none"/>
        </w:rPr>
        <w:drawing>
          <wp:inline distT="0" distB="0" distL="0" distR="0">
            <wp:extent cx="2632710" cy="1701800"/>
            <wp:effectExtent l="0" t="0" r="0" b="0"/>
            <wp:docPr id="166315571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color w:val="auto"/>
          <w:highlight w:val="none"/>
        </w:rPr>
        <w:drawing>
          <wp:inline distT="0" distB="0" distL="0" distR="0">
            <wp:extent cx="2637155" cy="1722755"/>
            <wp:effectExtent l="0" t="0" r="0" b="0"/>
            <wp:docPr id="126616656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E49430E">
      <w:pPr>
        <w:pStyle w:val="2"/>
        <w:adjustRightInd w:val="0"/>
        <w:snapToGrid w:val="0"/>
        <w:spacing w:after="0"/>
        <w:ind w:firstLine="1650" w:firstLineChars="1100"/>
        <w:rPr>
          <w:rFonts w:ascii="Times New Roman" w:hAnsi="Times New Roman" w:eastAsia="宋体" w:cs="Times New Roman"/>
          <w:color w:val="auto"/>
          <w:sz w:val="15"/>
          <w:szCs w:val="15"/>
          <w:highlight w:val="none"/>
        </w:rPr>
      </w:pPr>
      <w:r>
        <w:rPr>
          <w:rFonts w:ascii="Times New Roman" w:hAnsi="Times New Roman" w:eastAsia="宋体" w:cs="Times New Roman"/>
          <w:color w:val="auto"/>
          <w:sz w:val="15"/>
          <w:szCs w:val="15"/>
          <w:highlight w:val="none"/>
        </w:rPr>
        <w:t>（a）2018年不覆膜</w:t>
      </w:r>
      <w:r>
        <w:rPr>
          <w:rFonts w:hint="eastAsia" w:ascii="Times New Roman" w:hAnsi="Times New Roman" w:eastAsia="宋体" w:cs="Times New Roman"/>
          <w:color w:val="auto"/>
          <w:sz w:val="15"/>
          <w:szCs w:val="15"/>
          <w:highlight w:val="none"/>
        </w:rPr>
        <w:t xml:space="preserve">                                      </w:t>
      </w:r>
      <w:r>
        <w:rPr>
          <w:rFonts w:ascii="Times New Roman" w:hAnsi="Times New Roman" w:eastAsia="宋体" w:cs="Times New Roman"/>
          <w:color w:val="auto"/>
          <w:sz w:val="15"/>
          <w:szCs w:val="15"/>
          <w:highlight w:val="none"/>
        </w:rPr>
        <w:t>（b）2018年覆膜</w:t>
      </w:r>
    </w:p>
    <w:p w14:paraId="6B9E4EA5">
      <w:pPr>
        <w:pStyle w:val="2"/>
        <w:adjustRightInd w:val="0"/>
        <w:snapToGrid w:val="0"/>
        <w:spacing w:after="0"/>
        <w:jc w:val="center"/>
        <w:rPr>
          <w:rFonts w:hint="eastAsia"/>
          <w:color w:val="auto"/>
          <w:highlight w:val="none"/>
        </w:rPr>
      </w:pPr>
      <w:r>
        <w:rPr>
          <w:color w:val="auto"/>
          <w:highlight w:val="none"/>
        </w:rPr>
        <w:drawing>
          <wp:inline distT="0" distB="0" distL="0" distR="0">
            <wp:extent cx="2632710" cy="1701800"/>
            <wp:effectExtent l="0" t="0" r="0" b="0"/>
            <wp:docPr id="148575222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color w:val="auto"/>
          <w:highlight w:val="none"/>
        </w:rPr>
        <w:drawing>
          <wp:inline distT="0" distB="0" distL="0" distR="0">
            <wp:extent cx="2632710" cy="1701800"/>
            <wp:effectExtent l="0" t="0" r="0" b="0"/>
            <wp:docPr id="198501419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33BF2A0">
      <w:pPr>
        <w:pStyle w:val="2"/>
        <w:adjustRightInd w:val="0"/>
        <w:snapToGrid w:val="0"/>
        <w:spacing w:after="0"/>
        <w:ind w:firstLine="1650" w:firstLineChars="1100"/>
        <w:rPr>
          <w:rFonts w:ascii="Times New Roman" w:hAnsi="Times New Roman" w:eastAsia="宋体" w:cs="Times New Roman"/>
          <w:color w:val="auto"/>
          <w:sz w:val="15"/>
          <w:szCs w:val="15"/>
          <w:highlight w:val="none"/>
        </w:rPr>
      </w:pPr>
      <w:r>
        <w:rPr>
          <w:rFonts w:ascii="Times New Roman" w:hAnsi="Times New Roman" w:eastAsia="宋体" w:cs="Times New Roman"/>
          <w:color w:val="auto"/>
          <w:sz w:val="15"/>
          <w:szCs w:val="15"/>
          <w:highlight w:val="none"/>
        </w:rPr>
        <w:t>（c）2019年不覆膜</w:t>
      </w:r>
      <w:r>
        <w:rPr>
          <w:rFonts w:hint="eastAsia" w:ascii="Times New Roman" w:hAnsi="Times New Roman" w:eastAsia="宋体" w:cs="Times New Roman"/>
          <w:color w:val="auto"/>
          <w:sz w:val="15"/>
          <w:szCs w:val="15"/>
          <w:highlight w:val="none"/>
        </w:rPr>
        <w:t xml:space="preserve">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d</w:t>
      </w:r>
      <w:r>
        <w:rPr>
          <w:rFonts w:ascii="Times New Roman" w:hAnsi="Times New Roman" w:eastAsia="宋体" w:cs="Times New Roman"/>
          <w:color w:val="auto"/>
          <w:sz w:val="15"/>
          <w:szCs w:val="15"/>
          <w:highlight w:val="none"/>
        </w:rPr>
        <w:t>）2019年覆膜</w:t>
      </w:r>
    </w:p>
    <w:p w14:paraId="1DD7A025">
      <w:pPr>
        <w:pStyle w:val="2"/>
        <w:adjustRightInd w:val="0"/>
        <w:snapToGrid w:val="0"/>
        <w:spacing w:after="0"/>
        <w:jc w:val="center"/>
        <w:rPr>
          <w:rFonts w:hint="eastAsia"/>
          <w:color w:val="auto"/>
          <w:highlight w:val="none"/>
        </w:rPr>
      </w:pPr>
      <w:r>
        <w:rPr>
          <w:color w:val="auto"/>
          <w:highlight w:val="none"/>
        </w:rPr>
        <w:drawing>
          <wp:inline distT="0" distB="0" distL="0" distR="0">
            <wp:extent cx="2632710" cy="1701800"/>
            <wp:effectExtent l="0" t="0" r="0" b="0"/>
            <wp:docPr id="84111844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color w:val="auto"/>
          <w:highlight w:val="none"/>
        </w:rPr>
        <w:drawing>
          <wp:inline distT="0" distB="0" distL="0" distR="0">
            <wp:extent cx="2632710" cy="1701800"/>
            <wp:effectExtent l="0" t="0" r="0" b="0"/>
            <wp:docPr id="166526700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42771DF">
      <w:pPr>
        <w:pStyle w:val="2"/>
        <w:adjustRightInd w:val="0"/>
        <w:snapToGrid w:val="0"/>
        <w:spacing w:after="0"/>
        <w:ind w:firstLine="1650" w:firstLineChars="1100"/>
        <w:rPr>
          <w:rFonts w:ascii="Times New Roman" w:hAnsi="Times New Roman" w:eastAsia="宋体" w:cs="Times New Roman"/>
          <w:color w:val="auto"/>
          <w:sz w:val="15"/>
          <w:szCs w:val="15"/>
          <w:highlight w:val="none"/>
        </w:rPr>
      </w:pP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e</w:t>
      </w:r>
      <w:r>
        <w:rPr>
          <w:rFonts w:ascii="Times New Roman" w:hAnsi="Times New Roman" w:eastAsia="宋体" w:cs="Times New Roman"/>
          <w:color w:val="auto"/>
          <w:sz w:val="15"/>
          <w:szCs w:val="15"/>
          <w:highlight w:val="none"/>
        </w:rPr>
        <w:t>）2020年不覆膜</w:t>
      </w:r>
      <w:r>
        <w:rPr>
          <w:rFonts w:hint="eastAsia" w:ascii="Times New Roman" w:hAnsi="Times New Roman" w:eastAsia="宋体" w:cs="Times New Roman"/>
          <w:color w:val="auto"/>
          <w:sz w:val="15"/>
          <w:szCs w:val="15"/>
          <w:highlight w:val="none"/>
        </w:rPr>
        <w:t xml:space="preserve">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f</w:t>
      </w:r>
      <w:r>
        <w:rPr>
          <w:rFonts w:ascii="Times New Roman" w:hAnsi="Times New Roman" w:eastAsia="宋体" w:cs="Times New Roman"/>
          <w:color w:val="auto"/>
          <w:sz w:val="15"/>
          <w:szCs w:val="15"/>
          <w:highlight w:val="none"/>
        </w:rPr>
        <w:t>）2020年覆膜</w:t>
      </w:r>
    </w:p>
    <w:p w14:paraId="28486E53">
      <w:pPr>
        <w:pStyle w:val="21"/>
        <w:adjustRightInd w:val="0"/>
        <w:snapToGrid w:val="0"/>
        <w:spacing w:line="240" w:lineRule="auto"/>
        <w:ind w:firstLine="0" w:firstLineChars="0"/>
        <w:jc w:val="center"/>
        <w:rPr>
          <w:rFonts w:eastAsia="黑体" w:cs="Times New Roman"/>
          <w:bCs/>
          <w:color w:val="auto"/>
          <w:sz w:val="18"/>
          <w:szCs w:val="18"/>
          <w:highlight w:val="none"/>
        </w:rPr>
      </w:pPr>
      <w:r>
        <w:rPr>
          <w:rFonts w:eastAsia="黑体" w:cs="Times New Roman"/>
          <w:bCs/>
          <w:color w:val="auto"/>
          <w:sz w:val="18"/>
          <w:szCs w:val="18"/>
          <w:highlight w:val="none"/>
        </w:rPr>
        <w:t>图3</w:t>
      </w:r>
      <w:r>
        <w:rPr>
          <w:rFonts w:eastAsia="黑体" w:cs="Times New Roman"/>
          <w:color w:val="auto"/>
          <w:sz w:val="18"/>
          <w:szCs w:val="18"/>
          <w:highlight w:val="none"/>
        </w:rPr>
        <w:t xml:space="preserve">  </w:t>
      </w:r>
      <w:r>
        <w:rPr>
          <w:rFonts w:eastAsia="黑体" w:cs="Times New Roman"/>
          <w:bCs/>
          <w:color w:val="auto"/>
          <w:sz w:val="18"/>
          <w:szCs w:val="18"/>
          <w:highlight w:val="none"/>
        </w:rPr>
        <w:t>不同年份凝结水动态变化</w:t>
      </w:r>
    </w:p>
    <w:p w14:paraId="7DBD38CB">
      <w:pPr>
        <w:adjustRightInd w:val="0"/>
        <w:snapToGrid w:val="0"/>
        <w:ind w:firstLine="482"/>
        <w:jc w:val="center"/>
        <w:rPr>
          <w:rFonts w:ascii="Times New Roman" w:hAnsi="Times New Roman" w:eastAsia="黑体" w:cs="Times New Roman"/>
          <w:bCs/>
          <w:color w:val="auto"/>
          <w:sz w:val="18"/>
          <w:szCs w:val="18"/>
          <w:highlight w:val="none"/>
        </w:rPr>
      </w:pPr>
      <w:r>
        <w:rPr>
          <w:rFonts w:ascii="Times New Roman" w:hAnsi="Times New Roman" w:eastAsia="黑体" w:cs="Times New Roman"/>
          <w:bCs/>
          <w:color w:val="auto"/>
          <w:sz w:val="18"/>
          <w:szCs w:val="18"/>
          <w:highlight w:val="none"/>
        </w:rPr>
        <w:t>Fig.3</w:t>
      </w:r>
      <w:r>
        <w:rPr>
          <w:rFonts w:ascii="Times New Roman" w:hAnsi="Times New Roman" w:eastAsia="黑体" w:cs="Times New Roman"/>
          <w:color w:val="auto"/>
          <w:sz w:val="18"/>
          <w:szCs w:val="18"/>
          <w:highlight w:val="none"/>
        </w:rPr>
        <w:t xml:space="preserve">  </w:t>
      </w:r>
      <w:r>
        <w:rPr>
          <w:rFonts w:ascii="Times New Roman" w:hAnsi="Times New Roman" w:eastAsia="黑体" w:cs="Times New Roman"/>
          <w:bCs/>
          <w:color w:val="auto"/>
          <w:sz w:val="18"/>
          <w:szCs w:val="18"/>
          <w:highlight w:val="none"/>
        </w:rPr>
        <w:t>Dynamic variation</w:t>
      </w:r>
      <w:r>
        <w:rPr>
          <w:rFonts w:hint="eastAsia" w:ascii="Times New Roman" w:hAnsi="Times New Roman" w:eastAsia="黑体" w:cs="Times New Roman"/>
          <w:bCs/>
          <w:color w:val="auto"/>
          <w:sz w:val="18"/>
          <w:szCs w:val="18"/>
          <w:highlight w:val="none"/>
        </w:rPr>
        <w:t>s in</w:t>
      </w:r>
      <w:r>
        <w:rPr>
          <w:rFonts w:ascii="Times New Roman" w:hAnsi="Times New Roman" w:eastAsia="黑体" w:cs="Times New Roman"/>
          <w:bCs/>
          <w:color w:val="auto"/>
          <w:sz w:val="18"/>
          <w:szCs w:val="18"/>
          <w:highlight w:val="none"/>
        </w:rPr>
        <w:t xml:space="preserve"> dew </w:t>
      </w:r>
      <w:r>
        <w:rPr>
          <w:rFonts w:hint="eastAsia" w:ascii="Times New Roman" w:hAnsi="Times New Roman" w:eastAsia="黑体" w:cs="Times New Roman"/>
          <w:bCs/>
          <w:color w:val="auto"/>
          <w:sz w:val="18"/>
          <w:szCs w:val="18"/>
          <w:highlight w:val="none"/>
        </w:rPr>
        <w:t>during</w:t>
      </w:r>
      <w:r>
        <w:rPr>
          <w:rFonts w:ascii="Times New Roman" w:hAnsi="Times New Roman" w:eastAsia="黑体" w:cs="Times New Roman"/>
          <w:bCs/>
          <w:color w:val="auto"/>
          <w:sz w:val="18"/>
          <w:szCs w:val="18"/>
          <w:highlight w:val="none"/>
        </w:rPr>
        <w:t xml:space="preserve"> different years</w:t>
      </w:r>
    </w:p>
    <w:p w14:paraId="5F38D15C">
      <w:pPr>
        <w:adjustRightInd w:val="0"/>
        <w:snapToGrid w:val="0"/>
        <w:ind w:firstLine="42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由图3可知，2018—2020年覆膜与不覆膜处理下典型日凝结水日内变化过程总体相似，凝结水主要集中发生在0:00至次日8:00，表现为夜间逐步形成、清晨前后相对增强并在日出后逐渐转为蒸散的连续变化过程。不同年份之间，凝结水发生的主要时间窗口基本一致，但凝结速率峰值、峰值出现时间和累积凝结量存在一定差异，说明年际气象条件变化会影响凝结水形成强度。覆膜与不覆膜处理相比，二者日内变化趋势基本一致，但不覆膜处理的凝结速率峰值和累积凝结量总体高于覆膜处理，表明覆膜主要通过影响近地表水汽供应、有效凝结界面及膜面以上热湿环境，改变凝结过程的强度和累积输入量，而不会明显改变凝结水发生的主要时间窗口。</w:t>
      </w:r>
    </w:p>
    <w:p w14:paraId="21C49BF4">
      <w:pPr>
        <w:adjustRightInd w:val="0"/>
        <w:snapToGrid w:val="0"/>
        <w:rPr>
          <w:rFonts w:ascii="Times New Roman" w:hAnsi="Times New Roman" w:eastAsia="楷体" w:cs="Times New Roman"/>
          <w:color w:val="auto"/>
          <w:highlight w:val="none"/>
        </w:rPr>
      </w:pPr>
      <w:r>
        <w:rPr>
          <w:rFonts w:ascii="Times New Roman" w:hAnsi="Times New Roman" w:eastAsia="楷体" w:cs="Times New Roman"/>
          <w:color w:val="auto"/>
          <w:highlight w:val="none"/>
        </w:rPr>
        <w:t>2.1.2 不同生育期凝结水动态变化</w:t>
      </w:r>
    </w:p>
    <w:p w14:paraId="0E9F97D7">
      <w:pPr>
        <w:widowControl/>
        <w:adjustRightInd w:val="0"/>
        <w:snapToGrid w:val="0"/>
        <w:ind w:firstLine="42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为更好地分析不同生育期凝结水动态变化，本文依据表1所列各年份实际生育期起止日期，对2019年和2020年苗期、蕾期、花铃期和吐絮期的凝结水过程分别进行统计。由于2018年苗期与蕾期前期数据缺失，主要采用2019年和2020年完整生育期观测数据进行对比分析（见图4）。</w:t>
      </w:r>
    </w:p>
    <w:p w14:paraId="1B90CF6D">
      <w:pPr>
        <w:widowControl/>
        <w:spacing w:line="240" w:lineRule="atLeast"/>
        <w:jc w:val="center"/>
        <w:rPr>
          <w:rFonts w:hint="eastAsia" w:ascii="Times New Roman" w:hAnsi="楷体" w:eastAsia="楷体" w:cs="Times New Roman"/>
          <w:color w:val="auto"/>
          <w:kern w:val="0"/>
          <w:sz w:val="17"/>
          <w:szCs w:val="17"/>
          <w:highlight w:val="none"/>
        </w:rPr>
      </w:pPr>
      <w:r>
        <w:rPr>
          <w:rFonts w:ascii="等线" w:hAnsi="等线" w:eastAsia="等线" w:cs="Times New Roman"/>
          <w:color w:val="auto"/>
          <w:highlight w:val="none"/>
        </w:rPr>
        <mc:AlternateContent>
          <mc:Choice Requires="wps">
            <w:drawing>
              <wp:anchor distT="0" distB="0" distL="114300" distR="114300" simplePos="0" relativeHeight="251660288" behindDoc="0" locked="0" layoutInCell="1" allowOverlap="1">
                <wp:simplePos x="0" y="0"/>
                <wp:positionH relativeFrom="margin">
                  <wp:posOffset>232410</wp:posOffset>
                </wp:positionH>
                <wp:positionV relativeFrom="paragraph">
                  <wp:posOffset>45720</wp:posOffset>
                </wp:positionV>
                <wp:extent cx="492125" cy="264795"/>
                <wp:effectExtent l="0" t="0" r="0" b="2540"/>
                <wp:wrapNone/>
                <wp:docPr id="1572954709" name="文本框 2"/>
                <wp:cNvGraphicFramePr/>
                <a:graphic xmlns:a="http://schemas.openxmlformats.org/drawingml/2006/main">
                  <a:graphicData uri="http://schemas.microsoft.com/office/word/2010/wordprocessingShape">
                    <wps:wsp>
                      <wps:cNvSpPr txBox="1"/>
                      <wps:spPr>
                        <a:xfrm>
                          <a:off x="0" y="0"/>
                          <a:ext cx="492125" cy="264795"/>
                        </a:xfrm>
                        <a:prstGeom prst="rect">
                          <a:avLst/>
                        </a:prstGeom>
                        <a:noFill/>
                        <a:ln w="9525" cmpd="sng">
                          <a:noFill/>
                        </a:ln>
                        <a:effectLst/>
                      </wps:spPr>
                      <wps:txbx>
                        <w:txbxContent>
                          <w:p w14:paraId="18C3F9D6">
                            <w:pPr>
                              <w:jc w:val="center"/>
                              <w:rPr>
                                <w:rFonts w:ascii="Times New Roman" w:hAnsi="Times New Roman" w:eastAsia="宋体" w:cs="Times New Roman"/>
                                <w:color w:val="000000"/>
                                <w:kern w:val="0"/>
                                <w:sz w:val="13"/>
                                <w:szCs w:val="13"/>
                              </w:rPr>
                            </w:pPr>
                            <w:r>
                              <w:rPr>
                                <w:rFonts w:ascii="Times New Roman" w:hAnsi="Times New Roman" w:eastAsia="宋体" w:cs="Times New Roman"/>
                                <w:color w:val="000000"/>
                                <w:sz w:val="15"/>
                                <w:szCs w:val="15"/>
                              </w:rPr>
                              <w:t>(a)</w:t>
                            </w:r>
                            <w:r>
                              <w:rPr>
                                <w:rFonts w:hint="eastAsia" w:ascii="Times New Roman" w:hAnsi="Times New Roman" w:eastAsia="宋体" w:cs="Times New Roman"/>
                                <w:color w:val="000000"/>
                                <w:sz w:val="15"/>
                                <w:szCs w:val="15"/>
                              </w:rPr>
                              <w:t>苗期</w:t>
                            </w:r>
                          </w:p>
                        </w:txbxContent>
                      </wps:txbx>
                      <wps:bodyPr vertOverflow="clip" horzOverflow="clip" wrap="square" rtlCol="0" anchor="ctr">
                        <a:noAutofit/>
                      </wps:bodyPr>
                    </wps:wsp>
                  </a:graphicData>
                </a:graphic>
              </wp:anchor>
            </w:drawing>
          </mc:Choice>
          <mc:Fallback>
            <w:pict>
              <v:shape id="文本框 2" o:spid="_x0000_s1026" o:spt="202" type="#_x0000_t202" style="position:absolute;left:0pt;margin-left:18.3pt;margin-top:3.6pt;height:20.85pt;width:38.75pt;mso-position-horizontal-relative:margin;z-index:251660288;v-text-anchor:middle;mso-width-relative:page;mso-height-relative:page;" filled="f" stroked="f" coordsize="21600,21600" o:gfxdata="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2fymk1gAAAAcBAAAPAAAAAAAAAAEAIAAAACIAAABkcnMvZG93bnJldi54bWxQSwECFAAU&#10;AAAACACHTuJAY+MUzfMBAADUAwAADgAAAAAAAAABACAAAAAlAQAAZHJzL2Uyb0RvYy54bWxQSwUG&#10;AAAAAAYABgBZAQAAigUAAAAA&#10;">
                <v:fill on="f" focussize="0,0"/>
                <v:stroke on="f"/>
                <v:imagedata o:title=""/>
                <o:lock v:ext="edit" aspectratio="f"/>
                <v:textbox>
                  <w:txbxContent>
                    <w:p w14:paraId="18C3F9D6">
                      <w:pPr>
                        <w:jc w:val="center"/>
                        <w:rPr>
                          <w:rFonts w:ascii="Times New Roman" w:hAnsi="Times New Roman" w:eastAsia="宋体" w:cs="Times New Roman"/>
                          <w:color w:val="000000"/>
                          <w:kern w:val="0"/>
                          <w:sz w:val="13"/>
                          <w:szCs w:val="13"/>
                        </w:rPr>
                      </w:pPr>
                      <w:r>
                        <w:rPr>
                          <w:rFonts w:ascii="Times New Roman" w:hAnsi="Times New Roman" w:eastAsia="宋体" w:cs="Times New Roman"/>
                          <w:color w:val="000000"/>
                          <w:sz w:val="15"/>
                          <w:szCs w:val="15"/>
                        </w:rPr>
                        <w:t>(a)</w:t>
                      </w:r>
                      <w:r>
                        <w:rPr>
                          <w:rFonts w:hint="eastAsia" w:ascii="Times New Roman" w:hAnsi="Times New Roman" w:eastAsia="宋体" w:cs="Times New Roman"/>
                          <w:color w:val="000000"/>
                          <w:sz w:val="15"/>
                          <w:szCs w:val="15"/>
                        </w:rPr>
                        <w:t>苗期</w:t>
                      </w:r>
                    </w:p>
                  </w:txbxContent>
                </v:textbox>
              </v:shape>
            </w:pict>
          </mc:Fallback>
        </mc:AlternateContent>
      </w:r>
      <w:r>
        <w:rPr>
          <w:rFonts w:ascii="等线" w:hAnsi="等线" w:eastAsia="等线" w:cs="Times New Roman"/>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288290</wp:posOffset>
                </wp:positionH>
                <wp:positionV relativeFrom="paragraph">
                  <wp:posOffset>325755</wp:posOffset>
                </wp:positionV>
                <wp:extent cx="0" cy="40640"/>
                <wp:effectExtent l="0" t="0" r="38100" b="35560"/>
                <wp:wrapNone/>
                <wp:docPr id="1011627007" name="直接连接符 10"/>
                <wp:cNvGraphicFramePr/>
                <a:graphic xmlns:a="http://schemas.openxmlformats.org/drawingml/2006/main">
                  <a:graphicData uri="http://schemas.microsoft.com/office/word/2010/wordprocessingShape">
                    <wps:wsp>
                      <wps:cNvCnPr/>
                      <wps:spPr>
                        <a:xfrm>
                          <a:off x="0" y="0"/>
                          <a:ext cx="0" cy="406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0" o:spid="_x0000_s1026" o:spt="20" style="position:absolute;left:0pt;margin-left:22.7pt;margin-top:25.65pt;height:3.2pt;width:0pt;z-index:251659264;mso-width-relative:page;mso-height-relative:page;" filled="f" stroked="t" coordsize="21600,21600" o:gfxdata="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d&#10;77601QAAAAcBAAAPAAAAAAAAAAEAIAAAACIAAABkcnMvZG93bnJldi54bWxQSwECFAAUAAAACACH&#10;TuJAWcD+0e4BAAC5AwAADgAAAAAAAAABACAAAAAkAQAAZHJzL2Uyb0RvYy54bWxQSwUGAAAAAAYA&#10;BgBZAQAAhAUAAAAA&#10;">
                <v:fill on="f" focussize="0,0"/>
                <v:stroke weight="0.5pt" color="#4472C4 [3204]" miterlimit="8" joinstyle="miter"/>
                <v:imagedata o:title=""/>
                <o:lock v:ext="edit" aspectratio="f"/>
              </v:line>
            </w:pict>
          </mc:Fallback>
        </mc:AlternateContent>
      </w:r>
      <w:r>
        <w:rPr>
          <w:color w:val="auto"/>
          <w:highlight w:val="none"/>
        </w:rPr>
        <w:drawing>
          <wp:inline distT="0" distB="0" distL="0" distR="0">
            <wp:extent cx="1304925" cy="1098550"/>
            <wp:effectExtent l="0" t="0" r="0" b="6350"/>
            <wp:docPr id="122994832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color w:val="auto"/>
          <w:highlight w:val="none"/>
        </w:rPr>
        <w:drawing>
          <wp:inline distT="0" distB="0" distL="0" distR="0">
            <wp:extent cx="1304925" cy="1098550"/>
            <wp:effectExtent l="0" t="0" r="0" b="6350"/>
            <wp:docPr id="87155488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color w:val="auto"/>
          <w:highlight w:val="none"/>
        </w:rPr>
        <w:drawing>
          <wp:inline distT="0" distB="0" distL="0" distR="0">
            <wp:extent cx="1304925" cy="1098550"/>
            <wp:effectExtent l="0" t="0" r="0" b="6350"/>
            <wp:docPr id="187748031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color w:val="auto"/>
          <w:highlight w:val="none"/>
        </w:rPr>
        <w:drawing>
          <wp:inline distT="0" distB="0" distL="0" distR="0">
            <wp:extent cx="1304925" cy="1098550"/>
            <wp:effectExtent l="0" t="0" r="0" b="6350"/>
            <wp:docPr id="206129919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9DFAE02">
      <w:pPr>
        <w:widowControl/>
        <w:adjustRightInd w:val="0"/>
        <w:snapToGrid w:val="0"/>
        <w:jc w:val="center"/>
        <w:rPr>
          <w:rFonts w:hint="eastAsia" w:ascii="宋体" w:hAnsi="宋体" w:eastAsia="宋体" w:cs="Times New Roman"/>
          <w:color w:val="auto"/>
          <w:kern w:val="0"/>
          <w:sz w:val="15"/>
          <w:szCs w:val="15"/>
          <w:highlight w:val="none"/>
        </w:rPr>
      </w:pPr>
      <w:r>
        <w:rPr>
          <w:rFonts w:ascii="Times New Roman" w:hAnsi="Times New Roman" w:eastAsia="宋体" w:cs="Times New Roman"/>
          <w:color w:val="auto"/>
          <w:sz w:val="15"/>
          <w:szCs w:val="15"/>
          <w:highlight w:val="none"/>
        </w:rPr>
        <w:t>（a）</w:t>
      </w:r>
      <w:r>
        <w:rPr>
          <w:rFonts w:hint="eastAsia" w:ascii="Times New Roman" w:hAnsi="Times New Roman" w:eastAsia="宋体" w:cs="Times New Roman"/>
          <w:color w:val="auto"/>
          <w:sz w:val="15"/>
          <w:szCs w:val="15"/>
          <w:highlight w:val="none"/>
        </w:rPr>
        <w:t xml:space="preserve">2019年不覆膜处理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b</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 xml:space="preserve">2019年覆膜处理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c</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 xml:space="preserve">2020年不覆膜处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d</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2020年覆膜处理</w:t>
      </w:r>
    </w:p>
    <w:p w14:paraId="43BC47F6">
      <w:pPr>
        <w:widowControl/>
        <w:spacing w:line="240" w:lineRule="atLeast"/>
        <w:jc w:val="center"/>
        <w:rPr>
          <w:rFonts w:hint="eastAsia" w:ascii="Times New Roman" w:hAnsi="楷体" w:eastAsia="楷体" w:cs="Times New Roman"/>
          <w:color w:val="auto"/>
          <w:kern w:val="0"/>
          <w:sz w:val="17"/>
          <w:szCs w:val="17"/>
          <w:highlight w:val="none"/>
        </w:rPr>
      </w:pPr>
      <w:r>
        <w:rPr>
          <w:rFonts w:ascii="等线" w:hAnsi="等线" w:eastAsia="等线" w:cs="Times New Roman"/>
          <w:color w:val="auto"/>
          <w:highlight w:val="none"/>
        </w:rPr>
        <mc:AlternateContent>
          <mc:Choice Requires="wps">
            <w:drawing>
              <wp:anchor distT="0" distB="0" distL="114300" distR="114300" simplePos="0" relativeHeight="251661312" behindDoc="0" locked="0" layoutInCell="1" allowOverlap="1">
                <wp:simplePos x="0" y="0"/>
                <wp:positionH relativeFrom="margin">
                  <wp:posOffset>243205</wp:posOffset>
                </wp:positionH>
                <wp:positionV relativeFrom="paragraph">
                  <wp:posOffset>46990</wp:posOffset>
                </wp:positionV>
                <wp:extent cx="530225" cy="264795"/>
                <wp:effectExtent l="0" t="0" r="0" b="2540"/>
                <wp:wrapNone/>
                <wp:docPr id="767216538" name="文本框 2"/>
                <wp:cNvGraphicFramePr/>
                <a:graphic xmlns:a="http://schemas.openxmlformats.org/drawingml/2006/main">
                  <a:graphicData uri="http://schemas.microsoft.com/office/word/2010/wordprocessingShape">
                    <wps:wsp>
                      <wps:cNvSpPr txBox="1"/>
                      <wps:spPr>
                        <a:xfrm>
                          <a:off x="0" y="0"/>
                          <a:ext cx="530225" cy="264795"/>
                        </a:xfrm>
                        <a:prstGeom prst="rect">
                          <a:avLst/>
                        </a:prstGeom>
                        <a:noFill/>
                        <a:ln w="9525" cmpd="sng">
                          <a:noFill/>
                        </a:ln>
                        <a:effectLst/>
                      </wps:spPr>
                      <wps:txbx>
                        <w:txbxContent>
                          <w:p w14:paraId="6071A839">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sz w:val="15"/>
                                <w:szCs w:val="15"/>
                              </w:rPr>
                              <w:t>(b)</w:t>
                            </w:r>
                            <w:r>
                              <w:rPr>
                                <w:rFonts w:hint="eastAsia" w:ascii="Times New Roman" w:hAnsi="Times New Roman" w:eastAsia="宋体" w:cs="Times New Roman"/>
                                <w:color w:val="000000"/>
                                <w:sz w:val="15"/>
                                <w:szCs w:val="15"/>
                              </w:rPr>
                              <w:t>蕾期</w:t>
                            </w:r>
                          </w:p>
                        </w:txbxContent>
                      </wps:txbx>
                      <wps:bodyPr vertOverflow="clip" horzOverflow="clip" wrap="square" rtlCol="0" anchor="ctr">
                        <a:noAutofit/>
                      </wps:bodyPr>
                    </wps:wsp>
                  </a:graphicData>
                </a:graphic>
              </wp:anchor>
            </w:drawing>
          </mc:Choice>
          <mc:Fallback>
            <w:pict>
              <v:shape id="文本框 2" o:spid="_x0000_s1026" o:spt="202" type="#_x0000_t202" style="position:absolute;left:0pt;margin-left:19.15pt;margin-top:3.7pt;height:20.85pt;width:41.75pt;mso-position-horizontal-relative:margin;z-index:251661312;v-text-anchor:middle;mso-width-relative:page;mso-height-relative:page;" filled="f" stroked="f" coordsize="21600,21600" o:gfxdata="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x+pvnWAAAABwEAAA8AAAAAAAAAAQAgAAAAIgAAAGRycy9kb3ducmV2LnhtbFBLAQIUABQA&#10;AAAIAIdO4kCbz0sZ8gEAANMDAAAOAAAAAAAAAAEAIAAAACUBAABkcnMvZTJvRG9jLnhtbFBLBQYA&#10;AAAABgAGAFkBAACJBQAAAAA=&#10;">
                <v:fill on="f" focussize="0,0"/>
                <v:stroke on="f"/>
                <v:imagedata o:title=""/>
                <o:lock v:ext="edit" aspectratio="f"/>
                <v:textbox>
                  <w:txbxContent>
                    <w:p w14:paraId="6071A839">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sz w:val="15"/>
                          <w:szCs w:val="15"/>
                        </w:rPr>
                        <w:t>(b)</w:t>
                      </w:r>
                      <w:r>
                        <w:rPr>
                          <w:rFonts w:hint="eastAsia" w:ascii="Times New Roman" w:hAnsi="Times New Roman" w:eastAsia="宋体" w:cs="Times New Roman"/>
                          <w:color w:val="000000"/>
                          <w:sz w:val="15"/>
                          <w:szCs w:val="15"/>
                        </w:rPr>
                        <w:t>蕾期</w:t>
                      </w:r>
                    </w:p>
                  </w:txbxContent>
                </v:textbox>
              </v:shape>
            </w:pict>
          </mc:Fallback>
        </mc:AlternateContent>
      </w:r>
      <w:r>
        <w:rPr>
          <w:color w:val="auto"/>
          <w:highlight w:val="none"/>
        </w:rPr>
        <w:drawing>
          <wp:inline distT="0" distB="0" distL="0" distR="0">
            <wp:extent cx="1304925" cy="1098550"/>
            <wp:effectExtent l="0" t="0" r="0" b="6350"/>
            <wp:docPr id="9388825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color w:val="auto"/>
          <w:highlight w:val="none"/>
        </w:rPr>
        <w:drawing>
          <wp:inline distT="0" distB="0" distL="0" distR="0">
            <wp:extent cx="1304925" cy="1098550"/>
            <wp:effectExtent l="0" t="0" r="0" b="6350"/>
            <wp:docPr id="63640092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color w:val="auto"/>
          <w:highlight w:val="none"/>
        </w:rPr>
        <w:drawing>
          <wp:inline distT="0" distB="0" distL="0" distR="0">
            <wp:extent cx="1304925" cy="1098550"/>
            <wp:effectExtent l="0" t="0" r="0" b="6350"/>
            <wp:docPr id="130059065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color w:val="auto"/>
          <w:highlight w:val="none"/>
        </w:rPr>
        <w:drawing>
          <wp:inline distT="0" distB="0" distL="0" distR="0">
            <wp:extent cx="1304925" cy="1098550"/>
            <wp:effectExtent l="0" t="0" r="0" b="6350"/>
            <wp:docPr id="135765086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8A370F0">
      <w:pPr>
        <w:widowControl/>
        <w:adjustRightInd w:val="0"/>
        <w:snapToGrid w:val="0"/>
        <w:jc w:val="center"/>
        <w:rPr>
          <w:rFonts w:hint="eastAsia" w:ascii="宋体" w:hAnsi="宋体" w:eastAsia="宋体" w:cs="Times New Roman"/>
          <w:color w:val="auto"/>
          <w:kern w:val="0"/>
          <w:sz w:val="15"/>
          <w:szCs w:val="15"/>
          <w:highlight w:val="none"/>
        </w:rPr>
      </w:pP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e</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 xml:space="preserve">2019年不覆膜处理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f</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 xml:space="preserve">2019年覆膜处理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g</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 xml:space="preserve">2020年不覆膜处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h</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2020年覆膜处理</w:t>
      </w:r>
    </w:p>
    <w:p w14:paraId="29217C70">
      <w:pPr>
        <w:widowControl/>
        <w:adjustRightInd w:val="0"/>
        <w:snapToGrid w:val="0"/>
        <w:jc w:val="center"/>
        <w:rPr>
          <w:rFonts w:hint="eastAsia" w:ascii="宋体" w:hAnsi="宋体" w:eastAsia="宋体" w:cs="Times New Roman"/>
          <w:color w:val="auto"/>
          <w:kern w:val="0"/>
          <w:sz w:val="15"/>
          <w:szCs w:val="15"/>
          <w:highlight w:val="none"/>
        </w:rPr>
      </w:pPr>
    </w:p>
    <w:p w14:paraId="04AFA6E3">
      <w:pPr>
        <w:widowControl/>
        <w:spacing w:line="240" w:lineRule="atLeast"/>
        <w:jc w:val="center"/>
        <w:rPr>
          <w:rFonts w:hint="eastAsia" w:ascii="Times New Roman" w:hAnsi="楷体" w:eastAsia="楷体" w:cs="Times New Roman"/>
          <w:color w:val="auto"/>
          <w:kern w:val="0"/>
          <w:sz w:val="17"/>
          <w:szCs w:val="17"/>
          <w:highlight w:val="none"/>
        </w:rPr>
      </w:pPr>
      <w:r>
        <w:rPr>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264160</wp:posOffset>
                </wp:positionH>
                <wp:positionV relativeFrom="paragraph">
                  <wp:posOffset>46355</wp:posOffset>
                </wp:positionV>
                <wp:extent cx="525780" cy="264160"/>
                <wp:effectExtent l="0" t="0" r="0" b="3175"/>
                <wp:wrapNone/>
                <wp:docPr id="2" name="矩形 1"/>
                <wp:cNvGraphicFramePr/>
                <a:graphic xmlns:a="http://schemas.openxmlformats.org/drawingml/2006/main">
                  <a:graphicData uri="http://schemas.microsoft.com/office/word/2010/wordprocessingShape">
                    <wps:wsp>
                      <wps:cNvSpPr/>
                      <wps:spPr>
                        <a:xfrm>
                          <a:off x="0" y="0"/>
                          <a:ext cx="525781" cy="264157"/>
                        </a:xfrm>
                        <a:prstGeom prst="rect">
                          <a:avLst/>
                        </a:prstGeom>
                        <a:noFill/>
                        <a:ln w="9525" cmpd="sng">
                          <a:noFill/>
                        </a:ln>
                        <a:effectLst/>
                      </wps:spPr>
                      <wps:txbx>
                        <w:txbxContent>
                          <w:p w14:paraId="6CBB68E5">
                            <w:pPr>
                              <w:jc w:val="center"/>
                              <w:rPr>
                                <w:rFonts w:ascii="Times New Roman" w:hAnsi="Times New Roman" w:cs="Times New Roman"/>
                                <w:color w:val="000000"/>
                                <w:sz w:val="15"/>
                                <w:szCs w:val="15"/>
                              </w:rPr>
                            </w:pPr>
                            <w:r>
                              <w:rPr>
                                <w:rFonts w:ascii="Times New Roman" w:hAnsi="Times New Roman" w:cs="Times New Roman"/>
                                <w:color w:val="000000"/>
                                <w:sz w:val="15"/>
                                <w:szCs w:val="15"/>
                              </w:rPr>
                              <w:t>(c)</w:t>
                            </w:r>
                            <w:r>
                              <w:rPr>
                                <w:rFonts w:hint="eastAsia" w:ascii="宋体" w:hAnsi="宋体" w:eastAsia="宋体" w:cs="Times New Roman"/>
                                <w:color w:val="000000"/>
                                <w:sz w:val="15"/>
                                <w:szCs w:val="15"/>
                              </w:rPr>
                              <w:t>花铃期</w:t>
                            </w:r>
                          </w:p>
                        </w:txbxContent>
                      </wps:txbx>
                      <wps:bodyPr vert="horz" wrap="square" lIns="45720" tIns="45720" rIns="45720" bIns="45720" rtlCol="0" anchor="ctr" anchorCtr="0">
                        <a:noAutofit/>
                      </wps:bodyPr>
                    </wps:wsp>
                  </a:graphicData>
                </a:graphic>
              </wp:anchor>
            </w:drawing>
          </mc:Choice>
          <mc:Fallback>
            <w:pict>
              <v:rect id="矩形 1" o:spid="_x0000_s1026" o:spt="1" style="position:absolute;left:0pt;margin-left:20.8pt;margin-top:3.65pt;height:20.8pt;width:41.4pt;z-index:251662336;v-text-anchor:middle;mso-width-relative:page;mso-height-relative:page;" filled="f" stroked="f" coordsize="21600,21600" o:gfxdata="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Dbq19IAAAAHAQAADwAAAAAAAAABACAAAAAiAAAAZHJzL2Rvd25yZXYueG1sUEsBAhQAFAAAAAgA&#10;h07iQGn6knHyAQAA5AMAAA4AAAAAAAAAAQAgAAAAIQEAAGRycy9lMm9Eb2MueG1sUEsFBgAAAAAG&#10;AAYAWQEAAIUFAAAAAA==&#10;">
                <v:fill on="f" focussize="0,0"/>
                <v:stroke on="f"/>
                <v:imagedata o:title=""/>
                <o:lock v:ext="edit" aspectratio="f"/>
                <v:textbox inset="1.27mm,1.27mm,1.27mm,1.27mm">
                  <w:txbxContent>
                    <w:p w14:paraId="6CBB68E5">
                      <w:pPr>
                        <w:jc w:val="center"/>
                        <w:rPr>
                          <w:rFonts w:ascii="Times New Roman" w:hAnsi="Times New Roman" w:cs="Times New Roman"/>
                          <w:color w:val="000000"/>
                          <w:sz w:val="15"/>
                          <w:szCs w:val="15"/>
                        </w:rPr>
                      </w:pPr>
                      <w:r>
                        <w:rPr>
                          <w:rFonts w:ascii="Times New Roman" w:hAnsi="Times New Roman" w:cs="Times New Roman"/>
                          <w:color w:val="000000"/>
                          <w:sz w:val="15"/>
                          <w:szCs w:val="15"/>
                        </w:rPr>
                        <w:t>(c)</w:t>
                      </w:r>
                      <w:r>
                        <w:rPr>
                          <w:rFonts w:hint="eastAsia" w:ascii="宋体" w:hAnsi="宋体" w:eastAsia="宋体" w:cs="Times New Roman"/>
                          <w:color w:val="000000"/>
                          <w:sz w:val="15"/>
                          <w:szCs w:val="15"/>
                        </w:rPr>
                        <w:t>花铃期</w:t>
                      </w:r>
                    </w:p>
                  </w:txbxContent>
                </v:textbox>
              </v:rect>
            </w:pict>
          </mc:Fallback>
        </mc:AlternateContent>
      </w:r>
      <w:r>
        <w:rPr>
          <w:color w:val="auto"/>
          <w:highlight w:val="none"/>
        </w:rPr>
        <w:drawing>
          <wp:inline distT="0" distB="0" distL="0" distR="0">
            <wp:extent cx="1304925" cy="1098550"/>
            <wp:effectExtent l="0" t="0" r="0" b="6350"/>
            <wp:docPr id="7935658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Pr>
          <w:color w:val="auto"/>
          <w:highlight w:val="none"/>
        </w:rPr>
        <w:drawing>
          <wp:inline distT="0" distB="0" distL="0" distR="0">
            <wp:extent cx="1304925" cy="1098550"/>
            <wp:effectExtent l="0" t="0" r="0" b="6350"/>
            <wp:docPr id="41137235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color w:val="auto"/>
          <w:highlight w:val="none"/>
        </w:rPr>
        <w:drawing>
          <wp:inline distT="0" distB="0" distL="0" distR="0">
            <wp:extent cx="1304925" cy="1098550"/>
            <wp:effectExtent l="0" t="0" r="0" b="6350"/>
            <wp:docPr id="160681116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Pr>
          <w:color w:val="auto"/>
          <w:highlight w:val="none"/>
        </w:rPr>
        <w:drawing>
          <wp:inline distT="0" distB="0" distL="0" distR="0">
            <wp:extent cx="1304925" cy="1098550"/>
            <wp:effectExtent l="0" t="0" r="0" b="6350"/>
            <wp:docPr id="123172205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99F14FD">
      <w:pPr>
        <w:widowControl/>
        <w:adjustRightInd w:val="0"/>
        <w:snapToGrid w:val="0"/>
        <w:jc w:val="center"/>
        <w:rPr>
          <w:rFonts w:hint="eastAsia" w:ascii="宋体" w:hAnsi="宋体" w:eastAsia="宋体" w:cs="Times New Roman"/>
          <w:color w:val="auto"/>
          <w:kern w:val="0"/>
          <w:sz w:val="15"/>
          <w:szCs w:val="15"/>
          <w:highlight w:val="none"/>
        </w:rPr>
      </w:pP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i</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 xml:space="preserve">2019年不覆膜处理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j</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 xml:space="preserve">2019年覆膜处理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k</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 xml:space="preserve">2020年不覆膜处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l</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2020年覆膜处理</w:t>
      </w:r>
    </w:p>
    <w:p w14:paraId="21490F06">
      <w:pPr>
        <w:widowControl/>
        <w:spacing w:line="240" w:lineRule="atLeast"/>
        <w:jc w:val="center"/>
        <w:rPr>
          <w:rFonts w:hint="eastAsia" w:ascii="Times New Roman" w:hAnsi="楷体" w:eastAsia="楷体" w:cs="Times New Roman"/>
          <w:color w:val="auto"/>
          <w:kern w:val="0"/>
          <w:sz w:val="17"/>
          <w:szCs w:val="17"/>
          <w:highlight w:val="none"/>
        </w:rPr>
      </w:pPr>
      <w:r>
        <w:rPr>
          <w:rFonts w:ascii="等线" w:hAnsi="等线" w:eastAsia="等线" w:cs="Times New Roman"/>
          <w:color w:val="auto"/>
          <w:highlight w:val="none"/>
        </w:rPr>
        <mc:AlternateContent>
          <mc:Choice Requires="wps">
            <w:drawing>
              <wp:anchor distT="0" distB="0" distL="114300" distR="114300" simplePos="0" relativeHeight="251663360" behindDoc="0" locked="0" layoutInCell="1" allowOverlap="1">
                <wp:simplePos x="0" y="0"/>
                <wp:positionH relativeFrom="margin">
                  <wp:posOffset>244475</wp:posOffset>
                </wp:positionH>
                <wp:positionV relativeFrom="paragraph">
                  <wp:posOffset>41275</wp:posOffset>
                </wp:positionV>
                <wp:extent cx="598170" cy="264795"/>
                <wp:effectExtent l="0" t="0" r="0" b="2540"/>
                <wp:wrapNone/>
                <wp:docPr id="658477294" name="文本框 2"/>
                <wp:cNvGraphicFramePr/>
                <a:graphic xmlns:a="http://schemas.openxmlformats.org/drawingml/2006/main">
                  <a:graphicData uri="http://schemas.microsoft.com/office/word/2010/wordprocessingShape">
                    <wps:wsp>
                      <wps:cNvSpPr txBox="1"/>
                      <wps:spPr>
                        <a:xfrm>
                          <a:off x="0" y="0"/>
                          <a:ext cx="598170" cy="264795"/>
                        </a:xfrm>
                        <a:prstGeom prst="rect">
                          <a:avLst/>
                        </a:prstGeom>
                        <a:noFill/>
                        <a:ln w="9525" cmpd="sng">
                          <a:noFill/>
                        </a:ln>
                        <a:effectLst/>
                      </wps:spPr>
                      <wps:txbx>
                        <w:txbxContent>
                          <w:p w14:paraId="18765317">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sz w:val="15"/>
                                <w:szCs w:val="15"/>
                              </w:rPr>
                              <w:t>(d)</w:t>
                            </w:r>
                            <w:r>
                              <w:rPr>
                                <w:rFonts w:hint="eastAsia" w:ascii="Times New Roman" w:hAnsi="Times New Roman" w:eastAsia="宋体" w:cs="Times New Roman"/>
                                <w:color w:val="000000"/>
                                <w:sz w:val="15"/>
                                <w:szCs w:val="15"/>
                              </w:rPr>
                              <w:t>吐絮期</w:t>
                            </w:r>
                          </w:p>
                        </w:txbxContent>
                      </wps:txbx>
                      <wps:bodyPr vertOverflow="clip" horzOverflow="clip" wrap="square" rtlCol="0" anchor="ctr">
                        <a:noAutofit/>
                      </wps:bodyPr>
                    </wps:wsp>
                  </a:graphicData>
                </a:graphic>
              </wp:anchor>
            </w:drawing>
          </mc:Choice>
          <mc:Fallback>
            <w:pict>
              <v:shape id="文本框 2" o:spid="_x0000_s1026" o:spt="202" type="#_x0000_t202" style="position:absolute;left:0pt;margin-left:19.25pt;margin-top:3.25pt;height:20.85pt;width:47.1pt;mso-position-horizontal-relative:margin;z-index:251663360;v-text-anchor:middle;mso-width-relative:page;mso-height-relative:page;" filled="f" stroked="f" coordsize="21600,21600" o:gfxdata="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vX6AEtYAAAAHAQAADwAAAAAAAAABACAAAAAiAAAAZHJzL2Rvd25yZXYueG1sUEsBAhQA&#10;FAAAAAgAh07iQMbdUn/0AQAA0wMAAA4AAAAAAAAAAQAgAAAAJQEAAGRycy9lMm9Eb2MueG1sUEsF&#10;BgAAAAAGAAYAWQEAAIsFAAAAAA==&#10;">
                <v:fill on="f" focussize="0,0"/>
                <v:stroke on="f"/>
                <v:imagedata o:title=""/>
                <o:lock v:ext="edit" aspectratio="f"/>
                <v:textbox>
                  <w:txbxContent>
                    <w:p w14:paraId="18765317">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sz w:val="15"/>
                          <w:szCs w:val="15"/>
                        </w:rPr>
                        <w:t>(d)</w:t>
                      </w:r>
                      <w:r>
                        <w:rPr>
                          <w:rFonts w:hint="eastAsia" w:ascii="Times New Roman" w:hAnsi="Times New Roman" w:eastAsia="宋体" w:cs="Times New Roman"/>
                          <w:color w:val="000000"/>
                          <w:sz w:val="15"/>
                          <w:szCs w:val="15"/>
                        </w:rPr>
                        <w:t>吐絮期</w:t>
                      </w:r>
                    </w:p>
                  </w:txbxContent>
                </v:textbox>
              </v:shape>
            </w:pict>
          </mc:Fallback>
        </mc:AlternateContent>
      </w:r>
      <w:r>
        <w:rPr>
          <w:color w:val="auto"/>
          <w:highlight w:val="none"/>
        </w:rPr>
        <w:drawing>
          <wp:inline distT="0" distB="0" distL="0" distR="0">
            <wp:extent cx="1304925" cy="1098550"/>
            <wp:effectExtent l="0" t="0" r="0" b="6350"/>
            <wp:docPr id="98592528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Pr>
          <w:color w:val="auto"/>
          <w:highlight w:val="none"/>
        </w:rPr>
        <w:drawing>
          <wp:inline distT="0" distB="0" distL="0" distR="0">
            <wp:extent cx="1304925" cy="1098550"/>
            <wp:effectExtent l="0" t="0" r="0" b="6350"/>
            <wp:docPr id="207692659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Pr>
          <w:color w:val="auto"/>
          <w:highlight w:val="none"/>
        </w:rPr>
        <w:drawing>
          <wp:inline distT="0" distB="0" distL="0" distR="0">
            <wp:extent cx="1304925" cy="1098550"/>
            <wp:effectExtent l="0" t="0" r="0" b="6350"/>
            <wp:docPr id="177779165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Pr>
          <w:color w:val="auto"/>
          <w:highlight w:val="none"/>
        </w:rPr>
        <w:drawing>
          <wp:inline distT="0" distB="0" distL="0" distR="0">
            <wp:extent cx="1304925" cy="1098550"/>
            <wp:effectExtent l="0" t="0" r="0" b="6350"/>
            <wp:docPr id="117035471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2DDC98F">
      <w:pPr>
        <w:widowControl/>
        <w:adjustRightInd w:val="0"/>
        <w:snapToGrid w:val="0"/>
        <w:jc w:val="center"/>
        <w:rPr>
          <w:rFonts w:hint="eastAsia" w:ascii="宋体" w:hAnsi="宋体" w:eastAsia="宋体" w:cs="Times New Roman"/>
          <w:color w:val="auto"/>
          <w:kern w:val="0"/>
          <w:sz w:val="15"/>
          <w:szCs w:val="15"/>
          <w:highlight w:val="none"/>
        </w:rPr>
      </w:pP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m</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 xml:space="preserve">2019年不覆膜处理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n</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 xml:space="preserve">2019年覆膜处理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o</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 xml:space="preserve">2020年不覆膜处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p</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2020年覆膜处理</w:t>
      </w:r>
    </w:p>
    <w:p w14:paraId="3B444C47">
      <w:pPr>
        <w:widowControl/>
        <w:adjustRightInd w:val="0"/>
        <w:snapToGrid w:val="0"/>
        <w:jc w:val="center"/>
        <w:rPr>
          <w:rFonts w:ascii="Times New Roman" w:hAnsi="Times New Roman" w:eastAsia="黑体" w:cs="Times New Roman"/>
          <w:bCs/>
          <w:color w:val="auto"/>
          <w:sz w:val="18"/>
          <w:szCs w:val="18"/>
          <w:highlight w:val="none"/>
        </w:rPr>
      </w:pPr>
      <w:r>
        <w:rPr>
          <w:rFonts w:ascii="Times New Roman" w:hAnsi="Times New Roman" w:eastAsia="黑体" w:cs="Times New Roman"/>
          <w:bCs/>
          <w:color w:val="auto"/>
          <w:sz w:val="18"/>
          <w:szCs w:val="18"/>
          <w:highlight w:val="none"/>
        </w:rPr>
        <w:t>图4</w:t>
      </w:r>
      <w:r>
        <w:rPr>
          <w:rFonts w:ascii="Times New Roman" w:hAnsi="Times New Roman" w:eastAsia="黑体" w:cs="Times New Roman"/>
          <w:color w:val="auto"/>
          <w:sz w:val="18"/>
          <w:szCs w:val="18"/>
          <w:highlight w:val="none"/>
        </w:rPr>
        <w:t xml:space="preserve">  </w:t>
      </w:r>
      <w:r>
        <w:rPr>
          <w:rFonts w:ascii="Times New Roman" w:hAnsi="Times New Roman" w:eastAsia="黑体" w:cs="Times New Roman"/>
          <w:bCs/>
          <w:color w:val="auto"/>
          <w:sz w:val="18"/>
          <w:szCs w:val="18"/>
          <w:highlight w:val="none"/>
        </w:rPr>
        <w:t>2019</w:t>
      </w:r>
      <w:r>
        <w:rPr>
          <w:rFonts w:ascii="Times New Roman" w:hAnsi="Times New Roman" w:eastAsia="宋体" w:cs="Times New Roman"/>
          <w:color w:val="auto"/>
          <w:szCs w:val="21"/>
          <w:highlight w:val="none"/>
        </w:rPr>
        <w:t>—</w:t>
      </w:r>
      <w:r>
        <w:rPr>
          <w:rFonts w:ascii="Times New Roman" w:hAnsi="Times New Roman" w:eastAsia="黑体" w:cs="Times New Roman"/>
          <w:bCs/>
          <w:color w:val="auto"/>
          <w:sz w:val="18"/>
          <w:szCs w:val="18"/>
          <w:highlight w:val="none"/>
        </w:rPr>
        <w:t>2020年不同生育期凝结水动态变化过程</w:t>
      </w:r>
    </w:p>
    <w:p w14:paraId="462F0387">
      <w:pPr>
        <w:pStyle w:val="2"/>
        <w:adjustRightInd w:val="0"/>
        <w:snapToGrid w:val="0"/>
        <w:spacing w:after="0"/>
        <w:jc w:val="center"/>
        <w:rPr>
          <w:rFonts w:ascii="Times New Roman" w:hAnsi="Times New Roman" w:eastAsia="黑体" w:cs="Times New Roman"/>
          <w:bCs/>
          <w:color w:val="auto"/>
          <w:sz w:val="18"/>
          <w:szCs w:val="18"/>
          <w:highlight w:val="none"/>
        </w:rPr>
      </w:pPr>
      <w:r>
        <w:rPr>
          <w:rFonts w:ascii="Times New Roman" w:hAnsi="Times New Roman" w:eastAsia="黑体" w:cs="Times New Roman"/>
          <w:bCs/>
          <w:color w:val="auto"/>
          <w:sz w:val="18"/>
          <w:szCs w:val="18"/>
          <w:highlight w:val="none"/>
        </w:rPr>
        <w:t>Fig.4</w:t>
      </w:r>
      <w:r>
        <w:rPr>
          <w:rFonts w:ascii="Times New Roman" w:hAnsi="Times New Roman" w:eastAsia="黑体" w:cs="Times New Roman"/>
          <w:color w:val="auto"/>
          <w:sz w:val="18"/>
          <w:szCs w:val="18"/>
          <w:highlight w:val="none"/>
        </w:rPr>
        <w:t xml:space="preserve">  </w:t>
      </w:r>
      <w:r>
        <w:rPr>
          <w:rFonts w:ascii="Times New Roman" w:hAnsi="Times New Roman" w:eastAsia="黑体" w:cs="Times New Roman"/>
          <w:bCs/>
          <w:color w:val="auto"/>
          <w:sz w:val="18"/>
          <w:szCs w:val="18"/>
          <w:highlight w:val="none"/>
        </w:rPr>
        <w:t>Dynamic variation process of dew</w:t>
      </w:r>
      <w:r>
        <w:rPr>
          <w:rFonts w:hint="eastAsia" w:ascii="Times New Roman" w:hAnsi="Times New Roman" w:eastAsia="黑体" w:cs="Times New Roman"/>
          <w:bCs/>
          <w:color w:val="auto"/>
          <w:sz w:val="18"/>
          <w:szCs w:val="18"/>
          <w:highlight w:val="none"/>
        </w:rPr>
        <w:t xml:space="preserve"> </w:t>
      </w:r>
      <w:r>
        <w:rPr>
          <w:rFonts w:ascii="Times New Roman" w:hAnsi="Times New Roman" w:eastAsia="黑体" w:cs="Times New Roman"/>
          <w:bCs/>
          <w:color w:val="auto"/>
          <w:sz w:val="18"/>
          <w:szCs w:val="18"/>
          <w:highlight w:val="none"/>
        </w:rPr>
        <w:t>at different growth stages (2019</w:t>
      </w:r>
      <w:r>
        <w:rPr>
          <w:rFonts w:ascii="Times New Roman" w:hAnsi="Times New Roman" w:eastAsia="宋体" w:cs="Times New Roman"/>
          <w:color w:val="auto"/>
          <w:szCs w:val="21"/>
          <w:highlight w:val="none"/>
        </w:rPr>
        <w:t>-</w:t>
      </w:r>
      <w:r>
        <w:rPr>
          <w:rFonts w:ascii="Times New Roman" w:hAnsi="Times New Roman" w:eastAsia="黑体" w:cs="Times New Roman"/>
          <w:bCs/>
          <w:color w:val="auto"/>
          <w:sz w:val="18"/>
          <w:szCs w:val="18"/>
          <w:highlight w:val="none"/>
        </w:rPr>
        <w:t>2020)</w:t>
      </w:r>
    </w:p>
    <w:p w14:paraId="14A733AD">
      <w:pPr>
        <w:pStyle w:val="2"/>
        <w:adjustRightInd w:val="0"/>
        <w:snapToGrid w:val="0"/>
        <w:spacing w:after="0"/>
        <w:ind w:firstLine="420" w:firstLineChars="200"/>
        <w:rPr>
          <w:rFonts w:hint="eastAsia"/>
          <w:color w:val="auto"/>
          <w:highlight w:val="none"/>
        </w:rPr>
      </w:pPr>
      <w:r>
        <w:rPr>
          <w:rFonts w:ascii="Times New Roman" w:hAnsi="Times New Roman" w:eastAsia="宋体" w:cs="Times New Roman"/>
          <w:color w:val="auto"/>
          <w:highlight w:val="none"/>
        </w:rPr>
        <w:t>由图4可知，2019年和2020年不同生育期覆膜与不覆膜处理下典型日凝结水日内变化过程总体一致，凝结水仍主要发生在0:00 至次日8:00，呈现夜间逐步形成、清晨相对增强、日出后减弱并转为蒸散的连续变化特征。不同生育期之间，凝结水发生的时间窗口差异不明显，但凝结速率峰值和累积凝结量存在差异，其中蕾期和花铃期凝结水形成强度相对较高，苗期和吐絮期相对较低。这可能与棉田冠层结构、土壤含水状况和近地表温湿环境的阶段性变化有关：蕾期至花铃期棉田冠层逐渐发育，田间水汽来源相对充足，夜间近地表湿度较高，有利于凝结水形成；苗期冠层尚未充分形成，凝结界面和水汽来源相对有限；吐絮期随气温下降、植株衰老和蒸散减弱，凝结水形成强度有所降低。覆膜与不覆膜处理之间的差异主要体现在凝结强度和累积量上，不覆膜处理下裸露土壤表面和作物冠层共同参与凝结，近地表水汽供应相对充分，因此凝结速率峰值和累积凝结量通常高于覆膜处理；覆膜处理则因塑料薄膜阻隔部分土壤水汽向上输送，并改变膜面以上凝结界面的热湿条件，使系统可记录的凝结水输入减少。</w:t>
      </w:r>
    </w:p>
    <w:p w14:paraId="6D764152">
      <w:pPr>
        <w:adjustRightInd w:val="0"/>
        <w:snapToGrid w:val="0"/>
        <w:rPr>
          <w:rFonts w:ascii="Times New Roman" w:hAnsi="Times New Roman" w:eastAsia="楷体" w:cs="Times New Roman"/>
          <w:color w:val="auto"/>
          <w:highlight w:val="none"/>
        </w:rPr>
      </w:pPr>
      <w:r>
        <w:rPr>
          <w:rFonts w:ascii="Times New Roman" w:hAnsi="Times New Roman" w:eastAsia="楷体" w:cs="Times New Roman"/>
          <w:color w:val="auto"/>
          <w:highlight w:val="none"/>
        </w:rPr>
        <w:t>2.1.3 膜下滴灌棉田各生育期凝结水量及其相对量级</w:t>
      </w:r>
    </w:p>
    <w:p w14:paraId="6CB4DFF2">
      <w:pPr>
        <w:adjustRightInd w:val="0"/>
        <w:snapToGrid w:val="0"/>
        <w:ind w:firstLine="42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在本研究中，为客观评估凝结水在农田水分微循环中的相对量级，采用凝结水量与同期蒸散量的比值来反映凝结水对农田蒸散耗水的潜在补偿能力；采用凝结水量与同期降水量的比值（即水分当量比）来对比这两类水分输入项的相对大小（</w:t>
      </w:r>
      <w:r>
        <w:rPr>
          <w:rFonts w:hint="eastAsia" w:ascii="Times New Roman" w:hAnsi="Times New Roman" w:eastAsia="宋体" w:cs="Times New Roman"/>
          <w:color w:val="auto"/>
          <w:highlight w:val="none"/>
        </w:rPr>
        <w:t>见</w:t>
      </w:r>
      <w:r>
        <w:rPr>
          <w:rFonts w:ascii="Times New Roman" w:hAnsi="Times New Roman" w:eastAsia="宋体" w:cs="Times New Roman"/>
          <w:color w:val="auto"/>
          <w:highlight w:val="none"/>
        </w:rPr>
        <w:t>表2）。2018</w:t>
      </w:r>
      <w:r>
        <w:rPr>
          <w:rFonts w:ascii="Times New Roman" w:hAnsi="Times New Roman" w:eastAsia="宋体" w:cs="Times New Roman"/>
          <w:color w:val="auto"/>
          <w:szCs w:val="21"/>
          <w:highlight w:val="none"/>
        </w:rPr>
        <w:t>—</w:t>
      </w:r>
      <w:r>
        <w:rPr>
          <w:rFonts w:ascii="Times New Roman" w:hAnsi="Times New Roman" w:eastAsia="宋体" w:cs="Times New Roman"/>
          <w:color w:val="auto"/>
          <w:highlight w:val="none"/>
        </w:rPr>
        <w:t>2020年不覆膜处理方式下凝结水量分别为36.60</w:t>
      </w:r>
      <w:r>
        <w:rPr>
          <w:rFonts w:hint="eastAsia" w:ascii="Times New Roman" w:hAnsi="Times New Roman" w:eastAsia="宋体" w:cs="Times New Roman"/>
          <w:color w:val="auto"/>
          <w:highlight w:val="none"/>
        </w:rPr>
        <w:t xml:space="preserve"> </w:t>
      </w:r>
      <w:r>
        <w:rPr>
          <w:rFonts w:ascii="Times New Roman" w:hAnsi="Times New Roman" w:eastAsia="宋体" w:cs="Times New Roman"/>
          <w:color w:val="auto"/>
          <w:highlight w:val="none"/>
        </w:rPr>
        <w:t>mm、89.20</w:t>
      </w:r>
      <w:r>
        <w:rPr>
          <w:rFonts w:hint="eastAsia" w:ascii="Times New Roman" w:hAnsi="Times New Roman" w:eastAsia="宋体" w:cs="Times New Roman"/>
          <w:color w:val="auto"/>
          <w:highlight w:val="none"/>
        </w:rPr>
        <w:t xml:space="preserve"> </w:t>
      </w:r>
      <w:r>
        <w:rPr>
          <w:rFonts w:ascii="Times New Roman" w:hAnsi="Times New Roman" w:eastAsia="宋体" w:cs="Times New Roman"/>
          <w:color w:val="auto"/>
          <w:highlight w:val="none"/>
        </w:rPr>
        <w:t>mm和61.63</w:t>
      </w:r>
      <w:r>
        <w:rPr>
          <w:rFonts w:hint="eastAsia" w:ascii="Times New Roman" w:hAnsi="Times New Roman" w:eastAsia="宋体" w:cs="Times New Roman"/>
          <w:color w:val="auto"/>
          <w:highlight w:val="none"/>
        </w:rPr>
        <w:t xml:space="preserve"> </w:t>
      </w:r>
      <w:r>
        <w:rPr>
          <w:rFonts w:ascii="Times New Roman" w:hAnsi="Times New Roman" w:eastAsia="宋体" w:cs="Times New Roman"/>
          <w:color w:val="auto"/>
          <w:highlight w:val="none"/>
        </w:rPr>
        <w:t>mm，对蒸散耗水的补偿比值分别为8.82%、13.14%、13.57%，而凝结水量与降雨量的当量比值分别为72.33%、63.17%和97.21%；覆膜处理方式下的凝结水量分别为31.37</w:t>
      </w:r>
      <w:r>
        <w:rPr>
          <w:rFonts w:hint="eastAsia" w:ascii="Times New Roman" w:hAnsi="Times New Roman" w:eastAsia="宋体" w:cs="Times New Roman"/>
          <w:color w:val="auto"/>
          <w:highlight w:val="none"/>
        </w:rPr>
        <w:t xml:space="preserve"> </w:t>
      </w:r>
      <w:r>
        <w:rPr>
          <w:rFonts w:ascii="Times New Roman" w:hAnsi="Times New Roman" w:eastAsia="宋体" w:cs="Times New Roman"/>
          <w:color w:val="auto"/>
          <w:highlight w:val="none"/>
        </w:rPr>
        <w:t>mm、70.87 mm和58.05 mm，对蒸发的贡献率分别为10.34%、14.72%、15.71%，对降雨量的当量比值分别为61.99%、50.19%和91.57%。在2020年苗期不覆膜处理方式下，凝结水量已超过同期降雨量。</w:t>
      </w:r>
    </w:p>
    <w:p w14:paraId="72003C2D">
      <w:pPr>
        <w:widowControl/>
        <w:adjustRightInd w:val="0"/>
        <w:snapToGrid w:val="0"/>
        <w:jc w:val="center"/>
        <w:rPr>
          <w:rFonts w:hint="eastAsia" w:ascii="黑体" w:hAnsi="黑体" w:eastAsia="黑体" w:cs="Times New Roman"/>
          <w:color w:val="auto"/>
          <w:kern w:val="0"/>
          <w:sz w:val="18"/>
          <w:szCs w:val="18"/>
          <w:highlight w:val="none"/>
        </w:rPr>
      </w:pPr>
      <w:r>
        <w:rPr>
          <w:rFonts w:ascii="黑体" w:hAnsi="黑体" w:eastAsia="黑体" w:cs="Times New Roman"/>
          <w:color w:val="auto"/>
          <w:kern w:val="0"/>
          <w:sz w:val="18"/>
          <w:szCs w:val="18"/>
          <w:highlight w:val="none"/>
        </w:rPr>
        <w:t>表</w:t>
      </w:r>
      <w:r>
        <w:rPr>
          <w:rFonts w:ascii="Times New Roman" w:hAnsi="Times New Roman" w:eastAsia="黑体" w:cs="Times New Roman"/>
          <w:color w:val="auto"/>
          <w:kern w:val="0"/>
          <w:sz w:val="18"/>
          <w:szCs w:val="18"/>
          <w:highlight w:val="none"/>
        </w:rPr>
        <w:t>2</w:t>
      </w:r>
      <w:r>
        <w:rPr>
          <w:rFonts w:ascii="Times New Roman" w:hAnsi="Times New Roman" w:eastAsia="黑体" w:cs="Times New Roman"/>
          <w:color w:val="auto"/>
          <w:sz w:val="18"/>
          <w:szCs w:val="18"/>
          <w:highlight w:val="none"/>
        </w:rPr>
        <w:t xml:space="preserve">  </w:t>
      </w:r>
      <w:r>
        <w:rPr>
          <w:rFonts w:ascii="黑体" w:hAnsi="黑体" w:eastAsia="黑体" w:cs="Times New Roman"/>
          <w:color w:val="auto"/>
          <w:kern w:val="0"/>
          <w:sz w:val="18"/>
          <w:szCs w:val="18"/>
          <w:highlight w:val="none"/>
        </w:rPr>
        <w:t>膜下滴灌棉田各生育期凝结水量及其相对量级</w:t>
      </w:r>
    </w:p>
    <w:p w14:paraId="0E116E88">
      <w:pPr>
        <w:widowControl/>
        <w:adjustRightInd w:val="0"/>
        <w:snapToGrid w:val="0"/>
        <w:jc w:val="center"/>
        <w:rPr>
          <w:rFonts w:hint="eastAsia" w:ascii="Times New Roman" w:hAnsi="楷体" w:eastAsia="楷体" w:cs="Times New Roman"/>
          <w:color w:val="auto"/>
          <w:kern w:val="0"/>
          <w:sz w:val="18"/>
          <w:szCs w:val="18"/>
          <w:highlight w:val="none"/>
        </w:rPr>
      </w:pPr>
      <w:r>
        <w:rPr>
          <w:rFonts w:ascii="Times New Roman" w:hAnsi="楷体" w:eastAsia="楷体" w:cs="Times New Roman"/>
          <w:color w:val="auto"/>
          <w:kern w:val="0"/>
          <w:sz w:val="18"/>
          <w:szCs w:val="18"/>
          <w:highlight w:val="none"/>
        </w:rPr>
        <w:t>Table 2</w:t>
      </w:r>
      <w:r>
        <w:rPr>
          <w:rFonts w:ascii="Times New Roman" w:hAnsi="Times New Roman" w:eastAsia="黑体" w:cs="Times New Roman"/>
          <w:color w:val="auto"/>
          <w:sz w:val="18"/>
          <w:szCs w:val="18"/>
          <w:highlight w:val="none"/>
        </w:rPr>
        <w:t xml:space="preserve">  </w:t>
      </w:r>
      <w:r>
        <w:rPr>
          <w:rFonts w:ascii="Times New Roman" w:hAnsi="楷体" w:eastAsia="楷体" w:cs="Times New Roman"/>
          <w:color w:val="auto"/>
          <w:kern w:val="0"/>
          <w:sz w:val="18"/>
          <w:szCs w:val="18"/>
          <w:highlight w:val="none"/>
        </w:rPr>
        <w:t xml:space="preserve">Dew amount and its relative magnitude at different growth stages </w:t>
      </w:r>
      <w:r>
        <w:rPr>
          <w:rFonts w:hint="eastAsia" w:ascii="Times New Roman" w:hAnsi="楷体" w:eastAsia="楷体" w:cs="Times New Roman"/>
          <w:color w:val="auto"/>
          <w:kern w:val="0"/>
          <w:sz w:val="18"/>
          <w:szCs w:val="18"/>
          <w:highlight w:val="none"/>
        </w:rPr>
        <w:t>of</w:t>
      </w:r>
      <w:r>
        <w:rPr>
          <w:rFonts w:ascii="Times New Roman" w:hAnsi="楷体" w:eastAsia="楷体" w:cs="Times New Roman"/>
          <w:color w:val="auto"/>
          <w:kern w:val="0"/>
          <w:sz w:val="18"/>
          <w:szCs w:val="18"/>
          <w:highlight w:val="none"/>
        </w:rPr>
        <w:t xml:space="preserve"> drip-irrigated cotton field</w:t>
      </w:r>
    </w:p>
    <w:tbl>
      <w:tblPr>
        <w:tblStyle w:val="11"/>
        <w:tblW w:w="8631" w:type="dxa"/>
        <w:jc w:val="center"/>
        <w:tblLayout w:type="autofit"/>
        <w:tblCellMar>
          <w:top w:w="0" w:type="dxa"/>
          <w:left w:w="108" w:type="dxa"/>
          <w:bottom w:w="0" w:type="dxa"/>
          <w:right w:w="108" w:type="dxa"/>
        </w:tblCellMar>
      </w:tblPr>
      <w:tblGrid>
        <w:gridCol w:w="516"/>
        <w:gridCol w:w="709"/>
        <w:gridCol w:w="657"/>
        <w:gridCol w:w="792"/>
        <w:gridCol w:w="851"/>
        <w:gridCol w:w="850"/>
        <w:gridCol w:w="851"/>
        <w:gridCol w:w="750"/>
        <w:gridCol w:w="629"/>
        <w:gridCol w:w="709"/>
        <w:gridCol w:w="629"/>
        <w:gridCol w:w="839"/>
      </w:tblGrid>
      <w:tr w14:paraId="0556D3A4">
        <w:tblPrEx>
          <w:tblCellMar>
            <w:top w:w="0" w:type="dxa"/>
            <w:left w:w="108" w:type="dxa"/>
            <w:bottom w:w="0" w:type="dxa"/>
            <w:right w:w="108" w:type="dxa"/>
          </w:tblCellMar>
        </w:tblPrEx>
        <w:trPr>
          <w:trHeight w:val="283" w:hRule="atLeast"/>
          <w:jc w:val="center"/>
        </w:trPr>
        <w:tc>
          <w:tcPr>
            <w:tcW w:w="425" w:type="dxa"/>
            <w:vMerge w:val="restart"/>
            <w:tcBorders>
              <w:top w:val="single" w:color="auto" w:sz="12" w:space="0"/>
            </w:tcBorders>
            <w:noWrap/>
            <w:vAlign w:val="center"/>
          </w:tcPr>
          <w:p w14:paraId="4DCA0556">
            <w:pPr>
              <w:widowControl/>
              <w:adjustRightInd w:val="0"/>
              <w:snapToGrid w:val="0"/>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年份</w:t>
            </w:r>
          </w:p>
        </w:tc>
        <w:tc>
          <w:tcPr>
            <w:tcW w:w="709" w:type="dxa"/>
            <w:vMerge w:val="restart"/>
            <w:tcBorders>
              <w:top w:val="single" w:color="auto" w:sz="12" w:space="0"/>
            </w:tcBorders>
            <w:noWrap/>
            <w:vAlign w:val="center"/>
          </w:tcPr>
          <w:p w14:paraId="5A3B9B58">
            <w:pPr>
              <w:widowControl/>
              <w:adjustRightInd w:val="0"/>
              <w:snapToGrid w:val="0"/>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生育期</w:t>
            </w:r>
          </w:p>
        </w:tc>
        <w:tc>
          <w:tcPr>
            <w:tcW w:w="657" w:type="dxa"/>
            <w:vMerge w:val="restart"/>
            <w:tcBorders>
              <w:top w:val="single" w:color="auto" w:sz="12" w:space="0"/>
            </w:tcBorders>
            <w:vAlign w:val="center"/>
          </w:tcPr>
          <w:p w14:paraId="3BC35669">
            <w:pPr>
              <w:widowControl/>
              <w:adjustRightInd w:val="0"/>
              <w:snapToGrid w:val="0"/>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有效观测天数/d</w:t>
            </w:r>
          </w:p>
        </w:tc>
        <w:tc>
          <w:tcPr>
            <w:tcW w:w="2493" w:type="dxa"/>
            <w:gridSpan w:val="3"/>
            <w:tcBorders>
              <w:top w:val="single" w:color="auto" w:sz="12" w:space="0"/>
            </w:tcBorders>
            <w:noWrap/>
            <w:vAlign w:val="center"/>
          </w:tcPr>
          <w:p w14:paraId="4FD6D302">
            <w:pPr>
              <w:widowControl/>
              <w:adjustRightInd w:val="0"/>
              <w:snapToGrid w:val="0"/>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水汽输入</w:t>
            </w:r>
          </w:p>
        </w:tc>
        <w:tc>
          <w:tcPr>
            <w:tcW w:w="1601" w:type="dxa"/>
            <w:gridSpan w:val="2"/>
            <w:tcBorders>
              <w:top w:val="single" w:color="auto" w:sz="12" w:space="0"/>
            </w:tcBorders>
            <w:noWrap/>
            <w:vAlign w:val="center"/>
          </w:tcPr>
          <w:p w14:paraId="7F69DDE5">
            <w:pPr>
              <w:widowControl/>
              <w:adjustRightInd w:val="0"/>
              <w:snapToGrid w:val="0"/>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水汽输出</w:t>
            </w:r>
          </w:p>
        </w:tc>
        <w:tc>
          <w:tcPr>
            <w:tcW w:w="1338" w:type="dxa"/>
            <w:gridSpan w:val="2"/>
            <w:tcBorders>
              <w:top w:val="single" w:color="auto" w:sz="12" w:space="0"/>
            </w:tcBorders>
            <w:noWrap/>
            <w:vAlign w:val="center"/>
          </w:tcPr>
          <w:p w14:paraId="1B72A928">
            <w:pPr>
              <w:widowControl/>
              <w:adjustRightInd w:val="0"/>
              <w:snapToGrid w:val="0"/>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凝结量/蒸散量</w:t>
            </w:r>
          </w:p>
        </w:tc>
        <w:tc>
          <w:tcPr>
            <w:tcW w:w="1408" w:type="dxa"/>
            <w:gridSpan w:val="2"/>
            <w:tcBorders>
              <w:top w:val="single" w:color="auto" w:sz="12" w:space="0"/>
            </w:tcBorders>
            <w:noWrap/>
            <w:vAlign w:val="center"/>
          </w:tcPr>
          <w:p w14:paraId="18D02CE4">
            <w:pPr>
              <w:widowControl/>
              <w:adjustRightInd w:val="0"/>
              <w:snapToGrid w:val="0"/>
              <w:ind w:firstLine="150" w:firstLineChars="100"/>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凝结量/降雨量</w:t>
            </w:r>
          </w:p>
        </w:tc>
      </w:tr>
      <w:tr w14:paraId="5C6BF625">
        <w:tblPrEx>
          <w:tblCellMar>
            <w:top w:w="0" w:type="dxa"/>
            <w:left w:w="108" w:type="dxa"/>
            <w:bottom w:w="0" w:type="dxa"/>
            <w:right w:w="108" w:type="dxa"/>
          </w:tblCellMar>
        </w:tblPrEx>
        <w:trPr>
          <w:trHeight w:val="300" w:hRule="atLeast"/>
          <w:jc w:val="center"/>
        </w:trPr>
        <w:tc>
          <w:tcPr>
            <w:tcW w:w="425" w:type="dxa"/>
            <w:vMerge w:val="continue"/>
            <w:tcBorders>
              <w:bottom w:val="single" w:color="auto" w:sz="4" w:space="0"/>
            </w:tcBorders>
            <w:vAlign w:val="center"/>
          </w:tcPr>
          <w:p w14:paraId="6F01DF84">
            <w:pPr>
              <w:widowControl/>
              <w:adjustRightInd w:val="0"/>
              <w:snapToGrid w:val="0"/>
              <w:jc w:val="left"/>
              <w:rPr>
                <w:rFonts w:ascii="Times New Roman" w:hAnsi="Times New Roman" w:eastAsia="宋体" w:cs="Times New Roman"/>
                <w:color w:val="auto"/>
                <w:kern w:val="0"/>
                <w:sz w:val="15"/>
                <w:szCs w:val="15"/>
                <w:highlight w:val="none"/>
              </w:rPr>
            </w:pPr>
          </w:p>
        </w:tc>
        <w:tc>
          <w:tcPr>
            <w:tcW w:w="709" w:type="dxa"/>
            <w:vMerge w:val="continue"/>
            <w:tcBorders>
              <w:bottom w:val="single" w:color="auto" w:sz="4" w:space="0"/>
            </w:tcBorders>
            <w:vAlign w:val="center"/>
          </w:tcPr>
          <w:p w14:paraId="35E8B9D9">
            <w:pPr>
              <w:widowControl/>
              <w:adjustRightInd w:val="0"/>
              <w:snapToGrid w:val="0"/>
              <w:jc w:val="left"/>
              <w:rPr>
                <w:rFonts w:ascii="Times New Roman" w:hAnsi="Times New Roman" w:eastAsia="宋体" w:cs="Times New Roman"/>
                <w:color w:val="auto"/>
                <w:kern w:val="0"/>
                <w:sz w:val="15"/>
                <w:szCs w:val="15"/>
                <w:highlight w:val="none"/>
              </w:rPr>
            </w:pPr>
          </w:p>
        </w:tc>
        <w:tc>
          <w:tcPr>
            <w:tcW w:w="657" w:type="dxa"/>
            <w:vMerge w:val="continue"/>
            <w:tcBorders>
              <w:bottom w:val="single" w:color="auto" w:sz="4" w:space="0"/>
            </w:tcBorders>
            <w:vAlign w:val="center"/>
          </w:tcPr>
          <w:p w14:paraId="3C2E8D14">
            <w:pPr>
              <w:widowControl/>
              <w:adjustRightInd w:val="0"/>
              <w:snapToGrid w:val="0"/>
              <w:jc w:val="left"/>
              <w:rPr>
                <w:rFonts w:ascii="Times New Roman" w:hAnsi="Times New Roman" w:eastAsia="宋体" w:cs="Times New Roman"/>
                <w:color w:val="auto"/>
                <w:kern w:val="0"/>
                <w:sz w:val="15"/>
                <w:szCs w:val="15"/>
                <w:highlight w:val="none"/>
              </w:rPr>
            </w:pPr>
          </w:p>
        </w:tc>
        <w:tc>
          <w:tcPr>
            <w:tcW w:w="792" w:type="dxa"/>
            <w:tcBorders>
              <w:bottom w:val="single" w:color="auto" w:sz="4" w:space="0"/>
            </w:tcBorders>
            <w:noWrap/>
            <w:vAlign w:val="center"/>
          </w:tcPr>
          <w:p w14:paraId="60E70A89">
            <w:pPr>
              <w:widowControl/>
              <w:adjustRightInd w:val="0"/>
              <w:snapToGrid w:val="0"/>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降雨量</w:t>
            </w:r>
            <w:r>
              <w:rPr>
                <w:rFonts w:hint="eastAsia" w:ascii="Times New Roman" w:hAnsi="Times New Roman" w:eastAsia="宋体" w:cs="Times New Roman"/>
                <w:color w:val="auto"/>
                <w:kern w:val="0"/>
                <w:sz w:val="15"/>
                <w:szCs w:val="15"/>
                <w:highlight w:val="none"/>
              </w:rPr>
              <w:t>/</w:t>
            </w:r>
            <w:r>
              <w:rPr>
                <w:rFonts w:ascii="Times New Roman" w:hAnsi="Times New Roman" w:eastAsia="宋体" w:cs="Times New Roman"/>
                <w:color w:val="auto"/>
                <w:kern w:val="0"/>
                <w:sz w:val="15"/>
                <w:szCs w:val="15"/>
                <w:highlight w:val="none"/>
              </w:rPr>
              <w:t>mm</w:t>
            </w:r>
          </w:p>
        </w:tc>
        <w:tc>
          <w:tcPr>
            <w:tcW w:w="851" w:type="dxa"/>
            <w:tcBorders>
              <w:bottom w:val="single" w:color="auto" w:sz="4" w:space="0"/>
            </w:tcBorders>
            <w:vAlign w:val="center"/>
          </w:tcPr>
          <w:p w14:paraId="1A8C148C">
            <w:pPr>
              <w:widowControl/>
              <w:adjustRightInd w:val="0"/>
              <w:snapToGrid w:val="0"/>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凝结水量</w:t>
            </w:r>
          </w:p>
          <w:p w14:paraId="0AFCEC1F">
            <w:pPr>
              <w:widowControl/>
              <w:adjustRightInd w:val="0"/>
              <w:snapToGrid w:val="0"/>
              <w:jc w:val="center"/>
              <w:rPr>
                <w:rFonts w:ascii="Times New Roman" w:hAnsi="Times New Roman" w:eastAsia="宋体" w:cs="Times New Roman"/>
                <w:color w:val="auto"/>
                <w:kern w:val="0"/>
                <w:sz w:val="15"/>
                <w:szCs w:val="15"/>
                <w:highlight w:val="none"/>
              </w:rPr>
            </w:pPr>
            <w:r>
              <w:rPr>
                <w:rFonts w:hint="eastAsia" w:ascii="Times New Roman" w:hAnsi="Times New Roman" w:eastAsia="宋体" w:cs="Times New Roman"/>
                <w:color w:val="auto"/>
                <w:kern w:val="0"/>
                <w:sz w:val="15"/>
                <w:szCs w:val="15"/>
                <w:highlight w:val="none"/>
              </w:rPr>
              <w:t>/</w:t>
            </w:r>
            <w:r>
              <w:rPr>
                <w:rFonts w:ascii="Times New Roman" w:hAnsi="Times New Roman" w:eastAsia="宋体" w:cs="Times New Roman"/>
                <w:color w:val="auto"/>
                <w:kern w:val="0"/>
                <w:sz w:val="15"/>
                <w:szCs w:val="15"/>
                <w:highlight w:val="none"/>
              </w:rPr>
              <w:t>mm</w:t>
            </w:r>
          </w:p>
          <w:p w14:paraId="23FB09A6">
            <w:pPr>
              <w:widowControl/>
              <w:adjustRightInd w:val="0"/>
              <w:snapToGrid w:val="0"/>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覆膜</w:t>
            </w:r>
          </w:p>
        </w:tc>
        <w:tc>
          <w:tcPr>
            <w:tcW w:w="850" w:type="dxa"/>
            <w:tcBorders>
              <w:bottom w:val="single" w:color="auto" w:sz="4" w:space="0"/>
            </w:tcBorders>
            <w:vAlign w:val="center"/>
          </w:tcPr>
          <w:p w14:paraId="70ADFB78">
            <w:pPr>
              <w:widowControl/>
              <w:adjustRightInd w:val="0"/>
              <w:snapToGrid w:val="0"/>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凝结水量</w:t>
            </w:r>
            <w:r>
              <w:rPr>
                <w:rFonts w:hint="eastAsia" w:ascii="Times New Roman" w:hAnsi="Times New Roman" w:eastAsia="宋体" w:cs="Times New Roman"/>
                <w:color w:val="auto"/>
                <w:kern w:val="0"/>
                <w:sz w:val="15"/>
                <w:szCs w:val="15"/>
                <w:highlight w:val="none"/>
              </w:rPr>
              <w:t>/</w:t>
            </w:r>
            <w:r>
              <w:rPr>
                <w:rFonts w:ascii="Times New Roman" w:hAnsi="Times New Roman" w:eastAsia="宋体" w:cs="Times New Roman"/>
                <w:color w:val="auto"/>
                <w:kern w:val="0"/>
                <w:sz w:val="15"/>
                <w:szCs w:val="15"/>
                <w:highlight w:val="none"/>
              </w:rPr>
              <w:t>mm</w:t>
            </w:r>
          </w:p>
          <w:p w14:paraId="5D952673">
            <w:pPr>
              <w:widowControl/>
              <w:adjustRightInd w:val="0"/>
              <w:snapToGrid w:val="0"/>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不覆膜</w:t>
            </w:r>
          </w:p>
        </w:tc>
        <w:tc>
          <w:tcPr>
            <w:tcW w:w="851" w:type="dxa"/>
            <w:tcBorders>
              <w:bottom w:val="single" w:color="auto" w:sz="4" w:space="0"/>
            </w:tcBorders>
            <w:vAlign w:val="center"/>
          </w:tcPr>
          <w:p w14:paraId="3DF0ED5C">
            <w:pPr>
              <w:widowControl/>
              <w:adjustRightInd w:val="0"/>
              <w:snapToGrid w:val="0"/>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蒸散量</w:t>
            </w:r>
          </w:p>
          <w:p w14:paraId="5ECEA542">
            <w:pPr>
              <w:widowControl/>
              <w:adjustRightInd w:val="0"/>
              <w:snapToGrid w:val="0"/>
              <w:jc w:val="center"/>
              <w:rPr>
                <w:rFonts w:ascii="Times New Roman" w:hAnsi="Times New Roman" w:eastAsia="宋体" w:cs="Times New Roman"/>
                <w:color w:val="auto"/>
                <w:kern w:val="0"/>
                <w:sz w:val="15"/>
                <w:szCs w:val="15"/>
                <w:highlight w:val="none"/>
              </w:rPr>
            </w:pPr>
            <w:r>
              <w:rPr>
                <w:rFonts w:hint="eastAsia" w:ascii="Times New Roman" w:hAnsi="Times New Roman" w:eastAsia="宋体" w:cs="Times New Roman"/>
                <w:color w:val="auto"/>
                <w:kern w:val="0"/>
                <w:sz w:val="15"/>
                <w:szCs w:val="15"/>
                <w:highlight w:val="none"/>
              </w:rPr>
              <w:t>/</w:t>
            </w:r>
            <w:r>
              <w:rPr>
                <w:rFonts w:ascii="Times New Roman" w:hAnsi="Times New Roman" w:eastAsia="宋体" w:cs="Times New Roman"/>
                <w:color w:val="auto"/>
                <w:kern w:val="0"/>
                <w:sz w:val="15"/>
                <w:szCs w:val="15"/>
                <w:highlight w:val="none"/>
              </w:rPr>
              <w:t>mm</w:t>
            </w:r>
          </w:p>
          <w:p w14:paraId="38A6AFB7">
            <w:pPr>
              <w:widowControl/>
              <w:adjustRightInd w:val="0"/>
              <w:snapToGrid w:val="0"/>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覆膜</w:t>
            </w:r>
          </w:p>
        </w:tc>
        <w:tc>
          <w:tcPr>
            <w:tcW w:w="750" w:type="dxa"/>
            <w:tcBorders>
              <w:bottom w:val="single" w:color="auto" w:sz="4" w:space="0"/>
            </w:tcBorders>
            <w:vAlign w:val="center"/>
          </w:tcPr>
          <w:p w14:paraId="6DAFD80B">
            <w:pPr>
              <w:widowControl/>
              <w:adjustRightInd w:val="0"/>
              <w:snapToGrid w:val="0"/>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蒸散量</w:t>
            </w:r>
            <w:r>
              <w:rPr>
                <w:rFonts w:hint="eastAsia" w:ascii="Times New Roman" w:hAnsi="Times New Roman" w:eastAsia="宋体" w:cs="Times New Roman"/>
                <w:color w:val="auto"/>
                <w:kern w:val="0"/>
                <w:sz w:val="15"/>
                <w:szCs w:val="15"/>
                <w:highlight w:val="none"/>
              </w:rPr>
              <w:t>/</w:t>
            </w:r>
            <w:r>
              <w:rPr>
                <w:rFonts w:ascii="Times New Roman" w:hAnsi="Times New Roman" w:eastAsia="宋体" w:cs="Times New Roman"/>
                <w:color w:val="auto"/>
                <w:kern w:val="0"/>
                <w:sz w:val="15"/>
                <w:szCs w:val="15"/>
                <w:highlight w:val="none"/>
              </w:rPr>
              <w:t>mm</w:t>
            </w:r>
          </w:p>
          <w:p w14:paraId="0E0012AA">
            <w:pPr>
              <w:widowControl/>
              <w:adjustRightInd w:val="0"/>
              <w:snapToGrid w:val="0"/>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不覆膜</w:t>
            </w:r>
          </w:p>
        </w:tc>
        <w:tc>
          <w:tcPr>
            <w:tcW w:w="629" w:type="dxa"/>
            <w:tcBorders>
              <w:bottom w:val="single" w:color="auto" w:sz="4" w:space="0"/>
            </w:tcBorders>
            <w:noWrap/>
            <w:vAlign w:val="center"/>
          </w:tcPr>
          <w:p w14:paraId="33D8B031">
            <w:pPr>
              <w:widowControl/>
              <w:adjustRightInd w:val="0"/>
              <w:snapToGrid w:val="0"/>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覆膜</w:t>
            </w:r>
          </w:p>
        </w:tc>
        <w:tc>
          <w:tcPr>
            <w:tcW w:w="709" w:type="dxa"/>
            <w:tcBorders>
              <w:bottom w:val="single" w:color="auto" w:sz="4" w:space="0"/>
            </w:tcBorders>
            <w:noWrap/>
            <w:vAlign w:val="center"/>
          </w:tcPr>
          <w:p w14:paraId="1AEC16A1">
            <w:pPr>
              <w:widowControl/>
              <w:adjustRightInd w:val="0"/>
              <w:snapToGrid w:val="0"/>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不覆膜</w:t>
            </w:r>
          </w:p>
        </w:tc>
        <w:tc>
          <w:tcPr>
            <w:tcW w:w="629" w:type="dxa"/>
            <w:tcBorders>
              <w:bottom w:val="single" w:color="auto" w:sz="4" w:space="0"/>
            </w:tcBorders>
            <w:noWrap/>
            <w:vAlign w:val="center"/>
          </w:tcPr>
          <w:p w14:paraId="6E2CD542">
            <w:pPr>
              <w:widowControl/>
              <w:adjustRightInd w:val="0"/>
              <w:snapToGrid w:val="0"/>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覆膜</w:t>
            </w:r>
          </w:p>
        </w:tc>
        <w:tc>
          <w:tcPr>
            <w:tcW w:w="779" w:type="dxa"/>
            <w:tcBorders>
              <w:bottom w:val="single" w:color="auto" w:sz="4" w:space="0"/>
            </w:tcBorders>
            <w:noWrap/>
            <w:vAlign w:val="center"/>
          </w:tcPr>
          <w:p w14:paraId="48FE3CB6">
            <w:pPr>
              <w:widowControl/>
              <w:adjustRightInd w:val="0"/>
              <w:snapToGrid w:val="0"/>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不覆膜</w:t>
            </w:r>
          </w:p>
        </w:tc>
      </w:tr>
      <w:tr w14:paraId="5A1BB988">
        <w:tblPrEx>
          <w:tblCellMar>
            <w:top w:w="0" w:type="dxa"/>
            <w:left w:w="108" w:type="dxa"/>
            <w:bottom w:w="0" w:type="dxa"/>
            <w:right w:w="108" w:type="dxa"/>
          </w:tblCellMar>
        </w:tblPrEx>
        <w:trPr>
          <w:trHeight w:val="283" w:hRule="atLeast"/>
          <w:jc w:val="center"/>
        </w:trPr>
        <w:tc>
          <w:tcPr>
            <w:tcW w:w="425" w:type="dxa"/>
            <w:tcBorders>
              <w:top w:val="single" w:color="auto" w:sz="4" w:space="0"/>
            </w:tcBorders>
            <w:noWrap/>
            <w:vAlign w:val="center"/>
          </w:tcPr>
          <w:p w14:paraId="34CED617">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2018</w:t>
            </w:r>
          </w:p>
        </w:tc>
        <w:tc>
          <w:tcPr>
            <w:tcW w:w="709" w:type="dxa"/>
            <w:tcBorders>
              <w:top w:val="single" w:color="auto" w:sz="4" w:space="0"/>
            </w:tcBorders>
            <w:noWrap/>
            <w:vAlign w:val="center"/>
          </w:tcPr>
          <w:p w14:paraId="7DF7F25D">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蕾期末</w:t>
            </w:r>
          </w:p>
        </w:tc>
        <w:tc>
          <w:tcPr>
            <w:tcW w:w="657" w:type="dxa"/>
            <w:tcBorders>
              <w:top w:val="single" w:color="auto" w:sz="4" w:space="0"/>
            </w:tcBorders>
            <w:noWrap/>
            <w:vAlign w:val="center"/>
          </w:tcPr>
          <w:p w14:paraId="2C19DAF7">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21</w:t>
            </w:r>
          </w:p>
        </w:tc>
        <w:tc>
          <w:tcPr>
            <w:tcW w:w="792" w:type="dxa"/>
            <w:tcBorders>
              <w:top w:val="single" w:color="auto" w:sz="4" w:space="0"/>
            </w:tcBorders>
            <w:noWrap/>
            <w:vAlign w:val="center"/>
          </w:tcPr>
          <w:p w14:paraId="76F1EEE6">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4.40 </w:t>
            </w:r>
          </w:p>
        </w:tc>
        <w:tc>
          <w:tcPr>
            <w:tcW w:w="851" w:type="dxa"/>
            <w:tcBorders>
              <w:top w:val="single" w:color="auto" w:sz="4" w:space="0"/>
            </w:tcBorders>
            <w:noWrap/>
            <w:vAlign w:val="center"/>
          </w:tcPr>
          <w:p w14:paraId="3A66DE19">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9.79 </w:t>
            </w:r>
          </w:p>
        </w:tc>
        <w:tc>
          <w:tcPr>
            <w:tcW w:w="850" w:type="dxa"/>
            <w:tcBorders>
              <w:top w:val="single" w:color="auto" w:sz="4" w:space="0"/>
            </w:tcBorders>
            <w:noWrap/>
            <w:vAlign w:val="center"/>
          </w:tcPr>
          <w:p w14:paraId="17633855">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10.01 </w:t>
            </w:r>
          </w:p>
        </w:tc>
        <w:tc>
          <w:tcPr>
            <w:tcW w:w="851" w:type="dxa"/>
            <w:tcBorders>
              <w:top w:val="single" w:color="auto" w:sz="4" w:space="0"/>
            </w:tcBorders>
            <w:noWrap/>
            <w:vAlign w:val="center"/>
          </w:tcPr>
          <w:p w14:paraId="5474C0C9">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147.71 </w:t>
            </w:r>
          </w:p>
        </w:tc>
        <w:tc>
          <w:tcPr>
            <w:tcW w:w="750" w:type="dxa"/>
            <w:tcBorders>
              <w:top w:val="single" w:color="auto" w:sz="4" w:space="0"/>
            </w:tcBorders>
            <w:noWrap/>
            <w:vAlign w:val="center"/>
          </w:tcPr>
          <w:p w14:paraId="1E14C9CB">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169.48 </w:t>
            </w:r>
          </w:p>
        </w:tc>
        <w:tc>
          <w:tcPr>
            <w:tcW w:w="629" w:type="dxa"/>
            <w:tcBorders>
              <w:top w:val="single" w:color="auto" w:sz="4" w:space="0"/>
            </w:tcBorders>
            <w:noWrap/>
            <w:vAlign w:val="center"/>
          </w:tcPr>
          <w:p w14:paraId="1E8E445E">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0.0663 </w:t>
            </w:r>
          </w:p>
        </w:tc>
        <w:tc>
          <w:tcPr>
            <w:tcW w:w="709" w:type="dxa"/>
            <w:tcBorders>
              <w:top w:val="single" w:color="auto" w:sz="4" w:space="0"/>
            </w:tcBorders>
            <w:noWrap/>
            <w:vAlign w:val="center"/>
          </w:tcPr>
          <w:p w14:paraId="52E198E6">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0.0591 </w:t>
            </w:r>
          </w:p>
        </w:tc>
        <w:tc>
          <w:tcPr>
            <w:tcW w:w="629" w:type="dxa"/>
            <w:tcBorders>
              <w:top w:val="single" w:color="auto" w:sz="4" w:space="0"/>
            </w:tcBorders>
            <w:noWrap/>
            <w:vAlign w:val="center"/>
          </w:tcPr>
          <w:p w14:paraId="33B385B9">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2.2254 </w:t>
            </w:r>
          </w:p>
        </w:tc>
        <w:tc>
          <w:tcPr>
            <w:tcW w:w="779" w:type="dxa"/>
            <w:tcBorders>
              <w:top w:val="single" w:color="auto" w:sz="4" w:space="0"/>
            </w:tcBorders>
            <w:noWrap/>
            <w:vAlign w:val="center"/>
          </w:tcPr>
          <w:p w14:paraId="091DDFB4">
            <w:pPr>
              <w:widowControl/>
              <w:adjustRightInd w:val="0"/>
              <w:snapToGrid w:val="0"/>
              <w:ind w:firstLine="150" w:firstLineChars="10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2.2754</w:t>
            </w:r>
          </w:p>
        </w:tc>
      </w:tr>
      <w:tr w14:paraId="2090F4A5">
        <w:tblPrEx>
          <w:tblCellMar>
            <w:top w:w="0" w:type="dxa"/>
            <w:left w:w="108" w:type="dxa"/>
            <w:bottom w:w="0" w:type="dxa"/>
            <w:right w:w="108" w:type="dxa"/>
          </w:tblCellMar>
        </w:tblPrEx>
        <w:trPr>
          <w:trHeight w:val="283" w:hRule="atLeast"/>
          <w:jc w:val="center"/>
        </w:trPr>
        <w:tc>
          <w:tcPr>
            <w:tcW w:w="425" w:type="dxa"/>
            <w:noWrap/>
            <w:vAlign w:val="center"/>
          </w:tcPr>
          <w:p w14:paraId="74A978A2">
            <w:pPr>
              <w:widowControl/>
              <w:adjustRightInd w:val="0"/>
              <w:snapToGrid w:val="0"/>
              <w:jc w:val="center"/>
              <w:rPr>
                <w:rFonts w:ascii="Times New Roman" w:hAnsi="Times New Roman" w:eastAsia="等线" w:cs="Times New Roman"/>
                <w:color w:val="auto"/>
                <w:kern w:val="0"/>
                <w:sz w:val="15"/>
                <w:szCs w:val="15"/>
                <w:highlight w:val="none"/>
              </w:rPr>
            </w:pPr>
          </w:p>
        </w:tc>
        <w:tc>
          <w:tcPr>
            <w:tcW w:w="709" w:type="dxa"/>
            <w:noWrap/>
            <w:vAlign w:val="center"/>
          </w:tcPr>
          <w:p w14:paraId="2485E413">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花铃期</w:t>
            </w:r>
          </w:p>
        </w:tc>
        <w:tc>
          <w:tcPr>
            <w:tcW w:w="657" w:type="dxa"/>
            <w:noWrap/>
            <w:vAlign w:val="center"/>
          </w:tcPr>
          <w:p w14:paraId="3F8B853E">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23</w:t>
            </w:r>
          </w:p>
        </w:tc>
        <w:tc>
          <w:tcPr>
            <w:tcW w:w="792" w:type="dxa"/>
            <w:noWrap/>
            <w:vAlign w:val="center"/>
          </w:tcPr>
          <w:p w14:paraId="66837B48">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33.80 </w:t>
            </w:r>
          </w:p>
        </w:tc>
        <w:tc>
          <w:tcPr>
            <w:tcW w:w="851" w:type="dxa"/>
            <w:noWrap/>
            <w:vAlign w:val="center"/>
          </w:tcPr>
          <w:p w14:paraId="5D1D583D">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14.17 </w:t>
            </w:r>
          </w:p>
        </w:tc>
        <w:tc>
          <w:tcPr>
            <w:tcW w:w="850" w:type="dxa"/>
            <w:noWrap/>
            <w:vAlign w:val="center"/>
          </w:tcPr>
          <w:p w14:paraId="49CF0941">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19.35 </w:t>
            </w:r>
          </w:p>
        </w:tc>
        <w:tc>
          <w:tcPr>
            <w:tcW w:w="851" w:type="dxa"/>
            <w:noWrap/>
            <w:vAlign w:val="center"/>
          </w:tcPr>
          <w:p w14:paraId="26A2EE70">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101.56 </w:t>
            </w:r>
          </w:p>
        </w:tc>
        <w:tc>
          <w:tcPr>
            <w:tcW w:w="750" w:type="dxa"/>
            <w:noWrap/>
            <w:vAlign w:val="center"/>
          </w:tcPr>
          <w:p w14:paraId="53A200C6">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142.31 </w:t>
            </w:r>
          </w:p>
        </w:tc>
        <w:tc>
          <w:tcPr>
            <w:tcW w:w="629" w:type="dxa"/>
            <w:noWrap/>
            <w:vAlign w:val="center"/>
          </w:tcPr>
          <w:p w14:paraId="09048DB7">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0.1395 </w:t>
            </w:r>
          </w:p>
        </w:tc>
        <w:tc>
          <w:tcPr>
            <w:tcW w:w="709" w:type="dxa"/>
            <w:noWrap/>
            <w:vAlign w:val="center"/>
          </w:tcPr>
          <w:p w14:paraId="0EBD5A88">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0.1360 </w:t>
            </w:r>
          </w:p>
        </w:tc>
        <w:tc>
          <w:tcPr>
            <w:tcW w:w="629" w:type="dxa"/>
            <w:noWrap/>
            <w:vAlign w:val="center"/>
          </w:tcPr>
          <w:p w14:paraId="1146DDF7">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0.4192 </w:t>
            </w:r>
          </w:p>
        </w:tc>
        <w:tc>
          <w:tcPr>
            <w:tcW w:w="779" w:type="dxa"/>
            <w:noWrap/>
            <w:vAlign w:val="center"/>
          </w:tcPr>
          <w:p w14:paraId="66BDF5F0">
            <w:pPr>
              <w:widowControl/>
              <w:adjustRightInd w:val="0"/>
              <w:snapToGrid w:val="0"/>
              <w:ind w:firstLine="150" w:firstLineChars="10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0.5726</w:t>
            </w:r>
          </w:p>
        </w:tc>
      </w:tr>
      <w:tr w14:paraId="61F3A7B9">
        <w:tblPrEx>
          <w:tblCellMar>
            <w:top w:w="0" w:type="dxa"/>
            <w:left w:w="108" w:type="dxa"/>
            <w:bottom w:w="0" w:type="dxa"/>
            <w:right w:w="108" w:type="dxa"/>
          </w:tblCellMar>
        </w:tblPrEx>
        <w:trPr>
          <w:trHeight w:val="283" w:hRule="atLeast"/>
          <w:jc w:val="center"/>
        </w:trPr>
        <w:tc>
          <w:tcPr>
            <w:tcW w:w="425" w:type="dxa"/>
            <w:noWrap/>
            <w:vAlign w:val="center"/>
          </w:tcPr>
          <w:p w14:paraId="74062C77">
            <w:pPr>
              <w:widowControl/>
              <w:adjustRightInd w:val="0"/>
              <w:snapToGrid w:val="0"/>
              <w:jc w:val="center"/>
              <w:rPr>
                <w:rFonts w:ascii="Times New Roman" w:hAnsi="Times New Roman" w:eastAsia="等线" w:cs="Times New Roman"/>
                <w:color w:val="auto"/>
                <w:kern w:val="0"/>
                <w:sz w:val="15"/>
                <w:szCs w:val="15"/>
                <w:highlight w:val="none"/>
              </w:rPr>
            </w:pPr>
          </w:p>
        </w:tc>
        <w:tc>
          <w:tcPr>
            <w:tcW w:w="709" w:type="dxa"/>
            <w:noWrap/>
            <w:vAlign w:val="center"/>
          </w:tcPr>
          <w:p w14:paraId="2BE4B8DC">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吐絮期</w:t>
            </w:r>
          </w:p>
        </w:tc>
        <w:tc>
          <w:tcPr>
            <w:tcW w:w="657" w:type="dxa"/>
            <w:noWrap/>
            <w:vAlign w:val="center"/>
          </w:tcPr>
          <w:p w14:paraId="00948B7E">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24</w:t>
            </w:r>
          </w:p>
        </w:tc>
        <w:tc>
          <w:tcPr>
            <w:tcW w:w="792" w:type="dxa"/>
            <w:noWrap/>
            <w:vAlign w:val="center"/>
          </w:tcPr>
          <w:p w14:paraId="5DB823C2">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12.40 </w:t>
            </w:r>
          </w:p>
        </w:tc>
        <w:tc>
          <w:tcPr>
            <w:tcW w:w="851" w:type="dxa"/>
            <w:noWrap/>
            <w:vAlign w:val="center"/>
          </w:tcPr>
          <w:p w14:paraId="7C40B226">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7.41 </w:t>
            </w:r>
          </w:p>
        </w:tc>
        <w:tc>
          <w:tcPr>
            <w:tcW w:w="850" w:type="dxa"/>
            <w:noWrap/>
            <w:vAlign w:val="center"/>
          </w:tcPr>
          <w:p w14:paraId="58FF5DF4">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7.24 </w:t>
            </w:r>
          </w:p>
        </w:tc>
        <w:tc>
          <w:tcPr>
            <w:tcW w:w="851" w:type="dxa"/>
            <w:noWrap/>
            <w:vAlign w:val="center"/>
          </w:tcPr>
          <w:p w14:paraId="57C4471C">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54.20 </w:t>
            </w:r>
          </w:p>
        </w:tc>
        <w:tc>
          <w:tcPr>
            <w:tcW w:w="750" w:type="dxa"/>
            <w:noWrap/>
            <w:vAlign w:val="center"/>
          </w:tcPr>
          <w:p w14:paraId="1FE8E579">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103.40 </w:t>
            </w:r>
          </w:p>
        </w:tc>
        <w:tc>
          <w:tcPr>
            <w:tcW w:w="629" w:type="dxa"/>
            <w:noWrap/>
            <w:vAlign w:val="center"/>
          </w:tcPr>
          <w:p w14:paraId="44B826CD">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0.1367 </w:t>
            </w:r>
          </w:p>
        </w:tc>
        <w:tc>
          <w:tcPr>
            <w:tcW w:w="709" w:type="dxa"/>
            <w:noWrap/>
            <w:vAlign w:val="center"/>
          </w:tcPr>
          <w:p w14:paraId="67B56A20">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0.0700 </w:t>
            </w:r>
          </w:p>
        </w:tc>
        <w:tc>
          <w:tcPr>
            <w:tcW w:w="629" w:type="dxa"/>
            <w:noWrap/>
            <w:vAlign w:val="center"/>
          </w:tcPr>
          <w:p w14:paraId="35B53DCB">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0.5975 </w:t>
            </w:r>
          </w:p>
        </w:tc>
        <w:tc>
          <w:tcPr>
            <w:tcW w:w="779" w:type="dxa"/>
            <w:noWrap/>
            <w:vAlign w:val="center"/>
          </w:tcPr>
          <w:p w14:paraId="05106B5E">
            <w:pPr>
              <w:widowControl/>
              <w:adjustRightInd w:val="0"/>
              <w:snapToGrid w:val="0"/>
              <w:ind w:firstLine="150" w:firstLineChars="10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0.5836</w:t>
            </w:r>
          </w:p>
        </w:tc>
      </w:tr>
      <w:tr w14:paraId="6901A3C3">
        <w:tblPrEx>
          <w:tblCellMar>
            <w:top w:w="0" w:type="dxa"/>
            <w:left w:w="108" w:type="dxa"/>
            <w:bottom w:w="0" w:type="dxa"/>
            <w:right w:w="108" w:type="dxa"/>
          </w:tblCellMar>
        </w:tblPrEx>
        <w:trPr>
          <w:trHeight w:val="283" w:hRule="atLeast"/>
          <w:jc w:val="center"/>
        </w:trPr>
        <w:tc>
          <w:tcPr>
            <w:tcW w:w="425" w:type="dxa"/>
            <w:noWrap/>
            <w:vAlign w:val="center"/>
          </w:tcPr>
          <w:p w14:paraId="5B765559">
            <w:pPr>
              <w:widowControl/>
              <w:adjustRightInd w:val="0"/>
              <w:snapToGrid w:val="0"/>
              <w:jc w:val="center"/>
              <w:rPr>
                <w:rFonts w:ascii="Times New Roman" w:hAnsi="Times New Roman" w:eastAsia="等线" w:cs="Times New Roman"/>
                <w:color w:val="auto"/>
                <w:kern w:val="0"/>
                <w:sz w:val="15"/>
                <w:szCs w:val="15"/>
                <w:highlight w:val="none"/>
              </w:rPr>
            </w:pPr>
          </w:p>
        </w:tc>
        <w:tc>
          <w:tcPr>
            <w:tcW w:w="709" w:type="dxa"/>
            <w:noWrap/>
            <w:vAlign w:val="center"/>
          </w:tcPr>
          <w:p w14:paraId="65B51BCF">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总计</w:t>
            </w:r>
          </w:p>
        </w:tc>
        <w:tc>
          <w:tcPr>
            <w:tcW w:w="657" w:type="dxa"/>
            <w:noWrap/>
            <w:vAlign w:val="center"/>
          </w:tcPr>
          <w:p w14:paraId="6FF8C44A">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68 </w:t>
            </w:r>
          </w:p>
        </w:tc>
        <w:tc>
          <w:tcPr>
            <w:tcW w:w="792" w:type="dxa"/>
            <w:noWrap/>
            <w:vAlign w:val="center"/>
          </w:tcPr>
          <w:p w14:paraId="358F40E5">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50.60 </w:t>
            </w:r>
          </w:p>
        </w:tc>
        <w:tc>
          <w:tcPr>
            <w:tcW w:w="851" w:type="dxa"/>
            <w:noWrap/>
            <w:vAlign w:val="center"/>
          </w:tcPr>
          <w:p w14:paraId="53B96E54">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31.37 </w:t>
            </w:r>
          </w:p>
        </w:tc>
        <w:tc>
          <w:tcPr>
            <w:tcW w:w="850" w:type="dxa"/>
            <w:noWrap/>
            <w:vAlign w:val="center"/>
          </w:tcPr>
          <w:p w14:paraId="0BCA5DE4">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36.60 </w:t>
            </w:r>
          </w:p>
        </w:tc>
        <w:tc>
          <w:tcPr>
            <w:tcW w:w="851" w:type="dxa"/>
            <w:noWrap/>
            <w:vAlign w:val="center"/>
          </w:tcPr>
          <w:p w14:paraId="6D80B158">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303.48 </w:t>
            </w:r>
          </w:p>
        </w:tc>
        <w:tc>
          <w:tcPr>
            <w:tcW w:w="750" w:type="dxa"/>
            <w:noWrap/>
            <w:vAlign w:val="center"/>
          </w:tcPr>
          <w:p w14:paraId="7D205BAD">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415.19 </w:t>
            </w:r>
          </w:p>
        </w:tc>
        <w:tc>
          <w:tcPr>
            <w:tcW w:w="629" w:type="dxa"/>
            <w:noWrap/>
            <w:vAlign w:val="center"/>
          </w:tcPr>
          <w:p w14:paraId="5D69EC77">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0.1034 </w:t>
            </w:r>
          </w:p>
        </w:tc>
        <w:tc>
          <w:tcPr>
            <w:tcW w:w="709" w:type="dxa"/>
            <w:noWrap/>
            <w:vAlign w:val="center"/>
          </w:tcPr>
          <w:p w14:paraId="43A16B5F">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0.0882 </w:t>
            </w:r>
          </w:p>
        </w:tc>
        <w:tc>
          <w:tcPr>
            <w:tcW w:w="629" w:type="dxa"/>
            <w:noWrap/>
            <w:vAlign w:val="center"/>
          </w:tcPr>
          <w:p w14:paraId="22A0E2B2">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0.6199 </w:t>
            </w:r>
          </w:p>
        </w:tc>
        <w:tc>
          <w:tcPr>
            <w:tcW w:w="779" w:type="dxa"/>
            <w:noWrap/>
            <w:vAlign w:val="center"/>
          </w:tcPr>
          <w:p w14:paraId="11258F93">
            <w:pPr>
              <w:widowControl/>
              <w:adjustRightInd w:val="0"/>
              <w:snapToGrid w:val="0"/>
              <w:ind w:firstLine="150" w:firstLineChars="10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0.7233</w:t>
            </w:r>
          </w:p>
        </w:tc>
      </w:tr>
      <w:tr w14:paraId="2AEA344C">
        <w:tblPrEx>
          <w:tblCellMar>
            <w:top w:w="0" w:type="dxa"/>
            <w:left w:w="108" w:type="dxa"/>
            <w:bottom w:w="0" w:type="dxa"/>
            <w:right w:w="108" w:type="dxa"/>
          </w:tblCellMar>
        </w:tblPrEx>
        <w:trPr>
          <w:trHeight w:val="283" w:hRule="atLeast"/>
          <w:jc w:val="center"/>
        </w:trPr>
        <w:tc>
          <w:tcPr>
            <w:tcW w:w="425" w:type="dxa"/>
            <w:noWrap/>
            <w:vAlign w:val="center"/>
          </w:tcPr>
          <w:p w14:paraId="7EF453DE">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2019</w:t>
            </w:r>
          </w:p>
        </w:tc>
        <w:tc>
          <w:tcPr>
            <w:tcW w:w="709" w:type="dxa"/>
            <w:noWrap/>
            <w:vAlign w:val="center"/>
          </w:tcPr>
          <w:p w14:paraId="7E42584A">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苗期</w:t>
            </w:r>
          </w:p>
        </w:tc>
        <w:tc>
          <w:tcPr>
            <w:tcW w:w="657" w:type="dxa"/>
            <w:noWrap/>
            <w:vAlign w:val="center"/>
          </w:tcPr>
          <w:p w14:paraId="52421DC5">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45</w:t>
            </w:r>
          </w:p>
        </w:tc>
        <w:tc>
          <w:tcPr>
            <w:tcW w:w="792" w:type="dxa"/>
            <w:noWrap/>
            <w:vAlign w:val="center"/>
          </w:tcPr>
          <w:p w14:paraId="4D7CF764">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75.40 </w:t>
            </w:r>
          </w:p>
        </w:tc>
        <w:tc>
          <w:tcPr>
            <w:tcW w:w="851" w:type="dxa"/>
            <w:noWrap/>
            <w:vAlign w:val="center"/>
          </w:tcPr>
          <w:p w14:paraId="4E2B9596">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19.35 </w:t>
            </w:r>
          </w:p>
        </w:tc>
        <w:tc>
          <w:tcPr>
            <w:tcW w:w="850" w:type="dxa"/>
            <w:noWrap/>
            <w:vAlign w:val="center"/>
          </w:tcPr>
          <w:p w14:paraId="791688A9">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18.90 </w:t>
            </w:r>
          </w:p>
        </w:tc>
        <w:tc>
          <w:tcPr>
            <w:tcW w:w="851" w:type="dxa"/>
            <w:noWrap/>
            <w:vAlign w:val="center"/>
          </w:tcPr>
          <w:p w14:paraId="7085AE2F">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51.73 </w:t>
            </w:r>
          </w:p>
        </w:tc>
        <w:tc>
          <w:tcPr>
            <w:tcW w:w="750" w:type="dxa"/>
            <w:noWrap/>
            <w:vAlign w:val="center"/>
          </w:tcPr>
          <w:p w14:paraId="53782567">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78.95 </w:t>
            </w:r>
          </w:p>
        </w:tc>
        <w:tc>
          <w:tcPr>
            <w:tcW w:w="629" w:type="dxa"/>
            <w:noWrap/>
            <w:vAlign w:val="center"/>
          </w:tcPr>
          <w:p w14:paraId="433FC2A6">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0.3740 </w:t>
            </w:r>
          </w:p>
        </w:tc>
        <w:tc>
          <w:tcPr>
            <w:tcW w:w="709" w:type="dxa"/>
            <w:noWrap/>
            <w:vAlign w:val="center"/>
          </w:tcPr>
          <w:p w14:paraId="001B392B">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0.2394 </w:t>
            </w:r>
          </w:p>
        </w:tc>
        <w:tc>
          <w:tcPr>
            <w:tcW w:w="629" w:type="dxa"/>
            <w:noWrap/>
            <w:vAlign w:val="center"/>
          </w:tcPr>
          <w:p w14:paraId="2F6CD873">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0.2566 </w:t>
            </w:r>
          </w:p>
        </w:tc>
        <w:tc>
          <w:tcPr>
            <w:tcW w:w="779" w:type="dxa"/>
            <w:noWrap/>
            <w:vAlign w:val="center"/>
          </w:tcPr>
          <w:p w14:paraId="7DB88599">
            <w:pPr>
              <w:widowControl/>
              <w:adjustRightInd w:val="0"/>
              <w:snapToGrid w:val="0"/>
              <w:ind w:firstLine="150" w:firstLineChars="10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0.2507</w:t>
            </w:r>
          </w:p>
        </w:tc>
      </w:tr>
      <w:tr w14:paraId="17F0FE18">
        <w:tblPrEx>
          <w:tblCellMar>
            <w:top w:w="0" w:type="dxa"/>
            <w:left w:w="108" w:type="dxa"/>
            <w:bottom w:w="0" w:type="dxa"/>
            <w:right w:w="108" w:type="dxa"/>
          </w:tblCellMar>
        </w:tblPrEx>
        <w:trPr>
          <w:trHeight w:val="283" w:hRule="atLeast"/>
          <w:jc w:val="center"/>
        </w:trPr>
        <w:tc>
          <w:tcPr>
            <w:tcW w:w="425" w:type="dxa"/>
            <w:noWrap/>
            <w:vAlign w:val="center"/>
          </w:tcPr>
          <w:p w14:paraId="75E508DE">
            <w:pPr>
              <w:widowControl/>
              <w:adjustRightInd w:val="0"/>
              <w:snapToGrid w:val="0"/>
              <w:jc w:val="center"/>
              <w:rPr>
                <w:rFonts w:ascii="Times New Roman" w:hAnsi="Times New Roman" w:eastAsia="等线" w:cs="Times New Roman"/>
                <w:color w:val="auto"/>
                <w:kern w:val="0"/>
                <w:sz w:val="15"/>
                <w:szCs w:val="15"/>
                <w:highlight w:val="none"/>
              </w:rPr>
            </w:pPr>
          </w:p>
        </w:tc>
        <w:tc>
          <w:tcPr>
            <w:tcW w:w="709" w:type="dxa"/>
            <w:noWrap/>
            <w:vAlign w:val="center"/>
          </w:tcPr>
          <w:p w14:paraId="6E9234DE">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蕾期</w:t>
            </w:r>
          </w:p>
        </w:tc>
        <w:tc>
          <w:tcPr>
            <w:tcW w:w="657" w:type="dxa"/>
            <w:noWrap/>
            <w:vAlign w:val="center"/>
          </w:tcPr>
          <w:p w14:paraId="7A030B2D">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32</w:t>
            </w:r>
          </w:p>
        </w:tc>
        <w:tc>
          <w:tcPr>
            <w:tcW w:w="792" w:type="dxa"/>
            <w:noWrap/>
            <w:vAlign w:val="center"/>
          </w:tcPr>
          <w:p w14:paraId="61D0B827">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14.40 </w:t>
            </w:r>
          </w:p>
        </w:tc>
        <w:tc>
          <w:tcPr>
            <w:tcW w:w="851" w:type="dxa"/>
            <w:noWrap/>
            <w:vAlign w:val="center"/>
          </w:tcPr>
          <w:p w14:paraId="1F35A549">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15.18 </w:t>
            </w:r>
          </w:p>
        </w:tc>
        <w:tc>
          <w:tcPr>
            <w:tcW w:w="850" w:type="dxa"/>
            <w:noWrap/>
            <w:vAlign w:val="center"/>
          </w:tcPr>
          <w:p w14:paraId="68129152">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21.29 </w:t>
            </w:r>
          </w:p>
        </w:tc>
        <w:tc>
          <w:tcPr>
            <w:tcW w:w="851" w:type="dxa"/>
            <w:noWrap/>
            <w:vAlign w:val="center"/>
          </w:tcPr>
          <w:p w14:paraId="2B5DF2A6">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125.45 </w:t>
            </w:r>
          </w:p>
        </w:tc>
        <w:tc>
          <w:tcPr>
            <w:tcW w:w="750" w:type="dxa"/>
            <w:noWrap/>
            <w:vAlign w:val="center"/>
          </w:tcPr>
          <w:p w14:paraId="4E328772">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171.94 </w:t>
            </w:r>
          </w:p>
        </w:tc>
        <w:tc>
          <w:tcPr>
            <w:tcW w:w="629" w:type="dxa"/>
            <w:noWrap/>
            <w:vAlign w:val="center"/>
          </w:tcPr>
          <w:p w14:paraId="038302A6">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0.1210 </w:t>
            </w:r>
          </w:p>
        </w:tc>
        <w:tc>
          <w:tcPr>
            <w:tcW w:w="709" w:type="dxa"/>
            <w:noWrap/>
            <w:vAlign w:val="center"/>
          </w:tcPr>
          <w:p w14:paraId="540952CD">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0.1238 </w:t>
            </w:r>
          </w:p>
        </w:tc>
        <w:tc>
          <w:tcPr>
            <w:tcW w:w="629" w:type="dxa"/>
            <w:noWrap/>
            <w:vAlign w:val="center"/>
          </w:tcPr>
          <w:p w14:paraId="04BA5AAB">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1.0542 </w:t>
            </w:r>
          </w:p>
        </w:tc>
        <w:tc>
          <w:tcPr>
            <w:tcW w:w="779" w:type="dxa"/>
            <w:noWrap/>
            <w:vAlign w:val="center"/>
          </w:tcPr>
          <w:p w14:paraId="7C34FD93">
            <w:pPr>
              <w:widowControl/>
              <w:adjustRightInd w:val="0"/>
              <w:snapToGrid w:val="0"/>
              <w:ind w:firstLine="150" w:firstLineChars="10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1.4785</w:t>
            </w:r>
          </w:p>
        </w:tc>
      </w:tr>
      <w:tr w14:paraId="291D3E4C">
        <w:tblPrEx>
          <w:tblCellMar>
            <w:top w:w="0" w:type="dxa"/>
            <w:left w:w="108" w:type="dxa"/>
            <w:bottom w:w="0" w:type="dxa"/>
            <w:right w:w="108" w:type="dxa"/>
          </w:tblCellMar>
        </w:tblPrEx>
        <w:trPr>
          <w:trHeight w:val="283" w:hRule="atLeast"/>
          <w:jc w:val="center"/>
        </w:trPr>
        <w:tc>
          <w:tcPr>
            <w:tcW w:w="425" w:type="dxa"/>
            <w:noWrap/>
            <w:vAlign w:val="center"/>
          </w:tcPr>
          <w:p w14:paraId="1350A4C8">
            <w:pPr>
              <w:widowControl/>
              <w:adjustRightInd w:val="0"/>
              <w:snapToGrid w:val="0"/>
              <w:jc w:val="center"/>
              <w:rPr>
                <w:rFonts w:ascii="Times New Roman" w:hAnsi="Times New Roman" w:eastAsia="等线" w:cs="Times New Roman"/>
                <w:color w:val="auto"/>
                <w:kern w:val="0"/>
                <w:sz w:val="15"/>
                <w:szCs w:val="15"/>
                <w:highlight w:val="none"/>
              </w:rPr>
            </w:pPr>
          </w:p>
        </w:tc>
        <w:tc>
          <w:tcPr>
            <w:tcW w:w="709" w:type="dxa"/>
            <w:noWrap/>
            <w:vAlign w:val="center"/>
          </w:tcPr>
          <w:p w14:paraId="17CE39C4">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花铃期</w:t>
            </w:r>
          </w:p>
        </w:tc>
        <w:tc>
          <w:tcPr>
            <w:tcW w:w="657" w:type="dxa"/>
            <w:noWrap/>
            <w:vAlign w:val="center"/>
          </w:tcPr>
          <w:p w14:paraId="5D8AD504">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53</w:t>
            </w:r>
          </w:p>
        </w:tc>
        <w:tc>
          <w:tcPr>
            <w:tcW w:w="792" w:type="dxa"/>
            <w:noWrap/>
            <w:vAlign w:val="center"/>
          </w:tcPr>
          <w:p w14:paraId="321AD8DD">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31.60 </w:t>
            </w:r>
          </w:p>
        </w:tc>
        <w:tc>
          <w:tcPr>
            <w:tcW w:w="851" w:type="dxa"/>
            <w:noWrap/>
            <w:vAlign w:val="center"/>
          </w:tcPr>
          <w:p w14:paraId="4AFE6B07">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27.55 </w:t>
            </w:r>
          </w:p>
        </w:tc>
        <w:tc>
          <w:tcPr>
            <w:tcW w:w="850" w:type="dxa"/>
            <w:noWrap/>
            <w:vAlign w:val="center"/>
          </w:tcPr>
          <w:p w14:paraId="1D5CD618">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33.55 </w:t>
            </w:r>
          </w:p>
        </w:tc>
        <w:tc>
          <w:tcPr>
            <w:tcW w:w="851" w:type="dxa"/>
            <w:noWrap/>
            <w:vAlign w:val="center"/>
          </w:tcPr>
          <w:p w14:paraId="0D8E1570">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239.85 </w:t>
            </w:r>
          </w:p>
        </w:tc>
        <w:tc>
          <w:tcPr>
            <w:tcW w:w="750" w:type="dxa"/>
            <w:noWrap/>
            <w:vAlign w:val="center"/>
          </w:tcPr>
          <w:p w14:paraId="1ED91E70">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325.66 </w:t>
            </w:r>
          </w:p>
        </w:tc>
        <w:tc>
          <w:tcPr>
            <w:tcW w:w="629" w:type="dxa"/>
            <w:noWrap/>
            <w:vAlign w:val="center"/>
          </w:tcPr>
          <w:p w14:paraId="0A7183BC">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0.1149 </w:t>
            </w:r>
          </w:p>
        </w:tc>
        <w:tc>
          <w:tcPr>
            <w:tcW w:w="709" w:type="dxa"/>
            <w:noWrap/>
            <w:vAlign w:val="center"/>
          </w:tcPr>
          <w:p w14:paraId="3FD77CFE">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0.1030 </w:t>
            </w:r>
          </w:p>
        </w:tc>
        <w:tc>
          <w:tcPr>
            <w:tcW w:w="629" w:type="dxa"/>
            <w:noWrap/>
            <w:vAlign w:val="center"/>
          </w:tcPr>
          <w:p w14:paraId="48E2F0DE">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0.8718 </w:t>
            </w:r>
          </w:p>
        </w:tc>
        <w:tc>
          <w:tcPr>
            <w:tcW w:w="779" w:type="dxa"/>
            <w:noWrap/>
            <w:vAlign w:val="center"/>
          </w:tcPr>
          <w:p w14:paraId="453F5143">
            <w:pPr>
              <w:widowControl/>
              <w:adjustRightInd w:val="0"/>
              <w:snapToGrid w:val="0"/>
              <w:ind w:firstLine="150" w:firstLineChars="10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1.0617</w:t>
            </w:r>
          </w:p>
        </w:tc>
      </w:tr>
      <w:tr w14:paraId="55C658BE">
        <w:tblPrEx>
          <w:tblCellMar>
            <w:top w:w="0" w:type="dxa"/>
            <w:left w:w="108" w:type="dxa"/>
            <w:bottom w:w="0" w:type="dxa"/>
            <w:right w:w="108" w:type="dxa"/>
          </w:tblCellMar>
        </w:tblPrEx>
        <w:trPr>
          <w:trHeight w:val="283" w:hRule="atLeast"/>
          <w:jc w:val="center"/>
        </w:trPr>
        <w:tc>
          <w:tcPr>
            <w:tcW w:w="425" w:type="dxa"/>
            <w:noWrap/>
            <w:vAlign w:val="center"/>
          </w:tcPr>
          <w:p w14:paraId="61EBC3F9">
            <w:pPr>
              <w:widowControl/>
              <w:adjustRightInd w:val="0"/>
              <w:snapToGrid w:val="0"/>
              <w:jc w:val="center"/>
              <w:rPr>
                <w:rFonts w:ascii="Times New Roman" w:hAnsi="Times New Roman" w:eastAsia="等线" w:cs="Times New Roman"/>
                <w:color w:val="auto"/>
                <w:kern w:val="0"/>
                <w:sz w:val="15"/>
                <w:szCs w:val="15"/>
                <w:highlight w:val="none"/>
              </w:rPr>
            </w:pPr>
          </w:p>
        </w:tc>
        <w:tc>
          <w:tcPr>
            <w:tcW w:w="709" w:type="dxa"/>
            <w:noWrap/>
            <w:vAlign w:val="center"/>
          </w:tcPr>
          <w:p w14:paraId="2CCA038C">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吐絮期</w:t>
            </w:r>
          </w:p>
        </w:tc>
        <w:tc>
          <w:tcPr>
            <w:tcW w:w="657" w:type="dxa"/>
            <w:noWrap/>
            <w:vAlign w:val="center"/>
          </w:tcPr>
          <w:p w14:paraId="5CF6CE66">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46</w:t>
            </w:r>
          </w:p>
        </w:tc>
        <w:tc>
          <w:tcPr>
            <w:tcW w:w="792" w:type="dxa"/>
            <w:noWrap/>
            <w:vAlign w:val="center"/>
          </w:tcPr>
          <w:p w14:paraId="03591645">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19.80 </w:t>
            </w:r>
          </w:p>
        </w:tc>
        <w:tc>
          <w:tcPr>
            <w:tcW w:w="851" w:type="dxa"/>
            <w:noWrap/>
            <w:vAlign w:val="center"/>
          </w:tcPr>
          <w:p w14:paraId="0BB8082C">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8.79 </w:t>
            </w:r>
          </w:p>
        </w:tc>
        <w:tc>
          <w:tcPr>
            <w:tcW w:w="850" w:type="dxa"/>
            <w:noWrap/>
            <w:vAlign w:val="center"/>
          </w:tcPr>
          <w:p w14:paraId="2E1E2ED1">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15.46 </w:t>
            </w:r>
          </w:p>
        </w:tc>
        <w:tc>
          <w:tcPr>
            <w:tcW w:w="851" w:type="dxa"/>
            <w:noWrap/>
            <w:vAlign w:val="center"/>
          </w:tcPr>
          <w:p w14:paraId="56F6CF8E">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63.91 </w:t>
            </w:r>
          </w:p>
        </w:tc>
        <w:tc>
          <w:tcPr>
            <w:tcW w:w="750" w:type="dxa"/>
            <w:noWrap/>
            <w:vAlign w:val="center"/>
          </w:tcPr>
          <w:p w14:paraId="55856D4D">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102.37 </w:t>
            </w:r>
          </w:p>
        </w:tc>
        <w:tc>
          <w:tcPr>
            <w:tcW w:w="629" w:type="dxa"/>
            <w:noWrap/>
            <w:vAlign w:val="center"/>
          </w:tcPr>
          <w:p w14:paraId="7ABF0054">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0.1375 </w:t>
            </w:r>
          </w:p>
        </w:tc>
        <w:tc>
          <w:tcPr>
            <w:tcW w:w="709" w:type="dxa"/>
            <w:noWrap/>
            <w:vAlign w:val="center"/>
          </w:tcPr>
          <w:p w14:paraId="0C7CA329">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0.1510 </w:t>
            </w:r>
          </w:p>
        </w:tc>
        <w:tc>
          <w:tcPr>
            <w:tcW w:w="629" w:type="dxa"/>
            <w:noWrap/>
            <w:vAlign w:val="center"/>
          </w:tcPr>
          <w:p w14:paraId="248C0D20">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0.4439 </w:t>
            </w:r>
          </w:p>
        </w:tc>
        <w:tc>
          <w:tcPr>
            <w:tcW w:w="779" w:type="dxa"/>
            <w:noWrap/>
            <w:vAlign w:val="center"/>
          </w:tcPr>
          <w:p w14:paraId="2BE04511">
            <w:pPr>
              <w:widowControl/>
              <w:adjustRightInd w:val="0"/>
              <w:snapToGrid w:val="0"/>
              <w:ind w:firstLine="150" w:firstLineChars="10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0.7808</w:t>
            </w:r>
          </w:p>
        </w:tc>
      </w:tr>
      <w:tr w14:paraId="150D3B2E">
        <w:tblPrEx>
          <w:tblCellMar>
            <w:top w:w="0" w:type="dxa"/>
            <w:left w:w="108" w:type="dxa"/>
            <w:bottom w:w="0" w:type="dxa"/>
            <w:right w:w="108" w:type="dxa"/>
          </w:tblCellMar>
        </w:tblPrEx>
        <w:trPr>
          <w:trHeight w:val="283" w:hRule="atLeast"/>
          <w:jc w:val="center"/>
        </w:trPr>
        <w:tc>
          <w:tcPr>
            <w:tcW w:w="425" w:type="dxa"/>
            <w:noWrap/>
            <w:vAlign w:val="center"/>
          </w:tcPr>
          <w:p w14:paraId="35475A60">
            <w:pPr>
              <w:widowControl/>
              <w:adjustRightInd w:val="0"/>
              <w:snapToGrid w:val="0"/>
              <w:jc w:val="center"/>
              <w:rPr>
                <w:rFonts w:ascii="Times New Roman" w:hAnsi="Times New Roman" w:eastAsia="等线" w:cs="Times New Roman"/>
                <w:color w:val="auto"/>
                <w:kern w:val="0"/>
                <w:sz w:val="15"/>
                <w:szCs w:val="15"/>
                <w:highlight w:val="none"/>
              </w:rPr>
            </w:pPr>
          </w:p>
        </w:tc>
        <w:tc>
          <w:tcPr>
            <w:tcW w:w="709" w:type="dxa"/>
            <w:noWrap/>
            <w:vAlign w:val="center"/>
          </w:tcPr>
          <w:p w14:paraId="0D62D731">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总计</w:t>
            </w:r>
          </w:p>
        </w:tc>
        <w:tc>
          <w:tcPr>
            <w:tcW w:w="657" w:type="dxa"/>
            <w:noWrap/>
            <w:vAlign w:val="center"/>
          </w:tcPr>
          <w:p w14:paraId="23E61CC3">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176</w:t>
            </w:r>
          </w:p>
        </w:tc>
        <w:tc>
          <w:tcPr>
            <w:tcW w:w="792" w:type="dxa"/>
            <w:noWrap/>
            <w:vAlign w:val="center"/>
          </w:tcPr>
          <w:p w14:paraId="4DEA33E3">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141.20 </w:t>
            </w:r>
          </w:p>
        </w:tc>
        <w:tc>
          <w:tcPr>
            <w:tcW w:w="851" w:type="dxa"/>
            <w:noWrap/>
            <w:vAlign w:val="center"/>
          </w:tcPr>
          <w:p w14:paraId="2CD57D82">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70.87 </w:t>
            </w:r>
          </w:p>
        </w:tc>
        <w:tc>
          <w:tcPr>
            <w:tcW w:w="850" w:type="dxa"/>
            <w:noWrap/>
            <w:vAlign w:val="center"/>
          </w:tcPr>
          <w:p w14:paraId="153CA93D">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89.20 </w:t>
            </w:r>
          </w:p>
        </w:tc>
        <w:tc>
          <w:tcPr>
            <w:tcW w:w="851" w:type="dxa"/>
            <w:noWrap/>
            <w:vAlign w:val="center"/>
          </w:tcPr>
          <w:p w14:paraId="533547CD">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480.94 </w:t>
            </w:r>
          </w:p>
        </w:tc>
        <w:tc>
          <w:tcPr>
            <w:tcW w:w="750" w:type="dxa"/>
            <w:noWrap/>
            <w:vAlign w:val="center"/>
          </w:tcPr>
          <w:p w14:paraId="3E10579E">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678.93 </w:t>
            </w:r>
          </w:p>
        </w:tc>
        <w:tc>
          <w:tcPr>
            <w:tcW w:w="629" w:type="dxa"/>
            <w:noWrap/>
            <w:vAlign w:val="center"/>
          </w:tcPr>
          <w:p w14:paraId="13FE2191">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0.1474 </w:t>
            </w:r>
          </w:p>
        </w:tc>
        <w:tc>
          <w:tcPr>
            <w:tcW w:w="709" w:type="dxa"/>
            <w:noWrap/>
            <w:vAlign w:val="center"/>
          </w:tcPr>
          <w:p w14:paraId="175A7100">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0.1314 </w:t>
            </w:r>
          </w:p>
        </w:tc>
        <w:tc>
          <w:tcPr>
            <w:tcW w:w="629" w:type="dxa"/>
            <w:noWrap/>
            <w:vAlign w:val="center"/>
          </w:tcPr>
          <w:p w14:paraId="03ADBEC2">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0.5019 </w:t>
            </w:r>
          </w:p>
        </w:tc>
        <w:tc>
          <w:tcPr>
            <w:tcW w:w="779" w:type="dxa"/>
            <w:noWrap/>
            <w:vAlign w:val="center"/>
          </w:tcPr>
          <w:p w14:paraId="3B7BBCF8">
            <w:pPr>
              <w:widowControl/>
              <w:adjustRightInd w:val="0"/>
              <w:snapToGrid w:val="0"/>
              <w:ind w:firstLine="150" w:firstLineChars="10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0.6317</w:t>
            </w:r>
          </w:p>
        </w:tc>
      </w:tr>
      <w:tr w14:paraId="5559890F">
        <w:tblPrEx>
          <w:tblCellMar>
            <w:top w:w="0" w:type="dxa"/>
            <w:left w:w="108" w:type="dxa"/>
            <w:bottom w:w="0" w:type="dxa"/>
            <w:right w:w="108" w:type="dxa"/>
          </w:tblCellMar>
        </w:tblPrEx>
        <w:trPr>
          <w:trHeight w:val="283" w:hRule="atLeast"/>
          <w:jc w:val="center"/>
        </w:trPr>
        <w:tc>
          <w:tcPr>
            <w:tcW w:w="425" w:type="dxa"/>
            <w:noWrap/>
            <w:vAlign w:val="center"/>
          </w:tcPr>
          <w:p w14:paraId="37A41952">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2020</w:t>
            </w:r>
          </w:p>
        </w:tc>
        <w:tc>
          <w:tcPr>
            <w:tcW w:w="709" w:type="dxa"/>
            <w:noWrap/>
            <w:vAlign w:val="center"/>
          </w:tcPr>
          <w:p w14:paraId="2D6C2ED0">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苗期</w:t>
            </w:r>
          </w:p>
        </w:tc>
        <w:tc>
          <w:tcPr>
            <w:tcW w:w="657" w:type="dxa"/>
            <w:noWrap/>
            <w:vAlign w:val="center"/>
          </w:tcPr>
          <w:p w14:paraId="2A4CBB1A">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43</w:t>
            </w:r>
          </w:p>
        </w:tc>
        <w:tc>
          <w:tcPr>
            <w:tcW w:w="792" w:type="dxa"/>
            <w:noWrap/>
            <w:vAlign w:val="center"/>
          </w:tcPr>
          <w:p w14:paraId="5CB2B09B">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16.60 </w:t>
            </w:r>
          </w:p>
        </w:tc>
        <w:tc>
          <w:tcPr>
            <w:tcW w:w="851" w:type="dxa"/>
            <w:noWrap/>
            <w:vAlign w:val="center"/>
          </w:tcPr>
          <w:p w14:paraId="4E2E142F">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15.65 </w:t>
            </w:r>
          </w:p>
        </w:tc>
        <w:tc>
          <w:tcPr>
            <w:tcW w:w="850" w:type="dxa"/>
            <w:noWrap/>
            <w:vAlign w:val="center"/>
          </w:tcPr>
          <w:p w14:paraId="58C91BCD">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18.17 </w:t>
            </w:r>
          </w:p>
        </w:tc>
        <w:tc>
          <w:tcPr>
            <w:tcW w:w="851" w:type="dxa"/>
            <w:noWrap/>
            <w:vAlign w:val="center"/>
          </w:tcPr>
          <w:p w14:paraId="363C6150">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47.43 </w:t>
            </w:r>
          </w:p>
        </w:tc>
        <w:tc>
          <w:tcPr>
            <w:tcW w:w="750" w:type="dxa"/>
            <w:noWrap/>
            <w:vAlign w:val="center"/>
          </w:tcPr>
          <w:p w14:paraId="456E0BBC">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53.99 </w:t>
            </w:r>
          </w:p>
        </w:tc>
        <w:tc>
          <w:tcPr>
            <w:tcW w:w="629" w:type="dxa"/>
            <w:noWrap/>
            <w:vAlign w:val="center"/>
          </w:tcPr>
          <w:p w14:paraId="29C504B0">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0.3300 </w:t>
            </w:r>
          </w:p>
        </w:tc>
        <w:tc>
          <w:tcPr>
            <w:tcW w:w="709" w:type="dxa"/>
            <w:noWrap/>
            <w:vAlign w:val="center"/>
          </w:tcPr>
          <w:p w14:paraId="0651A22B">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0.3366 </w:t>
            </w:r>
          </w:p>
        </w:tc>
        <w:tc>
          <w:tcPr>
            <w:tcW w:w="629" w:type="dxa"/>
            <w:noWrap/>
            <w:vAlign w:val="center"/>
          </w:tcPr>
          <w:p w14:paraId="04C6F104">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0.9492</w:t>
            </w:r>
          </w:p>
        </w:tc>
        <w:tc>
          <w:tcPr>
            <w:tcW w:w="779" w:type="dxa"/>
            <w:noWrap/>
            <w:vAlign w:val="center"/>
          </w:tcPr>
          <w:p w14:paraId="5F18CC11">
            <w:pPr>
              <w:widowControl/>
              <w:adjustRightInd w:val="0"/>
              <w:snapToGrid w:val="0"/>
              <w:ind w:firstLine="150" w:firstLineChars="10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1.0948</w:t>
            </w:r>
          </w:p>
        </w:tc>
      </w:tr>
      <w:tr w14:paraId="4680E2CA">
        <w:tblPrEx>
          <w:tblCellMar>
            <w:top w:w="0" w:type="dxa"/>
            <w:left w:w="108" w:type="dxa"/>
            <w:bottom w:w="0" w:type="dxa"/>
            <w:right w:w="108" w:type="dxa"/>
          </w:tblCellMar>
        </w:tblPrEx>
        <w:trPr>
          <w:trHeight w:val="283" w:hRule="atLeast"/>
          <w:jc w:val="center"/>
        </w:trPr>
        <w:tc>
          <w:tcPr>
            <w:tcW w:w="425" w:type="dxa"/>
            <w:noWrap/>
            <w:vAlign w:val="center"/>
          </w:tcPr>
          <w:p w14:paraId="66EBD8F7">
            <w:pPr>
              <w:widowControl/>
              <w:adjustRightInd w:val="0"/>
              <w:snapToGrid w:val="0"/>
              <w:jc w:val="center"/>
              <w:rPr>
                <w:rFonts w:ascii="Times New Roman" w:hAnsi="Times New Roman" w:eastAsia="等线" w:cs="Times New Roman"/>
                <w:color w:val="auto"/>
                <w:kern w:val="0"/>
                <w:sz w:val="15"/>
                <w:szCs w:val="15"/>
                <w:highlight w:val="none"/>
              </w:rPr>
            </w:pPr>
          </w:p>
        </w:tc>
        <w:tc>
          <w:tcPr>
            <w:tcW w:w="709" w:type="dxa"/>
            <w:noWrap/>
            <w:vAlign w:val="center"/>
          </w:tcPr>
          <w:p w14:paraId="00EF77BE">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蕾期</w:t>
            </w:r>
          </w:p>
        </w:tc>
        <w:tc>
          <w:tcPr>
            <w:tcW w:w="657" w:type="dxa"/>
            <w:noWrap/>
            <w:vAlign w:val="center"/>
          </w:tcPr>
          <w:p w14:paraId="7DD158BC">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32</w:t>
            </w:r>
          </w:p>
        </w:tc>
        <w:tc>
          <w:tcPr>
            <w:tcW w:w="792" w:type="dxa"/>
            <w:noWrap/>
            <w:vAlign w:val="center"/>
          </w:tcPr>
          <w:p w14:paraId="634624A6">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23.00 </w:t>
            </w:r>
          </w:p>
        </w:tc>
        <w:tc>
          <w:tcPr>
            <w:tcW w:w="851" w:type="dxa"/>
            <w:noWrap/>
            <w:vAlign w:val="center"/>
          </w:tcPr>
          <w:p w14:paraId="14F8DF88">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10.34 </w:t>
            </w:r>
          </w:p>
        </w:tc>
        <w:tc>
          <w:tcPr>
            <w:tcW w:w="850" w:type="dxa"/>
            <w:noWrap/>
            <w:vAlign w:val="center"/>
          </w:tcPr>
          <w:p w14:paraId="2AA4151C">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9.51 </w:t>
            </w:r>
          </w:p>
        </w:tc>
        <w:tc>
          <w:tcPr>
            <w:tcW w:w="851" w:type="dxa"/>
            <w:noWrap/>
            <w:vAlign w:val="center"/>
          </w:tcPr>
          <w:p w14:paraId="73CAAF8E">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86.44 </w:t>
            </w:r>
          </w:p>
        </w:tc>
        <w:tc>
          <w:tcPr>
            <w:tcW w:w="750" w:type="dxa"/>
            <w:noWrap/>
            <w:vAlign w:val="center"/>
          </w:tcPr>
          <w:p w14:paraId="41BDD95D">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87.26 </w:t>
            </w:r>
          </w:p>
        </w:tc>
        <w:tc>
          <w:tcPr>
            <w:tcW w:w="629" w:type="dxa"/>
            <w:noWrap/>
            <w:vAlign w:val="center"/>
          </w:tcPr>
          <w:p w14:paraId="2B48AB83">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0.1196 </w:t>
            </w:r>
          </w:p>
        </w:tc>
        <w:tc>
          <w:tcPr>
            <w:tcW w:w="709" w:type="dxa"/>
            <w:noWrap/>
            <w:vAlign w:val="center"/>
          </w:tcPr>
          <w:p w14:paraId="1DE89B8E">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0.1090 </w:t>
            </w:r>
          </w:p>
        </w:tc>
        <w:tc>
          <w:tcPr>
            <w:tcW w:w="629" w:type="dxa"/>
            <w:noWrap/>
            <w:vAlign w:val="center"/>
          </w:tcPr>
          <w:p w14:paraId="7FA45DB0">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0.4494 </w:t>
            </w:r>
          </w:p>
        </w:tc>
        <w:tc>
          <w:tcPr>
            <w:tcW w:w="779" w:type="dxa"/>
            <w:noWrap/>
            <w:vAlign w:val="center"/>
          </w:tcPr>
          <w:p w14:paraId="5FAB3799">
            <w:pPr>
              <w:widowControl/>
              <w:adjustRightInd w:val="0"/>
              <w:snapToGrid w:val="0"/>
              <w:ind w:firstLine="150" w:firstLineChars="10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0.4135</w:t>
            </w:r>
          </w:p>
        </w:tc>
      </w:tr>
      <w:tr w14:paraId="264F1CC9">
        <w:tblPrEx>
          <w:tblCellMar>
            <w:top w:w="0" w:type="dxa"/>
            <w:left w:w="108" w:type="dxa"/>
            <w:bottom w:w="0" w:type="dxa"/>
            <w:right w:w="108" w:type="dxa"/>
          </w:tblCellMar>
        </w:tblPrEx>
        <w:trPr>
          <w:trHeight w:val="283" w:hRule="atLeast"/>
          <w:jc w:val="center"/>
        </w:trPr>
        <w:tc>
          <w:tcPr>
            <w:tcW w:w="425" w:type="dxa"/>
            <w:noWrap/>
            <w:vAlign w:val="center"/>
          </w:tcPr>
          <w:p w14:paraId="59894309">
            <w:pPr>
              <w:widowControl/>
              <w:adjustRightInd w:val="0"/>
              <w:snapToGrid w:val="0"/>
              <w:jc w:val="center"/>
              <w:rPr>
                <w:rFonts w:ascii="Times New Roman" w:hAnsi="Times New Roman" w:eastAsia="等线" w:cs="Times New Roman"/>
                <w:color w:val="auto"/>
                <w:kern w:val="0"/>
                <w:sz w:val="15"/>
                <w:szCs w:val="15"/>
                <w:highlight w:val="none"/>
              </w:rPr>
            </w:pPr>
          </w:p>
        </w:tc>
        <w:tc>
          <w:tcPr>
            <w:tcW w:w="709" w:type="dxa"/>
            <w:noWrap/>
            <w:vAlign w:val="center"/>
          </w:tcPr>
          <w:p w14:paraId="01DDA071">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花铃期</w:t>
            </w:r>
          </w:p>
        </w:tc>
        <w:tc>
          <w:tcPr>
            <w:tcW w:w="657" w:type="dxa"/>
            <w:noWrap/>
            <w:vAlign w:val="center"/>
          </w:tcPr>
          <w:p w14:paraId="2E60BF4E">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53</w:t>
            </w:r>
          </w:p>
        </w:tc>
        <w:tc>
          <w:tcPr>
            <w:tcW w:w="792" w:type="dxa"/>
            <w:noWrap/>
            <w:vAlign w:val="center"/>
          </w:tcPr>
          <w:p w14:paraId="5097EC47">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17.20 </w:t>
            </w:r>
          </w:p>
        </w:tc>
        <w:tc>
          <w:tcPr>
            <w:tcW w:w="851" w:type="dxa"/>
            <w:noWrap/>
            <w:vAlign w:val="center"/>
          </w:tcPr>
          <w:p w14:paraId="6F504192">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23.11 </w:t>
            </w:r>
          </w:p>
        </w:tc>
        <w:tc>
          <w:tcPr>
            <w:tcW w:w="850" w:type="dxa"/>
            <w:noWrap/>
            <w:vAlign w:val="center"/>
          </w:tcPr>
          <w:p w14:paraId="74F07FD0">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23.56 </w:t>
            </w:r>
          </w:p>
        </w:tc>
        <w:tc>
          <w:tcPr>
            <w:tcW w:w="851" w:type="dxa"/>
            <w:noWrap/>
            <w:vAlign w:val="center"/>
          </w:tcPr>
          <w:p w14:paraId="49643F7B">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198.33 </w:t>
            </w:r>
          </w:p>
        </w:tc>
        <w:tc>
          <w:tcPr>
            <w:tcW w:w="750" w:type="dxa"/>
            <w:noWrap/>
            <w:vAlign w:val="center"/>
          </w:tcPr>
          <w:p w14:paraId="25E42156">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255.59 </w:t>
            </w:r>
          </w:p>
        </w:tc>
        <w:tc>
          <w:tcPr>
            <w:tcW w:w="629" w:type="dxa"/>
            <w:noWrap/>
            <w:vAlign w:val="center"/>
          </w:tcPr>
          <w:p w14:paraId="3BDF96F1">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0.1165 </w:t>
            </w:r>
          </w:p>
        </w:tc>
        <w:tc>
          <w:tcPr>
            <w:tcW w:w="709" w:type="dxa"/>
            <w:noWrap/>
            <w:vAlign w:val="center"/>
          </w:tcPr>
          <w:p w14:paraId="0BAE65F5">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0.0922 </w:t>
            </w:r>
          </w:p>
        </w:tc>
        <w:tc>
          <w:tcPr>
            <w:tcW w:w="629" w:type="dxa"/>
            <w:noWrap/>
            <w:vAlign w:val="center"/>
          </w:tcPr>
          <w:p w14:paraId="3C8A29A4">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1.3435 </w:t>
            </w:r>
          </w:p>
        </w:tc>
        <w:tc>
          <w:tcPr>
            <w:tcW w:w="779" w:type="dxa"/>
            <w:noWrap/>
            <w:vAlign w:val="center"/>
          </w:tcPr>
          <w:p w14:paraId="1B6C56EA">
            <w:pPr>
              <w:widowControl/>
              <w:adjustRightInd w:val="0"/>
              <w:snapToGrid w:val="0"/>
              <w:ind w:firstLine="150" w:firstLineChars="10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1.3699</w:t>
            </w:r>
          </w:p>
        </w:tc>
      </w:tr>
      <w:tr w14:paraId="7E49DDFC">
        <w:tblPrEx>
          <w:tblCellMar>
            <w:top w:w="0" w:type="dxa"/>
            <w:left w:w="108" w:type="dxa"/>
            <w:bottom w:w="0" w:type="dxa"/>
            <w:right w:w="108" w:type="dxa"/>
          </w:tblCellMar>
        </w:tblPrEx>
        <w:trPr>
          <w:trHeight w:val="283" w:hRule="atLeast"/>
          <w:jc w:val="center"/>
        </w:trPr>
        <w:tc>
          <w:tcPr>
            <w:tcW w:w="425" w:type="dxa"/>
            <w:noWrap/>
            <w:vAlign w:val="center"/>
          </w:tcPr>
          <w:p w14:paraId="44101353">
            <w:pPr>
              <w:widowControl/>
              <w:adjustRightInd w:val="0"/>
              <w:snapToGrid w:val="0"/>
              <w:jc w:val="center"/>
              <w:rPr>
                <w:rFonts w:ascii="Times New Roman" w:hAnsi="Times New Roman" w:eastAsia="等线" w:cs="Times New Roman"/>
                <w:color w:val="auto"/>
                <w:kern w:val="0"/>
                <w:sz w:val="15"/>
                <w:szCs w:val="15"/>
                <w:highlight w:val="none"/>
              </w:rPr>
            </w:pPr>
          </w:p>
        </w:tc>
        <w:tc>
          <w:tcPr>
            <w:tcW w:w="709" w:type="dxa"/>
            <w:noWrap/>
            <w:vAlign w:val="center"/>
          </w:tcPr>
          <w:p w14:paraId="37C23BDB">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吐絮期</w:t>
            </w:r>
          </w:p>
        </w:tc>
        <w:tc>
          <w:tcPr>
            <w:tcW w:w="657" w:type="dxa"/>
            <w:noWrap/>
            <w:vAlign w:val="center"/>
          </w:tcPr>
          <w:p w14:paraId="317F1F32">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46</w:t>
            </w:r>
          </w:p>
        </w:tc>
        <w:tc>
          <w:tcPr>
            <w:tcW w:w="792" w:type="dxa"/>
            <w:noWrap/>
            <w:vAlign w:val="center"/>
          </w:tcPr>
          <w:p w14:paraId="74DC8472">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6.60 </w:t>
            </w:r>
          </w:p>
        </w:tc>
        <w:tc>
          <w:tcPr>
            <w:tcW w:w="851" w:type="dxa"/>
            <w:noWrap/>
            <w:vAlign w:val="center"/>
          </w:tcPr>
          <w:p w14:paraId="4AD20DF6">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8.96 </w:t>
            </w:r>
          </w:p>
        </w:tc>
        <w:tc>
          <w:tcPr>
            <w:tcW w:w="850" w:type="dxa"/>
            <w:noWrap/>
            <w:vAlign w:val="center"/>
          </w:tcPr>
          <w:p w14:paraId="776E7CA4">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10.38 </w:t>
            </w:r>
          </w:p>
        </w:tc>
        <w:tc>
          <w:tcPr>
            <w:tcW w:w="851" w:type="dxa"/>
            <w:noWrap/>
            <w:vAlign w:val="center"/>
          </w:tcPr>
          <w:p w14:paraId="64B09D75">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37.35 </w:t>
            </w:r>
          </w:p>
        </w:tc>
        <w:tc>
          <w:tcPr>
            <w:tcW w:w="750" w:type="dxa"/>
            <w:noWrap/>
            <w:vAlign w:val="center"/>
          </w:tcPr>
          <w:p w14:paraId="66957156">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57.28 </w:t>
            </w:r>
          </w:p>
        </w:tc>
        <w:tc>
          <w:tcPr>
            <w:tcW w:w="629" w:type="dxa"/>
            <w:noWrap/>
            <w:vAlign w:val="center"/>
          </w:tcPr>
          <w:p w14:paraId="0E29D64C">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0.2398 </w:t>
            </w:r>
          </w:p>
        </w:tc>
        <w:tc>
          <w:tcPr>
            <w:tcW w:w="709" w:type="dxa"/>
            <w:noWrap/>
            <w:vAlign w:val="center"/>
          </w:tcPr>
          <w:p w14:paraId="760EE438">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0.1812 </w:t>
            </w:r>
          </w:p>
        </w:tc>
        <w:tc>
          <w:tcPr>
            <w:tcW w:w="629" w:type="dxa"/>
            <w:noWrap/>
            <w:vAlign w:val="center"/>
          </w:tcPr>
          <w:p w14:paraId="3456248B">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1.3570 </w:t>
            </w:r>
          </w:p>
        </w:tc>
        <w:tc>
          <w:tcPr>
            <w:tcW w:w="779" w:type="dxa"/>
            <w:noWrap/>
            <w:vAlign w:val="center"/>
          </w:tcPr>
          <w:p w14:paraId="67C4A70F">
            <w:pPr>
              <w:widowControl/>
              <w:adjustRightInd w:val="0"/>
              <w:snapToGrid w:val="0"/>
              <w:ind w:firstLine="150" w:firstLineChars="10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1.5731</w:t>
            </w:r>
          </w:p>
        </w:tc>
      </w:tr>
      <w:tr w14:paraId="0301F8FC">
        <w:tblPrEx>
          <w:tblCellMar>
            <w:top w:w="0" w:type="dxa"/>
            <w:left w:w="108" w:type="dxa"/>
            <w:bottom w:w="0" w:type="dxa"/>
            <w:right w:w="108" w:type="dxa"/>
          </w:tblCellMar>
        </w:tblPrEx>
        <w:trPr>
          <w:trHeight w:val="292" w:hRule="atLeast"/>
          <w:jc w:val="center"/>
        </w:trPr>
        <w:tc>
          <w:tcPr>
            <w:tcW w:w="425" w:type="dxa"/>
            <w:tcBorders>
              <w:bottom w:val="single" w:color="auto" w:sz="12" w:space="0"/>
            </w:tcBorders>
            <w:noWrap/>
            <w:vAlign w:val="center"/>
          </w:tcPr>
          <w:p w14:paraId="72D61031">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　</w:t>
            </w:r>
          </w:p>
        </w:tc>
        <w:tc>
          <w:tcPr>
            <w:tcW w:w="709" w:type="dxa"/>
            <w:tcBorders>
              <w:bottom w:val="single" w:color="auto" w:sz="12" w:space="0"/>
            </w:tcBorders>
            <w:noWrap/>
            <w:vAlign w:val="center"/>
          </w:tcPr>
          <w:p w14:paraId="19382D8D">
            <w:pPr>
              <w:widowControl/>
              <w:adjustRightInd w:val="0"/>
              <w:snapToGrid w:val="0"/>
              <w:jc w:val="center"/>
              <w:rPr>
                <w:rFonts w:hint="eastAsia"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总计</w:t>
            </w:r>
          </w:p>
        </w:tc>
        <w:tc>
          <w:tcPr>
            <w:tcW w:w="657" w:type="dxa"/>
            <w:tcBorders>
              <w:bottom w:val="single" w:color="auto" w:sz="12" w:space="0"/>
            </w:tcBorders>
            <w:noWrap/>
            <w:vAlign w:val="center"/>
          </w:tcPr>
          <w:p w14:paraId="1B38368B">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174</w:t>
            </w:r>
          </w:p>
        </w:tc>
        <w:tc>
          <w:tcPr>
            <w:tcW w:w="792" w:type="dxa"/>
            <w:tcBorders>
              <w:bottom w:val="single" w:color="auto" w:sz="12" w:space="0"/>
            </w:tcBorders>
            <w:noWrap/>
            <w:vAlign w:val="center"/>
          </w:tcPr>
          <w:p w14:paraId="56912E70">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63.40 </w:t>
            </w:r>
          </w:p>
        </w:tc>
        <w:tc>
          <w:tcPr>
            <w:tcW w:w="851" w:type="dxa"/>
            <w:tcBorders>
              <w:bottom w:val="single" w:color="auto" w:sz="12" w:space="0"/>
            </w:tcBorders>
            <w:noWrap/>
            <w:vAlign w:val="center"/>
          </w:tcPr>
          <w:p w14:paraId="1AAF6485">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58.05 </w:t>
            </w:r>
          </w:p>
        </w:tc>
        <w:tc>
          <w:tcPr>
            <w:tcW w:w="850" w:type="dxa"/>
            <w:tcBorders>
              <w:bottom w:val="single" w:color="auto" w:sz="12" w:space="0"/>
            </w:tcBorders>
            <w:noWrap/>
            <w:vAlign w:val="center"/>
          </w:tcPr>
          <w:p w14:paraId="55AFF006">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61.63 </w:t>
            </w:r>
          </w:p>
        </w:tc>
        <w:tc>
          <w:tcPr>
            <w:tcW w:w="851" w:type="dxa"/>
            <w:tcBorders>
              <w:bottom w:val="single" w:color="auto" w:sz="12" w:space="0"/>
            </w:tcBorders>
            <w:noWrap/>
            <w:vAlign w:val="center"/>
          </w:tcPr>
          <w:p w14:paraId="5997E860">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369.56 </w:t>
            </w:r>
          </w:p>
        </w:tc>
        <w:tc>
          <w:tcPr>
            <w:tcW w:w="750" w:type="dxa"/>
            <w:tcBorders>
              <w:bottom w:val="single" w:color="auto" w:sz="12" w:space="0"/>
            </w:tcBorders>
            <w:noWrap/>
            <w:vAlign w:val="center"/>
          </w:tcPr>
          <w:p w14:paraId="33BA8EAE">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454.13 </w:t>
            </w:r>
          </w:p>
        </w:tc>
        <w:tc>
          <w:tcPr>
            <w:tcW w:w="629" w:type="dxa"/>
            <w:tcBorders>
              <w:bottom w:val="single" w:color="auto" w:sz="12" w:space="0"/>
            </w:tcBorders>
            <w:noWrap/>
            <w:vAlign w:val="center"/>
          </w:tcPr>
          <w:p w14:paraId="170080F4">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0.1571 </w:t>
            </w:r>
          </w:p>
        </w:tc>
        <w:tc>
          <w:tcPr>
            <w:tcW w:w="709" w:type="dxa"/>
            <w:tcBorders>
              <w:bottom w:val="single" w:color="auto" w:sz="12" w:space="0"/>
            </w:tcBorders>
            <w:noWrap/>
            <w:vAlign w:val="center"/>
          </w:tcPr>
          <w:p w14:paraId="095FDF05">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0.1357 </w:t>
            </w:r>
          </w:p>
        </w:tc>
        <w:tc>
          <w:tcPr>
            <w:tcW w:w="629" w:type="dxa"/>
            <w:tcBorders>
              <w:bottom w:val="single" w:color="auto" w:sz="12" w:space="0"/>
            </w:tcBorders>
            <w:noWrap/>
            <w:vAlign w:val="center"/>
          </w:tcPr>
          <w:p w14:paraId="3DFB7625">
            <w:pPr>
              <w:widowControl/>
              <w:adjustRightInd w:val="0"/>
              <w:snapToGrid w:val="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 xml:space="preserve">0.9157 </w:t>
            </w:r>
          </w:p>
        </w:tc>
        <w:tc>
          <w:tcPr>
            <w:tcW w:w="779" w:type="dxa"/>
            <w:tcBorders>
              <w:bottom w:val="single" w:color="auto" w:sz="12" w:space="0"/>
            </w:tcBorders>
            <w:noWrap/>
            <w:vAlign w:val="center"/>
          </w:tcPr>
          <w:p w14:paraId="72F02D2C">
            <w:pPr>
              <w:widowControl/>
              <w:adjustRightInd w:val="0"/>
              <w:snapToGrid w:val="0"/>
              <w:ind w:firstLine="150" w:firstLineChars="100"/>
              <w:jc w:val="center"/>
              <w:rPr>
                <w:rFonts w:ascii="Times New Roman" w:hAnsi="Times New Roman" w:eastAsia="等线" w:cs="Times New Roman"/>
                <w:color w:val="auto"/>
                <w:kern w:val="0"/>
                <w:sz w:val="15"/>
                <w:szCs w:val="15"/>
                <w:highlight w:val="none"/>
              </w:rPr>
            </w:pPr>
            <w:r>
              <w:rPr>
                <w:rFonts w:ascii="Times New Roman" w:hAnsi="Times New Roman" w:eastAsia="等线" w:cs="Times New Roman"/>
                <w:color w:val="auto"/>
                <w:kern w:val="0"/>
                <w:sz w:val="15"/>
                <w:szCs w:val="15"/>
                <w:highlight w:val="none"/>
              </w:rPr>
              <w:t>0.9721</w:t>
            </w:r>
          </w:p>
        </w:tc>
      </w:tr>
    </w:tbl>
    <w:p w14:paraId="7DB982BB">
      <w:pPr>
        <w:adjustRightInd w:val="0"/>
        <w:snapToGrid w:val="0"/>
        <w:ind w:firstLine="42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从表2中可以看出，2018年棉田各生育期凝结水对蒸散的贡献主要发生在花铃期，覆膜与不覆膜处理方式的比值分别为0.1395和0.1360；各生育期凝结水量与蒸散量比值的峰值主要发生在吐絮期，覆膜与不覆膜处理方式的比值分别为0.5975和0.5836</w:t>
      </w:r>
      <w:r>
        <w:rPr>
          <w:rFonts w:hint="eastAsia" w:ascii="Times New Roman" w:hAnsi="Times New Roman" w:eastAsia="宋体" w:cs="Times New Roman"/>
          <w:color w:val="auto"/>
          <w:highlight w:val="none"/>
        </w:rPr>
        <w:t>；</w:t>
      </w:r>
      <w:r>
        <w:rPr>
          <w:rFonts w:ascii="Times New Roman" w:hAnsi="Times New Roman" w:eastAsia="宋体" w:cs="Times New Roman"/>
          <w:color w:val="auto"/>
          <w:highlight w:val="none"/>
        </w:rPr>
        <w:t>2019年和2020年棉田各生育期凝结水量与蒸散量比值的峰值主要发生在苗期和吐絮期，这两年最大比值分别为0.3740（2019年苗期覆膜）和0.3366（2020年苗期不覆膜）。凝结水量与降雨量比值较大的阶段主要发生在棉花生长的吐絮期，2020年比值最大，覆膜与不覆膜处理方式的比值分别为1.3570和1.5731</w:t>
      </w:r>
      <w:r>
        <w:rPr>
          <w:rFonts w:hint="eastAsia" w:ascii="Times New Roman" w:hAnsi="Times New Roman" w:eastAsia="宋体" w:cs="Times New Roman"/>
          <w:color w:val="auto"/>
          <w:highlight w:val="none"/>
        </w:rPr>
        <w:t>。</w:t>
      </w:r>
      <w:r>
        <w:rPr>
          <w:rFonts w:ascii="Times New Roman" w:hAnsi="Times New Roman" w:eastAsia="宋体" w:cs="Times New Roman"/>
          <w:color w:val="auto"/>
          <w:highlight w:val="none"/>
        </w:rPr>
        <w:t>从凝结水绝对量级上看，不覆膜条件下的凝结水量高于覆膜条件。从微气象学的水汽来源机制剖析，农田凝结水主要由</w:t>
      </w:r>
      <w:r>
        <w:rPr>
          <w:rFonts w:hint="eastAsia" w:ascii="Times New Roman" w:hAnsi="Times New Roman" w:eastAsia="宋体" w:cs="Times New Roman"/>
          <w:color w:val="auto"/>
          <w:highlight w:val="none"/>
        </w:rPr>
        <w:t>大气凝结水</w:t>
      </w:r>
      <w:r>
        <w:rPr>
          <w:rFonts w:ascii="Times New Roman" w:hAnsi="Times New Roman" w:eastAsia="宋体" w:cs="Times New Roman"/>
          <w:color w:val="auto"/>
          <w:highlight w:val="none"/>
        </w:rPr>
        <w:t>和</w:t>
      </w:r>
      <w:r>
        <w:rPr>
          <w:rFonts w:hint="eastAsia" w:ascii="Times New Roman" w:hAnsi="Times New Roman" w:eastAsia="宋体" w:cs="Times New Roman"/>
          <w:color w:val="auto"/>
          <w:highlight w:val="none"/>
        </w:rPr>
        <w:t>土壤凝结水</w:t>
      </w:r>
      <w:r>
        <w:rPr>
          <w:rFonts w:ascii="Times New Roman" w:hAnsi="Times New Roman" w:eastAsia="宋体" w:cs="Times New Roman"/>
          <w:color w:val="auto"/>
          <w:highlight w:val="none"/>
        </w:rPr>
        <w:t>两部分组成。本研究采用大型称重式蒸渗仪连续监测蒸渗仪单元内质量变化，因此所得结果反映的是系统尺度凝结水总输入，尚不能直接将大气凝结水和土壤蒸馏水进行定量分离。不覆膜处理下，裸露土壤表面和作物冠层均可作为有效凝结界面；覆膜处理下，塑料薄膜会阻隔部分土壤水汽向上输送，并改变膜面以上凝结界面的水汽供应条件。因此，覆膜与不覆膜处理之间的凝结水量差异，可从水汽交换通道受阻和有效凝结界面变化两个方面进行解释，总体来看，覆膜措施在保墒的同时，会减少系统可记录的凝结水输入。</w:t>
      </w:r>
    </w:p>
    <w:p w14:paraId="50D94010">
      <w:pPr>
        <w:widowControl/>
        <w:adjustRightInd w:val="0"/>
        <w:snapToGrid w:val="0"/>
        <w:jc w:val="left"/>
        <w:rPr>
          <w:rFonts w:ascii="Times New Roman" w:hAnsi="Times New Roman" w:eastAsia="黑体" w:cs="Times New Roman"/>
          <w:color w:val="auto"/>
          <w:highlight w:val="none"/>
        </w:rPr>
      </w:pPr>
      <w:r>
        <w:rPr>
          <w:rFonts w:ascii="Times New Roman" w:hAnsi="Times New Roman" w:eastAsia="黑体" w:cs="Times New Roman"/>
          <w:color w:val="auto"/>
          <w:highlight w:val="none"/>
        </w:rPr>
        <w:t>2.2 影响凝结水形成的因素</w:t>
      </w:r>
    </w:p>
    <w:p w14:paraId="397B8798">
      <w:pPr>
        <w:pStyle w:val="2"/>
        <w:adjustRightInd w:val="0"/>
        <w:snapToGrid w:val="0"/>
        <w:spacing w:after="0"/>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凝结水形成受气象条件、下垫面性质、作物冠层结构和土壤水分状况共同影响。结合图4和表1可知，不同生育期凝结水过程的差异并非由单一气象因子决定，而是棉田冠层发育、田间水汽供应、夜间近地表冷却条件和有效凝结界面共同变化的结果。苗期棉株冠层尚未充分形成，叶面积较小，作物冠层可提供的凝结界面有限，冠层内水汽积累能力较弱，因此凝结水发生频度和累积量相对较低。蕾期至花铃期，棉花进入快速生长期，冠层覆盖度和叶面积明显增加，田间蒸散和土壤水汽供应相对充足，夜间冠层内相对湿度较高，凝结面更容易接近或低于露点温度，有利于凝结水形成，因此该阶段凝结速率峰值和累积凝结量通常较高。吐絮期随植株衰老、叶片功能下降和田间水汽供应减弱，虽然夜间降温仍有利于凝结面温度接近露点温度，但有效凝结界面和水汽来源相对减少，凝结过程强度较花铃期有所降低。覆膜处理还会通过阻隔部分土壤水汽向上输送、改变膜面以上热湿环境和凝结界面条件，进一步影响不同生育期凝结水输入量。因此，后文将从温湿气象因子、热力与动力条件以及风向背景三个方面，进一步分析不同生育期凝结过程差异的可能原因。</w:t>
      </w:r>
    </w:p>
    <w:p w14:paraId="530DADA1">
      <w:pPr>
        <w:rPr>
          <w:rFonts w:ascii="Times New Roman" w:hAnsi="Times New Roman" w:eastAsia="楷体" w:cs="Times New Roman"/>
          <w:color w:val="auto"/>
          <w:highlight w:val="none"/>
        </w:rPr>
      </w:pPr>
      <w:r>
        <w:rPr>
          <w:rFonts w:ascii="Times New Roman" w:hAnsi="Times New Roman" w:eastAsia="楷体" w:cs="Times New Roman"/>
          <w:color w:val="auto"/>
          <w:highlight w:val="none"/>
        </w:rPr>
        <w:t>2.2.</w:t>
      </w:r>
      <w:r>
        <w:rPr>
          <w:rFonts w:hint="eastAsia" w:ascii="Times New Roman" w:hAnsi="Times New Roman" w:eastAsia="楷体" w:cs="Times New Roman"/>
          <w:color w:val="auto"/>
          <w:highlight w:val="none"/>
        </w:rPr>
        <w:t>1</w:t>
      </w:r>
      <w:r>
        <w:rPr>
          <w:rFonts w:ascii="Times New Roman" w:hAnsi="Times New Roman" w:eastAsia="楷体" w:cs="Times New Roman"/>
          <w:color w:val="auto"/>
          <w:highlight w:val="none"/>
        </w:rPr>
        <w:t xml:space="preserve"> 温湿气象因子</w:t>
      </w:r>
    </w:p>
    <w:p w14:paraId="4ECAEA68">
      <w:pPr>
        <w:adjustRightInd w:val="0"/>
        <w:snapToGrid w:val="0"/>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为避免对图5的理解产生歧义，本研究中空气温度、相对湿度、露点温度、风速和风向等气象变量来自试验站内同一自动气象站，代表各蒸渗仪所在试验区的共同气象背景，并非每台蒸渗仪均分别进行独立气象观测；地表温度由不同处理下的红外温度传感器测定，覆膜处理对应膜面温度，不覆膜处理对应裸土表面温度。图5中每个散点表示某一蒸渗仪在某一观测时刻的凝结量与同期气象变量的对应关系。由于覆膜与不覆膜处理的下垫面条件不同，各蒸渗仪达到有效凝结的时间和凝结强度并不完全一致，因此不同散点对应的气象变量范围会有所差异。这种差异应理解为同一气象背景下不同处理凝结响应的差异，以及不同时间气象条件变化造成的差异，而不是蒸渗仪之间独立气象条件的差异。基于2018—2020年观测数据，分别将空气相对湿度、空气温度、地表温度、地表-空气温差（</w:t>
      </w:r>
      <w:r>
        <w:rPr>
          <w:rFonts w:ascii="Times New Roman" w:hAnsi="Times New Roman" w:eastAsia="宋体" w:cs="Times New Roman"/>
          <w:i/>
          <w:iCs/>
          <w:color w:val="auto"/>
          <w:szCs w:val="21"/>
          <w:highlight w:val="none"/>
        </w:rPr>
        <w:t>T</w:t>
      </w:r>
      <w:r>
        <w:rPr>
          <w:rFonts w:ascii="Times New Roman" w:hAnsi="Times New Roman" w:eastAsia="宋体" w:cs="Times New Roman"/>
          <w:i/>
          <w:iCs/>
          <w:color w:val="auto"/>
          <w:szCs w:val="21"/>
          <w:highlight w:val="none"/>
          <w:vertAlign w:val="subscript"/>
        </w:rPr>
        <w:t>s</w:t>
      </w:r>
      <w:r>
        <w:rPr>
          <w:rFonts w:ascii="Times New Roman" w:hAnsi="Times New Roman" w:eastAsia="宋体" w:cs="Times New Roman"/>
          <w:color w:val="auto"/>
          <w:szCs w:val="21"/>
          <w:highlight w:val="none"/>
        </w:rPr>
        <w:t>-</w:t>
      </w:r>
      <w:r>
        <w:rPr>
          <w:rFonts w:ascii="Times New Roman" w:hAnsi="Times New Roman" w:eastAsia="宋体" w:cs="Times New Roman"/>
          <w:i/>
          <w:iCs/>
          <w:color w:val="auto"/>
          <w:szCs w:val="21"/>
          <w:highlight w:val="none"/>
        </w:rPr>
        <w:t>T</w:t>
      </w:r>
      <w:r>
        <w:rPr>
          <w:rFonts w:ascii="Times New Roman" w:hAnsi="Times New Roman" w:eastAsia="宋体" w:cs="Times New Roman"/>
          <w:i/>
          <w:iCs/>
          <w:color w:val="auto"/>
          <w:szCs w:val="21"/>
          <w:highlight w:val="none"/>
          <w:vertAlign w:val="subscript"/>
        </w:rPr>
        <w:t>a</w:t>
      </w:r>
      <w:r>
        <w:rPr>
          <w:rFonts w:ascii="Times New Roman" w:hAnsi="Times New Roman" w:eastAsia="宋体" w:cs="Times New Roman"/>
          <w:color w:val="auto"/>
          <w:szCs w:val="21"/>
          <w:highlight w:val="none"/>
        </w:rPr>
        <w:t>）、露点温度、风速和风向等因子与凝结水量进行拟合分析，用于识别棉田凝结水形成的主要微气象驱动因素。</w:t>
      </w:r>
    </w:p>
    <w:p w14:paraId="598F675B">
      <w:pPr>
        <w:widowControl/>
        <w:rPr>
          <w:rFonts w:hint="eastAsia" w:ascii="宋体" w:hAnsi="宋体" w:eastAsia="宋体"/>
          <w:color w:val="auto"/>
          <w:highlight w:val="none"/>
        </w:rPr>
      </w:pPr>
      <w:r>
        <w:rPr>
          <w:rFonts w:ascii="宋体" w:hAnsi="宋体" w:eastAsia="宋体"/>
          <w:color w:val="auto"/>
          <w:highlight w:val="none"/>
        </w:rPr>
        <w:drawing>
          <wp:inline distT="0" distB="0" distL="0" distR="0">
            <wp:extent cx="1714500" cy="126047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14724" cy="1260880"/>
                    </a:xfrm>
                    <a:prstGeom prst="rect">
                      <a:avLst/>
                    </a:prstGeom>
                    <a:noFill/>
                    <a:ln>
                      <a:noFill/>
                    </a:ln>
                  </pic:spPr>
                </pic:pic>
              </a:graphicData>
            </a:graphic>
          </wp:inline>
        </w:drawing>
      </w:r>
      <w:r>
        <w:rPr>
          <w:rFonts w:hint="eastAsia" w:ascii="宋体" w:hAnsi="宋体" w:eastAsia="宋体"/>
          <w:color w:val="auto"/>
          <w:highlight w:val="none"/>
        </w:rPr>
        <w:drawing>
          <wp:inline distT="0" distB="0" distL="0" distR="0">
            <wp:extent cx="1701800" cy="1250950"/>
            <wp:effectExtent l="0" t="0" r="0" b="635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702028" cy="1251544"/>
                    </a:xfrm>
                    <a:prstGeom prst="rect">
                      <a:avLst/>
                    </a:prstGeom>
                    <a:noFill/>
                    <a:ln>
                      <a:noFill/>
                    </a:ln>
                  </pic:spPr>
                </pic:pic>
              </a:graphicData>
            </a:graphic>
          </wp:inline>
        </w:drawing>
      </w:r>
      <w:r>
        <w:rPr>
          <w:rFonts w:hint="eastAsia" w:ascii="宋体" w:hAnsi="宋体" w:eastAsia="宋体"/>
          <w:color w:val="auto"/>
          <w:highlight w:val="none"/>
        </w:rPr>
        <w:drawing>
          <wp:inline distT="0" distB="0" distL="0" distR="0">
            <wp:extent cx="1843405" cy="1355090"/>
            <wp:effectExtent l="0" t="0" r="444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43624" cy="1355663"/>
                    </a:xfrm>
                    <a:prstGeom prst="rect">
                      <a:avLst/>
                    </a:prstGeom>
                    <a:noFill/>
                    <a:ln>
                      <a:noFill/>
                    </a:ln>
                  </pic:spPr>
                </pic:pic>
              </a:graphicData>
            </a:graphic>
          </wp:inline>
        </w:drawing>
      </w:r>
    </w:p>
    <w:p w14:paraId="6D7CE426">
      <w:pPr>
        <w:widowControl/>
        <w:adjustRightInd w:val="0"/>
        <w:snapToGrid w:val="0"/>
        <w:ind w:firstLine="750" w:firstLineChars="500"/>
        <w:rPr>
          <w:rFonts w:hint="eastAsia" w:ascii="宋体" w:hAnsi="宋体" w:eastAsia="宋体" w:cs="Times New Roman"/>
          <w:color w:val="auto"/>
          <w:kern w:val="0"/>
          <w:sz w:val="15"/>
          <w:szCs w:val="15"/>
          <w:highlight w:val="none"/>
        </w:rPr>
      </w:pPr>
      <w:r>
        <w:rPr>
          <w:rFonts w:ascii="Times New Roman" w:hAnsi="Times New Roman" w:eastAsia="宋体" w:cs="Times New Roman"/>
          <w:color w:val="auto"/>
          <w:sz w:val="15"/>
          <w:szCs w:val="15"/>
          <w:highlight w:val="none"/>
        </w:rPr>
        <w:t>（a）不覆膜处理</w:t>
      </w:r>
      <w:r>
        <w:rPr>
          <w:rFonts w:hint="eastAsia" w:ascii="Times New Roman" w:hAnsi="Times New Roman" w:eastAsia="宋体" w:cs="Times New Roman"/>
          <w:color w:val="auto"/>
          <w:sz w:val="15"/>
          <w:szCs w:val="15"/>
          <w:highlight w:val="none"/>
        </w:rPr>
        <w:t xml:space="preserve">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b</w:t>
      </w:r>
      <w:r>
        <w:rPr>
          <w:rFonts w:ascii="Times New Roman" w:hAnsi="Times New Roman" w:eastAsia="宋体" w:cs="Times New Roman"/>
          <w:color w:val="auto"/>
          <w:sz w:val="15"/>
          <w:szCs w:val="15"/>
          <w:highlight w:val="none"/>
        </w:rPr>
        <w:t>）覆膜1处理</w:t>
      </w:r>
      <w:r>
        <w:rPr>
          <w:rFonts w:hint="eastAsia" w:ascii="Times New Roman" w:hAnsi="Times New Roman" w:eastAsia="宋体" w:cs="Times New Roman"/>
          <w:color w:val="auto"/>
          <w:sz w:val="15"/>
          <w:szCs w:val="15"/>
          <w:highlight w:val="none"/>
        </w:rPr>
        <w:t xml:space="preserve">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c</w:t>
      </w:r>
      <w:r>
        <w:rPr>
          <w:rFonts w:ascii="Times New Roman" w:hAnsi="Times New Roman" w:eastAsia="宋体" w:cs="Times New Roman"/>
          <w:color w:val="auto"/>
          <w:sz w:val="15"/>
          <w:szCs w:val="15"/>
          <w:highlight w:val="none"/>
        </w:rPr>
        <w:t>）覆膜</w:t>
      </w:r>
      <w:r>
        <w:rPr>
          <w:rFonts w:hint="eastAsia" w:ascii="Times New Roman" w:hAnsi="Times New Roman" w:eastAsia="宋体" w:cs="Times New Roman"/>
          <w:color w:val="auto"/>
          <w:sz w:val="15"/>
          <w:szCs w:val="15"/>
          <w:highlight w:val="none"/>
        </w:rPr>
        <w:t>2</w:t>
      </w:r>
      <w:r>
        <w:rPr>
          <w:rFonts w:ascii="Times New Roman" w:hAnsi="Times New Roman" w:eastAsia="宋体" w:cs="Times New Roman"/>
          <w:color w:val="auto"/>
          <w:sz w:val="15"/>
          <w:szCs w:val="15"/>
          <w:highlight w:val="none"/>
        </w:rPr>
        <w:t>处理</w:t>
      </w:r>
    </w:p>
    <w:p w14:paraId="6B497AB1">
      <w:pPr>
        <w:widowControl/>
        <w:jc w:val="center"/>
        <w:rPr>
          <w:rFonts w:hint="eastAsia" w:ascii="宋体" w:hAnsi="宋体" w:eastAsia="宋体"/>
          <w:color w:val="auto"/>
          <w:highlight w:val="none"/>
        </w:rPr>
      </w:pPr>
      <w:r>
        <w:rPr>
          <w:rFonts w:ascii="宋体" w:hAnsi="宋体" w:eastAsia="宋体"/>
          <w:color w:val="auto"/>
          <w:highlight w:val="none"/>
        </w:rPr>
        <w:drawing>
          <wp:inline distT="0" distB="0" distL="0" distR="0">
            <wp:extent cx="1737995" cy="127762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738194" cy="1278138"/>
                    </a:xfrm>
                    <a:prstGeom prst="rect">
                      <a:avLst/>
                    </a:prstGeom>
                    <a:noFill/>
                    <a:ln>
                      <a:noFill/>
                    </a:ln>
                  </pic:spPr>
                </pic:pic>
              </a:graphicData>
            </a:graphic>
          </wp:inline>
        </w:drawing>
      </w:r>
      <w:r>
        <w:rPr>
          <w:rFonts w:ascii="宋体" w:hAnsi="宋体" w:eastAsia="宋体"/>
          <w:color w:val="auto"/>
          <w:highlight w:val="none"/>
        </w:rPr>
        <w:drawing>
          <wp:inline distT="0" distB="0" distL="0" distR="0">
            <wp:extent cx="1735455" cy="1275715"/>
            <wp:effectExtent l="0" t="0" r="0"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735741" cy="1276334"/>
                    </a:xfrm>
                    <a:prstGeom prst="rect">
                      <a:avLst/>
                    </a:prstGeom>
                    <a:noFill/>
                    <a:ln>
                      <a:noFill/>
                    </a:ln>
                  </pic:spPr>
                </pic:pic>
              </a:graphicData>
            </a:graphic>
          </wp:inline>
        </w:drawing>
      </w:r>
      <w:r>
        <w:rPr>
          <w:rFonts w:ascii="宋体" w:hAnsi="宋体" w:eastAsia="宋体"/>
          <w:color w:val="auto"/>
          <w:highlight w:val="none"/>
        </w:rPr>
        <w:drawing>
          <wp:inline distT="0" distB="0" distL="0" distR="0">
            <wp:extent cx="1755775" cy="1330960"/>
            <wp:effectExtent l="0" t="0" r="0" b="254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755808" cy="1331580"/>
                    </a:xfrm>
                    <a:prstGeom prst="rect">
                      <a:avLst/>
                    </a:prstGeom>
                    <a:noFill/>
                    <a:ln>
                      <a:noFill/>
                    </a:ln>
                  </pic:spPr>
                </pic:pic>
              </a:graphicData>
            </a:graphic>
          </wp:inline>
        </w:drawing>
      </w:r>
    </w:p>
    <w:p w14:paraId="7CF4BFEC">
      <w:pPr>
        <w:widowControl/>
        <w:adjustRightInd w:val="0"/>
        <w:snapToGrid w:val="0"/>
        <w:ind w:firstLine="750" w:firstLineChars="500"/>
        <w:rPr>
          <w:rFonts w:hint="eastAsia" w:ascii="宋体" w:hAnsi="宋体" w:eastAsia="宋体" w:cs="Times New Roman"/>
          <w:color w:val="auto"/>
          <w:kern w:val="0"/>
          <w:sz w:val="15"/>
          <w:szCs w:val="15"/>
          <w:highlight w:val="none"/>
        </w:rPr>
      </w:pP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d</w:t>
      </w:r>
      <w:r>
        <w:rPr>
          <w:rFonts w:ascii="Times New Roman" w:hAnsi="Times New Roman" w:eastAsia="宋体" w:cs="Times New Roman"/>
          <w:color w:val="auto"/>
          <w:sz w:val="15"/>
          <w:szCs w:val="15"/>
          <w:highlight w:val="none"/>
        </w:rPr>
        <w:t>）不覆膜处理</w:t>
      </w:r>
      <w:r>
        <w:rPr>
          <w:rFonts w:hint="eastAsia" w:ascii="Times New Roman" w:hAnsi="Times New Roman" w:eastAsia="宋体" w:cs="Times New Roman"/>
          <w:color w:val="auto"/>
          <w:sz w:val="15"/>
          <w:szCs w:val="15"/>
          <w:highlight w:val="none"/>
        </w:rPr>
        <w:t xml:space="preserve">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e</w:t>
      </w:r>
      <w:r>
        <w:rPr>
          <w:rFonts w:ascii="Times New Roman" w:hAnsi="Times New Roman" w:eastAsia="宋体" w:cs="Times New Roman"/>
          <w:color w:val="auto"/>
          <w:sz w:val="15"/>
          <w:szCs w:val="15"/>
          <w:highlight w:val="none"/>
        </w:rPr>
        <w:t>）覆膜1处理</w:t>
      </w:r>
      <w:r>
        <w:rPr>
          <w:rFonts w:hint="eastAsia" w:ascii="Times New Roman" w:hAnsi="Times New Roman" w:eastAsia="宋体" w:cs="Times New Roman"/>
          <w:color w:val="auto"/>
          <w:sz w:val="15"/>
          <w:szCs w:val="15"/>
          <w:highlight w:val="none"/>
        </w:rPr>
        <w:t xml:space="preserve">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f</w:t>
      </w:r>
      <w:r>
        <w:rPr>
          <w:rFonts w:ascii="Times New Roman" w:hAnsi="Times New Roman" w:eastAsia="宋体" w:cs="Times New Roman"/>
          <w:color w:val="auto"/>
          <w:sz w:val="15"/>
          <w:szCs w:val="15"/>
          <w:highlight w:val="none"/>
        </w:rPr>
        <w:t>）覆膜</w:t>
      </w:r>
      <w:r>
        <w:rPr>
          <w:rFonts w:hint="eastAsia" w:ascii="Times New Roman" w:hAnsi="Times New Roman" w:eastAsia="宋体" w:cs="Times New Roman"/>
          <w:color w:val="auto"/>
          <w:sz w:val="15"/>
          <w:szCs w:val="15"/>
          <w:highlight w:val="none"/>
        </w:rPr>
        <w:t>2</w:t>
      </w:r>
      <w:r>
        <w:rPr>
          <w:rFonts w:ascii="Times New Roman" w:hAnsi="Times New Roman" w:eastAsia="宋体" w:cs="Times New Roman"/>
          <w:color w:val="auto"/>
          <w:sz w:val="15"/>
          <w:szCs w:val="15"/>
          <w:highlight w:val="none"/>
        </w:rPr>
        <w:t>处理</w:t>
      </w:r>
    </w:p>
    <w:p w14:paraId="5473C907">
      <w:pPr>
        <w:widowControl/>
        <w:rPr>
          <w:rFonts w:hint="eastAsia" w:ascii="宋体" w:hAnsi="宋体" w:eastAsia="宋体"/>
          <w:color w:val="auto"/>
          <w:highlight w:val="none"/>
        </w:rPr>
      </w:pPr>
      <w:r>
        <w:rPr>
          <w:rFonts w:hint="eastAsia" w:ascii="宋体" w:hAnsi="宋体" w:eastAsia="宋体"/>
          <w:color w:val="auto"/>
          <w:highlight w:val="none"/>
        </w:rPr>
        <w:drawing>
          <wp:inline distT="0" distB="0" distL="0" distR="0">
            <wp:extent cx="1659255" cy="121983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666128" cy="1225146"/>
                    </a:xfrm>
                    <a:prstGeom prst="rect">
                      <a:avLst/>
                    </a:prstGeom>
                    <a:noFill/>
                    <a:ln>
                      <a:noFill/>
                    </a:ln>
                  </pic:spPr>
                </pic:pic>
              </a:graphicData>
            </a:graphic>
          </wp:inline>
        </w:drawing>
      </w:r>
      <w:r>
        <w:rPr>
          <w:rFonts w:hint="eastAsia" w:ascii="宋体" w:hAnsi="宋体" w:eastAsia="宋体"/>
          <w:color w:val="auto"/>
          <w:highlight w:val="none"/>
        </w:rPr>
        <w:drawing>
          <wp:inline distT="0" distB="0" distL="0" distR="0">
            <wp:extent cx="1727200" cy="1270000"/>
            <wp:effectExtent l="0" t="0" r="6350" b="635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727482" cy="1270260"/>
                    </a:xfrm>
                    <a:prstGeom prst="rect">
                      <a:avLst/>
                    </a:prstGeom>
                    <a:noFill/>
                    <a:ln>
                      <a:noFill/>
                    </a:ln>
                  </pic:spPr>
                </pic:pic>
              </a:graphicData>
            </a:graphic>
          </wp:inline>
        </w:drawing>
      </w:r>
      <w:r>
        <w:rPr>
          <w:rFonts w:hint="eastAsia" w:ascii="宋体" w:hAnsi="宋体" w:eastAsia="宋体"/>
          <w:color w:val="auto"/>
          <w:highlight w:val="none"/>
        </w:rPr>
        <w:drawing>
          <wp:inline distT="0" distB="0" distL="0" distR="0">
            <wp:extent cx="1815465" cy="133477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815967" cy="1335326"/>
                    </a:xfrm>
                    <a:prstGeom prst="rect">
                      <a:avLst/>
                    </a:prstGeom>
                    <a:noFill/>
                    <a:ln>
                      <a:noFill/>
                    </a:ln>
                  </pic:spPr>
                </pic:pic>
              </a:graphicData>
            </a:graphic>
          </wp:inline>
        </w:drawing>
      </w:r>
    </w:p>
    <w:p w14:paraId="78F3FAF7">
      <w:pPr>
        <w:widowControl/>
        <w:adjustRightInd w:val="0"/>
        <w:snapToGrid w:val="0"/>
        <w:ind w:firstLine="750" w:firstLineChars="500"/>
        <w:rPr>
          <w:rFonts w:hint="eastAsia" w:ascii="宋体" w:hAnsi="宋体" w:eastAsia="宋体" w:cs="Times New Roman"/>
          <w:color w:val="auto"/>
          <w:kern w:val="0"/>
          <w:sz w:val="15"/>
          <w:szCs w:val="15"/>
          <w:highlight w:val="none"/>
        </w:rPr>
      </w:pP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g</w:t>
      </w:r>
      <w:r>
        <w:rPr>
          <w:rFonts w:ascii="Times New Roman" w:hAnsi="Times New Roman" w:eastAsia="宋体" w:cs="Times New Roman"/>
          <w:color w:val="auto"/>
          <w:sz w:val="15"/>
          <w:szCs w:val="15"/>
          <w:highlight w:val="none"/>
        </w:rPr>
        <w:t>）不覆膜处理</w:t>
      </w:r>
      <w:r>
        <w:rPr>
          <w:rFonts w:hint="eastAsia" w:ascii="Times New Roman" w:hAnsi="Times New Roman" w:eastAsia="宋体" w:cs="Times New Roman"/>
          <w:color w:val="auto"/>
          <w:sz w:val="15"/>
          <w:szCs w:val="15"/>
          <w:highlight w:val="none"/>
        </w:rPr>
        <w:t xml:space="preserve">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h</w:t>
      </w:r>
      <w:r>
        <w:rPr>
          <w:rFonts w:ascii="Times New Roman" w:hAnsi="Times New Roman" w:eastAsia="宋体" w:cs="Times New Roman"/>
          <w:color w:val="auto"/>
          <w:sz w:val="15"/>
          <w:szCs w:val="15"/>
          <w:highlight w:val="none"/>
        </w:rPr>
        <w:t>）覆膜1处理</w:t>
      </w:r>
      <w:r>
        <w:rPr>
          <w:rFonts w:hint="eastAsia" w:ascii="Times New Roman" w:hAnsi="Times New Roman" w:eastAsia="宋体" w:cs="Times New Roman"/>
          <w:color w:val="auto"/>
          <w:sz w:val="15"/>
          <w:szCs w:val="15"/>
          <w:highlight w:val="none"/>
        </w:rPr>
        <w:t xml:space="preserve">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i</w:t>
      </w:r>
      <w:r>
        <w:rPr>
          <w:rFonts w:ascii="Times New Roman" w:hAnsi="Times New Roman" w:eastAsia="宋体" w:cs="Times New Roman"/>
          <w:color w:val="auto"/>
          <w:sz w:val="15"/>
          <w:szCs w:val="15"/>
          <w:highlight w:val="none"/>
        </w:rPr>
        <w:t>）覆膜</w:t>
      </w:r>
      <w:r>
        <w:rPr>
          <w:rFonts w:hint="eastAsia" w:ascii="Times New Roman" w:hAnsi="Times New Roman" w:eastAsia="宋体" w:cs="Times New Roman"/>
          <w:color w:val="auto"/>
          <w:sz w:val="15"/>
          <w:szCs w:val="15"/>
          <w:highlight w:val="none"/>
        </w:rPr>
        <w:t>2</w:t>
      </w:r>
      <w:r>
        <w:rPr>
          <w:rFonts w:ascii="Times New Roman" w:hAnsi="Times New Roman" w:eastAsia="宋体" w:cs="Times New Roman"/>
          <w:color w:val="auto"/>
          <w:sz w:val="15"/>
          <w:szCs w:val="15"/>
          <w:highlight w:val="none"/>
        </w:rPr>
        <w:t>处理</w:t>
      </w:r>
    </w:p>
    <w:p w14:paraId="42EFC560">
      <w:pPr>
        <w:widowControl/>
        <w:jc w:val="center"/>
        <w:rPr>
          <w:rFonts w:hint="eastAsia" w:ascii="宋体" w:hAnsi="宋体" w:eastAsia="宋体"/>
          <w:color w:val="auto"/>
          <w:highlight w:val="none"/>
        </w:rPr>
      </w:pPr>
      <w:r>
        <w:rPr>
          <w:rFonts w:hint="eastAsia" w:ascii="宋体" w:hAnsi="宋体" w:eastAsia="宋体"/>
          <w:color w:val="auto"/>
          <w:highlight w:val="none"/>
        </w:rPr>
        <w:drawing>
          <wp:inline distT="0" distB="0" distL="0" distR="0">
            <wp:extent cx="1750695" cy="1287145"/>
            <wp:effectExtent l="0" t="0" r="1905"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750853" cy="1287446"/>
                    </a:xfrm>
                    <a:prstGeom prst="rect">
                      <a:avLst/>
                    </a:prstGeom>
                    <a:noFill/>
                    <a:ln>
                      <a:noFill/>
                    </a:ln>
                  </pic:spPr>
                </pic:pic>
              </a:graphicData>
            </a:graphic>
          </wp:inline>
        </w:drawing>
      </w:r>
      <w:r>
        <w:rPr>
          <w:rFonts w:hint="eastAsia" w:ascii="宋体" w:hAnsi="宋体" w:eastAsia="宋体"/>
          <w:color w:val="auto"/>
          <w:highlight w:val="none"/>
        </w:rPr>
        <w:drawing>
          <wp:inline distT="0" distB="0" distL="0" distR="0">
            <wp:extent cx="1734185" cy="1275080"/>
            <wp:effectExtent l="0" t="0" r="0" b="12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734634" cy="1275520"/>
                    </a:xfrm>
                    <a:prstGeom prst="rect">
                      <a:avLst/>
                    </a:prstGeom>
                    <a:noFill/>
                    <a:ln>
                      <a:noFill/>
                    </a:ln>
                  </pic:spPr>
                </pic:pic>
              </a:graphicData>
            </a:graphic>
          </wp:inline>
        </w:drawing>
      </w:r>
      <w:r>
        <w:rPr>
          <w:rFonts w:hint="eastAsia" w:ascii="宋体" w:hAnsi="宋体" w:eastAsia="宋体"/>
          <w:color w:val="auto"/>
          <w:highlight w:val="none"/>
        </w:rPr>
        <w:drawing>
          <wp:inline distT="0" distB="0" distL="0" distR="0">
            <wp:extent cx="1736725" cy="127698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736989" cy="1277252"/>
                    </a:xfrm>
                    <a:prstGeom prst="rect">
                      <a:avLst/>
                    </a:prstGeom>
                    <a:noFill/>
                    <a:ln>
                      <a:noFill/>
                    </a:ln>
                  </pic:spPr>
                </pic:pic>
              </a:graphicData>
            </a:graphic>
          </wp:inline>
        </w:drawing>
      </w:r>
    </w:p>
    <w:p w14:paraId="0373C03B">
      <w:pPr>
        <w:widowControl/>
        <w:adjustRightInd w:val="0"/>
        <w:snapToGrid w:val="0"/>
        <w:ind w:firstLine="750" w:firstLineChars="500"/>
        <w:rPr>
          <w:rFonts w:hint="eastAsia" w:ascii="宋体" w:hAnsi="宋体" w:eastAsia="宋体" w:cs="Times New Roman"/>
          <w:color w:val="auto"/>
          <w:kern w:val="0"/>
          <w:sz w:val="15"/>
          <w:szCs w:val="15"/>
          <w:highlight w:val="none"/>
        </w:rPr>
      </w:pP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j</w:t>
      </w:r>
      <w:r>
        <w:rPr>
          <w:rFonts w:ascii="Times New Roman" w:hAnsi="Times New Roman" w:eastAsia="宋体" w:cs="Times New Roman"/>
          <w:color w:val="auto"/>
          <w:sz w:val="15"/>
          <w:szCs w:val="15"/>
          <w:highlight w:val="none"/>
        </w:rPr>
        <w:t>）不覆膜处理</w:t>
      </w:r>
      <w:r>
        <w:rPr>
          <w:rFonts w:hint="eastAsia" w:ascii="Times New Roman" w:hAnsi="Times New Roman" w:eastAsia="宋体" w:cs="Times New Roman"/>
          <w:color w:val="auto"/>
          <w:sz w:val="15"/>
          <w:szCs w:val="15"/>
          <w:highlight w:val="none"/>
        </w:rPr>
        <w:t xml:space="preserve">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k</w:t>
      </w:r>
      <w:r>
        <w:rPr>
          <w:rFonts w:ascii="Times New Roman" w:hAnsi="Times New Roman" w:eastAsia="宋体" w:cs="Times New Roman"/>
          <w:color w:val="auto"/>
          <w:sz w:val="15"/>
          <w:szCs w:val="15"/>
          <w:highlight w:val="none"/>
        </w:rPr>
        <w:t>）覆膜1处理</w:t>
      </w:r>
      <w:r>
        <w:rPr>
          <w:rFonts w:hint="eastAsia" w:ascii="Times New Roman" w:hAnsi="Times New Roman" w:eastAsia="宋体" w:cs="Times New Roman"/>
          <w:color w:val="auto"/>
          <w:sz w:val="15"/>
          <w:szCs w:val="15"/>
          <w:highlight w:val="none"/>
        </w:rPr>
        <w:t xml:space="preserve">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l</w:t>
      </w:r>
      <w:r>
        <w:rPr>
          <w:rFonts w:ascii="Times New Roman" w:hAnsi="Times New Roman" w:eastAsia="宋体" w:cs="Times New Roman"/>
          <w:color w:val="auto"/>
          <w:sz w:val="15"/>
          <w:szCs w:val="15"/>
          <w:highlight w:val="none"/>
        </w:rPr>
        <w:t>）覆膜</w:t>
      </w:r>
      <w:r>
        <w:rPr>
          <w:rFonts w:hint="eastAsia" w:ascii="Times New Roman" w:hAnsi="Times New Roman" w:eastAsia="宋体" w:cs="Times New Roman"/>
          <w:color w:val="auto"/>
          <w:sz w:val="15"/>
          <w:szCs w:val="15"/>
          <w:highlight w:val="none"/>
        </w:rPr>
        <w:t>2</w:t>
      </w:r>
      <w:r>
        <w:rPr>
          <w:rFonts w:ascii="Times New Roman" w:hAnsi="Times New Roman" w:eastAsia="宋体" w:cs="Times New Roman"/>
          <w:color w:val="auto"/>
          <w:sz w:val="15"/>
          <w:szCs w:val="15"/>
          <w:highlight w:val="none"/>
        </w:rPr>
        <w:t>处理</w:t>
      </w:r>
    </w:p>
    <w:p w14:paraId="0FA7B83E">
      <w:pPr>
        <w:pStyle w:val="21"/>
        <w:adjustRightInd w:val="0"/>
        <w:snapToGrid w:val="0"/>
        <w:spacing w:line="254" w:lineRule="auto"/>
        <w:ind w:firstLine="419" w:firstLineChars="233"/>
        <w:jc w:val="center"/>
        <w:rPr>
          <w:rFonts w:eastAsia="黑体" w:cs="Times New Roman"/>
          <w:bCs/>
          <w:color w:val="auto"/>
          <w:sz w:val="18"/>
          <w:szCs w:val="18"/>
          <w:highlight w:val="none"/>
        </w:rPr>
      </w:pPr>
      <w:r>
        <w:rPr>
          <w:rFonts w:eastAsia="黑体" w:cs="Times New Roman"/>
          <w:bCs/>
          <w:color w:val="auto"/>
          <w:sz w:val="18"/>
          <w:szCs w:val="18"/>
          <w:highlight w:val="none"/>
        </w:rPr>
        <w:t>图5</w:t>
      </w:r>
      <w:r>
        <w:rPr>
          <w:rFonts w:eastAsia="黑体" w:cs="Times New Roman"/>
          <w:color w:val="auto"/>
          <w:sz w:val="18"/>
          <w:szCs w:val="18"/>
          <w:highlight w:val="none"/>
        </w:rPr>
        <w:t xml:space="preserve">  </w:t>
      </w:r>
      <w:r>
        <w:rPr>
          <w:rFonts w:eastAsia="黑体" w:cs="Times New Roman"/>
          <w:bCs/>
          <w:color w:val="auto"/>
          <w:sz w:val="18"/>
          <w:szCs w:val="18"/>
          <w:highlight w:val="none"/>
        </w:rPr>
        <w:t>不同覆膜条件下基础温湿气象因子与凝结量的相关关系</w:t>
      </w:r>
    </w:p>
    <w:p w14:paraId="3053D3AD">
      <w:pPr>
        <w:adjustRightInd w:val="0"/>
        <w:snapToGrid w:val="0"/>
        <w:ind w:firstLine="482"/>
        <w:jc w:val="center"/>
        <w:rPr>
          <w:rFonts w:ascii="Times New Roman" w:hAnsi="Times New Roman" w:eastAsia="黑体" w:cs="Times New Roman"/>
          <w:bCs/>
          <w:color w:val="auto"/>
          <w:sz w:val="18"/>
          <w:szCs w:val="18"/>
          <w:highlight w:val="none"/>
        </w:rPr>
      </w:pPr>
      <w:r>
        <w:rPr>
          <w:rFonts w:ascii="Times New Roman" w:hAnsi="Times New Roman" w:eastAsia="黑体" w:cs="Times New Roman"/>
          <w:bCs/>
          <w:color w:val="auto"/>
          <w:sz w:val="18"/>
          <w:szCs w:val="18"/>
          <w:highlight w:val="none"/>
        </w:rPr>
        <w:t>Fig.5</w:t>
      </w:r>
      <w:r>
        <w:rPr>
          <w:rFonts w:ascii="Times New Roman" w:hAnsi="Times New Roman" w:eastAsia="黑体" w:cs="Times New Roman"/>
          <w:color w:val="auto"/>
          <w:sz w:val="18"/>
          <w:szCs w:val="18"/>
          <w:highlight w:val="none"/>
        </w:rPr>
        <w:t xml:space="preserve">  </w:t>
      </w:r>
      <w:r>
        <w:rPr>
          <w:rFonts w:hint="eastAsia" w:ascii="Times New Roman" w:hAnsi="Times New Roman" w:eastAsia="黑体" w:cs="Times New Roman"/>
          <w:bCs/>
          <w:color w:val="auto"/>
          <w:sz w:val="18"/>
          <w:szCs w:val="18"/>
          <w:highlight w:val="none"/>
        </w:rPr>
        <w:t>Correlation between basic temperature-humidity meteorological factors and dew amount under different film mulching conditions</w:t>
      </w:r>
    </w:p>
    <w:p w14:paraId="1AEC73AF">
      <w:pPr>
        <w:pStyle w:val="2"/>
        <w:adjustRightInd w:val="0"/>
        <w:snapToGrid w:val="0"/>
        <w:spacing w:after="0"/>
        <w:ind w:firstLine="420" w:firstLineChars="200"/>
        <w:rPr>
          <w:rFonts w:hint="eastAsia"/>
          <w:snapToGrid w:val="0"/>
          <w:color w:val="auto"/>
          <w:kern w:val="0"/>
          <w:highlight w:val="none"/>
        </w:rPr>
      </w:pPr>
      <w:r>
        <w:rPr>
          <w:rFonts w:ascii="Times New Roman" w:hAnsi="Times New Roman" w:eastAsia="宋体" w:cs="Times New Roman"/>
          <w:snapToGrid w:val="0"/>
          <w:color w:val="auto"/>
          <w:kern w:val="0"/>
          <w:highlight w:val="none"/>
        </w:rPr>
        <w:t>凝结水的形成与地表温度、环境温度之间的关系</w:t>
      </w:r>
      <w:r>
        <w:rPr>
          <w:rFonts w:hint="eastAsia" w:ascii="Times New Roman" w:hAnsi="Times New Roman" w:eastAsia="宋体" w:cs="Times New Roman"/>
          <w:snapToGrid w:val="0"/>
          <w:color w:val="auto"/>
          <w:kern w:val="0"/>
          <w:highlight w:val="none"/>
        </w:rPr>
        <w:t>密切</w:t>
      </w:r>
      <w:r>
        <w:rPr>
          <w:rFonts w:ascii="Times New Roman" w:hAnsi="Times New Roman" w:eastAsia="宋体" w:cs="Times New Roman"/>
          <w:snapToGrid w:val="0"/>
          <w:color w:val="auto"/>
          <w:kern w:val="0"/>
          <w:highlight w:val="none"/>
        </w:rPr>
        <w:t>，通过对这两个气象因子与凝结水量的相关关系拟合发现，凝结量与空气温度和地表温度成负相关线性关系，与露点温度成正相关线性关</w:t>
      </w:r>
      <w:r>
        <w:rPr>
          <w:rFonts w:ascii="Times New Roman" w:hAnsi="Times New Roman" w:eastAsia="宋体" w:cs="Times New Roman"/>
          <w:snapToGrid w:val="0"/>
          <w:color w:val="auto"/>
          <w:kern w:val="0"/>
          <w:highlight w:val="none"/>
        </w:rPr>
        <w:t>系</w:t>
      </w:r>
      <w:r>
        <w:rPr>
          <w:rFonts w:ascii="Times New Roman" w:hAnsi="Times New Roman" w:cs="Times New Roman"/>
          <w:color w:val="auto"/>
          <w:szCs w:val="21"/>
          <w:highlight w:val="none"/>
        </w:rPr>
        <w:t>[</w:t>
      </w:r>
      <w:r>
        <w:rPr>
          <w:rFonts w:hint="eastAsia" w:ascii="Times New Roman" w:hAnsi="Times New Roman" w:eastAsia="宋体" w:cs="Times New Roman"/>
          <w:snapToGrid w:val="0"/>
          <w:color w:val="auto"/>
          <w:kern w:val="0"/>
          <w:highlight w:val="none"/>
        </w:rPr>
        <w:t>见</w:t>
      </w:r>
      <w:r>
        <w:rPr>
          <w:rFonts w:ascii="Times New Roman" w:hAnsi="Times New Roman" w:eastAsia="宋体" w:cs="Times New Roman"/>
          <w:snapToGrid w:val="0"/>
          <w:color w:val="auto"/>
          <w:kern w:val="0"/>
          <w:highlight w:val="none"/>
        </w:rPr>
        <w:t>图5</w:t>
      </w:r>
      <w:r>
        <w:rPr>
          <w:rFonts w:hint="eastAsia" w:ascii="Times New Roman" w:hAnsi="Times New Roman" w:eastAsia="宋体" w:cs="Times New Roman"/>
          <w:snapToGrid w:val="0"/>
          <w:color w:val="auto"/>
          <w:kern w:val="0"/>
          <w:highlight w:val="none"/>
        </w:rPr>
        <w:t>(g)</w:t>
      </w: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rPr>
        <w:t>图5(</w:t>
      </w:r>
      <w:r>
        <w:rPr>
          <w:rFonts w:hint="eastAsia" w:ascii="Times New Roman" w:hAnsi="Times New Roman" w:eastAsia="宋体" w:cs="Times New Roman"/>
          <w:snapToGrid w:val="0"/>
          <w:color w:val="auto"/>
          <w:kern w:val="0"/>
          <w:highlight w:val="none"/>
        </w:rPr>
        <w:t>i)</w:t>
      </w:r>
      <w:r>
        <w:rPr>
          <w:rFonts w:ascii="Times New Roman" w:hAnsi="Times New Roman" w:cs="Times New Roman"/>
          <w:color w:val="auto"/>
          <w:szCs w:val="21"/>
          <w:highlight w:val="none"/>
        </w:rPr>
        <w:t>]</w:t>
      </w:r>
      <w:r>
        <w:rPr>
          <w:rFonts w:hint="eastAsia" w:ascii="Times New Roman" w:hAnsi="Times New Roman" w:eastAsia="宋体" w:cs="Times New Roman"/>
          <w:snapToGrid w:val="0"/>
          <w:color w:val="auto"/>
          <w:kern w:val="0"/>
          <w:highlight w:val="none"/>
        </w:rPr>
        <w:t>。</w:t>
      </w:r>
      <w:r>
        <w:rPr>
          <w:rFonts w:ascii="Times New Roman" w:hAnsi="Times New Roman" w:eastAsia="宋体" w:cs="Times New Roman"/>
          <w:snapToGrid w:val="0"/>
          <w:color w:val="auto"/>
          <w:kern w:val="0"/>
          <w:highlight w:val="none"/>
        </w:rPr>
        <w:t>这</w:t>
      </w:r>
      <w:r>
        <w:rPr>
          <w:rFonts w:ascii="Times New Roman" w:hAnsi="Times New Roman" w:eastAsia="宋体" w:cs="Times New Roman"/>
          <w:snapToGrid w:val="0"/>
          <w:color w:val="auto"/>
          <w:kern w:val="0"/>
          <w:highlight w:val="none"/>
        </w:rPr>
        <w:t>是由于较高气温通常会增强蒸散并降低空气相对湿度，使凝结面温度高于露点温度，从而不利于凝结水的产生。</w:t>
      </w:r>
    </w:p>
    <w:p w14:paraId="7C1EC043">
      <w:pPr>
        <w:widowControl/>
        <w:adjustRightInd w:val="0"/>
        <w:snapToGrid w:val="0"/>
        <w:ind w:firstLine="420" w:firstLineChars="200"/>
        <w:rPr>
          <w:rFonts w:ascii="Times New Roman" w:hAnsi="Times New Roman" w:eastAsia="黑体" w:cs="Times New Roman"/>
          <w:bCs/>
          <w:snapToGrid w:val="0"/>
          <w:color w:val="auto"/>
          <w:kern w:val="0"/>
          <w:sz w:val="18"/>
          <w:szCs w:val="18"/>
          <w:highlight w:val="none"/>
        </w:rPr>
      </w:pPr>
      <w:r>
        <w:rPr>
          <w:rFonts w:ascii="宋体" w:hAnsi="宋体" w:eastAsia="宋体" w:cs="Times New Roman"/>
          <w:snapToGrid w:val="0"/>
          <w:color w:val="auto"/>
          <w:kern w:val="0"/>
          <w:highlight w:val="none"/>
        </w:rPr>
        <w:t>凝结量与空气湿度呈正相关线性关</w:t>
      </w:r>
      <w:r>
        <w:rPr>
          <w:rFonts w:ascii="宋体" w:hAnsi="宋体" w:eastAsia="宋体" w:cs="Times New Roman"/>
          <w:snapToGrid w:val="0"/>
          <w:color w:val="auto"/>
          <w:kern w:val="0"/>
          <w:highlight w:val="none"/>
        </w:rPr>
        <w:t>系</w:t>
      </w:r>
      <w:r>
        <w:rPr>
          <w:rFonts w:ascii="Times New Roman" w:hAnsi="Times New Roman" w:cs="Times New Roman"/>
          <w:color w:val="auto"/>
          <w:szCs w:val="21"/>
          <w:highlight w:val="none"/>
        </w:rPr>
        <w:t>[</w:t>
      </w:r>
      <w:r>
        <w:rPr>
          <w:rFonts w:hint="eastAsia" w:ascii="Times New Roman" w:hAnsi="Times New Roman" w:eastAsia="宋体" w:cs="Times New Roman"/>
          <w:snapToGrid w:val="0"/>
          <w:color w:val="auto"/>
          <w:kern w:val="0"/>
          <w:highlight w:val="none"/>
        </w:rPr>
        <w:t>见图5(j)</w:t>
      </w: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rPr>
        <w:t>图</w:t>
      </w:r>
      <w:r>
        <w:rPr>
          <w:rFonts w:hint="eastAsia" w:ascii="Times New Roman" w:hAnsi="Times New Roman" w:eastAsia="宋体" w:cs="Times New Roman"/>
          <w:snapToGrid w:val="0"/>
          <w:color w:val="auto"/>
          <w:kern w:val="0"/>
          <w:highlight w:val="none"/>
        </w:rPr>
        <w:t>5(l)</w:t>
      </w:r>
      <w:r>
        <w:rPr>
          <w:rFonts w:ascii="Times New Roman" w:hAnsi="Times New Roman" w:cs="Times New Roman"/>
          <w:color w:val="auto"/>
          <w:szCs w:val="21"/>
          <w:highlight w:val="none"/>
        </w:rPr>
        <w:t>]</w:t>
      </w:r>
      <w:r>
        <w:rPr>
          <w:rFonts w:ascii="宋体" w:hAnsi="宋体" w:eastAsia="宋体" w:cs="Times New Roman"/>
          <w:snapToGrid w:val="0"/>
          <w:color w:val="auto"/>
          <w:kern w:val="0"/>
          <w:highlight w:val="none"/>
        </w:rPr>
        <w:t>,相</w:t>
      </w:r>
      <w:r>
        <w:rPr>
          <w:rFonts w:ascii="宋体" w:hAnsi="宋体" w:eastAsia="宋体" w:cs="Times New Roman"/>
          <w:snapToGrid w:val="0"/>
          <w:color w:val="auto"/>
          <w:kern w:val="0"/>
          <w:highlight w:val="none"/>
        </w:rPr>
        <w:t>对湿度越大</w:t>
      </w:r>
      <w:r>
        <w:rPr>
          <w:rFonts w:hint="eastAsia" w:ascii="宋体" w:hAnsi="宋体" w:eastAsia="宋体" w:cs="Times New Roman"/>
          <w:snapToGrid w:val="0"/>
          <w:color w:val="auto"/>
          <w:kern w:val="0"/>
          <w:highlight w:val="none"/>
        </w:rPr>
        <w:t>，</w:t>
      </w:r>
      <w:r>
        <w:rPr>
          <w:rFonts w:ascii="宋体" w:hAnsi="宋体" w:eastAsia="宋体" w:cs="Times New Roman"/>
          <w:snapToGrid w:val="0"/>
          <w:color w:val="auto"/>
          <w:kern w:val="0"/>
          <w:highlight w:val="none"/>
        </w:rPr>
        <w:t>空气中的水分就越充足，凝结量会随着空气相对湿度的增加而增加。空气的水汽</w:t>
      </w:r>
      <w:r>
        <w:rPr>
          <w:rFonts w:hint="eastAsia" w:ascii="宋体" w:hAnsi="宋体" w:eastAsia="宋体" w:cs="Times New Roman"/>
          <w:snapToGrid w:val="0"/>
          <w:color w:val="auto"/>
          <w:kern w:val="0"/>
          <w:highlight w:val="none"/>
        </w:rPr>
        <w:t>含量</w:t>
      </w:r>
      <w:r>
        <w:rPr>
          <w:rFonts w:ascii="宋体" w:hAnsi="宋体" w:eastAsia="宋体" w:cs="Times New Roman"/>
          <w:snapToGrid w:val="0"/>
          <w:color w:val="auto"/>
          <w:kern w:val="0"/>
          <w:highlight w:val="none"/>
        </w:rPr>
        <w:t>与露点温度有关，较高的空气相对湿度会使露点温度升高，有利于提高凝结水发生的频率和数量</w:t>
      </w:r>
      <w:r>
        <w:rPr>
          <w:rFonts w:ascii="Times New Roman" w:hAnsi="Times New Roman" w:eastAsia="宋体" w:cs="Times New Roman"/>
          <w:snapToGrid w:val="0"/>
          <w:color w:val="auto"/>
          <w:kern w:val="0"/>
          <w:highlight w:val="none"/>
          <w:vertAlign w:val="superscript"/>
        </w:rPr>
        <w:t>[</w:t>
      </w:r>
      <w:r>
        <w:rPr>
          <w:rFonts w:hint="eastAsia" w:ascii="Times New Roman" w:hAnsi="Times New Roman" w:eastAsia="宋体" w:cs="Times New Roman"/>
          <w:snapToGrid w:val="0"/>
          <w:color w:val="auto"/>
          <w:kern w:val="0"/>
          <w:highlight w:val="none"/>
          <w:vertAlign w:val="superscript"/>
        </w:rPr>
        <w:t>36</w:t>
      </w:r>
      <w:r>
        <w:rPr>
          <w:rFonts w:ascii="Times New Roman" w:hAnsi="Times New Roman" w:eastAsia="宋体" w:cs="Times New Roman"/>
          <w:snapToGrid w:val="0"/>
          <w:color w:val="auto"/>
          <w:kern w:val="0"/>
          <w:highlight w:val="none"/>
          <w:vertAlign w:val="superscript"/>
        </w:rPr>
        <w:t>]</w:t>
      </w:r>
      <w:r>
        <w:rPr>
          <w:rFonts w:ascii="宋体" w:hAnsi="宋体" w:eastAsia="宋体" w:cs="Times New Roman"/>
          <w:snapToGrid w:val="0"/>
          <w:color w:val="auto"/>
          <w:kern w:val="0"/>
          <w:highlight w:val="none"/>
        </w:rPr>
        <w:t>。凝结水在空气相对湿度高于</w:t>
      </w:r>
      <w:r>
        <w:rPr>
          <w:rFonts w:ascii="Times New Roman" w:hAnsi="Times New Roman" w:eastAsia="宋体" w:cs="Times New Roman"/>
          <w:snapToGrid w:val="0"/>
          <w:color w:val="auto"/>
          <w:kern w:val="0"/>
          <w:highlight w:val="none"/>
        </w:rPr>
        <w:t>20%</w:t>
      </w:r>
      <w:r>
        <w:rPr>
          <w:rFonts w:ascii="宋体" w:hAnsi="宋体" w:eastAsia="宋体" w:cs="Times New Roman"/>
          <w:snapToGrid w:val="0"/>
          <w:color w:val="auto"/>
          <w:kern w:val="0"/>
          <w:highlight w:val="none"/>
        </w:rPr>
        <w:t>时开始产生，空气相对湿度在</w:t>
      </w:r>
      <w:r>
        <w:rPr>
          <w:rFonts w:ascii="Times New Roman" w:hAnsi="Times New Roman" w:eastAsia="宋体" w:cs="Times New Roman"/>
          <w:snapToGrid w:val="0"/>
          <w:color w:val="auto"/>
          <w:kern w:val="0"/>
          <w:highlight w:val="none"/>
        </w:rPr>
        <w:t>40%-60%</w:t>
      </w:r>
      <w:r>
        <w:rPr>
          <w:rFonts w:ascii="宋体" w:hAnsi="宋体" w:eastAsia="宋体" w:cs="Times New Roman"/>
          <w:snapToGrid w:val="0"/>
          <w:color w:val="auto"/>
          <w:kern w:val="0"/>
          <w:highlight w:val="none"/>
        </w:rPr>
        <w:t>之间凝结水发生频率最高和在</w:t>
      </w:r>
      <w:r>
        <w:rPr>
          <w:rFonts w:ascii="Times New Roman" w:hAnsi="Times New Roman" w:eastAsia="宋体" w:cs="Times New Roman"/>
          <w:snapToGrid w:val="0"/>
          <w:color w:val="auto"/>
          <w:kern w:val="0"/>
          <w:highlight w:val="none"/>
        </w:rPr>
        <w:t>75%</w:t>
      </w:r>
      <w:r>
        <w:rPr>
          <w:rFonts w:ascii="宋体" w:hAnsi="宋体" w:eastAsia="宋体" w:cs="Times New Roman"/>
          <w:snapToGrid w:val="0"/>
          <w:color w:val="auto"/>
          <w:kern w:val="0"/>
          <w:highlight w:val="none"/>
        </w:rPr>
        <w:t>凝结水数量最多。</w:t>
      </w:r>
    </w:p>
    <w:p w14:paraId="42C2B351">
      <w:pPr>
        <w:rPr>
          <w:rFonts w:ascii="Times New Roman" w:hAnsi="Times New Roman" w:eastAsia="楷体" w:cs="Times New Roman"/>
          <w:color w:val="auto"/>
          <w:highlight w:val="none"/>
        </w:rPr>
      </w:pPr>
      <w:r>
        <w:rPr>
          <w:rFonts w:ascii="Times New Roman" w:hAnsi="Times New Roman" w:eastAsia="楷体" w:cs="Times New Roman"/>
          <w:color w:val="auto"/>
          <w:highlight w:val="none"/>
        </w:rPr>
        <w:t>2.2.</w:t>
      </w:r>
      <w:r>
        <w:rPr>
          <w:rFonts w:hint="eastAsia" w:ascii="Times New Roman" w:hAnsi="Times New Roman" w:eastAsia="楷体" w:cs="Times New Roman"/>
          <w:color w:val="auto"/>
          <w:highlight w:val="none"/>
        </w:rPr>
        <w:t>2</w:t>
      </w:r>
      <w:r>
        <w:rPr>
          <w:rFonts w:ascii="Times New Roman" w:hAnsi="Times New Roman" w:eastAsia="楷体" w:cs="Times New Roman"/>
          <w:color w:val="auto"/>
          <w:highlight w:val="none"/>
        </w:rPr>
        <w:t xml:space="preserve"> 热力与动力驱动因子</w:t>
      </w:r>
    </w:p>
    <w:p w14:paraId="4265F056">
      <w:pPr>
        <w:widowControl/>
        <w:ind w:firstLine="420" w:firstLineChars="200"/>
        <w:rPr>
          <w:rFonts w:hint="eastAsia" w:ascii="宋体" w:hAnsi="宋体" w:eastAsia="宋体" w:cs="Times New Roman"/>
          <w:color w:val="auto"/>
          <w:highlight w:val="none"/>
        </w:rPr>
      </w:pPr>
      <w:r>
        <w:rPr>
          <w:rFonts w:ascii="Times New Roman" w:hAnsi="Times New Roman" w:eastAsia="宋体" w:cs="Times New Roman"/>
          <w:snapToGrid w:val="0"/>
          <w:color w:val="auto"/>
          <w:kern w:val="0"/>
          <w:highlight w:val="none"/>
        </w:rPr>
        <w:t>图6</w:t>
      </w:r>
      <w:r>
        <w:rPr>
          <w:rFonts w:ascii="Times New Roman" w:hAnsi="Times New Roman" w:cs="Times New Roman"/>
          <w:color w:val="auto"/>
          <w:szCs w:val="21"/>
          <w:highlight w:val="none"/>
        </w:rPr>
        <w:t>（</w:t>
      </w:r>
      <w:r>
        <w:rPr>
          <w:rFonts w:ascii="Times New Roman" w:hAnsi="Times New Roman" w:eastAsia="宋体" w:cs="Times New Roman"/>
          <w:snapToGrid w:val="0"/>
          <w:color w:val="auto"/>
          <w:kern w:val="0"/>
          <w:highlight w:val="none"/>
        </w:rPr>
        <w:t>a</w:t>
      </w:r>
      <w:r>
        <w:rPr>
          <w:rFonts w:ascii="Times New Roman" w:hAnsi="Times New Roman" w:cs="Times New Roman"/>
          <w:color w:val="auto"/>
          <w:szCs w:val="21"/>
          <w:highlight w:val="none"/>
        </w:rPr>
        <w:t>）</w:t>
      </w:r>
      <w:r>
        <w:rPr>
          <w:rFonts w:ascii="Times New Roman" w:hAnsi="Times New Roman" w:eastAsia="宋体" w:cs="Times New Roman"/>
          <w:color w:val="auto"/>
          <w:szCs w:val="21"/>
          <w:highlight w:val="none"/>
        </w:rPr>
        <w:t>—</w:t>
      </w:r>
      <w:r>
        <w:rPr>
          <w:rFonts w:hint="eastAsia" w:ascii="Times New Roman" w:hAnsi="Times New Roman" w:eastAsia="宋体" w:cs="Times New Roman"/>
          <w:snapToGrid w:val="0"/>
          <w:color w:val="auto"/>
          <w:kern w:val="0"/>
          <w:highlight w:val="none"/>
        </w:rPr>
        <w:t>图6</w:t>
      </w:r>
      <w:r>
        <w:rPr>
          <w:rFonts w:ascii="Times New Roman" w:hAnsi="Times New Roman" w:cs="Times New Roman"/>
          <w:color w:val="auto"/>
          <w:szCs w:val="21"/>
          <w:highlight w:val="none"/>
        </w:rPr>
        <w:t>（</w:t>
      </w:r>
      <w:r>
        <w:rPr>
          <w:rFonts w:ascii="Times New Roman" w:hAnsi="Times New Roman" w:eastAsia="宋体" w:cs="Times New Roman"/>
          <w:snapToGrid w:val="0"/>
          <w:color w:val="auto"/>
          <w:kern w:val="0"/>
          <w:highlight w:val="none"/>
        </w:rPr>
        <w:t>c</w:t>
      </w:r>
      <w:r>
        <w:rPr>
          <w:rFonts w:ascii="Times New Roman" w:hAnsi="Times New Roman" w:cs="Times New Roman"/>
          <w:color w:val="auto"/>
          <w:szCs w:val="21"/>
          <w:highlight w:val="none"/>
        </w:rPr>
        <w:t>）</w:t>
      </w:r>
      <w:r>
        <w:rPr>
          <w:rFonts w:ascii="Times New Roman" w:hAnsi="Times New Roman" w:eastAsia="宋体" w:cs="Times New Roman"/>
          <w:snapToGrid w:val="0"/>
          <w:color w:val="auto"/>
          <w:kern w:val="0"/>
          <w:highlight w:val="none"/>
        </w:rPr>
        <w:t>为凝结</w:t>
      </w:r>
      <w:r>
        <w:rPr>
          <w:rFonts w:ascii="Times New Roman" w:hAnsi="Times New Roman" w:eastAsia="宋体" w:cs="Times New Roman"/>
          <w:snapToGrid w:val="0"/>
          <w:color w:val="auto"/>
          <w:kern w:val="0"/>
          <w:highlight w:val="none"/>
        </w:rPr>
        <w:t>量与地表-空气温差（</w:t>
      </w:r>
      <w:r>
        <w:rPr>
          <w:rFonts w:ascii="Times New Roman" w:hAnsi="Times New Roman" w:eastAsia="宋体" w:cs="Times New Roman"/>
          <w:i/>
          <w:iCs/>
          <w:snapToGrid w:val="0"/>
          <w:color w:val="auto"/>
          <w:kern w:val="0"/>
          <w:highlight w:val="none"/>
        </w:rPr>
        <w:t>T</w:t>
      </w:r>
      <w:r>
        <w:rPr>
          <w:rFonts w:ascii="Times New Roman" w:hAnsi="Times New Roman" w:eastAsia="宋体" w:cs="Times New Roman"/>
          <w:i/>
          <w:iCs/>
          <w:snapToGrid w:val="0"/>
          <w:color w:val="auto"/>
          <w:kern w:val="0"/>
          <w:highlight w:val="none"/>
          <w:vertAlign w:val="subscript"/>
        </w:rPr>
        <w:t>s</w:t>
      </w:r>
      <w:r>
        <w:rPr>
          <w:rFonts w:ascii="Times New Roman" w:hAnsi="Times New Roman" w:eastAsia="宋体" w:cs="Times New Roman"/>
          <w:snapToGrid w:val="0"/>
          <w:color w:val="auto"/>
          <w:kern w:val="0"/>
          <w:highlight w:val="none"/>
        </w:rPr>
        <w:t>-</w:t>
      </w:r>
      <w:r>
        <w:rPr>
          <w:rFonts w:ascii="Times New Roman" w:hAnsi="Times New Roman" w:eastAsia="宋体" w:cs="Times New Roman"/>
          <w:i/>
          <w:iCs/>
          <w:snapToGrid w:val="0"/>
          <w:color w:val="auto"/>
          <w:kern w:val="0"/>
          <w:highlight w:val="none"/>
        </w:rPr>
        <w:t>T</w:t>
      </w:r>
      <w:r>
        <w:rPr>
          <w:rFonts w:ascii="Times New Roman" w:hAnsi="Times New Roman" w:eastAsia="宋体" w:cs="Times New Roman"/>
          <w:i/>
          <w:iCs/>
          <w:snapToGrid w:val="0"/>
          <w:color w:val="auto"/>
          <w:kern w:val="0"/>
          <w:highlight w:val="none"/>
          <w:vertAlign w:val="subscript"/>
        </w:rPr>
        <w:t>a</w:t>
      </w:r>
      <w:r>
        <w:rPr>
          <w:rFonts w:ascii="Times New Roman" w:hAnsi="Times New Roman" w:eastAsia="宋体" w:cs="Times New Roman"/>
          <w:snapToGrid w:val="0"/>
          <w:color w:val="auto"/>
          <w:kern w:val="0"/>
          <w:highlight w:val="none"/>
        </w:rPr>
        <w:t>）的关系，结果表明二者呈指数关系（</w:t>
      </w:r>
      <w:r>
        <w:rPr>
          <w:rFonts w:ascii="Times New Roman" w:hAnsi="Times New Roman" w:eastAsia="宋体" w:cs="Times New Roman"/>
          <w:i/>
          <w:iCs/>
          <w:snapToGrid w:val="0"/>
          <w:color w:val="auto"/>
          <w:kern w:val="0"/>
          <w:highlight w:val="none"/>
        </w:rPr>
        <w:t>R</w:t>
      </w:r>
      <w:r>
        <w:rPr>
          <w:rFonts w:ascii="Times New Roman" w:hAnsi="Times New Roman" w:eastAsia="宋体" w:cs="Times New Roman"/>
          <w:i/>
          <w:iCs/>
          <w:snapToGrid w:val="0"/>
          <w:color w:val="auto"/>
          <w:kern w:val="0"/>
          <w:highlight w:val="none"/>
          <w:vertAlign w:val="superscript"/>
        </w:rPr>
        <w:t>2</w:t>
      </w:r>
      <w:r>
        <w:rPr>
          <w:rFonts w:ascii="Times New Roman" w:hAnsi="Times New Roman" w:eastAsia="宋体" w:cs="Times New Roman"/>
          <w:snapToGrid w:val="0"/>
          <w:color w:val="auto"/>
          <w:kern w:val="0"/>
          <w:highlight w:val="none"/>
        </w:rPr>
        <w:t>=0.546～0.720，</w:t>
      </w:r>
      <w:r>
        <w:rPr>
          <w:rFonts w:ascii="Times New Roman" w:hAnsi="Times New Roman" w:eastAsia="宋体" w:cs="Times New Roman"/>
          <w:i/>
          <w:iCs/>
          <w:snapToGrid w:val="0"/>
          <w:color w:val="auto"/>
          <w:kern w:val="0"/>
          <w:highlight w:val="none"/>
        </w:rPr>
        <w:t>P</w:t>
      </w:r>
      <w:r>
        <w:rPr>
          <w:rFonts w:ascii="Times New Roman" w:hAnsi="Times New Roman" w:eastAsia="宋体" w:cs="Times New Roman"/>
          <w:snapToGrid w:val="0"/>
          <w:color w:val="auto"/>
          <w:kern w:val="0"/>
          <w:highlight w:val="none"/>
        </w:rPr>
        <w:t>&lt;0.05），在所有单因子中拟合优度较高。</w:t>
      </w:r>
      <w:r>
        <w:rPr>
          <w:rFonts w:hint="eastAsia" w:ascii="Times New Roman" w:hAnsi="Times New Roman" w:eastAsia="宋体" w:cs="Times New Roman"/>
          <w:snapToGrid w:val="0"/>
          <w:color w:val="auto"/>
          <w:kern w:val="0"/>
          <w:highlight w:val="none"/>
        </w:rPr>
        <w:t>其中</w:t>
      </w:r>
      <w:r>
        <w:rPr>
          <w:rFonts w:ascii="Times New Roman" w:hAnsi="Times New Roman" w:eastAsia="宋体" w:cs="Times New Roman"/>
          <w:i/>
          <w:iCs/>
          <w:snapToGrid w:val="0"/>
          <w:color w:val="auto"/>
          <w:kern w:val="0"/>
          <w:highlight w:val="none"/>
        </w:rPr>
        <w:t>T</w:t>
      </w:r>
      <w:r>
        <w:rPr>
          <w:rFonts w:ascii="Times New Roman" w:hAnsi="Times New Roman" w:eastAsia="宋体" w:cs="Times New Roman"/>
          <w:i/>
          <w:iCs/>
          <w:snapToGrid w:val="0"/>
          <w:color w:val="auto"/>
          <w:kern w:val="0"/>
          <w:highlight w:val="none"/>
          <w:vertAlign w:val="subscript"/>
        </w:rPr>
        <w:t>s</w:t>
      </w:r>
      <w:r>
        <w:rPr>
          <w:rFonts w:ascii="Times New Roman" w:hAnsi="Times New Roman" w:eastAsia="宋体" w:cs="Times New Roman"/>
          <w:snapToGrid w:val="0"/>
          <w:color w:val="auto"/>
          <w:kern w:val="0"/>
          <w:highlight w:val="none"/>
        </w:rPr>
        <w:t>-</w:t>
      </w:r>
      <w:r>
        <w:rPr>
          <w:rFonts w:ascii="Times New Roman" w:hAnsi="Times New Roman" w:eastAsia="宋体" w:cs="Times New Roman"/>
          <w:i/>
          <w:iCs/>
          <w:snapToGrid w:val="0"/>
          <w:color w:val="auto"/>
          <w:kern w:val="0"/>
          <w:highlight w:val="none"/>
        </w:rPr>
        <w:t>T</w:t>
      </w:r>
      <w:r>
        <w:rPr>
          <w:rFonts w:ascii="Times New Roman" w:hAnsi="Times New Roman" w:eastAsia="宋体" w:cs="Times New Roman"/>
          <w:i/>
          <w:iCs/>
          <w:snapToGrid w:val="0"/>
          <w:color w:val="auto"/>
          <w:kern w:val="0"/>
          <w:highlight w:val="none"/>
          <w:vertAlign w:val="subscript"/>
        </w:rPr>
        <w:t>a</w:t>
      </w:r>
      <w:r>
        <w:rPr>
          <w:rFonts w:ascii="Times New Roman" w:hAnsi="Times New Roman" w:eastAsia="宋体" w:cs="Times New Roman"/>
          <w:snapToGrid w:val="0"/>
          <w:color w:val="auto"/>
          <w:kern w:val="0"/>
          <w:highlight w:val="none"/>
        </w:rPr>
        <w:t>反映地表或膜面相对于近地层空气的热力状态，并非凝结发生的直接判据；凝结发生的直接热力条件是凝结面温度达到或低于露点温度（</w:t>
      </w:r>
      <w:r>
        <w:rPr>
          <w:rFonts w:ascii="Times New Roman" w:hAnsi="Times New Roman" w:eastAsia="宋体" w:cs="Times New Roman"/>
          <w:i/>
          <w:iCs/>
          <w:snapToGrid w:val="0"/>
          <w:color w:val="auto"/>
          <w:kern w:val="0"/>
          <w:highlight w:val="none"/>
        </w:rPr>
        <w:t>T</w:t>
      </w:r>
      <w:r>
        <w:rPr>
          <w:rFonts w:ascii="Times New Roman" w:hAnsi="Times New Roman" w:eastAsia="宋体" w:cs="Times New Roman"/>
          <w:i/>
          <w:iCs/>
          <w:snapToGrid w:val="0"/>
          <w:color w:val="auto"/>
          <w:kern w:val="0"/>
          <w:highlight w:val="none"/>
          <w:vertAlign w:val="subscript"/>
        </w:rPr>
        <w:t>s</w:t>
      </w:r>
      <w:r>
        <w:rPr>
          <w:rFonts w:ascii="Times New Roman" w:hAnsi="Times New Roman" w:eastAsia="宋体" w:cs="Times New Roman"/>
          <w:snapToGrid w:val="0"/>
          <w:color w:val="auto"/>
          <w:kern w:val="0"/>
          <w:highlight w:val="none"/>
        </w:rPr>
        <w:t>-</w:t>
      </w:r>
      <w:r>
        <w:rPr>
          <w:rFonts w:ascii="Times New Roman" w:hAnsi="Times New Roman" w:eastAsia="宋体" w:cs="Times New Roman"/>
          <w:i/>
          <w:iCs/>
          <w:snapToGrid w:val="0"/>
          <w:color w:val="auto"/>
          <w:kern w:val="0"/>
          <w:highlight w:val="none"/>
        </w:rPr>
        <w:t>T</w:t>
      </w:r>
      <w:r>
        <w:rPr>
          <w:rFonts w:ascii="Times New Roman" w:hAnsi="Times New Roman" w:eastAsia="宋体" w:cs="Times New Roman"/>
          <w:i/>
          <w:iCs/>
          <w:snapToGrid w:val="0"/>
          <w:color w:val="auto"/>
          <w:kern w:val="0"/>
          <w:highlight w:val="none"/>
          <w:vertAlign w:val="subscript"/>
        </w:rPr>
        <w:t>d</w:t>
      </w:r>
      <w:r>
        <w:rPr>
          <w:rFonts w:ascii="Times New Roman" w:hAnsi="Times New Roman" w:eastAsia="宋体" w:cs="Times New Roman"/>
          <w:snapToGrid w:val="0"/>
          <w:color w:val="auto"/>
          <w:kern w:val="0"/>
          <w:highlight w:val="none"/>
        </w:rPr>
        <w:t>≤0）。因此，</w:t>
      </w:r>
      <w:r>
        <w:rPr>
          <w:rFonts w:ascii="Times New Roman" w:hAnsi="Times New Roman" w:eastAsia="宋体" w:cs="Times New Roman"/>
          <w:i/>
          <w:iCs/>
          <w:snapToGrid w:val="0"/>
          <w:color w:val="auto"/>
          <w:kern w:val="0"/>
          <w:highlight w:val="none"/>
        </w:rPr>
        <w:t>T</w:t>
      </w:r>
      <w:r>
        <w:rPr>
          <w:rFonts w:ascii="Times New Roman" w:hAnsi="Times New Roman" w:eastAsia="宋体" w:cs="Times New Roman"/>
          <w:i/>
          <w:iCs/>
          <w:snapToGrid w:val="0"/>
          <w:color w:val="auto"/>
          <w:kern w:val="0"/>
          <w:highlight w:val="none"/>
          <w:vertAlign w:val="subscript"/>
        </w:rPr>
        <w:t>s</w:t>
      </w:r>
      <w:r>
        <w:rPr>
          <w:rFonts w:ascii="Times New Roman" w:hAnsi="Times New Roman" w:eastAsia="宋体" w:cs="Times New Roman"/>
          <w:snapToGrid w:val="0"/>
          <w:color w:val="auto"/>
          <w:kern w:val="0"/>
          <w:highlight w:val="none"/>
        </w:rPr>
        <w:t>-</w:t>
      </w:r>
      <w:r>
        <w:rPr>
          <w:rFonts w:ascii="Times New Roman" w:hAnsi="Times New Roman" w:eastAsia="宋体" w:cs="Times New Roman"/>
          <w:i/>
          <w:iCs/>
          <w:snapToGrid w:val="0"/>
          <w:color w:val="auto"/>
          <w:kern w:val="0"/>
          <w:highlight w:val="none"/>
        </w:rPr>
        <w:t>T</w:t>
      </w:r>
      <w:r>
        <w:rPr>
          <w:rFonts w:ascii="Times New Roman" w:hAnsi="Times New Roman" w:eastAsia="宋体" w:cs="Times New Roman"/>
          <w:i/>
          <w:iCs/>
          <w:snapToGrid w:val="0"/>
          <w:color w:val="auto"/>
          <w:kern w:val="0"/>
          <w:highlight w:val="none"/>
          <w:vertAlign w:val="subscript"/>
        </w:rPr>
        <w:t>a</w:t>
      </w:r>
      <w:r>
        <w:rPr>
          <w:rFonts w:ascii="Times New Roman" w:hAnsi="Times New Roman" w:eastAsia="宋体" w:cs="Times New Roman"/>
          <w:snapToGrid w:val="0"/>
          <w:color w:val="auto"/>
          <w:kern w:val="0"/>
          <w:highlight w:val="none"/>
        </w:rPr>
        <w:t>与凝结量之间的相关关系更多反映夜间地表冷却、空气湿度变化和水汽供应的共同影响，而不宜简单解释为温差增大对凝结过程的直接促进作用</w:t>
      </w:r>
      <w:r>
        <w:rPr>
          <w:rFonts w:hint="eastAsia" w:ascii="Times New Roman" w:hAnsi="Times New Roman" w:eastAsia="宋体" w:cs="Times New Roman"/>
          <w:snapToGrid w:val="0"/>
          <w:color w:val="auto"/>
          <w:kern w:val="0"/>
          <w:highlight w:val="none"/>
        </w:rPr>
        <w:t>。</w:t>
      </w:r>
    </w:p>
    <w:p w14:paraId="5BC1D8C6">
      <w:pPr>
        <w:widowControl/>
        <w:ind w:firstLine="42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由</w:t>
      </w:r>
      <w:r>
        <w:rPr>
          <w:rFonts w:ascii="Times New Roman" w:hAnsi="Times New Roman" w:eastAsia="宋体" w:cs="Times New Roman"/>
          <w:snapToGrid w:val="0"/>
          <w:color w:val="auto"/>
          <w:kern w:val="0"/>
          <w:highlight w:val="none"/>
        </w:rPr>
        <w:t>图6</w:t>
      </w:r>
      <w:r>
        <w:rPr>
          <w:rFonts w:ascii="Times New Roman" w:hAnsi="Times New Roman" w:cs="Times New Roman"/>
          <w:color w:val="auto"/>
          <w:szCs w:val="21"/>
          <w:highlight w:val="none"/>
        </w:rPr>
        <w:t>（</w:t>
      </w:r>
      <w:r>
        <w:rPr>
          <w:rFonts w:hint="eastAsia" w:ascii="Times New Roman" w:hAnsi="Times New Roman" w:eastAsia="宋体" w:cs="Times New Roman"/>
          <w:snapToGrid w:val="0"/>
          <w:color w:val="auto"/>
          <w:kern w:val="0"/>
          <w:highlight w:val="none"/>
        </w:rPr>
        <w:t>d</w:t>
      </w:r>
      <w:r>
        <w:rPr>
          <w:rFonts w:ascii="Times New Roman" w:hAnsi="Times New Roman" w:cs="Times New Roman"/>
          <w:color w:val="auto"/>
          <w:szCs w:val="21"/>
          <w:highlight w:val="none"/>
        </w:rPr>
        <w:t>）</w:t>
      </w:r>
      <w:r>
        <w:rPr>
          <w:rFonts w:ascii="Times New Roman" w:hAnsi="Times New Roman" w:eastAsia="宋体" w:cs="Times New Roman"/>
          <w:color w:val="auto"/>
          <w:szCs w:val="21"/>
          <w:highlight w:val="none"/>
        </w:rPr>
        <w:t>—</w:t>
      </w:r>
      <w:r>
        <w:rPr>
          <w:rFonts w:hint="eastAsia" w:ascii="Times New Roman" w:hAnsi="Times New Roman" w:eastAsia="宋体" w:cs="Times New Roman"/>
          <w:snapToGrid w:val="0"/>
          <w:color w:val="auto"/>
          <w:kern w:val="0"/>
          <w:highlight w:val="none"/>
        </w:rPr>
        <w:t>图6</w:t>
      </w:r>
      <w:r>
        <w:rPr>
          <w:rFonts w:ascii="Times New Roman" w:hAnsi="Times New Roman" w:cs="Times New Roman"/>
          <w:color w:val="auto"/>
          <w:szCs w:val="21"/>
          <w:highlight w:val="none"/>
        </w:rPr>
        <w:t>（</w:t>
      </w:r>
      <w:r>
        <w:rPr>
          <w:rFonts w:hint="eastAsia" w:ascii="Times New Roman" w:hAnsi="Times New Roman" w:eastAsia="宋体" w:cs="Times New Roman"/>
          <w:snapToGrid w:val="0"/>
          <w:color w:val="auto"/>
          <w:kern w:val="0"/>
          <w:highlight w:val="none"/>
        </w:rPr>
        <w:t>f</w:t>
      </w:r>
      <w:r>
        <w:rPr>
          <w:rFonts w:ascii="Times New Roman" w:hAnsi="Times New Roman" w:cs="Times New Roman"/>
          <w:color w:val="auto"/>
          <w:szCs w:val="21"/>
          <w:highlight w:val="none"/>
        </w:rPr>
        <w:t>）</w:t>
      </w:r>
      <w:r>
        <w:rPr>
          <w:rFonts w:ascii="Times New Roman" w:hAnsi="Times New Roman" w:eastAsia="宋体" w:cs="Times New Roman"/>
          <w:color w:val="auto"/>
          <w:highlight w:val="none"/>
        </w:rPr>
        <w:t>可</w:t>
      </w:r>
      <w:r>
        <w:rPr>
          <w:rFonts w:ascii="Times New Roman" w:hAnsi="Times New Roman" w:eastAsia="宋体" w:cs="Times New Roman"/>
          <w:color w:val="auto"/>
          <w:highlight w:val="none"/>
        </w:rPr>
        <w:t>知风速与棉田凝结水量呈一种微弱的负相关线性关系（</w:t>
      </w:r>
      <w:r>
        <w:rPr>
          <w:rFonts w:ascii="Times New Roman" w:hAnsi="Times New Roman" w:eastAsia="宋体" w:cs="Times New Roman"/>
          <w:i/>
          <w:iCs/>
          <w:color w:val="auto"/>
          <w:highlight w:val="none"/>
        </w:rPr>
        <w:t>R</w:t>
      </w:r>
      <w:r>
        <w:rPr>
          <w:rFonts w:ascii="Times New Roman" w:hAnsi="Times New Roman" w:eastAsia="宋体" w:cs="Times New Roman"/>
          <w:color w:val="auto"/>
          <w:highlight w:val="none"/>
          <w:vertAlign w:val="superscript"/>
        </w:rPr>
        <w:t>2</w:t>
      </w:r>
      <w:r>
        <w:rPr>
          <w:rFonts w:ascii="Times New Roman" w:hAnsi="Times New Roman" w:eastAsia="宋体" w:cs="Times New Roman"/>
          <w:color w:val="auto"/>
          <w:highlight w:val="none"/>
        </w:rPr>
        <w:t>仅为0.0023~0.0034），说明风速并非凝结水量的直接决定因素，而是通过影响湍流交换间接调节凝结过程。1~2</w:t>
      </w:r>
      <w:r>
        <w:rPr>
          <w:rFonts w:hint="eastAsia" w:ascii="Times New Roman" w:hAnsi="Times New Roman" w:eastAsia="宋体" w:cs="Times New Roman"/>
          <w:color w:val="auto"/>
          <w:highlight w:val="none"/>
        </w:rPr>
        <w:t xml:space="preserve"> </w:t>
      </w:r>
      <w:r>
        <w:rPr>
          <w:rFonts w:ascii="Times New Roman" w:hAnsi="Times New Roman" w:eastAsia="宋体" w:cs="Times New Roman"/>
          <w:color w:val="auto"/>
          <w:highlight w:val="none"/>
        </w:rPr>
        <w:t>m·s</w:t>
      </w:r>
      <w:r>
        <w:rPr>
          <w:rFonts w:ascii="Times New Roman" w:hAnsi="Times New Roman" w:eastAsia="宋体" w:cs="Times New Roman"/>
          <w:color w:val="auto"/>
          <w:highlight w:val="none"/>
          <w:vertAlign w:val="superscript"/>
        </w:rPr>
        <w:t>-1</w:t>
      </w:r>
      <w:r>
        <w:rPr>
          <w:rFonts w:ascii="Times New Roman" w:hAnsi="Times New Roman" w:eastAsia="宋体" w:cs="Times New Roman"/>
          <w:color w:val="auto"/>
          <w:highlight w:val="none"/>
        </w:rPr>
        <w:t>的微风会加速水汽扩散使近地面的水汽得到补充，为凝结水的形成提供有利条件。当风速超过3</w:t>
      </w:r>
      <w:r>
        <w:rPr>
          <w:rFonts w:hint="eastAsia" w:ascii="Times New Roman" w:hAnsi="Times New Roman" w:eastAsia="宋体" w:cs="Times New Roman"/>
          <w:color w:val="auto"/>
          <w:highlight w:val="none"/>
        </w:rPr>
        <w:t xml:space="preserve"> </w:t>
      </w:r>
      <w:r>
        <w:rPr>
          <w:rFonts w:ascii="Times New Roman" w:hAnsi="Times New Roman" w:eastAsia="宋体" w:cs="Times New Roman"/>
          <w:color w:val="auto"/>
          <w:highlight w:val="none"/>
        </w:rPr>
        <w:t>m·s</w:t>
      </w:r>
      <w:r>
        <w:rPr>
          <w:rFonts w:ascii="Times New Roman" w:hAnsi="Times New Roman" w:eastAsia="宋体" w:cs="Times New Roman"/>
          <w:color w:val="auto"/>
          <w:highlight w:val="none"/>
          <w:vertAlign w:val="superscript"/>
        </w:rPr>
        <w:t>-1</w:t>
      </w:r>
      <w:r>
        <w:rPr>
          <w:rFonts w:ascii="Times New Roman" w:hAnsi="Times New Roman" w:eastAsia="宋体" w:cs="Times New Roman"/>
          <w:color w:val="auto"/>
          <w:highlight w:val="none"/>
        </w:rPr>
        <w:t>后，凝结水发生频率明显降低，凝结量也在减小。风速超过4</w:t>
      </w:r>
      <w:r>
        <w:rPr>
          <w:rFonts w:hint="eastAsia" w:ascii="Times New Roman" w:hAnsi="Times New Roman" w:eastAsia="宋体" w:cs="Times New Roman"/>
          <w:color w:val="auto"/>
          <w:highlight w:val="none"/>
        </w:rPr>
        <w:t xml:space="preserve"> </w:t>
      </w:r>
      <w:r>
        <w:rPr>
          <w:rFonts w:ascii="Times New Roman" w:hAnsi="Times New Roman" w:eastAsia="宋体" w:cs="Times New Roman"/>
          <w:color w:val="auto"/>
          <w:highlight w:val="none"/>
        </w:rPr>
        <w:t>m·s</w:t>
      </w:r>
      <w:r>
        <w:rPr>
          <w:rFonts w:ascii="Times New Roman" w:hAnsi="Times New Roman" w:eastAsia="宋体" w:cs="Times New Roman"/>
          <w:color w:val="auto"/>
          <w:highlight w:val="none"/>
          <w:vertAlign w:val="superscript"/>
        </w:rPr>
        <w:t>-1</w:t>
      </w:r>
      <w:r>
        <w:rPr>
          <w:rFonts w:hint="eastAsia" w:ascii="Times New Roman" w:hAnsi="Times New Roman" w:eastAsia="宋体" w:cs="Times New Roman"/>
          <w:color w:val="auto"/>
          <w:highlight w:val="none"/>
        </w:rPr>
        <w:t>后，</w:t>
      </w:r>
      <w:r>
        <w:rPr>
          <w:rFonts w:ascii="Times New Roman" w:hAnsi="Times New Roman" w:eastAsia="宋体" w:cs="Times New Roman"/>
          <w:color w:val="auto"/>
          <w:highlight w:val="none"/>
        </w:rPr>
        <w:t>几乎没有凝结水产生。</w:t>
      </w:r>
    </w:p>
    <w:p w14:paraId="36A61359">
      <w:pPr>
        <w:widowControl/>
        <w:rPr>
          <w:rFonts w:hint="eastAsia" w:ascii="宋体" w:hAnsi="宋体" w:eastAsia="宋体"/>
          <w:color w:val="auto"/>
          <w:highlight w:val="none"/>
        </w:rPr>
      </w:pPr>
      <w:r>
        <w:rPr>
          <w:rFonts w:ascii="宋体" w:hAnsi="宋体" w:eastAsia="宋体"/>
          <w:color w:val="auto"/>
          <w:highlight w:val="none"/>
        </w:rPr>
        <w:drawing>
          <wp:inline distT="0" distB="0" distL="0" distR="0">
            <wp:extent cx="1792605" cy="131826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793061" cy="1318483"/>
                    </a:xfrm>
                    <a:prstGeom prst="rect">
                      <a:avLst/>
                    </a:prstGeom>
                    <a:noFill/>
                    <a:ln>
                      <a:noFill/>
                    </a:ln>
                  </pic:spPr>
                </pic:pic>
              </a:graphicData>
            </a:graphic>
          </wp:inline>
        </w:drawing>
      </w:r>
      <w:r>
        <w:rPr>
          <w:rFonts w:ascii="宋体" w:hAnsi="宋体" w:eastAsia="宋体"/>
          <w:color w:val="auto"/>
          <w:highlight w:val="none"/>
        </w:rPr>
        <w:drawing>
          <wp:inline distT="0" distB="0" distL="0" distR="0">
            <wp:extent cx="1738630" cy="127825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39180" cy="1278863"/>
                    </a:xfrm>
                    <a:prstGeom prst="rect">
                      <a:avLst/>
                    </a:prstGeom>
                    <a:noFill/>
                    <a:ln>
                      <a:noFill/>
                    </a:ln>
                  </pic:spPr>
                </pic:pic>
              </a:graphicData>
            </a:graphic>
          </wp:inline>
        </w:drawing>
      </w:r>
      <w:r>
        <w:rPr>
          <w:rFonts w:ascii="宋体" w:hAnsi="宋体" w:eastAsia="宋体"/>
          <w:color w:val="auto"/>
          <w:highlight w:val="none"/>
        </w:rPr>
        <w:drawing>
          <wp:inline distT="0" distB="0" distL="0" distR="0">
            <wp:extent cx="1696085" cy="124714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696452" cy="1247444"/>
                    </a:xfrm>
                    <a:prstGeom prst="rect">
                      <a:avLst/>
                    </a:prstGeom>
                    <a:noFill/>
                    <a:ln>
                      <a:noFill/>
                    </a:ln>
                  </pic:spPr>
                </pic:pic>
              </a:graphicData>
            </a:graphic>
          </wp:inline>
        </w:drawing>
      </w:r>
    </w:p>
    <w:p w14:paraId="1C411AFF">
      <w:pPr>
        <w:widowControl/>
        <w:adjustRightInd w:val="0"/>
        <w:snapToGrid w:val="0"/>
        <w:ind w:firstLine="750" w:firstLineChars="500"/>
        <w:rPr>
          <w:rFonts w:hint="eastAsia" w:ascii="宋体" w:hAnsi="宋体" w:eastAsia="宋体" w:cs="Times New Roman"/>
          <w:color w:val="auto"/>
          <w:kern w:val="0"/>
          <w:sz w:val="15"/>
          <w:szCs w:val="15"/>
          <w:highlight w:val="none"/>
        </w:rPr>
      </w:pPr>
      <w:r>
        <w:rPr>
          <w:rFonts w:ascii="Times New Roman" w:hAnsi="Times New Roman" w:eastAsia="宋体" w:cs="Times New Roman"/>
          <w:color w:val="auto"/>
          <w:sz w:val="15"/>
          <w:szCs w:val="15"/>
          <w:highlight w:val="none"/>
        </w:rPr>
        <w:t>（a）不覆膜处理</w:t>
      </w:r>
      <w:r>
        <w:rPr>
          <w:rFonts w:hint="eastAsia" w:ascii="Times New Roman" w:hAnsi="Times New Roman" w:eastAsia="宋体" w:cs="Times New Roman"/>
          <w:color w:val="auto"/>
          <w:sz w:val="15"/>
          <w:szCs w:val="15"/>
          <w:highlight w:val="none"/>
        </w:rPr>
        <w:t xml:space="preserve">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b</w:t>
      </w:r>
      <w:r>
        <w:rPr>
          <w:rFonts w:ascii="Times New Roman" w:hAnsi="Times New Roman" w:eastAsia="宋体" w:cs="Times New Roman"/>
          <w:color w:val="auto"/>
          <w:sz w:val="15"/>
          <w:szCs w:val="15"/>
          <w:highlight w:val="none"/>
        </w:rPr>
        <w:t>）覆膜1处理</w:t>
      </w:r>
      <w:r>
        <w:rPr>
          <w:rFonts w:hint="eastAsia" w:ascii="Times New Roman" w:hAnsi="Times New Roman" w:eastAsia="宋体" w:cs="Times New Roman"/>
          <w:color w:val="auto"/>
          <w:sz w:val="15"/>
          <w:szCs w:val="15"/>
          <w:highlight w:val="none"/>
        </w:rPr>
        <w:t xml:space="preserve">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c</w:t>
      </w:r>
      <w:r>
        <w:rPr>
          <w:rFonts w:ascii="Times New Roman" w:hAnsi="Times New Roman" w:eastAsia="宋体" w:cs="Times New Roman"/>
          <w:color w:val="auto"/>
          <w:sz w:val="15"/>
          <w:szCs w:val="15"/>
          <w:highlight w:val="none"/>
        </w:rPr>
        <w:t>）覆膜</w:t>
      </w:r>
      <w:r>
        <w:rPr>
          <w:rFonts w:hint="eastAsia" w:ascii="Times New Roman" w:hAnsi="Times New Roman" w:eastAsia="宋体" w:cs="Times New Roman"/>
          <w:color w:val="auto"/>
          <w:sz w:val="15"/>
          <w:szCs w:val="15"/>
          <w:highlight w:val="none"/>
        </w:rPr>
        <w:t>2</w:t>
      </w:r>
      <w:r>
        <w:rPr>
          <w:rFonts w:ascii="Times New Roman" w:hAnsi="Times New Roman" w:eastAsia="宋体" w:cs="Times New Roman"/>
          <w:color w:val="auto"/>
          <w:sz w:val="15"/>
          <w:szCs w:val="15"/>
          <w:highlight w:val="none"/>
        </w:rPr>
        <w:t>处理</w:t>
      </w:r>
    </w:p>
    <w:p w14:paraId="08B55E10">
      <w:pPr>
        <w:widowControl/>
        <w:jc w:val="center"/>
        <w:rPr>
          <w:rFonts w:hint="eastAsia" w:ascii="宋体" w:hAnsi="宋体" w:eastAsia="宋体"/>
          <w:color w:val="auto"/>
          <w:highlight w:val="none"/>
        </w:rPr>
      </w:pPr>
      <w:r>
        <w:rPr>
          <w:rFonts w:hint="eastAsia" w:ascii="宋体" w:hAnsi="宋体" w:eastAsia="宋体"/>
          <w:color w:val="auto"/>
          <w:highlight w:val="none"/>
        </w:rPr>
        <w:drawing>
          <wp:inline distT="0" distB="0" distL="0" distR="0">
            <wp:extent cx="1708150" cy="1256030"/>
            <wp:effectExtent l="0" t="0" r="635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708771" cy="1256501"/>
                    </a:xfrm>
                    <a:prstGeom prst="rect">
                      <a:avLst/>
                    </a:prstGeom>
                    <a:noFill/>
                    <a:ln>
                      <a:noFill/>
                    </a:ln>
                  </pic:spPr>
                </pic:pic>
              </a:graphicData>
            </a:graphic>
          </wp:inline>
        </w:drawing>
      </w:r>
      <w:r>
        <w:rPr>
          <w:rFonts w:hint="eastAsia" w:ascii="宋体" w:hAnsi="宋体" w:eastAsia="宋体"/>
          <w:color w:val="auto"/>
          <w:highlight w:val="none"/>
        </w:rPr>
        <w:drawing>
          <wp:inline distT="0" distB="0" distL="0" distR="0">
            <wp:extent cx="1781175" cy="1309370"/>
            <wp:effectExtent l="0" t="0" r="0" b="508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781447" cy="1309942"/>
                    </a:xfrm>
                    <a:prstGeom prst="rect">
                      <a:avLst/>
                    </a:prstGeom>
                    <a:noFill/>
                    <a:ln>
                      <a:noFill/>
                    </a:ln>
                  </pic:spPr>
                </pic:pic>
              </a:graphicData>
            </a:graphic>
          </wp:inline>
        </w:drawing>
      </w:r>
      <w:r>
        <w:rPr>
          <w:rFonts w:hint="eastAsia" w:ascii="宋体" w:hAnsi="宋体" w:eastAsia="宋体"/>
          <w:color w:val="auto"/>
          <w:highlight w:val="none"/>
        </w:rPr>
        <w:drawing>
          <wp:inline distT="0" distB="0" distL="0" distR="0">
            <wp:extent cx="1729740" cy="1271905"/>
            <wp:effectExtent l="0" t="0" r="3810" b="444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30137" cy="1272212"/>
                    </a:xfrm>
                    <a:prstGeom prst="rect">
                      <a:avLst/>
                    </a:prstGeom>
                    <a:noFill/>
                    <a:ln>
                      <a:noFill/>
                    </a:ln>
                  </pic:spPr>
                </pic:pic>
              </a:graphicData>
            </a:graphic>
          </wp:inline>
        </w:drawing>
      </w:r>
    </w:p>
    <w:p w14:paraId="30E652D9">
      <w:pPr>
        <w:widowControl/>
        <w:adjustRightInd w:val="0"/>
        <w:snapToGrid w:val="0"/>
        <w:ind w:firstLine="750" w:firstLineChars="500"/>
        <w:rPr>
          <w:rFonts w:hint="eastAsia" w:ascii="宋体" w:hAnsi="宋体" w:eastAsia="宋体" w:cs="Times New Roman"/>
          <w:color w:val="auto"/>
          <w:kern w:val="0"/>
          <w:sz w:val="15"/>
          <w:szCs w:val="15"/>
          <w:highlight w:val="none"/>
        </w:rPr>
      </w:pP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d</w:t>
      </w:r>
      <w:r>
        <w:rPr>
          <w:rFonts w:ascii="Times New Roman" w:hAnsi="Times New Roman" w:eastAsia="宋体" w:cs="Times New Roman"/>
          <w:color w:val="auto"/>
          <w:sz w:val="15"/>
          <w:szCs w:val="15"/>
          <w:highlight w:val="none"/>
        </w:rPr>
        <w:t>）不覆膜处理</w:t>
      </w:r>
      <w:r>
        <w:rPr>
          <w:rFonts w:hint="eastAsia" w:ascii="Times New Roman" w:hAnsi="Times New Roman" w:eastAsia="宋体" w:cs="Times New Roman"/>
          <w:color w:val="auto"/>
          <w:sz w:val="15"/>
          <w:szCs w:val="15"/>
          <w:highlight w:val="none"/>
        </w:rPr>
        <w:t xml:space="preserve">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e</w:t>
      </w:r>
      <w:r>
        <w:rPr>
          <w:rFonts w:ascii="Times New Roman" w:hAnsi="Times New Roman" w:eastAsia="宋体" w:cs="Times New Roman"/>
          <w:color w:val="auto"/>
          <w:sz w:val="15"/>
          <w:szCs w:val="15"/>
          <w:highlight w:val="none"/>
        </w:rPr>
        <w:t>）覆膜1处理</w:t>
      </w:r>
      <w:r>
        <w:rPr>
          <w:rFonts w:hint="eastAsia" w:ascii="Times New Roman" w:hAnsi="Times New Roman" w:eastAsia="宋体" w:cs="Times New Roman"/>
          <w:color w:val="auto"/>
          <w:sz w:val="15"/>
          <w:szCs w:val="15"/>
          <w:highlight w:val="none"/>
        </w:rPr>
        <w:t xml:space="preserve">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f</w:t>
      </w:r>
      <w:r>
        <w:rPr>
          <w:rFonts w:ascii="Times New Roman" w:hAnsi="Times New Roman" w:eastAsia="宋体" w:cs="Times New Roman"/>
          <w:color w:val="auto"/>
          <w:sz w:val="15"/>
          <w:szCs w:val="15"/>
          <w:highlight w:val="none"/>
        </w:rPr>
        <w:t>）覆膜</w:t>
      </w:r>
      <w:r>
        <w:rPr>
          <w:rFonts w:hint="eastAsia" w:ascii="Times New Roman" w:hAnsi="Times New Roman" w:eastAsia="宋体" w:cs="Times New Roman"/>
          <w:color w:val="auto"/>
          <w:sz w:val="15"/>
          <w:szCs w:val="15"/>
          <w:highlight w:val="none"/>
        </w:rPr>
        <w:t>2</w:t>
      </w:r>
      <w:r>
        <w:rPr>
          <w:rFonts w:ascii="Times New Roman" w:hAnsi="Times New Roman" w:eastAsia="宋体" w:cs="Times New Roman"/>
          <w:color w:val="auto"/>
          <w:sz w:val="15"/>
          <w:szCs w:val="15"/>
          <w:highlight w:val="none"/>
        </w:rPr>
        <w:t>处理</w:t>
      </w:r>
    </w:p>
    <w:p w14:paraId="0F0509CE">
      <w:pPr>
        <w:adjustRightInd w:val="0"/>
        <w:snapToGrid w:val="0"/>
        <w:ind w:firstLine="482"/>
        <w:jc w:val="center"/>
        <w:rPr>
          <w:rFonts w:ascii="Times New Roman" w:hAnsi="Times New Roman" w:eastAsia="黑体" w:cs="Times New Roman"/>
          <w:bCs/>
          <w:color w:val="auto"/>
          <w:kern w:val="0"/>
          <w:sz w:val="18"/>
          <w:szCs w:val="18"/>
          <w:highlight w:val="none"/>
        </w:rPr>
      </w:pPr>
      <w:r>
        <w:rPr>
          <w:rFonts w:ascii="Times New Roman" w:hAnsi="Times New Roman" w:eastAsia="黑体" w:cs="Times New Roman"/>
          <w:bCs/>
          <w:color w:val="auto"/>
          <w:kern w:val="0"/>
          <w:sz w:val="18"/>
          <w:szCs w:val="18"/>
          <w:highlight w:val="none"/>
        </w:rPr>
        <w:t>图6</w:t>
      </w:r>
      <w:r>
        <w:rPr>
          <w:rFonts w:ascii="Times New Roman" w:hAnsi="Times New Roman" w:eastAsia="黑体" w:cs="Times New Roman"/>
          <w:color w:val="auto"/>
          <w:sz w:val="18"/>
          <w:szCs w:val="18"/>
          <w:highlight w:val="none"/>
        </w:rPr>
        <w:t xml:space="preserve">  </w:t>
      </w:r>
      <w:r>
        <w:rPr>
          <w:rFonts w:ascii="Times New Roman" w:hAnsi="Times New Roman" w:eastAsia="黑体" w:cs="Times New Roman"/>
          <w:bCs/>
          <w:color w:val="auto"/>
          <w:kern w:val="0"/>
          <w:sz w:val="18"/>
          <w:szCs w:val="18"/>
          <w:highlight w:val="none"/>
        </w:rPr>
        <w:t>热力与动力驱动因子与凝结量的相关关系</w:t>
      </w:r>
    </w:p>
    <w:p w14:paraId="4F55D570">
      <w:pPr>
        <w:adjustRightInd w:val="0"/>
        <w:snapToGrid w:val="0"/>
        <w:ind w:firstLine="482"/>
        <w:jc w:val="center"/>
        <w:rPr>
          <w:rFonts w:ascii="Times New Roman" w:hAnsi="Times New Roman" w:eastAsia="黑体" w:cs="Times New Roman"/>
          <w:bCs/>
          <w:color w:val="auto"/>
          <w:sz w:val="18"/>
          <w:szCs w:val="18"/>
          <w:highlight w:val="none"/>
        </w:rPr>
      </w:pPr>
      <w:r>
        <w:rPr>
          <w:rFonts w:hint="eastAsia" w:ascii="Times New Roman" w:hAnsi="Times New Roman" w:eastAsia="黑体" w:cs="Times New Roman"/>
          <w:bCs/>
          <w:color w:val="auto"/>
          <w:sz w:val="18"/>
          <w:szCs w:val="18"/>
          <w:highlight w:val="none"/>
        </w:rPr>
        <w:t>Fig.6</w:t>
      </w:r>
      <w:r>
        <w:rPr>
          <w:rFonts w:ascii="Times New Roman" w:hAnsi="Times New Roman" w:eastAsia="黑体" w:cs="Times New Roman"/>
          <w:color w:val="auto"/>
          <w:sz w:val="18"/>
          <w:szCs w:val="18"/>
          <w:highlight w:val="none"/>
        </w:rPr>
        <w:t xml:space="preserve">  </w:t>
      </w:r>
      <w:r>
        <w:rPr>
          <w:rFonts w:ascii="Times New Roman" w:hAnsi="Times New Roman" w:eastAsia="黑体" w:cs="Times New Roman"/>
          <w:bCs/>
          <w:color w:val="auto"/>
          <w:sz w:val="18"/>
          <w:szCs w:val="18"/>
          <w:highlight w:val="none"/>
        </w:rPr>
        <w:t>Correlation</w:t>
      </w:r>
      <w:r>
        <w:rPr>
          <w:rFonts w:hint="eastAsia" w:ascii="Times New Roman" w:hAnsi="Times New Roman" w:eastAsia="黑体" w:cs="Times New Roman"/>
          <w:bCs/>
          <w:color w:val="auto"/>
          <w:sz w:val="18"/>
          <w:szCs w:val="18"/>
          <w:highlight w:val="none"/>
        </w:rPr>
        <w:t xml:space="preserve"> of</w:t>
      </w:r>
      <w:r>
        <w:rPr>
          <w:rFonts w:ascii="Times New Roman" w:hAnsi="Times New Roman" w:eastAsia="黑体" w:cs="Times New Roman"/>
          <w:bCs/>
          <w:color w:val="auto"/>
          <w:sz w:val="18"/>
          <w:szCs w:val="18"/>
          <w:highlight w:val="none"/>
        </w:rPr>
        <w:t xml:space="preserve"> dew amount with thermal and dynamic driving factors</w:t>
      </w:r>
    </w:p>
    <w:p w14:paraId="2AEA0CF8">
      <w:pPr>
        <w:rPr>
          <w:rFonts w:ascii="Times New Roman" w:hAnsi="Times New Roman" w:eastAsia="楷体" w:cs="Times New Roman"/>
          <w:color w:val="auto"/>
          <w:highlight w:val="none"/>
        </w:rPr>
      </w:pPr>
      <w:r>
        <w:rPr>
          <w:rFonts w:ascii="Times New Roman" w:hAnsi="Times New Roman" w:eastAsia="楷体" w:cs="Times New Roman"/>
          <w:color w:val="auto"/>
          <w:highlight w:val="none"/>
        </w:rPr>
        <w:t>2.2.</w:t>
      </w:r>
      <w:r>
        <w:rPr>
          <w:rFonts w:hint="eastAsia" w:ascii="Times New Roman" w:hAnsi="Times New Roman" w:eastAsia="楷体" w:cs="Times New Roman"/>
          <w:color w:val="auto"/>
          <w:highlight w:val="none"/>
        </w:rPr>
        <w:t>3</w:t>
      </w:r>
      <w:r>
        <w:rPr>
          <w:rFonts w:ascii="Times New Roman" w:hAnsi="Times New Roman" w:eastAsia="楷体" w:cs="Times New Roman"/>
          <w:color w:val="auto"/>
          <w:highlight w:val="none"/>
        </w:rPr>
        <w:t xml:space="preserve"> 风向</w:t>
      </w:r>
    </w:p>
    <w:p w14:paraId="7000536B">
      <w:pPr>
        <w:widowControl/>
        <w:adjustRightInd w:val="0"/>
        <w:snapToGrid w:val="0"/>
        <w:ind w:firstLine="480" w:firstLineChars="200"/>
        <w:rPr>
          <w:rFonts w:ascii="Times New Roman" w:hAnsi="Times New Roman" w:eastAsia="宋体" w:cs="Times New Roman"/>
          <w:color w:val="auto"/>
          <w:spacing w:val="15"/>
          <w:kern w:val="0"/>
          <w:szCs w:val="21"/>
          <w:highlight w:val="none"/>
        </w:rPr>
      </w:pPr>
      <w:r>
        <w:rPr>
          <w:rFonts w:ascii="Times New Roman" w:hAnsi="Times New Roman" w:eastAsia="宋体" w:cs="Times New Roman"/>
          <w:color w:val="auto"/>
          <w:spacing w:val="15"/>
          <w:kern w:val="0"/>
          <w:szCs w:val="21"/>
          <w:highlight w:val="none"/>
        </w:rPr>
        <w:t>图</w:t>
      </w:r>
      <w:r>
        <w:rPr>
          <w:rFonts w:hint="eastAsia" w:ascii="Times New Roman" w:hAnsi="Times New Roman" w:eastAsia="宋体" w:cs="Times New Roman"/>
          <w:color w:val="auto"/>
          <w:highlight w:val="none"/>
        </w:rPr>
        <w:t>7</w:t>
      </w:r>
      <w:r>
        <w:rPr>
          <w:rFonts w:ascii="Times New Roman" w:hAnsi="Times New Roman" w:eastAsia="宋体" w:cs="Times New Roman"/>
          <w:color w:val="auto"/>
          <w:spacing w:val="15"/>
          <w:kern w:val="0"/>
          <w:szCs w:val="21"/>
          <w:highlight w:val="none"/>
        </w:rPr>
        <w:t>为凝结量与风向的相关关系，</w:t>
      </w:r>
      <w:r>
        <w:rPr>
          <w:rFonts w:ascii="Times New Roman" w:hAnsi="Times New Roman" w:eastAsia="宋体" w:cs="Times New Roman"/>
          <w:color w:val="auto"/>
          <w:spacing w:val="15"/>
          <w:kern w:val="0"/>
          <w:szCs w:val="21"/>
          <w:highlight w:val="none"/>
        </w:rPr>
        <w:t>本研究参照文献[37]的方法，以凝结水产生期间风向的平均矢量表征夜间主导风向。</w:t>
      </w:r>
      <w:r>
        <w:rPr>
          <w:rFonts w:ascii="Times New Roman" w:hAnsi="Times New Roman" w:eastAsia="宋体" w:cs="Times New Roman"/>
          <w:color w:val="auto"/>
          <w:spacing w:val="15"/>
          <w:kern w:val="0"/>
          <w:szCs w:val="21"/>
          <w:highlight w:val="none"/>
        </w:rPr>
        <w:t>可以看出，凝结水主要发生在</w:t>
      </w:r>
      <w:r>
        <w:rPr>
          <w:rFonts w:ascii="Times New Roman" w:hAnsi="Times New Roman" w:eastAsia="宋体" w:cs="Times New Roman"/>
          <w:color w:val="auto"/>
          <w:spacing w:val="15"/>
          <w:kern w:val="0"/>
          <w:szCs w:val="21"/>
          <w:highlight w:val="none"/>
        </w:rPr>
        <w:t>120°~270°</w:t>
      </w:r>
      <w:r>
        <w:rPr>
          <w:rFonts w:ascii="Times New Roman" w:hAnsi="Times New Roman" w:eastAsia="宋体" w:cs="Times New Roman"/>
          <w:color w:val="auto"/>
          <w:spacing w:val="15"/>
          <w:kern w:val="0"/>
          <w:szCs w:val="21"/>
          <w:highlight w:val="none"/>
        </w:rPr>
        <w:t>（东南至西南）范围内。从微气象学机制来看，研究区南依天山山脉，北临古尔班通古特沙漠。夜间，受地形热力差异驱动，天山冷空气沿坡面下沉，形成盛行偏南向（120°~270°）的山谷风</w:t>
      </w:r>
      <w:r>
        <w:rPr>
          <w:rFonts w:hint="eastAsia" w:ascii="Times New Roman" w:hAnsi="Times New Roman" w:eastAsia="宋体" w:cs="Times New Roman"/>
          <w:color w:val="auto"/>
          <w:spacing w:val="15"/>
          <w:kern w:val="0"/>
          <w:szCs w:val="21"/>
          <w:highlight w:val="none"/>
        </w:rPr>
        <w:t>。</w:t>
      </w:r>
      <w:r>
        <w:rPr>
          <w:rFonts w:ascii="Times New Roman" w:hAnsi="Times New Roman" w:eastAsia="宋体" w:cs="Times New Roman"/>
          <w:color w:val="auto"/>
          <w:spacing w:val="15"/>
          <w:kern w:val="0"/>
          <w:szCs w:val="21"/>
          <w:highlight w:val="none"/>
        </w:rPr>
        <w:t>以某典型凝结日为例</w:t>
      </w:r>
      <w:r>
        <w:rPr>
          <w:rFonts w:hint="eastAsia" w:ascii="Times New Roman" w:hAnsi="Times New Roman" w:eastAsia="宋体" w:cs="Times New Roman"/>
          <w:color w:val="auto"/>
          <w:spacing w:val="15"/>
          <w:kern w:val="0"/>
          <w:szCs w:val="21"/>
          <w:highlight w:val="none"/>
        </w:rPr>
        <w:t>（见图8）</w:t>
      </w:r>
      <w:r>
        <w:rPr>
          <w:rFonts w:ascii="Times New Roman" w:hAnsi="Times New Roman" w:eastAsia="宋体" w:cs="Times New Roman"/>
          <w:color w:val="auto"/>
          <w:spacing w:val="15"/>
          <w:kern w:val="0"/>
          <w:szCs w:val="21"/>
          <w:highlight w:val="none"/>
        </w:rPr>
        <w:t>，当夜间风向稳定在偏南风</w:t>
      </w:r>
      <w:r>
        <w:rPr>
          <w:rFonts w:ascii="Times New Roman" w:hAnsi="Times New Roman" w:eastAsia="宋体" w:cs="Times New Roman"/>
          <w:color w:val="auto"/>
          <w:spacing w:val="15"/>
          <w:kern w:val="0"/>
          <w:szCs w:val="21"/>
          <w:highlight w:val="none"/>
        </w:rPr>
        <w:t>（120°~270°）</w:t>
      </w:r>
      <w:r>
        <w:rPr>
          <w:rFonts w:ascii="Times New Roman" w:hAnsi="Times New Roman" w:eastAsia="宋体" w:cs="Times New Roman"/>
          <w:color w:val="auto"/>
          <w:spacing w:val="15"/>
          <w:kern w:val="0"/>
          <w:szCs w:val="21"/>
          <w:highlight w:val="none"/>
        </w:rPr>
        <w:t>频段时，往往伴随着气温的显著下降和相对湿度的跃升。这种携带天山山区冷湿特征的下沉气团吹拂过绿洲棉田时，一方面加速了棉田冠层及地表的辐射冷却，使其更迅速地降至露点温度以下；另一方面，微弱的山风</w:t>
      </w:r>
      <w:r>
        <w:rPr>
          <w:rFonts w:ascii="Times New Roman" w:hAnsi="Times New Roman" w:eastAsia="宋体" w:cs="Times New Roman"/>
          <w:color w:val="auto"/>
          <w:spacing w:val="15"/>
          <w:kern w:val="0"/>
          <w:szCs w:val="21"/>
          <w:highlight w:val="none"/>
        </w:rPr>
        <w:t>（1~2 m/s）</w:t>
      </w:r>
      <w:r>
        <w:rPr>
          <w:rFonts w:ascii="Times New Roman" w:hAnsi="Times New Roman" w:eastAsia="宋体" w:cs="Times New Roman"/>
          <w:color w:val="auto"/>
          <w:spacing w:val="15"/>
          <w:kern w:val="0"/>
          <w:szCs w:val="21"/>
          <w:highlight w:val="none"/>
        </w:rPr>
        <w:t>恰好克服了静风条件下的水汽枯竭，为凝结界面源源不断地输送了新鲜水汽。因此，偏南向的山谷风不仅是局地环流的指示因子，更是促成本地区夜间</w:t>
      </w:r>
      <w:r>
        <w:rPr>
          <w:rFonts w:hint="eastAsia" w:ascii="Times New Roman" w:hAnsi="Times New Roman" w:eastAsia="宋体" w:cs="Times New Roman"/>
          <w:color w:val="auto"/>
          <w:spacing w:val="15"/>
          <w:kern w:val="0"/>
          <w:szCs w:val="21"/>
          <w:highlight w:val="none"/>
        </w:rPr>
        <w:t>“</w:t>
      </w:r>
      <w:r>
        <w:rPr>
          <w:rFonts w:ascii="Times New Roman" w:hAnsi="Times New Roman" w:eastAsia="宋体" w:cs="Times New Roman"/>
          <w:color w:val="auto"/>
          <w:spacing w:val="15"/>
          <w:kern w:val="0"/>
          <w:szCs w:val="21"/>
          <w:highlight w:val="none"/>
        </w:rPr>
        <w:t>降温-增湿-湍流输送</w:t>
      </w:r>
      <w:r>
        <w:rPr>
          <w:rFonts w:hint="eastAsia" w:ascii="Times New Roman" w:hAnsi="Times New Roman" w:eastAsia="宋体" w:cs="Times New Roman"/>
          <w:color w:val="auto"/>
          <w:spacing w:val="15"/>
          <w:kern w:val="0"/>
          <w:szCs w:val="21"/>
          <w:highlight w:val="none"/>
        </w:rPr>
        <w:t>”</w:t>
      </w:r>
      <w:r>
        <w:rPr>
          <w:rFonts w:ascii="Times New Roman" w:hAnsi="Times New Roman" w:eastAsia="宋体" w:cs="Times New Roman"/>
          <w:color w:val="auto"/>
          <w:spacing w:val="15"/>
          <w:kern w:val="0"/>
          <w:szCs w:val="21"/>
          <w:highlight w:val="none"/>
        </w:rPr>
        <w:t>三者协同作用、诱发凝结水高发的关键地形气候背景。</w:t>
      </w:r>
    </w:p>
    <w:p w14:paraId="578D1B18">
      <w:pPr>
        <w:widowControl/>
        <w:adjustRightInd w:val="0"/>
        <w:snapToGrid w:val="0"/>
        <w:jc w:val="center"/>
        <w:rPr>
          <w:rFonts w:hint="eastAsia" w:ascii="宋体" w:hAnsi="宋体" w:eastAsia="宋体"/>
          <w:color w:val="auto"/>
          <w:highlight w:val="none"/>
        </w:rPr>
      </w:pPr>
      <w:r>
        <w:rPr>
          <w:rFonts w:ascii="宋体" w:hAnsi="宋体" w:eastAsia="宋体"/>
          <w:color w:val="auto"/>
          <w:highlight w:val="none"/>
        </w:rPr>
        <w:drawing>
          <wp:inline distT="0" distB="0" distL="0" distR="0">
            <wp:extent cx="1737995" cy="1578610"/>
            <wp:effectExtent l="0" t="0" r="0" b="254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1760854" cy="1599083"/>
                    </a:xfrm>
                    <a:prstGeom prst="rect">
                      <a:avLst/>
                    </a:prstGeom>
                    <a:noFill/>
                    <a:ln>
                      <a:noFill/>
                    </a:ln>
                  </pic:spPr>
                </pic:pic>
              </a:graphicData>
            </a:graphic>
          </wp:inline>
        </w:drawing>
      </w:r>
      <w:r>
        <w:rPr>
          <w:rFonts w:hint="eastAsia" w:ascii="宋体" w:hAnsi="宋体" w:eastAsia="宋体"/>
          <w:color w:val="auto"/>
          <w:highlight w:val="none"/>
        </w:rPr>
        <w:drawing>
          <wp:inline distT="0" distB="0" distL="0" distR="0">
            <wp:extent cx="1741805" cy="158178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1785475" cy="1621443"/>
                    </a:xfrm>
                    <a:prstGeom prst="rect">
                      <a:avLst/>
                    </a:prstGeom>
                    <a:noFill/>
                    <a:ln>
                      <a:noFill/>
                    </a:ln>
                  </pic:spPr>
                </pic:pic>
              </a:graphicData>
            </a:graphic>
          </wp:inline>
        </w:drawing>
      </w:r>
      <w:r>
        <w:rPr>
          <w:rFonts w:hint="eastAsia" w:ascii="宋体" w:hAnsi="宋体" w:eastAsia="宋体"/>
          <w:color w:val="auto"/>
          <w:highlight w:val="none"/>
        </w:rPr>
        <w:drawing>
          <wp:inline distT="0" distB="0" distL="0" distR="0">
            <wp:extent cx="1739900" cy="1580515"/>
            <wp:effectExtent l="0" t="0" r="0"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1814525" cy="1647822"/>
                    </a:xfrm>
                    <a:prstGeom prst="rect">
                      <a:avLst/>
                    </a:prstGeom>
                    <a:noFill/>
                    <a:ln>
                      <a:noFill/>
                    </a:ln>
                  </pic:spPr>
                </pic:pic>
              </a:graphicData>
            </a:graphic>
          </wp:inline>
        </w:drawing>
      </w:r>
    </w:p>
    <w:p w14:paraId="5B553EDC">
      <w:pPr>
        <w:widowControl/>
        <w:adjustRightInd w:val="0"/>
        <w:snapToGrid w:val="0"/>
        <w:ind w:firstLine="750" w:firstLineChars="500"/>
        <w:rPr>
          <w:rFonts w:hint="eastAsia" w:ascii="宋体" w:hAnsi="宋体" w:eastAsia="宋体" w:cs="Times New Roman"/>
          <w:color w:val="auto"/>
          <w:kern w:val="0"/>
          <w:sz w:val="15"/>
          <w:szCs w:val="15"/>
          <w:highlight w:val="none"/>
        </w:rPr>
      </w:pPr>
      <w:r>
        <w:rPr>
          <w:rFonts w:ascii="Times New Roman" w:hAnsi="Times New Roman" w:eastAsia="宋体" w:cs="Times New Roman"/>
          <w:color w:val="auto"/>
          <w:sz w:val="15"/>
          <w:szCs w:val="15"/>
          <w:highlight w:val="none"/>
        </w:rPr>
        <w:t>（a）不覆膜处理</w:t>
      </w:r>
      <w:r>
        <w:rPr>
          <w:rFonts w:hint="eastAsia" w:ascii="Times New Roman" w:hAnsi="Times New Roman" w:eastAsia="宋体" w:cs="Times New Roman"/>
          <w:color w:val="auto"/>
          <w:sz w:val="15"/>
          <w:szCs w:val="15"/>
          <w:highlight w:val="none"/>
        </w:rPr>
        <w:t xml:space="preserve">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b</w:t>
      </w:r>
      <w:r>
        <w:rPr>
          <w:rFonts w:ascii="Times New Roman" w:hAnsi="Times New Roman" w:eastAsia="宋体" w:cs="Times New Roman"/>
          <w:color w:val="auto"/>
          <w:sz w:val="15"/>
          <w:szCs w:val="15"/>
          <w:highlight w:val="none"/>
        </w:rPr>
        <w:t>）覆膜1处理</w:t>
      </w:r>
      <w:r>
        <w:rPr>
          <w:rFonts w:hint="eastAsia" w:ascii="Times New Roman" w:hAnsi="Times New Roman" w:eastAsia="宋体" w:cs="Times New Roman"/>
          <w:color w:val="auto"/>
          <w:sz w:val="15"/>
          <w:szCs w:val="15"/>
          <w:highlight w:val="none"/>
        </w:rPr>
        <w:t xml:space="preserve">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c</w:t>
      </w:r>
      <w:r>
        <w:rPr>
          <w:rFonts w:ascii="Times New Roman" w:hAnsi="Times New Roman" w:eastAsia="宋体" w:cs="Times New Roman"/>
          <w:color w:val="auto"/>
          <w:sz w:val="15"/>
          <w:szCs w:val="15"/>
          <w:highlight w:val="none"/>
        </w:rPr>
        <w:t>）覆膜</w:t>
      </w:r>
      <w:r>
        <w:rPr>
          <w:rFonts w:hint="eastAsia" w:ascii="Times New Roman" w:hAnsi="Times New Roman" w:eastAsia="宋体" w:cs="Times New Roman"/>
          <w:color w:val="auto"/>
          <w:sz w:val="15"/>
          <w:szCs w:val="15"/>
          <w:highlight w:val="none"/>
        </w:rPr>
        <w:t>2</w:t>
      </w:r>
      <w:r>
        <w:rPr>
          <w:rFonts w:ascii="Times New Roman" w:hAnsi="Times New Roman" w:eastAsia="宋体" w:cs="Times New Roman"/>
          <w:color w:val="auto"/>
          <w:sz w:val="15"/>
          <w:szCs w:val="15"/>
          <w:highlight w:val="none"/>
        </w:rPr>
        <w:t>处理</w:t>
      </w:r>
    </w:p>
    <w:p w14:paraId="70596146">
      <w:pPr>
        <w:pStyle w:val="21"/>
        <w:adjustRightInd w:val="0"/>
        <w:snapToGrid w:val="0"/>
        <w:spacing w:line="240" w:lineRule="auto"/>
        <w:ind w:firstLine="419" w:firstLineChars="233"/>
        <w:jc w:val="center"/>
        <w:rPr>
          <w:rFonts w:eastAsia="黑体" w:cs="Times New Roman"/>
          <w:bCs/>
          <w:color w:val="auto"/>
          <w:sz w:val="18"/>
          <w:szCs w:val="18"/>
          <w:highlight w:val="none"/>
        </w:rPr>
      </w:pPr>
      <w:bookmarkStart w:id="3" w:name="OLE_LINK2"/>
      <w:bookmarkStart w:id="4" w:name="OLE_LINK1"/>
      <w:r>
        <w:rPr>
          <w:rFonts w:eastAsia="黑体" w:cs="Times New Roman"/>
          <w:bCs/>
          <w:color w:val="auto"/>
          <w:sz w:val="18"/>
          <w:szCs w:val="18"/>
          <w:highlight w:val="none"/>
        </w:rPr>
        <w:t>图</w:t>
      </w:r>
      <w:r>
        <w:rPr>
          <w:rFonts w:hint="eastAsia" w:eastAsia="黑体" w:cs="Times New Roman"/>
          <w:bCs/>
          <w:color w:val="auto"/>
          <w:sz w:val="18"/>
          <w:szCs w:val="18"/>
          <w:highlight w:val="none"/>
        </w:rPr>
        <w:t>7</w:t>
      </w:r>
      <w:r>
        <w:rPr>
          <w:rFonts w:eastAsia="黑体" w:cs="Times New Roman"/>
          <w:color w:val="auto"/>
          <w:sz w:val="18"/>
          <w:szCs w:val="18"/>
          <w:highlight w:val="none"/>
        </w:rPr>
        <w:t xml:space="preserve">  </w:t>
      </w:r>
      <w:r>
        <w:rPr>
          <w:rFonts w:eastAsia="黑体" w:cs="Times New Roman"/>
          <w:bCs/>
          <w:color w:val="auto"/>
          <w:sz w:val="18"/>
          <w:szCs w:val="18"/>
          <w:highlight w:val="none"/>
        </w:rPr>
        <w:t>风向与凝结量相关关系</w:t>
      </w:r>
    </w:p>
    <w:p w14:paraId="2FF5B517">
      <w:pPr>
        <w:adjustRightInd w:val="0"/>
        <w:snapToGrid w:val="0"/>
        <w:ind w:firstLine="482"/>
        <w:jc w:val="center"/>
        <w:rPr>
          <w:rFonts w:ascii="Times New Roman" w:hAnsi="Times New Roman" w:eastAsia="黑体" w:cs="Times New Roman"/>
          <w:bCs/>
          <w:color w:val="auto"/>
          <w:sz w:val="18"/>
          <w:szCs w:val="18"/>
          <w:highlight w:val="none"/>
        </w:rPr>
      </w:pPr>
      <w:r>
        <w:rPr>
          <w:rFonts w:ascii="Times New Roman" w:hAnsi="Times New Roman" w:eastAsia="黑体" w:cs="Times New Roman"/>
          <w:bCs/>
          <w:color w:val="auto"/>
          <w:sz w:val="18"/>
          <w:szCs w:val="18"/>
          <w:highlight w:val="none"/>
        </w:rPr>
        <w:t>Fig.</w:t>
      </w:r>
      <w:r>
        <w:rPr>
          <w:rFonts w:hint="eastAsia" w:ascii="Times New Roman" w:hAnsi="Times New Roman" w:eastAsia="黑体" w:cs="Times New Roman"/>
          <w:bCs/>
          <w:color w:val="auto"/>
          <w:sz w:val="18"/>
          <w:szCs w:val="18"/>
          <w:highlight w:val="none"/>
        </w:rPr>
        <w:t>7</w:t>
      </w:r>
      <w:r>
        <w:rPr>
          <w:rFonts w:ascii="Times New Roman" w:hAnsi="Times New Roman" w:eastAsia="黑体" w:cs="Times New Roman"/>
          <w:color w:val="auto"/>
          <w:sz w:val="18"/>
          <w:szCs w:val="18"/>
          <w:highlight w:val="none"/>
        </w:rPr>
        <w:t xml:space="preserve">  </w:t>
      </w:r>
      <w:r>
        <w:rPr>
          <w:rFonts w:ascii="Times New Roman" w:hAnsi="Times New Roman" w:eastAsia="黑体" w:cs="Times New Roman"/>
          <w:bCs/>
          <w:color w:val="auto"/>
          <w:sz w:val="18"/>
          <w:szCs w:val="18"/>
          <w:highlight w:val="none"/>
        </w:rPr>
        <w:t>Correlation between wind direction and dew amount</w:t>
      </w:r>
    </w:p>
    <w:p w14:paraId="0030F42C">
      <w:pPr>
        <w:pStyle w:val="2"/>
        <w:adjustRightInd w:val="0"/>
        <w:snapToGrid w:val="0"/>
        <w:jc w:val="center"/>
        <w:rPr>
          <w:rFonts w:hint="eastAsia"/>
          <w:color w:val="auto"/>
          <w:highlight w:val="none"/>
        </w:rPr>
      </w:pPr>
      <w:r>
        <w:rPr>
          <w:color w:val="auto"/>
          <w:highlight w:val="none"/>
        </w:rPr>
        <w:drawing>
          <wp:inline distT="0" distB="0" distL="0" distR="0">
            <wp:extent cx="5274310" cy="2794000"/>
            <wp:effectExtent l="0" t="0" r="2540" b="6350"/>
            <wp:docPr id="6326875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68755" name="图片 24"/>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274310" cy="2794000"/>
                    </a:xfrm>
                    <a:prstGeom prst="rect">
                      <a:avLst/>
                    </a:prstGeom>
                  </pic:spPr>
                </pic:pic>
              </a:graphicData>
            </a:graphic>
          </wp:inline>
        </w:drawing>
      </w:r>
    </w:p>
    <w:p w14:paraId="7113F407">
      <w:pPr>
        <w:pStyle w:val="21"/>
        <w:adjustRightInd w:val="0"/>
        <w:snapToGrid w:val="0"/>
        <w:spacing w:line="240" w:lineRule="auto"/>
        <w:ind w:firstLine="0" w:firstLineChars="0"/>
        <w:jc w:val="center"/>
        <w:rPr>
          <w:rFonts w:eastAsia="黑体" w:cs="Times New Roman"/>
          <w:bCs/>
          <w:color w:val="auto"/>
          <w:sz w:val="18"/>
          <w:szCs w:val="18"/>
          <w:highlight w:val="none"/>
        </w:rPr>
      </w:pPr>
      <w:r>
        <w:rPr>
          <w:rFonts w:eastAsia="黑体" w:cs="Times New Roman"/>
          <w:bCs/>
          <w:color w:val="auto"/>
          <w:sz w:val="18"/>
          <w:szCs w:val="18"/>
          <w:highlight w:val="none"/>
        </w:rPr>
        <w:t>图</w:t>
      </w:r>
      <w:r>
        <w:rPr>
          <w:rFonts w:hint="eastAsia" w:eastAsia="黑体" w:cs="Times New Roman"/>
          <w:bCs/>
          <w:color w:val="auto"/>
          <w:sz w:val="18"/>
          <w:szCs w:val="18"/>
          <w:highlight w:val="none"/>
        </w:rPr>
        <w:t>8</w:t>
      </w:r>
      <w:r>
        <w:rPr>
          <w:rFonts w:eastAsia="黑体" w:cs="Times New Roman"/>
          <w:color w:val="auto"/>
          <w:sz w:val="18"/>
          <w:szCs w:val="18"/>
          <w:highlight w:val="none"/>
        </w:rPr>
        <w:t xml:space="preserve">  </w:t>
      </w:r>
      <w:r>
        <w:rPr>
          <w:rFonts w:eastAsia="黑体" w:cs="Times New Roman"/>
          <w:bCs/>
          <w:color w:val="auto"/>
          <w:sz w:val="18"/>
          <w:szCs w:val="18"/>
          <w:highlight w:val="none"/>
        </w:rPr>
        <w:t>典型凝结日夜间风向与温湿度动态变化特征</w:t>
      </w:r>
    </w:p>
    <w:p w14:paraId="2585ABA7">
      <w:pPr>
        <w:pStyle w:val="2"/>
        <w:adjustRightInd w:val="0"/>
        <w:snapToGrid w:val="0"/>
        <w:jc w:val="center"/>
        <w:rPr>
          <w:rFonts w:hint="eastAsia"/>
          <w:color w:val="auto"/>
          <w:highlight w:val="none"/>
        </w:rPr>
      </w:pPr>
      <w:r>
        <w:rPr>
          <w:rFonts w:ascii="Times New Roman" w:hAnsi="Times New Roman" w:eastAsia="黑体" w:cs="Times New Roman"/>
          <w:bCs/>
          <w:color w:val="auto"/>
          <w:sz w:val="18"/>
          <w:szCs w:val="18"/>
          <w:highlight w:val="none"/>
        </w:rPr>
        <w:t>Fig.8</w:t>
      </w:r>
      <w:r>
        <w:rPr>
          <w:rFonts w:ascii="Times New Roman" w:hAnsi="Times New Roman" w:eastAsia="黑体" w:cs="Times New Roman"/>
          <w:color w:val="auto"/>
          <w:sz w:val="18"/>
          <w:szCs w:val="18"/>
          <w:highlight w:val="none"/>
        </w:rPr>
        <w:t xml:space="preserve">  </w:t>
      </w:r>
      <w:r>
        <w:rPr>
          <w:rFonts w:ascii="Times New Roman" w:hAnsi="Times New Roman" w:eastAsia="黑体" w:cs="Times New Roman"/>
          <w:bCs/>
          <w:color w:val="auto"/>
          <w:sz w:val="18"/>
          <w:szCs w:val="18"/>
          <w:highlight w:val="none"/>
        </w:rPr>
        <w:t xml:space="preserve">Dynamic variation </w:t>
      </w:r>
      <w:r>
        <w:rPr>
          <w:rFonts w:hint="eastAsia" w:ascii="Times New Roman" w:hAnsi="Times New Roman" w:eastAsia="黑体" w:cs="Times New Roman"/>
          <w:bCs/>
          <w:color w:val="auto"/>
          <w:sz w:val="18"/>
          <w:szCs w:val="18"/>
          <w:highlight w:val="none"/>
        </w:rPr>
        <w:t>characteristics of</w:t>
      </w:r>
      <w:r>
        <w:rPr>
          <w:rFonts w:ascii="Times New Roman" w:hAnsi="Times New Roman" w:eastAsia="黑体" w:cs="Times New Roman"/>
          <w:bCs/>
          <w:color w:val="auto"/>
          <w:sz w:val="18"/>
          <w:szCs w:val="18"/>
          <w:highlight w:val="none"/>
        </w:rPr>
        <w:t xml:space="preserve"> wind direction, temperature, and humidity during a typical night of dew formation</w:t>
      </w:r>
    </w:p>
    <w:bookmarkEnd w:id="3"/>
    <w:bookmarkEnd w:id="4"/>
    <w:p w14:paraId="1416F851">
      <w:pPr>
        <w:pStyle w:val="3"/>
        <w:spacing w:before="0" w:after="0" w:line="240" w:lineRule="auto"/>
        <w:rPr>
          <w:rFonts w:ascii="Times New Roman" w:hAnsi="Times New Roman" w:eastAsia="宋体" w:cs="Times New Roman"/>
          <w:b w:val="0"/>
          <w:bCs w:val="0"/>
          <w:color w:val="auto"/>
          <w:highlight w:val="none"/>
        </w:rPr>
      </w:pPr>
      <w:r>
        <w:rPr>
          <w:rFonts w:ascii="Times New Roman" w:hAnsi="Times New Roman" w:eastAsia="宋体" w:cs="Times New Roman"/>
          <w:b w:val="0"/>
          <w:bCs w:val="0"/>
          <w:color w:val="auto"/>
          <w:highlight w:val="none"/>
        </w:rPr>
        <w:t>3 讨论</w:t>
      </w:r>
    </w:p>
    <w:p w14:paraId="5040FC50">
      <w:pPr>
        <w:adjustRightInd w:val="0"/>
        <w:snapToGrid w:val="0"/>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凝结水主要发生在0:00—8:00，凌晨至日出前为凝结相对集中的时段。由于图3和图4基于典型日平均数据，曲线变化难以清晰支撑固定时段内“缓慢凝结”和“快速凝结”的严格划分，因此本文更强调凝结水夜间形成、凌晨增强和日出后消退的连续动态过程。覆膜与不覆膜处理下凝结过程的起止时间和阶段性变化基本一致，说明覆膜并未改变凝结水形成的基本时间节律和主要气象驱动框架；其影响更多体现在凝结水量和水汽交换界面上。从全育期凝结水总量来看，不覆膜处理普遍高于覆膜处理，表明覆膜对凝结水输入具有一定削减作用。其机制主要包括两个方面：一是不覆膜条件下夜间凝结界面包括作物冠层和裸露土壤表面，而覆膜使凝结主要发生于冠层和膜面，减少了大气与土壤表面的直接水汽交换；二是不覆膜棉田白天土壤蒸发相对较强，近地表及冠层内部绝对湿度较高，夜间辐射降温时更易达到露点并形成凝结。相反，覆膜具有一定保温和阻隔作用，减弱了土壤水汽向冠层空间的输送，并可能降低夜间地表冷却幅度，从而减少系统可记录的凝结水输入。</w:t>
      </w:r>
    </w:p>
    <w:p w14:paraId="681C6E70">
      <w:pPr>
        <w:adjustRightInd w:val="0"/>
        <w:snapToGrid w:val="0"/>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需要指出的是，本文关于凝结水来源机制的分析仍存在一定不确定性。大型称重式蒸渗仪能够高精度记录蒸渗仪单元内的综合质量变化，适用于识别田间尺度凝结水的发生过程及总量变化；但该方法反映的是凝结、蒸散及土壤水汽迁移等过程共同作用下的综合水分收支响应，尚不能直接区分凝结水主要来源于冠层和地表的大气凝结，还是来源于深层土壤水汽向上迁移后的土壤蒸馏。</w:t>
      </w:r>
      <w:r>
        <w:rPr>
          <w:rFonts w:hint="eastAsia" w:ascii="Times New Roman" w:hAnsi="Times New Roman" w:eastAsia="宋体" w:cs="Times New Roman"/>
          <w:color w:val="auto"/>
          <w:szCs w:val="21"/>
          <w:highlight w:val="none"/>
        </w:rPr>
        <w:t>因此，本文对覆膜影响机制的解释主要基于覆膜对水汽交换通道、凝结界面和近地表热湿环境的改变，属于机制推断，而非对大气凝结和土壤蒸馏贡献率的直接定量拆分。未来研究可在蒸渗仪连续监测的基础上，结合叶面凝结水收集装置、膜面和裸土表面微型集水装置、土壤水汽通量观测以及氢氧稳定同位素示踪技术，对不同界面和不同来源的凝结水进行同步采样和定量识别，从而进一步揭示覆膜条件下大气水汽、土壤水汽和冠层凝结水之间的分配关系。</w:t>
      </w:r>
    </w:p>
    <w:p w14:paraId="25C5B5AD">
      <w:pPr>
        <w:pStyle w:val="2"/>
        <w:rPr>
          <w:rFonts w:hint="eastAsia"/>
          <w:color w:val="auto"/>
          <w:highlight w:val="none"/>
        </w:rPr>
      </w:pPr>
      <w:r>
        <w:rPr>
          <w:rFonts w:ascii="等线" w:hAnsi="等线" w:eastAsia="等线" w:cs="Times New Roman"/>
          <w:color w:val="auto"/>
          <w:highlight w:val="none"/>
        </w:rPr>
        <w:drawing>
          <wp:inline distT="0" distB="0" distL="0" distR="0">
            <wp:extent cx="2584450" cy="1490345"/>
            <wp:effectExtent l="0" t="0" r="6350" b="0"/>
            <wp:docPr id="39705056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Pr>
          <w:rFonts w:ascii="等线" w:hAnsi="等线" w:eastAsia="等线" w:cs="Times New Roman"/>
          <w:color w:val="auto"/>
          <w:highlight w:val="none"/>
        </w:rPr>
        <w:drawing>
          <wp:inline distT="0" distB="0" distL="0" distR="0">
            <wp:extent cx="2584450" cy="1490345"/>
            <wp:effectExtent l="0" t="0" r="6350" b="0"/>
            <wp:docPr id="166089873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CD77269">
      <w:pPr>
        <w:pStyle w:val="2"/>
        <w:adjustRightInd w:val="0"/>
        <w:snapToGrid w:val="0"/>
        <w:spacing w:after="0"/>
        <w:ind w:firstLine="1050" w:firstLineChars="700"/>
        <w:rPr>
          <w:rFonts w:ascii="Times New Roman" w:hAnsi="Times New Roman" w:eastAsia="宋体" w:cs="Times New Roman"/>
          <w:color w:val="auto"/>
          <w:sz w:val="15"/>
          <w:szCs w:val="15"/>
          <w:highlight w:val="none"/>
        </w:rPr>
      </w:pPr>
      <w:r>
        <w:rPr>
          <w:rFonts w:ascii="Times New Roman" w:hAnsi="Times New Roman" w:eastAsia="宋体" w:cs="Times New Roman"/>
          <w:color w:val="auto"/>
          <w:sz w:val="15"/>
          <w:szCs w:val="15"/>
          <w:highlight w:val="none"/>
        </w:rPr>
        <w:t>（a）苗期夜间凝结水量时间变化</w:t>
      </w:r>
      <w:r>
        <w:rPr>
          <w:rFonts w:hint="eastAsia" w:ascii="Times New Roman" w:hAnsi="Times New Roman" w:eastAsia="宋体" w:cs="Times New Roman"/>
          <w:color w:val="auto"/>
          <w:sz w:val="15"/>
          <w:szCs w:val="15"/>
          <w:highlight w:val="none"/>
        </w:rPr>
        <w:t xml:space="preserve">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b</w:t>
      </w:r>
      <w:r>
        <w:rPr>
          <w:rFonts w:ascii="Times New Roman" w:hAnsi="Times New Roman" w:eastAsia="宋体" w:cs="Times New Roman"/>
          <w:color w:val="auto"/>
          <w:sz w:val="15"/>
          <w:szCs w:val="15"/>
          <w:highlight w:val="none"/>
        </w:rPr>
        <w:t>）蕾期夜间凝结水量时间变化</w:t>
      </w:r>
    </w:p>
    <w:p w14:paraId="604CE156">
      <w:pPr>
        <w:pStyle w:val="2"/>
        <w:rPr>
          <w:rFonts w:hint="eastAsia"/>
          <w:color w:val="auto"/>
          <w:highlight w:val="none"/>
        </w:rPr>
      </w:pPr>
      <w:r>
        <w:rPr>
          <w:rFonts w:ascii="等线" w:hAnsi="等线" w:eastAsia="等线" w:cs="Times New Roman"/>
          <w:color w:val="auto"/>
          <w:highlight w:val="none"/>
        </w:rPr>
        <w:drawing>
          <wp:inline distT="0" distB="0" distL="0" distR="0">
            <wp:extent cx="2584450" cy="1490345"/>
            <wp:effectExtent l="0" t="0" r="6350" b="0"/>
            <wp:docPr id="173559097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Pr>
          <w:rFonts w:ascii="等线" w:hAnsi="等线" w:eastAsia="等线" w:cs="Times New Roman"/>
          <w:color w:val="auto"/>
          <w:highlight w:val="none"/>
        </w:rPr>
        <w:drawing>
          <wp:inline distT="0" distB="0" distL="0" distR="0">
            <wp:extent cx="2584450" cy="1490345"/>
            <wp:effectExtent l="0" t="0" r="6350" b="0"/>
            <wp:docPr id="25681723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06D8D1E">
      <w:pPr>
        <w:pStyle w:val="2"/>
        <w:adjustRightInd w:val="0"/>
        <w:snapToGrid w:val="0"/>
        <w:spacing w:after="0"/>
        <w:ind w:firstLine="1050" w:firstLineChars="700"/>
        <w:rPr>
          <w:rFonts w:ascii="Times New Roman" w:hAnsi="Times New Roman" w:eastAsia="宋体" w:cs="Times New Roman"/>
          <w:color w:val="auto"/>
          <w:sz w:val="15"/>
          <w:szCs w:val="15"/>
          <w:highlight w:val="none"/>
        </w:rPr>
      </w:pP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c</w:t>
      </w:r>
      <w:r>
        <w:rPr>
          <w:rFonts w:ascii="Times New Roman" w:hAnsi="Times New Roman" w:eastAsia="宋体" w:cs="Times New Roman"/>
          <w:color w:val="auto"/>
          <w:sz w:val="15"/>
          <w:szCs w:val="15"/>
          <w:highlight w:val="none"/>
        </w:rPr>
        <w:t>）花铃期夜间凝结水量时间变化</w:t>
      </w:r>
      <w:r>
        <w:rPr>
          <w:rFonts w:hint="eastAsia" w:ascii="Times New Roman" w:hAnsi="Times New Roman" w:eastAsia="宋体" w:cs="Times New Roman"/>
          <w:color w:val="auto"/>
          <w:sz w:val="15"/>
          <w:szCs w:val="15"/>
          <w:highlight w:val="none"/>
        </w:rPr>
        <w:t xml:space="preserve">                             </w:t>
      </w:r>
      <w:r>
        <w:rPr>
          <w:rFonts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d</w:t>
      </w:r>
      <w:r>
        <w:rPr>
          <w:rFonts w:ascii="Times New Roman" w:hAnsi="Times New Roman" w:eastAsia="宋体" w:cs="Times New Roman"/>
          <w:color w:val="auto"/>
          <w:sz w:val="15"/>
          <w:szCs w:val="15"/>
          <w:highlight w:val="none"/>
        </w:rPr>
        <w:t>）吐絮期夜间凝结水量时间变化</w:t>
      </w:r>
    </w:p>
    <w:p w14:paraId="05CB6875">
      <w:pPr>
        <w:pStyle w:val="21"/>
        <w:adjustRightInd w:val="0"/>
        <w:snapToGrid w:val="0"/>
        <w:spacing w:line="254" w:lineRule="auto"/>
        <w:ind w:firstLine="0" w:firstLineChars="0"/>
        <w:jc w:val="center"/>
        <w:rPr>
          <w:rFonts w:eastAsia="黑体" w:cs="Times New Roman"/>
          <w:bCs/>
          <w:color w:val="auto"/>
          <w:sz w:val="18"/>
          <w:szCs w:val="18"/>
          <w:highlight w:val="none"/>
        </w:rPr>
      </w:pPr>
      <w:r>
        <w:rPr>
          <w:rFonts w:eastAsia="黑体" w:cs="Times New Roman"/>
          <w:bCs/>
          <w:color w:val="auto"/>
          <w:sz w:val="18"/>
          <w:szCs w:val="18"/>
          <w:highlight w:val="none"/>
        </w:rPr>
        <w:t>图</w:t>
      </w:r>
      <w:r>
        <w:rPr>
          <w:rFonts w:hint="eastAsia" w:eastAsia="黑体" w:cs="Times New Roman"/>
          <w:bCs/>
          <w:color w:val="auto"/>
          <w:sz w:val="18"/>
          <w:szCs w:val="18"/>
          <w:highlight w:val="none"/>
        </w:rPr>
        <w:t>9</w:t>
      </w:r>
      <w:r>
        <w:rPr>
          <w:rFonts w:eastAsia="黑体" w:cs="Times New Roman"/>
          <w:color w:val="auto"/>
          <w:sz w:val="18"/>
          <w:szCs w:val="18"/>
          <w:highlight w:val="none"/>
        </w:rPr>
        <w:t xml:space="preserve">  </w:t>
      </w:r>
      <w:r>
        <w:rPr>
          <w:rFonts w:eastAsia="黑体" w:cs="Times New Roman"/>
          <w:bCs/>
          <w:color w:val="auto"/>
          <w:sz w:val="18"/>
          <w:szCs w:val="18"/>
          <w:highlight w:val="none"/>
        </w:rPr>
        <w:t>不同年份各生育期夜间凝结水量的时间变化特征</w:t>
      </w:r>
    </w:p>
    <w:p w14:paraId="6772F897">
      <w:pPr>
        <w:adjustRightInd w:val="0"/>
        <w:snapToGrid w:val="0"/>
        <w:ind w:firstLine="482"/>
        <w:jc w:val="center"/>
        <w:rPr>
          <w:rFonts w:ascii="Times New Roman" w:hAnsi="Times New Roman" w:eastAsia="黑体" w:cs="Times New Roman"/>
          <w:bCs/>
          <w:color w:val="auto"/>
          <w:sz w:val="18"/>
          <w:szCs w:val="18"/>
          <w:highlight w:val="none"/>
        </w:rPr>
      </w:pPr>
      <w:r>
        <w:rPr>
          <w:rFonts w:hint="eastAsia" w:ascii="Times New Roman" w:hAnsi="Times New Roman" w:eastAsia="黑体" w:cs="Times New Roman"/>
          <w:bCs/>
          <w:color w:val="auto"/>
          <w:sz w:val="18"/>
          <w:szCs w:val="18"/>
          <w:highlight w:val="none"/>
        </w:rPr>
        <w:t>F</w:t>
      </w:r>
      <w:r>
        <w:rPr>
          <w:rFonts w:ascii="Times New Roman" w:hAnsi="Times New Roman" w:eastAsia="黑体" w:cs="Times New Roman"/>
          <w:bCs/>
          <w:color w:val="auto"/>
          <w:sz w:val="18"/>
          <w:szCs w:val="18"/>
          <w:highlight w:val="none"/>
        </w:rPr>
        <w:t>ig.</w:t>
      </w:r>
      <w:r>
        <w:rPr>
          <w:rFonts w:hint="eastAsia" w:ascii="Times New Roman" w:hAnsi="Times New Roman" w:eastAsia="黑体" w:cs="Times New Roman"/>
          <w:bCs/>
          <w:color w:val="auto"/>
          <w:sz w:val="18"/>
          <w:szCs w:val="18"/>
          <w:highlight w:val="none"/>
        </w:rPr>
        <w:t>9</w:t>
      </w:r>
      <w:r>
        <w:rPr>
          <w:rFonts w:ascii="Times New Roman" w:hAnsi="Times New Roman" w:eastAsia="黑体" w:cs="Times New Roman"/>
          <w:color w:val="auto"/>
          <w:sz w:val="18"/>
          <w:szCs w:val="18"/>
          <w:highlight w:val="none"/>
        </w:rPr>
        <w:t xml:space="preserve">  </w:t>
      </w:r>
      <w:r>
        <w:rPr>
          <w:rFonts w:ascii="Times New Roman" w:hAnsi="Times New Roman" w:eastAsia="黑体" w:cs="Times New Roman"/>
          <w:bCs/>
          <w:color w:val="auto"/>
          <w:sz w:val="18"/>
          <w:szCs w:val="18"/>
          <w:highlight w:val="none"/>
        </w:rPr>
        <w:t xml:space="preserve">Temporal variation </w:t>
      </w:r>
      <w:r>
        <w:rPr>
          <w:rFonts w:hint="eastAsia" w:ascii="Times New Roman" w:hAnsi="Times New Roman" w:eastAsia="黑体" w:cs="Times New Roman"/>
          <w:bCs/>
          <w:color w:val="auto"/>
          <w:sz w:val="18"/>
          <w:szCs w:val="18"/>
          <w:highlight w:val="none"/>
        </w:rPr>
        <w:t>characteristics of</w:t>
      </w:r>
      <w:r>
        <w:rPr>
          <w:rFonts w:ascii="Times New Roman" w:hAnsi="Times New Roman" w:eastAsia="黑体" w:cs="Times New Roman"/>
          <w:bCs/>
          <w:color w:val="auto"/>
          <w:sz w:val="18"/>
          <w:szCs w:val="18"/>
          <w:highlight w:val="none"/>
        </w:rPr>
        <w:t xml:space="preserve"> nocturnal dew amount at different growth stages in different years</w:t>
      </w:r>
    </w:p>
    <w:p w14:paraId="40B7A503">
      <w:pPr>
        <w:adjustRightInd w:val="0"/>
        <w:snapToGrid w:val="0"/>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从凝结水与降水、蒸散的相对比值来看，不同年份、不同生育期比值的差异主要受当年降雨量、天气状况的波动影响。必须明确的是，降雨是大尺度的宏观气象过程，而凝结水属于田间冠层内的微气象过程。绿洲农田的小气候特征主要取决于强烈的蒸散发量，凝结水的绝对量级相对有限。然而，数据表明在干旱少雨的特定生育期（如2020年苗期），凝结水总量在数值上达到了与当地稀缺降水量相当的比例。这说明，尽管凝结水在宏观区域水量平衡中占比较小，但作为一种稳定的“非降水”输入，冠层表面的凝结水可近似促成清晨叶片气孔周围的空气饱和，进而短时间内缓解作物的蒸腾拉力，对维持干旱区作物微环境的水分平衡具有一定的局部生态学意义。</w:t>
      </w:r>
    </w:p>
    <w:p w14:paraId="60422ABF">
      <w:pPr>
        <w:widowControl/>
        <w:adjustRightInd w:val="0"/>
        <w:snapToGrid w:val="0"/>
        <w:ind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szCs w:val="21"/>
          <w:highlight w:val="none"/>
        </w:rPr>
        <w:t>空气相对湿度、露点温度以及地表</w:t>
      </w: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rPr>
        <w:t>空气温差（</w:t>
      </w:r>
      <w:r>
        <w:rPr>
          <w:rFonts w:ascii="Times New Roman" w:hAnsi="Times New Roman" w:eastAsia="宋体" w:cs="Times New Roman"/>
          <w:i/>
          <w:iCs/>
          <w:color w:val="auto"/>
          <w:szCs w:val="21"/>
          <w:highlight w:val="none"/>
        </w:rPr>
        <w:t>Ts</w:t>
      </w:r>
      <w:r>
        <w:rPr>
          <w:rFonts w:ascii="Times New Roman" w:hAnsi="Times New Roman" w:eastAsia="宋体" w:cs="Times New Roman"/>
          <w:color w:val="auto"/>
          <w:szCs w:val="21"/>
          <w:highlight w:val="none"/>
        </w:rPr>
        <w:t>-</w:t>
      </w:r>
      <w:r>
        <w:rPr>
          <w:rFonts w:ascii="Times New Roman" w:hAnsi="Times New Roman" w:eastAsia="宋体" w:cs="Times New Roman"/>
          <w:i/>
          <w:iCs/>
          <w:color w:val="auto"/>
          <w:szCs w:val="21"/>
          <w:highlight w:val="none"/>
        </w:rPr>
        <w:t>Ta</w:t>
      </w:r>
      <w:r>
        <w:rPr>
          <w:rFonts w:hint="eastAsia" w:ascii="Times New Roman" w:hAnsi="Times New Roman" w:eastAsia="宋体" w:cs="Times New Roman"/>
          <w:color w:val="auto"/>
          <w:szCs w:val="21"/>
          <w:highlight w:val="none"/>
        </w:rPr>
        <w:t>）是影响凝结量的重要气象因子。本研究中，凝结水量与空气相对湿度呈正相关关系，这与已有研究中关于湿度条件促进凝结水形成的结论基本一致</w:t>
      </w:r>
      <w:r>
        <w:rPr>
          <w:rFonts w:ascii="Times New Roman" w:hAnsi="Times New Roman" w:eastAsia="宋体" w:cs="Times New Roman"/>
          <w:color w:val="auto"/>
          <w:szCs w:val="21"/>
          <w:highlight w:val="none"/>
          <w:vertAlign w:val="superscript"/>
        </w:rPr>
        <w:t>[3</w:t>
      </w:r>
      <w:r>
        <w:rPr>
          <w:rFonts w:hint="eastAsia" w:ascii="Times New Roman" w:hAnsi="Times New Roman" w:eastAsia="宋体" w:cs="Times New Roman"/>
          <w:color w:val="auto"/>
          <w:szCs w:val="21"/>
          <w:highlight w:val="none"/>
          <w:vertAlign w:val="superscript"/>
        </w:rPr>
        <w:t>6,38</w:t>
      </w:r>
      <w:r>
        <w:rPr>
          <w:rFonts w:ascii="Times New Roman" w:hAnsi="Times New Roman" w:eastAsia="宋体" w:cs="Times New Roman"/>
          <w:color w:val="auto"/>
          <w:szCs w:val="21"/>
          <w:highlight w:val="none"/>
          <w:vertAlign w:val="superscript"/>
        </w:rPr>
        <w:t>-39]</w:t>
      </w:r>
      <w:r>
        <w:rPr>
          <w:rFonts w:hint="eastAsia" w:ascii="Times New Roman" w:hAnsi="Times New Roman" w:eastAsia="宋体" w:cs="Times New Roman"/>
          <w:color w:val="auto"/>
          <w:szCs w:val="21"/>
          <w:highlight w:val="none"/>
        </w:rPr>
        <w:t>。相关研究表明，当空气相对湿度较高时，近地表空气中的水汽供应更加充足，凝结面更容易接近或达到露点温度，从而有利于凝结水的形成和累积；当相对湿度超过一定阈值后，凝结水量通常明显增加，并在高湿条件下达到较高水平</w:t>
      </w:r>
      <w:r>
        <w:rPr>
          <w:rFonts w:hint="eastAsia" w:ascii="Times New Roman" w:hAnsi="Times New Roman" w:eastAsia="宋体" w:cs="Times New Roman"/>
          <w:color w:val="auto"/>
          <w:highlight w:val="none"/>
        </w:rPr>
        <w:t>；</w:t>
      </w:r>
      <w:r>
        <w:rPr>
          <w:rFonts w:ascii="Times New Roman" w:hAnsi="Times New Roman" w:eastAsia="宋体" w:cs="Times New Roman"/>
          <w:color w:val="auto"/>
          <w:highlight w:val="none"/>
        </w:rPr>
        <w:t>本研究中凝结水量无大幅增长的趋势，可能是由于田间最大湿度为75%不足以大幅度改变凝结水量，这与</w:t>
      </w:r>
      <w:r>
        <w:rPr>
          <w:rFonts w:hint="eastAsia" w:ascii="Times New Roman" w:hAnsi="Times New Roman" w:eastAsia="宋体" w:cs="Times New Roman"/>
          <w:color w:val="auto"/>
          <w:highlight w:val="none"/>
        </w:rPr>
        <w:t>GUO</w:t>
      </w:r>
      <w:r>
        <w:rPr>
          <w:rFonts w:ascii="Times New Roman" w:hAnsi="Times New Roman" w:eastAsia="宋体" w:cs="Times New Roman"/>
          <w:color w:val="auto"/>
          <w:highlight w:val="none"/>
        </w:rPr>
        <w:t>等</w:t>
      </w:r>
      <w:r>
        <w:rPr>
          <w:rFonts w:ascii="Times New Roman" w:hAnsi="Times New Roman" w:eastAsia="宋体" w:cs="Times New Roman"/>
          <w:color w:val="auto"/>
          <w:highlight w:val="none"/>
          <w:vertAlign w:val="superscript"/>
        </w:rPr>
        <w:t>[</w:t>
      </w:r>
      <w:r>
        <w:rPr>
          <w:rFonts w:hint="eastAsia" w:ascii="Times New Roman" w:hAnsi="Times New Roman" w:eastAsia="宋体" w:cs="Times New Roman"/>
          <w:color w:val="auto"/>
          <w:highlight w:val="none"/>
          <w:vertAlign w:val="superscript"/>
        </w:rPr>
        <w:t>16</w:t>
      </w:r>
      <w:r>
        <w:rPr>
          <w:rFonts w:ascii="Times New Roman" w:hAnsi="Times New Roman" w:eastAsia="宋体" w:cs="Times New Roman"/>
          <w:color w:val="auto"/>
          <w:highlight w:val="none"/>
          <w:vertAlign w:val="superscript"/>
        </w:rPr>
        <w:t>]</w:t>
      </w:r>
      <w:r>
        <w:rPr>
          <w:rFonts w:ascii="Times New Roman" w:hAnsi="Times New Roman" w:eastAsia="宋体" w:cs="Times New Roman"/>
          <w:color w:val="auto"/>
          <w:highlight w:val="none"/>
        </w:rPr>
        <w:t>在西北干旱沙地（环境相对湿度需达到80%阈值以上凝结量才显著增加）的研究结果一致</w:t>
      </w:r>
      <w:r>
        <w:rPr>
          <w:rFonts w:ascii="Times New Roman" w:hAnsi="Times New Roman" w:eastAsia="宋体" w:cs="Times New Roman"/>
          <w:color w:val="auto"/>
          <w:highlight w:val="none"/>
        </w:rPr>
        <w:t>。</w:t>
      </w:r>
      <w:r>
        <w:rPr>
          <w:rFonts w:ascii="Times New Roman" w:hAnsi="Times New Roman" w:eastAsia="宋体" w:cs="Times New Roman"/>
          <w:color w:val="auto"/>
          <w:szCs w:val="21"/>
          <w:highlight w:val="none"/>
        </w:rPr>
        <w:t>同时，凝结量与地表-空气温差（</w:t>
      </w:r>
      <w:r>
        <w:rPr>
          <w:rFonts w:ascii="Times New Roman" w:hAnsi="Times New Roman" w:eastAsia="宋体" w:cs="Times New Roman"/>
          <w:i/>
          <w:iCs/>
          <w:color w:val="auto"/>
          <w:szCs w:val="21"/>
          <w:highlight w:val="none"/>
        </w:rPr>
        <w:t>T</w:t>
      </w:r>
      <w:r>
        <w:rPr>
          <w:rFonts w:ascii="Times New Roman" w:hAnsi="Times New Roman" w:eastAsia="宋体" w:cs="Times New Roman"/>
          <w:i/>
          <w:iCs/>
          <w:color w:val="auto"/>
          <w:szCs w:val="21"/>
          <w:highlight w:val="none"/>
          <w:vertAlign w:val="subscript"/>
        </w:rPr>
        <w:t>s</w:t>
      </w:r>
      <w:r>
        <w:rPr>
          <w:rFonts w:ascii="Times New Roman" w:hAnsi="Times New Roman" w:eastAsia="宋体" w:cs="Times New Roman"/>
          <w:color w:val="auto"/>
          <w:szCs w:val="21"/>
          <w:highlight w:val="none"/>
        </w:rPr>
        <w:t>-</w:t>
      </w:r>
      <w:r>
        <w:rPr>
          <w:rFonts w:ascii="Times New Roman" w:hAnsi="Times New Roman" w:eastAsia="宋体" w:cs="Times New Roman"/>
          <w:i/>
          <w:iCs/>
          <w:color w:val="auto"/>
          <w:szCs w:val="21"/>
          <w:highlight w:val="none"/>
        </w:rPr>
        <w:t>T</w:t>
      </w:r>
      <w:r>
        <w:rPr>
          <w:rFonts w:ascii="Times New Roman" w:hAnsi="Times New Roman" w:eastAsia="宋体" w:cs="Times New Roman"/>
          <w:i/>
          <w:iCs/>
          <w:color w:val="auto"/>
          <w:szCs w:val="21"/>
          <w:highlight w:val="none"/>
          <w:vertAlign w:val="subscript"/>
        </w:rPr>
        <w:t>a</w:t>
      </w:r>
      <w:r>
        <w:rPr>
          <w:rFonts w:ascii="Times New Roman" w:hAnsi="Times New Roman" w:eastAsia="宋体" w:cs="Times New Roman"/>
          <w:color w:val="auto"/>
          <w:szCs w:val="21"/>
          <w:highlight w:val="none"/>
        </w:rPr>
        <w:t>）呈指数相关关系，但</w:t>
      </w:r>
      <w:r>
        <w:rPr>
          <w:rFonts w:ascii="Times New Roman" w:hAnsi="Times New Roman" w:eastAsia="宋体" w:cs="Times New Roman"/>
          <w:i/>
          <w:iCs/>
          <w:color w:val="auto"/>
          <w:szCs w:val="21"/>
          <w:highlight w:val="none"/>
        </w:rPr>
        <w:t>T</w:t>
      </w:r>
      <w:r>
        <w:rPr>
          <w:rFonts w:ascii="Times New Roman" w:hAnsi="Times New Roman" w:eastAsia="宋体" w:cs="Times New Roman"/>
          <w:i/>
          <w:iCs/>
          <w:color w:val="auto"/>
          <w:szCs w:val="21"/>
          <w:highlight w:val="none"/>
          <w:vertAlign w:val="subscript"/>
        </w:rPr>
        <w:t>s</w:t>
      </w:r>
      <w:r>
        <w:rPr>
          <w:rFonts w:ascii="Times New Roman" w:hAnsi="Times New Roman" w:eastAsia="宋体" w:cs="Times New Roman"/>
          <w:color w:val="auto"/>
          <w:szCs w:val="21"/>
          <w:highlight w:val="none"/>
        </w:rPr>
        <w:t>-</w:t>
      </w:r>
      <w:r>
        <w:rPr>
          <w:rFonts w:ascii="Times New Roman" w:hAnsi="Times New Roman" w:eastAsia="宋体" w:cs="Times New Roman"/>
          <w:i/>
          <w:iCs/>
          <w:color w:val="auto"/>
          <w:szCs w:val="21"/>
          <w:highlight w:val="none"/>
        </w:rPr>
        <w:t>T</w:t>
      </w:r>
      <w:r>
        <w:rPr>
          <w:rFonts w:ascii="Times New Roman" w:hAnsi="Times New Roman" w:eastAsia="宋体" w:cs="Times New Roman"/>
          <w:i/>
          <w:iCs/>
          <w:color w:val="auto"/>
          <w:szCs w:val="21"/>
          <w:highlight w:val="none"/>
          <w:vertAlign w:val="subscript"/>
        </w:rPr>
        <w:t>a</w:t>
      </w:r>
      <w:r>
        <w:rPr>
          <w:rFonts w:ascii="Times New Roman" w:hAnsi="Times New Roman" w:eastAsia="宋体" w:cs="Times New Roman"/>
          <w:color w:val="auto"/>
          <w:szCs w:val="21"/>
          <w:highlight w:val="none"/>
        </w:rPr>
        <w:t>更适合作为地表冷却与近地层热力状态的统计指标；水汽是否真正发生凝结，还取决于凝结面温度是否低于或达到露点温度（</w:t>
      </w:r>
      <w:r>
        <w:rPr>
          <w:rFonts w:ascii="Times New Roman" w:hAnsi="Times New Roman" w:eastAsia="宋体" w:cs="Times New Roman"/>
          <w:i/>
          <w:iCs/>
          <w:color w:val="auto"/>
          <w:szCs w:val="21"/>
          <w:highlight w:val="none"/>
        </w:rPr>
        <w:t>T</w:t>
      </w:r>
      <w:r>
        <w:rPr>
          <w:rFonts w:ascii="Times New Roman" w:hAnsi="Times New Roman" w:eastAsia="宋体" w:cs="Times New Roman"/>
          <w:i/>
          <w:iCs/>
          <w:color w:val="auto"/>
          <w:szCs w:val="21"/>
          <w:highlight w:val="none"/>
          <w:vertAlign w:val="subscript"/>
        </w:rPr>
        <w:t>s</w:t>
      </w:r>
      <w:r>
        <w:rPr>
          <w:rFonts w:ascii="Times New Roman" w:hAnsi="Times New Roman" w:eastAsia="宋体" w:cs="Times New Roman"/>
          <w:color w:val="auto"/>
          <w:szCs w:val="21"/>
          <w:highlight w:val="none"/>
        </w:rPr>
        <w:t>-</w:t>
      </w:r>
      <w:r>
        <w:rPr>
          <w:rFonts w:ascii="Times New Roman" w:hAnsi="Times New Roman" w:eastAsia="宋体" w:cs="Times New Roman"/>
          <w:i/>
          <w:iCs/>
          <w:color w:val="auto"/>
          <w:szCs w:val="21"/>
          <w:highlight w:val="none"/>
        </w:rPr>
        <w:t>T</w:t>
      </w:r>
      <w:r>
        <w:rPr>
          <w:rFonts w:ascii="Times New Roman" w:hAnsi="Times New Roman" w:eastAsia="宋体" w:cs="Times New Roman"/>
          <w:i/>
          <w:iCs/>
          <w:color w:val="auto"/>
          <w:szCs w:val="21"/>
          <w:highlight w:val="none"/>
          <w:vertAlign w:val="subscript"/>
        </w:rPr>
        <w:t>d</w:t>
      </w:r>
      <w:r>
        <w:rPr>
          <w:rFonts w:ascii="Times New Roman" w:hAnsi="Times New Roman" w:eastAsia="宋体" w:cs="Times New Roman"/>
          <w:color w:val="auto"/>
          <w:szCs w:val="21"/>
          <w:highlight w:val="none"/>
        </w:rPr>
        <w:t>≤0）。因此，温差大于3.00～3.25</w:t>
      </w:r>
      <w:r>
        <w:rPr>
          <w:rFonts w:hint="eastAsia" w:ascii="Times New Roman" w:hAnsi="Times New Roman" w:eastAsia="宋体" w:cs="Times New Roman"/>
          <w:color w:val="auto"/>
          <w:szCs w:val="21"/>
          <w:highlight w:val="none"/>
        </w:rPr>
        <w:t xml:space="preserve"> </w:t>
      </w:r>
      <w:r>
        <w:rPr>
          <w:rFonts w:ascii="Times New Roman" w:hAnsi="Times New Roman" w:eastAsia="宋体" w:cs="Times New Roman"/>
          <w:color w:val="auto"/>
          <w:szCs w:val="21"/>
          <w:highlight w:val="none"/>
        </w:rPr>
        <w:t>℃时凝结速率提升的现象，应解释为夜间地表冷却、较高空气湿度和水汽供应共同增强后的综合结果，而不是单一温差因子的直接因果效应。</w:t>
      </w:r>
    </w:p>
    <w:p w14:paraId="656EC63D">
      <w:pPr>
        <w:adjustRightInd w:val="0"/>
        <w:snapToGrid w:val="0"/>
        <w:ind w:firstLine="420" w:firstLineChars="200"/>
        <w:rPr>
          <w:rFonts w:ascii="Times New Roman" w:hAnsi="Times New Roman" w:eastAsia="宋体" w:cs="Times New Roman"/>
          <w:color w:val="auto"/>
          <w:kern w:val="0"/>
          <w:szCs w:val="21"/>
          <w:highlight w:val="none"/>
        </w:rPr>
      </w:pPr>
      <w:r>
        <w:rPr>
          <w:rFonts w:hint="eastAsia" w:ascii="Times New Roman" w:hAnsi="Times New Roman" w:eastAsia="宋体" w:cs="Times New Roman"/>
          <w:color w:val="auto"/>
          <w:kern w:val="0"/>
          <w:szCs w:val="21"/>
          <w:highlight w:val="none"/>
        </w:rPr>
        <w:t>风速对凝结水量也有一定的影响，但相关性相对较弱。风可以促进凝结水的形成，也可以增加与空气的热交换对流和湍流不利于凝结水形成</w:t>
      </w:r>
      <w:r>
        <w:rPr>
          <w:rFonts w:ascii="Times New Roman" w:hAnsi="Times New Roman" w:eastAsia="宋体" w:cs="Times New Roman"/>
          <w:color w:val="auto"/>
          <w:kern w:val="0"/>
          <w:szCs w:val="21"/>
          <w:highlight w:val="none"/>
          <w:vertAlign w:val="superscript"/>
        </w:rPr>
        <w:t>[29]</w:t>
      </w:r>
      <w:r>
        <w:rPr>
          <w:rFonts w:hint="eastAsia" w:ascii="Times New Roman" w:hAnsi="Times New Roman" w:eastAsia="宋体" w:cs="Times New Roman"/>
          <w:color w:val="auto"/>
          <w:kern w:val="0"/>
          <w:szCs w:val="21"/>
          <w:highlight w:val="none"/>
        </w:rPr>
        <w:t>。关于风速与凝结的具体关系存在不同的看法，有些学者认为凝结水的形成与风速不成线性关系</w:t>
      </w:r>
      <w:r>
        <w:rPr>
          <w:rFonts w:ascii="Times New Roman" w:hAnsi="Times New Roman" w:eastAsia="宋体" w:cs="Times New Roman"/>
          <w:color w:val="auto"/>
          <w:kern w:val="0"/>
          <w:szCs w:val="21"/>
          <w:highlight w:val="none"/>
          <w:vertAlign w:val="superscript"/>
        </w:rPr>
        <w:t>[40-41]</w:t>
      </w:r>
      <w:r>
        <w:rPr>
          <w:rFonts w:hint="eastAsia" w:ascii="Times New Roman" w:hAnsi="Times New Roman" w:eastAsia="宋体" w:cs="Times New Roman"/>
          <w:color w:val="auto"/>
          <w:kern w:val="0"/>
          <w:szCs w:val="21"/>
          <w:highlight w:val="none"/>
        </w:rPr>
        <w:t>，还有一些学者认为微风或者风速接近于</w:t>
      </w:r>
      <w:r>
        <w:rPr>
          <w:rFonts w:ascii="Times New Roman" w:hAnsi="Times New Roman" w:eastAsia="宋体" w:cs="Times New Roman"/>
          <w:color w:val="auto"/>
          <w:kern w:val="0"/>
          <w:szCs w:val="21"/>
          <w:highlight w:val="none"/>
        </w:rPr>
        <w:t>0</w:t>
      </w:r>
      <w:r>
        <w:rPr>
          <w:rFonts w:hint="eastAsia" w:ascii="Times New Roman" w:hAnsi="Times New Roman" w:eastAsia="宋体" w:cs="Times New Roman"/>
          <w:color w:val="auto"/>
          <w:kern w:val="0"/>
          <w:szCs w:val="21"/>
          <w:highlight w:val="none"/>
        </w:rPr>
        <w:t>有利于凝结水产生，而</w:t>
      </w:r>
      <w:r>
        <w:rPr>
          <w:rFonts w:ascii="Times New Roman" w:hAnsi="Times New Roman" w:eastAsia="宋体" w:cs="Times New Roman"/>
          <w:color w:val="auto"/>
          <w:kern w:val="0"/>
          <w:szCs w:val="21"/>
          <w:highlight w:val="none"/>
        </w:rPr>
        <w:t>MONTEITH</w:t>
      </w:r>
      <w:r>
        <w:rPr>
          <w:rFonts w:ascii="Times New Roman" w:hAnsi="Times New Roman" w:eastAsia="宋体" w:cs="Times New Roman"/>
          <w:color w:val="auto"/>
          <w:kern w:val="0"/>
          <w:szCs w:val="21"/>
          <w:highlight w:val="none"/>
          <w:vertAlign w:val="superscript"/>
        </w:rPr>
        <w:t>[4</w:t>
      </w:r>
      <w:r>
        <w:rPr>
          <w:rFonts w:hint="eastAsia" w:ascii="Times New Roman" w:hAnsi="Times New Roman" w:eastAsia="宋体" w:cs="Times New Roman"/>
          <w:color w:val="auto"/>
          <w:kern w:val="0"/>
          <w:szCs w:val="21"/>
          <w:highlight w:val="none"/>
          <w:vertAlign w:val="superscript"/>
        </w:rPr>
        <w:t>1</w:t>
      </w:r>
      <w:r>
        <w:rPr>
          <w:rFonts w:ascii="Times New Roman" w:hAnsi="Times New Roman" w:eastAsia="宋体" w:cs="Times New Roman"/>
          <w:color w:val="auto"/>
          <w:kern w:val="0"/>
          <w:szCs w:val="21"/>
          <w:highlight w:val="none"/>
          <w:vertAlign w:val="superscript"/>
        </w:rPr>
        <w:t>]</w:t>
      </w:r>
      <w:r>
        <w:rPr>
          <w:rFonts w:hint="eastAsia" w:ascii="Times New Roman" w:hAnsi="Times New Roman" w:eastAsia="宋体" w:cs="Times New Roman"/>
          <w:color w:val="auto"/>
          <w:kern w:val="0"/>
          <w:szCs w:val="21"/>
          <w:highlight w:val="none"/>
        </w:rPr>
        <w:t>认为风速应小于</w:t>
      </w:r>
      <w:r>
        <w:rPr>
          <w:rFonts w:ascii="Times New Roman" w:hAnsi="Times New Roman" w:eastAsia="宋体" w:cs="Times New Roman"/>
          <w:color w:val="auto"/>
          <w:kern w:val="0"/>
          <w:szCs w:val="21"/>
          <w:highlight w:val="none"/>
        </w:rPr>
        <w:t>0.5</w:t>
      </w:r>
      <w:r>
        <w:rPr>
          <w:rFonts w:hint="eastAsia" w:ascii="Times New Roman" w:hAnsi="Times New Roman" w:eastAsia="宋体" w:cs="Times New Roman"/>
          <w:color w:val="auto"/>
          <w:kern w:val="0"/>
          <w:szCs w:val="21"/>
          <w:highlight w:val="none"/>
        </w:rPr>
        <w:t xml:space="preserve"> </w:t>
      </w:r>
      <w:r>
        <w:rPr>
          <w:rFonts w:ascii="Times New Roman" w:hAnsi="Times New Roman" w:eastAsia="宋体" w:cs="Times New Roman"/>
          <w:color w:val="auto"/>
          <w:kern w:val="0"/>
          <w:szCs w:val="21"/>
          <w:highlight w:val="none"/>
        </w:rPr>
        <w:t>m·s</w:t>
      </w:r>
      <w:r>
        <w:rPr>
          <w:rFonts w:ascii="Times New Roman" w:hAnsi="Times New Roman" w:eastAsia="宋体" w:cs="Times New Roman"/>
          <w:color w:val="auto"/>
          <w:kern w:val="0"/>
          <w:szCs w:val="21"/>
          <w:highlight w:val="none"/>
          <w:vertAlign w:val="superscript"/>
        </w:rPr>
        <w:t>-1</w:t>
      </w:r>
      <w:r>
        <w:rPr>
          <w:rFonts w:hint="eastAsia" w:ascii="Times New Roman" w:hAnsi="Times New Roman" w:eastAsia="宋体" w:cs="Times New Roman"/>
          <w:color w:val="auto"/>
          <w:kern w:val="0"/>
          <w:szCs w:val="21"/>
          <w:highlight w:val="none"/>
        </w:rPr>
        <w:t>而</w:t>
      </w:r>
      <w:r>
        <w:rPr>
          <w:rFonts w:ascii="Times New Roman" w:hAnsi="Times New Roman" w:eastAsia="宋体" w:cs="Times New Roman"/>
          <w:color w:val="auto"/>
          <w:kern w:val="0"/>
          <w:szCs w:val="21"/>
          <w:highlight w:val="none"/>
        </w:rPr>
        <w:t>YE等</w:t>
      </w:r>
      <w:r>
        <w:rPr>
          <w:rFonts w:ascii="Times New Roman" w:hAnsi="Times New Roman" w:eastAsia="宋体" w:cs="Times New Roman"/>
          <w:color w:val="auto"/>
          <w:kern w:val="0"/>
          <w:szCs w:val="21"/>
          <w:highlight w:val="none"/>
          <w:vertAlign w:val="superscript"/>
        </w:rPr>
        <w:t>[</w:t>
      </w:r>
      <w:r>
        <w:rPr>
          <w:rFonts w:hint="eastAsia" w:ascii="Times New Roman" w:hAnsi="Times New Roman" w:eastAsia="宋体" w:cs="Times New Roman"/>
          <w:color w:val="auto"/>
          <w:kern w:val="0"/>
          <w:szCs w:val="21"/>
          <w:highlight w:val="none"/>
          <w:vertAlign w:val="superscript"/>
        </w:rPr>
        <w:t>39</w:t>
      </w:r>
      <w:r>
        <w:rPr>
          <w:rFonts w:ascii="Times New Roman" w:hAnsi="Times New Roman" w:eastAsia="宋体" w:cs="Times New Roman"/>
          <w:color w:val="auto"/>
          <w:kern w:val="0"/>
          <w:szCs w:val="21"/>
          <w:highlight w:val="none"/>
          <w:vertAlign w:val="superscript"/>
        </w:rPr>
        <w:t>]</w:t>
      </w:r>
      <w:r>
        <w:rPr>
          <w:rFonts w:hint="eastAsia" w:ascii="Times New Roman" w:hAnsi="Times New Roman" w:eastAsia="宋体" w:cs="Times New Roman"/>
          <w:color w:val="auto"/>
          <w:kern w:val="0"/>
          <w:szCs w:val="21"/>
          <w:highlight w:val="none"/>
        </w:rPr>
        <w:t>认为风速应小于</w:t>
      </w:r>
      <w:r>
        <w:rPr>
          <w:rFonts w:ascii="Times New Roman" w:hAnsi="Times New Roman" w:eastAsia="宋体" w:cs="Times New Roman"/>
          <w:color w:val="auto"/>
          <w:kern w:val="0"/>
          <w:szCs w:val="21"/>
          <w:highlight w:val="none"/>
        </w:rPr>
        <w:t>1 m·s</w:t>
      </w:r>
      <w:r>
        <w:rPr>
          <w:rFonts w:ascii="Times New Roman" w:hAnsi="Times New Roman" w:eastAsia="宋体" w:cs="Times New Roman"/>
          <w:color w:val="auto"/>
          <w:kern w:val="0"/>
          <w:szCs w:val="21"/>
          <w:highlight w:val="none"/>
          <w:vertAlign w:val="superscript"/>
        </w:rPr>
        <w:t>-1</w:t>
      </w:r>
      <w:r>
        <w:rPr>
          <w:rFonts w:ascii="Times New Roman" w:hAnsi="Times New Roman" w:eastAsia="宋体" w:cs="Times New Roman"/>
          <w:color w:val="auto"/>
          <w:kern w:val="0"/>
          <w:szCs w:val="21"/>
          <w:highlight w:val="none"/>
        </w:rPr>
        <w:t>.</w:t>
      </w:r>
      <w:r>
        <w:rPr>
          <w:rFonts w:hint="eastAsia" w:ascii="Times New Roman" w:hAnsi="Times New Roman" w:eastAsia="宋体" w:cs="Times New Roman"/>
          <w:color w:val="auto"/>
          <w:kern w:val="0"/>
          <w:szCs w:val="21"/>
          <w:highlight w:val="none"/>
        </w:rPr>
        <w:t>理论上，水汽凝结的物理过程仅与空气温湿度及风速（影响湍流热交换）有关，与风向本身并无直接因果关系。本研究中凝结水集中出现在</w:t>
      </w:r>
      <w:r>
        <w:rPr>
          <w:rFonts w:ascii="Times New Roman" w:hAnsi="Times New Roman" w:eastAsia="宋体" w:cs="Times New Roman"/>
          <w:color w:val="auto"/>
          <w:kern w:val="0"/>
          <w:szCs w:val="21"/>
          <w:highlight w:val="none"/>
        </w:rPr>
        <w:t>120°</w:t>
      </w:r>
      <w:r>
        <w:rPr>
          <w:rFonts w:ascii="Times New Roman" w:hAnsi="Times New Roman" w:eastAsia="宋体" w:cs="Times New Roman"/>
          <w:color w:val="auto"/>
          <w:spacing w:val="15"/>
          <w:kern w:val="0"/>
          <w:szCs w:val="21"/>
          <w:highlight w:val="none"/>
        </w:rPr>
        <w:t>~</w:t>
      </w:r>
      <w:r>
        <w:rPr>
          <w:rFonts w:ascii="Times New Roman" w:hAnsi="Times New Roman" w:eastAsia="宋体" w:cs="Times New Roman"/>
          <w:color w:val="auto"/>
          <w:kern w:val="0"/>
          <w:szCs w:val="21"/>
          <w:highlight w:val="none"/>
        </w:rPr>
        <w:t>270°</w:t>
      </w:r>
      <w:r>
        <w:rPr>
          <w:rFonts w:hint="eastAsia" w:ascii="Times New Roman" w:hAnsi="Times New Roman" w:eastAsia="宋体" w:cs="Times New Roman"/>
          <w:color w:val="auto"/>
          <w:kern w:val="0"/>
          <w:szCs w:val="21"/>
          <w:highlight w:val="none"/>
        </w:rPr>
        <w:t>风向范围内，并非该风向阈值直接</w:t>
      </w:r>
      <w:r>
        <w:rPr>
          <w:rFonts w:ascii="Times New Roman" w:hAnsi="Times New Roman" w:eastAsia="宋体" w:cs="Times New Roman"/>
          <w:color w:val="auto"/>
          <w:kern w:val="0"/>
          <w:szCs w:val="21"/>
          <w:highlight w:val="none"/>
        </w:rPr>
        <w:t>“</w:t>
      </w:r>
      <w:r>
        <w:rPr>
          <w:rFonts w:hint="eastAsia" w:ascii="Times New Roman" w:hAnsi="Times New Roman" w:eastAsia="宋体" w:cs="Times New Roman"/>
          <w:color w:val="auto"/>
          <w:kern w:val="0"/>
          <w:szCs w:val="21"/>
          <w:highlight w:val="none"/>
        </w:rPr>
        <w:t>诱发</w:t>
      </w:r>
      <w:r>
        <w:rPr>
          <w:rFonts w:ascii="Times New Roman" w:hAnsi="Times New Roman" w:eastAsia="宋体" w:cs="Times New Roman"/>
          <w:color w:val="auto"/>
          <w:kern w:val="0"/>
          <w:szCs w:val="21"/>
          <w:highlight w:val="none"/>
        </w:rPr>
        <w:t>”</w:t>
      </w:r>
      <w:r>
        <w:rPr>
          <w:rFonts w:hint="eastAsia" w:ascii="Times New Roman" w:hAnsi="Times New Roman" w:eastAsia="宋体" w:cs="Times New Roman"/>
          <w:color w:val="auto"/>
          <w:kern w:val="0"/>
          <w:szCs w:val="21"/>
          <w:highlight w:val="none"/>
        </w:rPr>
        <w:t>了凝结，而是因为试验地位于玛纳斯河流域，夜间受天山山脉地形驱动，盛行偏南向的山谷风。这种特定风向的局地环流带来了有利于凝结的冷湿气团。因此，风向在这里更多是作为局地微气候特征的指示因子，而非凝结水的直接物理驱动力。</w:t>
      </w:r>
    </w:p>
    <w:p w14:paraId="65B7FEBB">
      <w:pPr>
        <w:pStyle w:val="3"/>
        <w:spacing w:before="0" w:after="0" w:line="240" w:lineRule="auto"/>
        <w:rPr>
          <w:rFonts w:ascii="Times New Roman" w:hAnsi="Times New Roman" w:eastAsia="宋体" w:cs="Times New Roman"/>
          <w:b w:val="0"/>
          <w:bCs w:val="0"/>
          <w:color w:val="auto"/>
          <w:highlight w:val="none"/>
        </w:rPr>
      </w:pPr>
      <w:r>
        <w:rPr>
          <w:rFonts w:ascii="Times New Roman" w:hAnsi="Times New Roman" w:eastAsia="宋体" w:cs="Times New Roman"/>
          <w:b w:val="0"/>
          <w:bCs w:val="0"/>
          <w:color w:val="auto"/>
          <w:highlight w:val="none"/>
        </w:rPr>
        <w:t>4 结论</w:t>
      </w:r>
    </w:p>
    <w:p w14:paraId="5EB42D57">
      <w:pPr>
        <w:widowControl/>
        <w:ind w:firstLine="420" w:firstLineChars="200"/>
        <w:rPr>
          <w:rFonts w:ascii="Times New Roman" w:hAnsi="Times New Roman" w:eastAsia="宋体" w:cs="Times New Roman"/>
          <w:snapToGrid w:val="0"/>
          <w:color w:val="auto"/>
          <w:kern w:val="0"/>
          <w:szCs w:val="21"/>
          <w:highlight w:val="none"/>
        </w:rPr>
      </w:pPr>
      <w:r>
        <w:rPr>
          <w:rFonts w:hint="eastAsia" w:ascii="Times New Roman" w:hAnsi="Times New Roman" w:eastAsia="宋体" w:cs="Times New Roman"/>
          <w:snapToGrid w:val="0"/>
          <w:color w:val="auto"/>
          <w:kern w:val="0"/>
          <w:szCs w:val="21"/>
          <w:highlight w:val="none"/>
        </w:rPr>
        <w:t>本研究基于</w:t>
      </w:r>
      <w:r>
        <w:rPr>
          <w:rFonts w:hint="eastAsia" w:ascii="Times New Roman" w:hAnsi="Times New Roman" w:eastAsia="宋体" w:cs="Times New Roman"/>
          <w:snapToGrid w:val="0"/>
          <w:color w:val="auto"/>
          <w:kern w:val="0"/>
          <w:szCs w:val="21"/>
          <w:highlight w:val="none"/>
        </w:rPr>
        <w:t>2018</w:t>
      </w:r>
      <w:r>
        <w:rPr>
          <w:rFonts w:ascii="Times New Roman" w:hAnsi="Times New Roman" w:cs="Times New Roman"/>
          <w:color w:val="auto"/>
          <w:szCs w:val="21"/>
          <w:highlight w:val="none"/>
        </w:rPr>
        <w:t>—</w:t>
      </w:r>
      <w:r>
        <w:rPr>
          <w:rFonts w:hint="eastAsia" w:ascii="Times New Roman" w:hAnsi="Times New Roman" w:eastAsia="宋体" w:cs="Times New Roman"/>
          <w:snapToGrid w:val="0"/>
          <w:color w:val="auto"/>
          <w:kern w:val="0"/>
          <w:szCs w:val="21"/>
          <w:highlight w:val="none"/>
        </w:rPr>
        <w:t>2020</w:t>
      </w:r>
      <w:r>
        <w:rPr>
          <w:rFonts w:hint="eastAsia" w:ascii="Times New Roman" w:hAnsi="Times New Roman" w:eastAsia="宋体" w:cs="Times New Roman"/>
          <w:snapToGrid w:val="0"/>
          <w:color w:val="auto"/>
          <w:kern w:val="0"/>
          <w:szCs w:val="21"/>
          <w:highlight w:val="none"/>
        </w:rPr>
        <w:t>年大型称重式蒸渗仪和自动气象站观测数据，分析了干旱区滴灌棉田凝结水动态过程、覆膜影响及其微气象驱动机制，主要结论如下：</w:t>
      </w:r>
    </w:p>
    <w:p w14:paraId="413C418A">
      <w:pPr>
        <w:widowControl/>
        <w:ind w:firstLine="420" w:firstLineChars="200"/>
        <w:rPr>
          <w:rFonts w:ascii="Times New Roman" w:hAnsi="Times New Roman" w:eastAsia="宋体" w:cs="Times New Roman"/>
          <w:snapToGrid w:val="0"/>
          <w:color w:val="auto"/>
          <w:kern w:val="0"/>
          <w:szCs w:val="21"/>
          <w:highlight w:val="none"/>
        </w:rPr>
      </w:pPr>
      <w:r>
        <w:rPr>
          <w:rFonts w:hint="eastAsia" w:ascii="Times New Roman" w:hAnsi="Times New Roman" w:eastAsia="宋体" w:cs="Times New Roman"/>
          <w:snapToGrid w:val="0"/>
          <w:color w:val="auto"/>
          <w:kern w:val="0"/>
          <w:szCs w:val="21"/>
          <w:highlight w:val="none"/>
        </w:rPr>
        <w:t>（1）滴灌棉田凝结水具有明显的日内变化特征，主要发生在0:00至次日8:00，表现为夜间形成、凌晨增强和日出后转为蒸散的连续变化过程。不同生育期凝结水日变化整体趋势基本一致，但凝结强度和累积量存在差异，蕾期和花铃期整体高于苗期和吐絮期。</w:t>
      </w:r>
    </w:p>
    <w:p w14:paraId="3FAB2A4B">
      <w:pPr>
        <w:widowControl/>
        <w:ind w:firstLine="420" w:firstLineChars="200"/>
        <w:rPr>
          <w:rFonts w:ascii="Times New Roman" w:hAnsi="Times New Roman" w:eastAsia="宋体" w:cs="Times New Roman"/>
          <w:snapToGrid w:val="0"/>
          <w:color w:val="auto"/>
          <w:kern w:val="0"/>
          <w:szCs w:val="21"/>
          <w:highlight w:val="none"/>
        </w:rPr>
      </w:pPr>
      <w:r>
        <w:rPr>
          <w:rFonts w:hint="eastAsia" w:ascii="Times New Roman" w:hAnsi="Times New Roman" w:eastAsia="宋体" w:cs="Times New Roman"/>
          <w:snapToGrid w:val="0"/>
          <w:color w:val="auto"/>
          <w:kern w:val="0"/>
          <w:szCs w:val="21"/>
          <w:highlight w:val="none"/>
        </w:rPr>
        <w:t>（2）覆膜与不覆膜处理下凝结水日变化整体趋势基本一致，但覆膜会降低凝结速率峰值和系统可记录的总凝结量。不覆膜条件下，裸露土壤表面和作物冠层共同参与凝结，凝结水输入量总体高于覆膜条件；覆膜则通过阻隔部分土壤水汽向上输送、改变有效凝结界面和近地表热湿环境，减少系统可记录的凝结水输入。由于蒸渗仪记录的是“土壤-作物”系统总质量变化，本文尚不能直接定量区分大气凝结和土壤蒸馏对凝结水的相对贡献。</w:t>
      </w:r>
    </w:p>
    <w:p w14:paraId="24824CF3">
      <w:pPr>
        <w:widowControl/>
        <w:ind w:firstLine="420" w:firstLineChars="200"/>
        <w:rPr>
          <w:rFonts w:hint="eastAsia"/>
          <w:snapToGrid w:val="0"/>
          <w:color w:val="auto"/>
          <w:highlight w:val="none"/>
        </w:rPr>
      </w:pPr>
      <w:r>
        <w:rPr>
          <w:rFonts w:hint="eastAsia" w:ascii="Times New Roman" w:hAnsi="Times New Roman" w:eastAsia="宋体" w:cs="Times New Roman"/>
          <w:snapToGrid w:val="0"/>
          <w:color w:val="auto"/>
          <w:kern w:val="0"/>
          <w:szCs w:val="21"/>
          <w:highlight w:val="none"/>
        </w:rPr>
        <w:t>（3）凝结水形成主要受空气湿度、露点温度、地表-空气温差</w:t>
      </w:r>
      <w:r>
        <w:rPr>
          <w:rFonts w:ascii="Times New Roman" w:hAnsi="Times New Roman" w:eastAsia="宋体" w:cs="Times New Roman"/>
          <w:color w:val="auto"/>
          <w:szCs w:val="21"/>
          <w:highlight w:val="none"/>
        </w:rPr>
        <w:t>（</w:t>
      </w:r>
      <w:r>
        <w:rPr>
          <w:rFonts w:ascii="Times New Roman" w:hAnsi="Times New Roman" w:eastAsia="宋体" w:cs="Times New Roman"/>
          <w:i/>
          <w:iCs/>
          <w:color w:val="auto"/>
          <w:szCs w:val="21"/>
          <w:highlight w:val="none"/>
        </w:rPr>
        <w:t>T</w:t>
      </w:r>
      <w:r>
        <w:rPr>
          <w:rFonts w:ascii="Times New Roman" w:hAnsi="Times New Roman" w:eastAsia="宋体" w:cs="Times New Roman"/>
          <w:i/>
          <w:iCs/>
          <w:color w:val="auto"/>
          <w:szCs w:val="21"/>
          <w:highlight w:val="none"/>
          <w:vertAlign w:val="subscript"/>
        </w:rPr>
        <w:t>s</w:t>
      </w:r>
      <w:r>
        <w:rPr>
          <w:rFonts w:ascii="Times New Roman" w:hAnsi="Times New Roman" w:eastAsia="宋体" w:cs="Times New Roman"/>
          <w:color w:val="auto"/>
          <w:szCs w:val="21"/>
          <w:highlight w:val="none"/>
        </w:rPr>
        <w:t>-</w:t>
      </w:r>
      <w:r>
        <w:rPr>
          <w:rFonts w:ascii="Times New Roman" w:hAnsi="Times New Roman" w:eastAsia="宋体" w:cs="Times New Roman"/>
          <w:i/>
          <w:iCs/>
          <w:color w:val="auto"/>
          <w:szCs w:val="21"/>
          <w:highlight w:val="none"/>
        </w:rPr>
        <w:t>T</w:t>
      </w:r>
      <w:r>
        <w:rPr>
          <w:rFonts w:ascii="Times New Roman" w:hAnsi="Times New Roman" w:eastAsia="宋体" w:cs="Times New Roman"/>
          <w:i/>
          <w:iCs/>
          <w:color w:val="auto"/>
          <w:szCs w:val="21"/>
          <w:highlight w:val="none"/>
          <w:vertAlign w:val="subscript"/>
        </w:rPr>
        <w:t>a</w:t>
      </w:r>
      <w:r>
        <w:rPr>
          <w:rFonts w:ascii="Times New Roman" w:hAnsi="Times New Roman" w:eastAsia="宋体" w:cs="Times New Roman"/>
          <w:color w:val="auto"/>
          <w:szCs w:val="21"/>
          <w:highlight w:val="none"/>
        </w:rPr>
        <w:t>）</w:t>
      </w:r>
      <w:r>
        <w:rPr>
          <w:rFonts w:hint="eastAsia" w:ascii="Times New Roman" w:hAnsi="Times New Roman" w:eastAsia="宋体" w:cs="Times New Roman"/>
          <w:snapToGrid w:val="0"/>
          <w:color w:val="auto"/>
          <w:kern w:val="0"/>
          <w:szCs w:val="21"/>
          <w:highlight w:val="none"/>
        </w:rPr>
        <w:t>及凝结面-露点温差</w:t>
      </w:r>
      <w:r>
        <w:rPr>
          <w:rFonts w:ascii="Times New Roman" w:hAnsi="Times New Roman" w:eastAsia="宋体" w:cs="Times New Roman"/>
          <w:color w:val="auto"/>
          <w:szCs w:val="21"/>
          <w:highlight w:val="none"/>
        </w:rPr>
        <w:t>（</w:t>
      </w:r>
      <w:r>
        <w:rPr>
          <w:rFonts w:ascii="Times New Roman" w:hAnsi="Times New Roman" w:eastAsia="宋体" w:cs="Times New Roman"/>
          <w:i/>
          <w:iCs/>
          <w:color w:val="auto"/>
          <w:szCs w:val="21"/>
          <w:highlight w:val="none"/>
        </w:rPr>
        <w:t>T</w:t>
      </w:r>
      <w:r>
        <w:rPr>
          <w:rFonts w:ascii="Times New Roman" w:hAnsi="Times New Roman" w:eastAsia="宋体" w:cs="Times New Roman"/>
          <w:i/>
          <w:iCs/>
          <w:color w:val="auto"/>
          <w:szCs w:val="21"/>
          <w:highlight w:val="none"/>
          <w:vertAlign w:val="subscript"/>
        </w:rPr>
        <w:t>s</w:t>
      </w:r>
      <w:r>
        <w:rPr>
          <w:rFonts w:ascii="Times New Roman" w:hAnsi="Times New Roman" w:eastAsia="宋体" w:cs="Times New Roman"/>
          <w:color w:val="auto"/>
          <w:szCs w:val="21"/>
          <w:highlight w:val="none"/>
        </w:rPr>
        <w:t>-</w:t>
      </w:r>
      <w:r>
        <w:rPr>
          <w:rFonts w:ascii="Times New Roman" w:hAnsi="Times New Roman" w:eastAsia="宋体" w:cs="Times New Roman"/>
          <w:i/>
          <w:iCs/>
          <w:color w:val="auto"/>
          <w:szCs w:val="21"/>
          <w:highlight w:val="none"/>
        </w:rPr>
        <w:t>T</w:t>
      </w:r>
      <w:r>
        <w:rPr>
          <w:rFonts w:hint="eastAsia" w:ascii="Times New Roman" w:hAnsi="Times New Roman" w:eastAsia="宋体" w:cs="Times New Roman"/>
          <w:i/>
          <w:iCs/>
          <w:color w:val="auto"/>
          <w:szCs w:val="21"/>
          <w:highlight w:val="none"/>
          <w:vertAlign w:val="subscript"/>
        </w:rPr>
        <w:t>d</w:t>
      </w:r>
      <w:r>
        <w:rPr>
          <w:rFonts w:ascii="Times New Roman" w:hAnsi="Times New Roman" w:eastAsia="宋体" w:cs="Times New Roman"/>
          <w:color w:val="auto"/>
          <w:szCs w:val="21"/>
          <w:highlight w:val="none"/>
        </w:rPr>
        <w:t>）</w:t>
      </w:r>
      <w:r>
        <w:rPr>
          <w:rFonts w:hint="eastAsia" w:ascii="Times New Roman" w:hAnsi="Times New Roman" w:eastAsia="宋体" w:cs="Times New Roman"/>
          <w:snapToGrid w:val="0"/>
          <w:color w:val="auto"/>
          <w:kern w:val="0"/>
          <w:szCs w:val="21"/>
          <w:highlight w:val="none"/>
        </w:rPr>
        <w:t>共同影响。凝结量与空气相对湿度和露点温度呈正相关，与地表-空气温差</w:t>
      </w:r>
      <w:r>
        <w:rPr>
          <w:rFonts w:ascii="Times New Roman" w:hAnsi="Times New Roman" w:eastAsia="宋体" w:cs="Times New Roman"/>
          <w:color w:val="auto"/>
          <w:szCs w:val="21"/>
          <w:highlight w:val="none"/>
        </w:rPr>
        <w:t>（</w:t>
      </w:r>
      <w:r>
        <w:rPr>
          <w:rFonts w:ascii="Times New Roman" w:hAnsi="Times New Roman" w:eastAsia="宋体" w:cs="Times New Roman"/>
          <w:i/>
          <w:iCs/>
          <w:color w:val="auto"/>
          <w:szCs w:val="21"/>
          <w:highlight w:val="none"/>
        </w:rPr>
        <w:t>T</w:t>
      </w:r>
      <w:r>
        <w:rPr>
          <w:rFonts w:ascii="Times New Roman" w:hAnsi="Times New Roman" w:eastAsia="宋体" w:cs="Times New Roman"/>
          <w:i/>
          <w:iCs/>
          <w:color w:val="auto"/>
          <w:szCs w:val="21"/>
          <w:highlight w:val="none"/>
          <w:vertAlign w:val="subscript"/>
        </w:rPr>
        <w:t>s</w:t>
      </w:r>
      <w:r>
        <w:rPr>
          <w:rFonts w:ascii="Times New Roman" w:hAnsi="Times New Roman" w:eastAsia="宋体" w:cs="Times New Roman"/>
          <w:color w:val="auto"/>
          <w:szCs w:val="21"/>
          <w:highlight w:val="none"/>
        </w:rPr>
        <w:t>-</w:t>
      </w:r>
      <w:r>
        <w:rPr>
          <w:rFonts w:ascii="Times New Roman" w:hAnsi="Times New Roman" w:eastAsia="宋体" w:cs="Times New Roman"/>
          <w:i/>
          <w:iCs/>
          <w:color w:val="auto"/>
          <w:szCs w:val="21"/>
          <w:highlight w:val="none"/>
        </w:rPr>
        <w:t>T</w:t>
      </w:r>
      <w:r>
        <w:rPr>
          <w:rFonts w:ascii="Times New Roman" w:hAnsi="Times New Roman" w:eastAsia="宋体" w:cs="Times New Roman"/>
          <w:i/>
          <w:iCs/>
          <w:color w:val="auto"/>
          <w:szCs w:val="21"/>
          <w:highlight w:val="none"/>
          <w:vertAlign w:val="subscript"/>
        </w:rPr>
        <w:t>a</w:t>
      </w:r>
      <w:r>
        <w:rPr>
          <w:rFonts w:ascii="Times New Roman" w:hAnsi="Times New Roman" w:eastAsia="宋体" w:cs="Times New Roman"/>
          <w:color w:val="auto"/>
          <w:szCs w:val="21"/>
          <w:highlight w:val="none"/>
        </w:rPr>
        <w:t>）</w:t>
      </w:r>
      <w:r>
        <w:rPr>
          <w:rFonts w:hint="eastAsia" w:ascii="Times New Roman" w:hAnsi="Times New Roman" w:eastAsia="宋体" w:cs="Times New Roman"/>
          <w:snapToGrid w:val="0"/>
          <w:color w:val="auto"/>
          <w:kern w:val="0"/>
          <w:szCs w:val="21"/>
          <w:highlight w:val="none"/>
        </w:rPr>
        <w:t>呈指数关系；但水汽凝结的直接热力条件是凝结面温度达到或低于露点温度。风速主要通过影响近地表湍流交换发挥调节作用，风向则更多反映研究区夜间山谷风等局地环流背景。总体而言，棉田凝结水形成是夜间高湿条件、地表冷却、露点约束和局地微风共同作用的结果。</w:t>
      </w:r>
      <w:r>
        <w:rPr>
          <w:snapToGrid w:val="0"/>
          <w:color w:val="auto"/>
          <w:highlight w:val="none"/>
        </w:rPr>
        <w:br w:type="page"/>
      </w:r>
    </w:p>
    <w:p w14:paraId="35CEC79E">
      <w:pPr>
        <w:widowControl/>
        <w:jc w:val="left"/>
        <w:rPr>
          <w:rFonts w:ascii="Times New Roman" w:hAnsi="Times New Roman" w:eastAsia="宋体" w:cs="Times New Roman"/>
          <w:color w:val="auto"/>
          <w:sz w:val="20"/>
          <w:szCs w:val="20"/>
          <w:highlight w:val="none"/>
        </w:rPr>
      </w:pPr>
      <w:r>
        <w:rPr>
          <w:rFonts w:ascii="黑体" w:hAnsi="黑体" w:eastAsia="黑体" w:cs="Times New Roman"/>
          <w:color w:val="auto"/>
          <w:sz w:val="20"/>
          <w:szCs w:val="20"/>
          <w:highlight w:val="none"/>
        </w:rPr>
        <w:t>参考文献</w:t>
      </w:r>
      <w:r>
        <w:rPr>
          <w:rStyle w:val="25"/>
          <w:rFonts w:ascii="Times New Roman" w:hAnsi="Times New Roman" w:eastAsia="宋体" w:cs="Times New Roman"/>
          <w:color w:val="auto"/>
          <w:sz w:val="20"/>
          <w:szCs w:val="20"/>
          <w:highlight w:val="none"/>
        </w:rPr>
        <w:t>（</w:t>
      </w:r>
      <w:r>
        <w:rPr>
          <w:rStyle w:val="25"/>
          <w:rFonts w:ascii="Times New Roman" w:hAnsi="Times New Roman" w:eastAsia="宋体" w:cs="Times New Roman"/>
          <w:b w:val="0"/>
          <w:bCs w:val="0"/>
          <w:color w:val="auto"/>
          <w:sz w:val="20"/>
          <w:szCs w:val="20"/>
          <w:highlight w:val="none"/>
        </w:rPr>
        <w:t>References</w:t>
      </w:r>
      <w:r>
        <w:rPr>
          <w:rStyle w:val="25"/>
          <w:rFonts w:ascii="Times New Roman" w:hAnsi="Times New Roman" w:eastAsia="宋体" w:cs="Times New Roman"/>
          <w:color w:val="auto"/>
          <w:sz w:val="20"/>
          <w:szCs w:val="20"/>
          <w:highlight w:val="none"/>
        </w:rPr>
        <w:t>）：</w:t>
      </w:r>
    </w:p>
    <w:p w14:paraId="72DE2E8B">
      <w:pPr>
        <w:pStyle w:val="2"/>
        <w:spacing w:after="0"/>
        <w:ind w:left="263" w:hanging="262" w:hangingChars="175"/>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[1] 沙金霞, 石洪源, 仇亚琴, 等. 基于降水情景选取的多源土壤湿度同化研究[J]. 水利水电技术(中英文), 2026, 57(5): 121-133.</w:t>
      </w:r>
      <w:r>
        <w:rPr>
          <w:rFonts w:hint="eastAsia" w:ascii="Times New Roman" w:hAnsi="Times New Roman" w:eastAsia="宋体" w:cs="Times New Roman"/>
          <w:color w:val="auto"/>
          <w:sz w:val="15"/>
          <w:szCs w:val="15"/>
          <w:highlight w:val="none"/>
        </w:rPr>
        <w:br w:type="textWrapping"/>
      </w:r>
      <w:r>
        <w:rPr>
          <w:rFonts w:hint="eastAsia" w:ascii="Times New Roman" w:hAnsi="Times New Roman" w:eastAsia="宋体" w:cs="Times New Roman"/>
          <w:color w:val="auto"/>
          <w:sz w:val="15"/>
          <w:szCs w:val="15"/>
          <w:highlight w:val="none"/>
        </w:rPr>
        <w:t>SHA J X, SHI H Y, QIU Y Q, et al.</w:t>
      </w:r>
      <w:r>
        <w:rPr>
          <w:rFonts w:hint="eastAsia" w:ascii="Times New Roman" w:hAnsi="Times New Roman" w:eastAsia="宋体" w:cs="Times New Roman"/>
          <w:color w:val="auto"/>
          <w:sz w:val="15"/>
          <w:szCs w:val="15"/>
          <w:highlight w:val="none"/>
        </w:rPr>
        <w:t xml:space="preserve"> </w:t>
      </w:r>
      <w:r>
        <w:rPr>
          <w:rFonts w:hint="eastAsia" w:ascii="Times New Roman" w:hAnsi="Times New Roman" w:eastAsia="宋体" w:cs="Times New Roman"/>
          <w:color w:val="auto"/>
          <w:sz w:val="15"/>
          <w:szCs w:val="15"/>
          <w:highlight w:val="none"/>
        </w:rPr>
        <w:t>Research</w:t>
      </w:r>
      <w:r>
        <w:rPr>
          <w:rFonts w:hint="eastAsia" w:ascii="Times New Roman" w:hAnsi="Times New Roman" w:eastAsia="宋体" w:cs="Times New Roman"/>
          <w:color w:val="auto"/>
          <w:sz w:val="15"/>
          <w:szCs w:val="15"/>
          <w:highlight w:val="none"/>
        </w:rPr>
        <w:t xml:space="preserve"> </w:t>
      </w:r>
      <w:r>
        <w:rPr>
          <w:rFonts w:hint="eastAsia" w:ascii="Times New Roman" w:hAnsi="Times New Roman" w:eastAsia="宋体" w:cs="Times New Roman"/>
          <w:color w:val="auto"/>
          <w:sz w:val="15"/>
          <w:szCs w:val="15"/>
          <w:highlight w:val="none"/>
        </w:rPr>
        <w:t>on multi-source soil moisture assimilation based on precipitation scenario selection[J]. Water Resources and Hydropower Engineering, 2026, 57(5): 121-133.</w:t>
      </w:r>
    </w:p>
    <w:p w14:paraId="4129682F">
      <w:pPr>
        <w:pStyle w:val="2"/>
        <w:ind w:left="225" w:hanging="225" w:hangingChars="150"/>
        <w:rPr>
          <w:rFonts w:hint="eastAsia" w:eastAsia="宋体"/>
          <w:color w:val="auto"/>
          <w:highlight w:val="none"/>
        </w:rPr>
      </w:pPr>
      <w:r>
        <w:rPr>
          <w:rFonts w:hint="eastAsia" w:ascii="Times New Roman" w:hAnsi="Times New Roman" w:eastAsia="宋体" w:cs="Times New Roman"/>
          <w:color w:val="auto"/>
          <w:kern w:val="0"/>
          <w:sz w:val="15"/>
          <w:szCs w:val="15"/>
          <w:highlight w:val="none"/>
        </w:rPr>
        <w:t>[2] TOMASZKIEWICZ M, ABOU NAJM M, ZURAYK R, et al. Dew as an adaptation measure to meet water demand in agriculture and reforestation[J]. Agricultural and Forest Meteorology, 2017, 232: 411-421.</w:t>
      </w:r>
    </w:p>
    <w:p w14:paraId="6C8E99E1">
      <w:pPr>
        <w:pStyle w:val="2"/>
        <w:ind w:left="263" w:hanging="262" w:hangingChars="175"/>
        <w:rPr>
          <w:rFonts w:hint="eastAsia" w:eastAsia="宋体"/>
          <w:color w:val="auto"/>
          <w:highlight w:val="none"/>
        </w:rPr>
      </w:pPr>
      <w:r>
        <w:rPr>
          <w:rFonts w:hint="eastAsia" w:ascii="Times New Roman" w:hAnsi="Times New Roman" w:eastAsia="宋体" w:cs="Times New Roman"/>
          <w:color w:val="auto"/>
          <w:sz w:val="15"/>
          <w:szCs w:val="15"/>
          <w:highlight w:val="none"/>
        </w:rPr>
        <w:t>[3] 庄艳丽, 赵文智, 刘楷愈. 荒漠凝结水形成过程及其生态水文效应研究进展[J]. 中国沙漠, 2026, 46(1): 162-174.</w:t>
      </w:r>
      <w:r>
        <w:rPr>
          <w:rFonts w:hint="eastAsia" w:ascii="Times New Roman" w:hAnsi="Times New Roman" w:eastAsia="宋体" w:cs="Times New Roman"/>
          <w:color w:val="auto"/>
          <w:sz w:val="15"/>
          <w:szCs w:val="15"/>
          <w:highlight w:val="none"/>
        </w:rPr>
        <w:br w:type="textWrapping"/>
      </w:r>
      <w:r>
        <w:rPr>
          <w:rFonts w:hint="eastAsia" w:ascii="Times New Roman" w:hAnsi="Times New Roman" w:eastAsia="宋体" w:cs="Times New Roman"/>
          <w:color w:val="auto"/>
          <w:sz w:val="15"/>
          <w:szCs w:val="15"/>
          <w:highlight w:val="none"/>
        </w:rPr>
        <w:t>ZHUANG Y L, ZHAO W Z, LIU K Y. A review of dew formation and its ecohydrological effects in arid zone[J]. Journal of Desert Research, 2026, 46(1): 162-174.</w:t>
      </w:r>
    </w:p>
    <w:p w14:paraId="35B23F88">
      <w:pPr>
        <w:pStyle w:val="2"/>
        <w:ind w:left="225" w:hanging="225" w:hangingChars="150"/>
        <w:rPr>
          <w:rFonts w:hint="eastAsia" w:eastAsia="宋体"/>
          <w:color w:val="auto"/>
          <w:highlight w:val="none"/>
        </w:rPr>
      </w:pPr>
      <w:r>
        <w:rPr>
          <w:rFonts w:hint="eastAsia" w:ascii="Times New Roman" w:hAnsi="Times New Roman" w:eastAsia="宋体" w:cs="Times New Roman"/>
          <w:color w:val="auto"/>
          <w:kern w:val="0"/>
          <w:sz w:val="15"/>
          <w:szCs w:val="15"/>
          <w:highlight w:val="none"/>
        </w:rPr>
        <w:t>[4] LOBOS-ROCO F, SUÁREZ F, AGUIRRE-CORREA F, et al. Understanding inland fog and dew dynamics for assessing potential non-rainfall water use in the Atacama[J]. Journal of Arid Environments, 2024, 221: 105125.</w:t>
      </w:r>
    </w:p>
    <w:p w14:paraId="123C0260">
      <w:pPr>
        <w:pStyle w:val="2"/>
        <w:ind w:left="225" w:hanging="225" w:hangingChars="150"/>
        <w:rPr>
          <w:rFonts w:hint="eastAsia" w:eastAsia="宋体"/>
          <w:color w:val="auto"/>
          <w:highlight w:val="none"/>
        </w:rPr>
      </w:pPr>
      <w:r>
        <w:rPr>
          <w:rFonts w:hint="eastAsia" w:ascii="Times New Roman" w:hAnsi="Times New Roman" w:eastAsia="宋体" w:cs="Times New Roman"/>
          <w:color w:val="auto"/>
          <w:kern w:val="0"/>
          <w:sz w:val="15"/>
          <w:szCs w:val="15"/>
          <w:highlight w:val="none"/>
        </w:rPr>
        <w:t>[5] ZHUANG Y L, ZHAO W Z, LUO L H, et al. Dew formation characteristics in the gravel desert ecosystem and its ecological roles on Reaumuria soongorica[J]. Journal of Hydrology, 2021, 603: 126932.</w:t>
      </w:r>
    </w:p>
    <w:p w14:paraId="2333D8AB">
      <w:pPr>
        <w:pStyle w:val="2"/>
        <w:ind w:left="225" w:hanging="225" w:hangingChars="150"/>
        <w:rPr>
          <w:rFonts w:hint="eastAsia" w:eastAsia="宋体"/>
          <w:color w:val="auto"/>
          <w:highlight w:val="none"/>
        </w:rPr>
      </w:pPr>
      <w:r>
        <w:rPr>
          <w:rFonts w:hint="eastAsia" w:ascii="Times New Roman" w:hAnsi="Times New Roman" w:eastAsia="宋体" w:cs="Times New Roman"/>
          <w:color w:val="auto"/>
          <w:kern w:val="0"/>
          <w:sz w:val="15"/>
          <w:szCs w:val="15"/>
          <w:highlight w:val="none"/>
        </w:rPr>
        <w:t xml:space="preserve">[6] FEIGENWINTER C, FRANCESCHI J, LARSEN J A, et al. On the performance of microlysimeters to measure non-rainfall water input in a hyper-arid environment with focus on fog contribution[J]. Journal of Arid Environments, 2020, 182: 104260. </w:t>
      </w:r>
    </w:p>
    <w:p w14:paraId="170BF004">
      <w:pPr>
        <w:pStyle w:val="2"/>
        <w:ind w:left="225" w:hanging="225" w:hangingChars="150"/>
        <w:rPr>
          <w:rFonts w:hint="eastAsia" w:eastAsia="宋体"/>
          <w:color w:val="auto"/>
          <w:highlight w:val="none"/>
        </w:rPr>
      </w:pPr>
      <w:r>
        <w:rPr>
          <w:rFonts w:hint="eastAsia" w:ascii="Times New Roman" w:hAnsi="Times New Roman" w:eastAsia="宋体" w:cs="Times New Roman"/>
          <w:color w:val="auto"/>
          <w:kern w:val="0"/>
          <w:sz w:val="15"/>
          <w:szCs w:val="15"/>
          <w:highlight w:val="none"/>
        </w:rPr>
        <w:t xml:space="preserve">[7] HILL A J, LINCOLN N K, RACHMILEVITCH S, et al. Modified </w:t>
      </w:r>
      <w:r>
        <w:rPr>
          <w:rFonts w:hint="eastAsia" w:ascii="Times New Roman" w:hAnsi="Times New Roman" w:eastAsia="宋体" w:cs="Times New Roman"/>
          <w:color w:val="auto"/>
          <w:kern w:val="0"/>
          <w:sz w:val="15"/>
          <w:szCs w:val="15"/>
          <w:highlight w:val="none"/>
        </w:rPr>
        <w:t>h</w:t>
      </w:r>
      <w:r>
        <w:rPr>
          <w:rFonts w:hint="eastAsia" w:ascii="Times New Roman" w:hAnsi="Times New Roman" w:eastAsia="宋体" w:cs="Times New Roman"/>
          <w:color w:val="auto"/>
          <w:kern w:val="0"/>
          <w:sz w:val="15"/>
          <w:szCs w:val="15"/>
          <w:highlight w:val="none"/>
        </w:rPr>
        <w:t xml:space="preserve">iltner dew balance to re-estimate dewfall accumulation as a reliable water source in the Negev Desert[J]. Water, </w:t>
      </w:r>
      <w:r>
        <w:rPr>
          <w:rFonts w:hint="eastAsia" w:ascii="Times New Roman" w:hAnsi="Times New Roman" w:eastAsia="宋体" w:cs="Times New Roman"/>
          <w:color w:val="auto"/>
          <w:kern w:val="0"/>
          <w:sz w:val="15"/>
          <w:szCs w:val="15"/>
          <w:highlight w:val="none"/>
        </w:rPr>
        <w:t>2020</w:t>
      </w:r>
      <w:r>
        <w:rPr>
          <w:rFonts w:hint="eastAsia" w:ascii="Times New Roman" w:hAnsi="Times New Roman" w:eastAsia="宋体" w:cs="Times New Roman"/>
          <w:color w:val="auto"/>
          <w:kern w:val="0"/>
          <w:sz w:val="15"/>
          <w:szCs w:val="15"/>
          <w:highlight w:val="none"/>
        </w:rPr>
        <w:t xml:space="preserve">, </w:t>
      </w:r>
      <w:r>
        <w:rPr>
          <w:rFonts w:hint="eastAsia" w:ascii="Times New Roman" w:hAnsi="Times New Roman" w:eastAsia="宋体" w:cs="Times New Roman"/>
          <w:color w:val="auto"/>
          <w:kern w:val="0"/>
          <w:sz w:val="15"/>
          <w:szCs w:val="15"/>
          <w:highlight w:val="none"/>
        </w:rPr>
        <w:t>12</w:t>
      </w:r>
      <w:r>
        <w:rPr>
          <w:rFonts w:hint="eastAsia" w:ascii="Times New Roman" w:hAnsi="Times New Roman" w:eastAsia="宋体" w:cs="Times New Roman"/>
          <w:color w:val="auto"/>
          <w:kern w:val="0"/>
          <w:sz w:val="15"/>
          <w:szCs w:val="15"/>
          <w:highlight w:val="none"/>
        </w:rPr>
        <w:t>(</w:t>
      </w:r>
      <w:r>
        <w:rPr>
          <w:rFonts w:hint="eastAsia" w:ascii="Times New Roman" w:hAnsi="Times New Roman" w:eastAsia="宋体" w:cs="Times New Roman"/>
          <w:color w:val="auto"/>
          <w:kern w:val="0"/>
          <w:sz w:val="15"/>
          <w:szCs w:val="15"/>
          <w:highlight w:val="none"/>
        </w:rPr>
        <w:t>10</w:t>
      </w:r>
      <w:r>
        <w:rPr>
          <w:rFonts w:hint="eastAsia" w:ascii="Times New Roman" w:hAnsi="Times New Roman" w:eastAsia="宋体" w:cs="Times New Roman"/>
          <w:color w:val="auto"/>
          <w:kern w:val="0"/>
          <w:sz w:val="15"/>
          <w:szCs w:val="15"/>
          <w:highlight w:val="none"/>
        </w:rPr>
        <w:t xml:space="preserve">): </w:t>
      </w:r>
      <w:r>
        <w:rPr>
          <w:rFonts w:hint="eastAsia" w:ascii="Times New Roman" w:hAnsi="Times New Roman" w:eastAsia="宋体" w:cs="Times New Roman"/>
          <w:color w:val="auto"/>
          <w:kern w:val="0"/>
          <w:sz w:val="15"/>
          <w:szCs w:val="15"/>
          <w:highlight w:val="none"/>
        </w:rPr>
        <w:t>2952</w:t>
      </w:r>
      <w:r>
        <w:rPr>
          <w:rFonts w:hint="eastAsia" w:ascii="Times New Roman" w:hAnsi="Times New Roman" w:eastAsia="宋体" w:cs="Times New Roman"/>
          <w:color w:val="auto"/>
          <w:kern w:val="0"/>
          <w:sz w:val="15"/>
          <w:szCs w:val="15"/>
          <w:highlight w:val="none"/>
        </w:rPr>
        <w:t xml:space="preserve">. </w:t>
      </w:r>
    </w:p>
    <w:p w14:paraId="40037F67">
      <w:pPr>
        <w:pStyle w:val="2"/>
        <w:ind w:left="225" w:hanging="225" w:hangingChars="150"/>
        <w:rPr>
          <w:rFonts w:hint="eastAsia" w:eastAsia="宋体"/>
          <w:color w:val="auto"/>
          <w:highlight w:val="none"/>
        </w:rPr>
      </w:pPr>
      <w:r>
        <w:rPr>
          <w:rFonts w:hint="eastAsia" w:ascii="Times New Roman" w:hAnsi="Times New Roman" w:eastAsia="宋体" w:cs="Times New Roman"/>
          <w:color w:val="auto"/>
          <w:kern w:val="0"/>
          <w:sz w:val="15"/>
          <w:szCs w:val="15"/>
          <w:highlight w:val="none"/>
        </w:rPr>
        <w:t xml:space="preserve">[8] BERRY Z C, EMERY N C, GOTSCH S G, et al. Foliar water uptake: </w:t>
      </w:r>
      <w:r>
        <w:rPr>
          <w:rFonts w:hint="eastAsia" w:ascii="Times New Roman" w:hAnsi="Times New Roman" w:eastAsia="宋体" w:cs="Times New Roman"/>
          <w:color w:val="auto"/>
          <w:kern w:val="0"/>
          <w:sz w:val="15"/>
          <w:szCs w:val="15"/>
          <w:highlight w:val="none"/>
        </w:rPr>
        <w:t>P</w:t>
      </w:r>
      <w:r>
        <w:rPr>
          <w:rFonts w:hint="eastAsia" w:ascii="Times New Roman" w:hAnsi="Times New Roman" w:eastAsia="宋体" w:cs="Times New Roman"/>
          <w:color w:val="auto"/>
          <w:kern w:val="0"/>
          <w:sz w:val="15"/>
          <w:szCs w:val="15"/>
          <w:highlight w:val="none"/>
        </w:rPr>
        <w:t xml:space="preserve">rocesses, pathways, and integration into plant water budgets[J]. Plant, Cell &amp; Environment, 2019, 42(2): 410-423. </w:t>
      </w:r>
    </w:p>
    <w:p w14:paraId="613B63DD">
      <w:pPr>
        <w:pStyle w:val="2"/>
        <w:ind w:left="225" w:hanging="225" w:hangingChars="150"/>
        <w:rPr>
          <w:rFonts w:hint="eastAsia" w:eastAsia="宋体"/>
          <w:color w:val="auto"/>
          <w:highlight w:val="none"/>
        </w:rPr>
      </w:pPr>
      <w:r>
        <w:rPr>
          <w:rFonts w:hint="eastAsia" w:ascii="Times New Roman" w:hAnsi="Times New Roman" w:eastAsia="宋体" w:cs="Times New Roman"/>
          <w:color w:val="auto"/>
          <w:kern w:val="0"/>
          <w:sz w:val="15"/>
          <w:szCs w:val="15"/>
          <w:highlight w:val="none"/>
        </w:rPr>
        <w:t xml:space="preserve">[9] DAWSON T E, GOLDSMITH G R. The value of wet leaves[J]. New Phytologist, 2018, 219(4): 1156-1169. </w:t>
      </w:r>
    </w:p>
    <w:p w14:paraId="3E730022">
      <w:pPr>
        <w:pStyle w:val="2"/>
        <w:ind w:left="300" w:hanging="300" w:hangingChars="200"/>
        <w:rPr>
          <w:rFonts w:hint="eastAsia" w:eastAsia="宋体"/>
          <w:color w:val="auto"/>
          <w:highlight w:val="none"/>
        </w:rPr>
      </w:pPr>
      <w:r>
        <w:rPr>
          <w:rFonts w:hint="eastAsia" w:ascii="Times New Roman" w:hAnsi="Times New Roman" w:eastAsia="宋体" w:cs="Times New Roman"/>
          <w:color w:val="auto"/>
          <w:kern w:val="0"/>
          <w:sz w:val="15"/>
          <w:szCs w:val="15"/>
          <w:highlight w:val="none"/>
        </w:rPr>
        <w:t xml:space="preserve">[10] GERLEIN-SAFDI C, </w:t>
      </w:r>
      <w:r>
        <w:rPr>
          <w:rFonts w:hint="eastAsia" w:ascii="Times New Roman" w:hAnsi="Times New Roman" w:eastAsia="宋体" w:cs="Times New Roman"/>
          <w:color w:val="auto"/>
          <w:kern w:val="0"/>
          <w:sz w:val="15"/>
          <w:szCs w:val="15"/>
          <w:highlight w:val="none"/>
        </w:rPr>
        <w:t>GAUTHIER</w:t>
      </w:r>
      <w:r>
        <w:rPr>
          <w:rFonts w:hint="eastAsia" w:ascii="Times New Roman" w:hAnsi="Times New Roman" w:eastAsia="宋体" w:cs="Times New Roman"/>
          <w:color w:val="auto"/>
          <w:kern w:val="0"/>
          <w:sz w:val="15"/>
          <w:szCs w:val="15"/>
          <w:highlight w:val="none"/>
        </w:rPr>
        <w:t xml:space="preserve"> P </w:t>
      </w:r>
      <w:r>
        <w:rPr>
          <w:rFonts w:hint="eastAsia" w:ascii="Times New Roman" w:hAnsi="Times New Roman" w:eastAsia="宋体" w:cs="Times New Roman"/>
          <w:color w:val="auto"/>
          <w:kern w:val="0"/>
          <w:sz w:val="15"/>
          <w:szCs w:val="15"/>
          <w:highlight w:val="none"/>
        </w:rPr>
        <w:t>P</w:t>
      </w:r>
      <w:r>
        <w:rPr>
          <w:rFonts w:hint="eastAsia" w:ascii="Times New Roman" w:hAnsi="Times New Roman" w:eastAsia="宋体" w:cs="Times New Roman"/>
          <w:color w:val="auto"/>
          <w:kern w:val="0"/>
          <w:sz w:val="15"/>
          <w:szCs w:val="15"/>
          <w:highlight w:val="none"/>
        </w:rPr>
        <w:t xml:space="preserve"> G</w:t>
      </w:r>
      <w:r>
        <w:rPr>
          <w:rFonts w:hint="eastAsia" w:ascii="Times New Roman" w:hAnsi="Times New Roman" w:eastAsia="宋体" w:cs="Times New Roman"/>
          <w:color w:val="auto"/>
          <w:kern w:val="0"/>
          <w:sz w:val="15"/>
          <w:szCs w:val="15"/>
          <w:highlight w:val="none"/>
        </w:rPr>
        <w:t>,</w:t>
      </w:r>
      <w:r>
        <w:rPr>
          <w:rFonts w:hint="eastAsia" w:ascii="Times New Roman" w:hAnsi="Times New Roman" w:eastAsia="宋体" w:cs="Times New Roman"/>
          <w:color w:val="auto"/>
          <w:kern w:val="0"/>
          <w:sz w:val="15"/>
          <w:szCs w:val="15"/>
          <w:highlight w:val="none"/>
        </w:rPr>
        <w:t xml:space="preserve"> </w:t>
      </w:r>
      <w:r>
        <w:rPr>
          <w:rFonts w:hint="eastAsia" w:ascii="Times New Roman" w:hAnsi="Times New Roman" w:eastAsia="宋体" w:cs="Times New Roman"/>
          <w:color w:val="auto"/>
          <w:kern w:val="0"/>
          <w:sz w:val="15"/>
          <w:szCs w:val="15"/>
          <w:highlight w:val="none"/>
        </w:rPr>
        <w:t>CAYLOR K K</w:t>
      </w:r>
      <w:r>
        <w:rPr>
          <w:rFonts w:hint="eastAsia" w:ascii="Times New Roman" w:hAnsi="Times New Roman" w:eastAsia="宋体" w:cs="Times New Roman"/>
          <w:color w:val="auto"/>
          <w:kern w:val="0"/>
          <w:sz w:val="15"/>
          <w:szCs w:val="15"/>
          <w:highlight w:val="none"/>
        </w:rPr>
        <w:t xml:space="preserve">. Dew-induced transpiration suppression impacts the water and isotope balances of Colocasia leaves[J]. Oecologia, </w:t>
      </w:r>
      <w:r>
        <w:rPr>
          <w:rFonts w:hint="eastAsia" w:ascii="Times New Roman" w:hAnsi="Times New Roman" w:eastAsia="宋体" w:cs="Times New Roman"/>
          <w:color w:val="auto"/>
          <w:kern w:val="0"/>
          <w:sz w:val="15"/>
          <w:szCs w:val="15"/>
          <w:highlight w:val="none"/>
        </w:rPr>
        <w:t>2018</w:t>
      </w:r>
      <w:r>
        <w:rPr>
          <w:rFonts w:hint="eastAsia" w:ascii="Times New Roman" w:hAnsi="Times New Roman" w:eastAsia="宋体" w:cs="Times New Roman"/>
          <w:color w:val="auto"/>
          <w:kern w:val="0"/>
          <w:sz w:val="15"/>
          <w:szCs w:val="15"/>
          <w:highlight w:val="none"/>
        </w:rPr>
        <w:t xml:space="preserve">, </w:t>
      </w:r>
      <w:r>
        <w:rPr>
          <w:rFonts w:hint="eastAsia" w:ascii="Times New Roman" w:hAnsi="Times New Roman" w:eastAsia="宋体" w:cs="Times New Roman"/>
          <w:color w:val="auto"/>
          <w:kern w:val="0"/>
          <w:sz w:val="15"/>
          <w:szCs w:val="15"/>
          <w:highlight w:val="none"/>
        </w:rPr>
        <w:t>187</w:t>
      </w:r>
      <w:r>
        <w:rPr>
          <w:rFonts w:hint="eastAsia" w:ascii="Times New Roman" w:hAnsi="Times New Roman" w:eastAsia="宋体" w:cs="Times New Roman"/>
          <w:color w:val="auto"/>
          <w:kern w:val="0"/>
          <w:sz w:val="15"/>
          <w:szCs w:val="15"/>
          <w:highlight w:val="none"/>
        </w:rPr>
        <w:t xml:space="preserve">(4): </w:t>
      </w:r>
      <w:r>
        <w:rPr>
          <w:rFonts w:hint="eastAsia" w:ascii="Times New Roman" w:hAnsi="Times New Roman" w:eastAsia="宋体" w:cs="Times New Roman"/>
          <w:color w:val="auto"/>
          <w:kern w:val="0"/>
          <w:sz w:val="15"/>
          <w:szCs w:val="15"/>
          <w:highlight w:val="none"/>
        </w:rPr>
        <w:t>1041</w:t>
      </w:r>
      <w:r>
        <w:rPr>
          <w:rFonts w:hint="eastAsia" w:ascii="Times New Roman" w:hAnsi="Times New Roman" w:eastAsia="宋体" w:cs="Times New Roman"/>
          <w:color w:val="auto"/>
          <w:kern w:val="0"/>
          <w:sz w:val="15"/>
          <w:szCs w:val="15"/>
          <w:highlight w:val="none"/>
        </w:rPr>
        <w:t>-</w:t>
      </w:r>
      <w:r>
        <w:rPr>
          <w:rFonts w:hint="eastAsia" w:ascii="Times New Roman" w:hAnsi="Times New Roman" w:eastAsia="宋体" w:cs="Times New Roman"/>
          <w:color w:val="auto"/>
          <w:kern w:val="0"/>
          <w:sz w:val="15"/>
          <w:szCs w:val="15"/>
          <w:highlight w:val="none"/>
        </w:rPr>
        <w:t>1051</w:t>
      </w:r>
      <w:r>
        <w:rPr>
          <w:rFonts w:hint="eastAsia" w:ascii="Times New Roman" w:hAnsi="Times New Roman" w:eastAsia="宋体" w:cs="Times New Roman"/>
          <w:color w:val="auto"/>
          <w:kern w:val="0"/>
          <w:sz w:val="15"/>
          <w:szCs w:val="15"/>
          <w:highlight w:val="none"/>
        </w:rPr>
        <w:t xml:space="preserve">. </w:t>
      </w:r>
    </w:p>
    <w:p w14:paraId="5CD8F2F0">
      <w:pPr>
        <w:pStyle w:val="2"/>
        <w:spacing w:after="0"/>
        <w:ind w:left="300" w:hanging="300" w:hangingChars="200"/>
        <w:rPr>
          <w:rFonts w:ascii="Times New Roman" w:hAnsi="Times New Roman" w:eastAsia="宋体" w:cs="Times New Roman"/>
          <w:color w:val="auto"/>
          <w:sz w:val="15"/>
          <w:szCs w:val="15"/>
          <w:highlight w:val="none"/>
        </w:rPr>
      </w:pPr>
      <w:r>
        <w:rPr>
          <w:rFonts w:ascii="Times New Roman" w:hAnsi="Times New Roman" w:eastAsia="宋体" w:cs="Times New Roman"/>
          <w:color w:val="auto"/>
          <w:sz w:val="15"/>
          <w:szCs w:val="15"/>
          <w:highlight w:val="none"/>
        </w:rPr>
        <w:t>[11] LI S L, BOWKER M A, XIAO B. Biocrusts enhance non-rainfall water deposition and alter its distribution in dryland soils[J]. Journal of Hydrology, 2021, 595: 126050.</w:t>
      </w:r>
    </w:p>
    <w:p w14:paraId="09ECD22F">
      <w:pPr>
        <w:pStyle w:val="2"/>
        <w:spacing w:after="0"/>
        <w:ind w:left="300" w:hanging="300" w:hangingChars="200"/>
        <w:rPr>
          <w:rFonts w:ascii="Times New Roman" w:hAnsi="Times New Roman" w:eastAsia="宋体" w:cs="Times New Roman"/>
          <w:color w:val="auto"/>
          <w:sz w:val="15"/>
          <w:szCs w:val="15"/>
          <w:highlight w:val="none"/>
        </w:rPr>
      </w:pPr>
      <w:r>
        <w:rPr>
          <w:rFonts w:ascii="Times New Roman" w:hAnsi="Times New Roman" w:eastAsia="宋体" w:cs="Times New Roman"/>
          <w:color w:val="auto"/>
          <w:sz w:val="15"/>
          <w:szCs w:val="15"/>
          <w:highlight w:val="none"/>
        </w:rPr>
        <w:t>[12] LI S L, XIAO B, SUN F H, et al. Moss-dominated biocrusts enhance water vapor sorption capacity of surface soil and increase non-rainfall water deposition in drylands[J]. Geoderma, 2021, 388: 114930.</w:t>
      </w:r>
    </w:p>
    <w:p w14:paraId="5D480540">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 xml:space="preserve">[13] 成龙, 贾晓红, 吴波, 等. 高寒沙区吸湿凝结水凝结过程与温湿度的关系[J]. 中国沙漠, </w:t>
      </w:r>
      <w:r>
        <w:rPr>
          <w:rFonts w:hint="eastAsia" w:ascii="Times New Roman" w:hAnsi="Times New Roman" w:eastAsia="宋体" w:cs="Times New Roman"/>
          <w:color w:val="auto"/>
          <w:sz w:val="15"/>
          <w:szCs w:val="15"/>
          <w:highlight w:val="none"/>
        </w:rPr>
        <w:t>2019</w:t>
      </w:r>
      <w:r>
        <w:rPr>
          <w:rFonts w:hint="eastAsia" w:ascii="Times New Roman" w:hAnsi="Times New Roman" w:eastAsia="宋体" w:cs="Times New Roman"/>
          <w:color w:val="auto"/>
          <w:sz w:val="15"/>
          <w:szCs w:val="15"/>
          <w:highlight w:val="none"/>
        </w:rPr>
        <w:t xml:space="preserve">, </w:t>
      </w:r>
      <w:r>
        <w:rPr>
          <w:rFonts w:hint="eastAsia" w:ascii="Times New Roman" w:hAnsi="Times New Roman" w:eastAsia="宋体" w:cs="Times New Roman"/>
          <w:color w:val="auto"/>
          <w:sz w:val="15"/>
          <w:szCs w:val="15"/>
          <w:highlight w:val="none"/>
        </w:rPr>
        <w:t>39</w:t>
      </w:r>
      <w:r>
        <w:rPr>
          <w:rFonts w:hint="eastAsia" w:ascii="Times New Roman" w:hAnsi="Times New Roman" w:eastAsia="宋体" w:cs="Times New Roman"/>
          <w:color w:val="auto"/>
          <w:sz w:val="15"/>
          <w:szCs w:val="15"/>
          <w:highlight w:val="none"/>
        </w:rPr>
        <w:t>(3): 77-86.</w:t>
      </w:r>
      <w:r>
        <w:rPr>
          <w:rFonts w:hint="eastAsia" w:ascii="Times New Roman" w:hAnsi="Times New Roman" w:eastAsia="宋体" w:cs="Times New Roman"/>
          <w:color w:val="auto"/>
          <w:sz w:val="15"/>
          <w:szCs w:val="15"/>
          <w:highlight w:val="none"/>
        </w:rPr>
        <w:br w:type="textWrapping"/>
      </w:r>
      <w:r>
        <w:rPr>
          <w:rFonts w:hint="eastAsia" w:ascii="Times New Roman" w:hAnsi="Times New Roman" w:eastAsia="宋体" w:cs="Times New Roman"/>
          <w:color w:val="auto"/>
          <w:sz w:val="15"/>
          <w:szCs w:val="15"/>
          <w:highlight w:val="none"/>
        </w:rPr>
        <w:t>CHENG L, JIA X H, WU B, et al. Relationship between</w:t>
      </w:r>
      <w:r>
        <w:rPr>
          <w:rFonts w:hint="eastAsia" w:ascii="Times New Roman" w:hAnsi="Times New Roman" w:eastAsia="宋体" w:cs="Times New Roman"/>
          <w:color w:val="auto"/>
          <w:sz w:val="15"/>
          <w:szCs w:val="15"/>
          <w:highlight w:val="none"/>
        </w:rPr>
        <w:t xml:space="preserve"> the</w:t>
      </w:r>
      <w:r>
        <w:rPr>
          <w:rFonts w:hint="eastAsia" w:ascii="Times New Roman" w:hAnsi="Times New Roman" w:eastAsia="宋体" w:cs="Times New Roman"/>
          <w:color w:val="auto"/>
          <w:sz w:val="15"/>
          <w:szCs w:val="15"/>
          <w:highlight w:val="none"/>
        </w:rPr>
        <w:t xml:space="preserve"> condensation process of hygroscopic </w:t>
      </w:r>
      <w:r>
        <w:rPr>
          <w:rFonts w:hint="eastAsia" w:ascii="Times New Roman" w:hAnsi="Times New Roman" w:eastAsia="宋体" w:cs="Times New Roman"/>
          <w:color w:val="auto"/>
          <w:sz w:val="15"/>
          <w:szCs w:val="15"/>
          <w:highlight w:val="none"/>
        </w:rPr>
        <w:t>and condensate</w:t>
      </w:r>
      <w:r>
        <w:rPr>
          <w:rFonts w:hint="eastAsia" w:ascii="Times New Roman" w:hAnsi="Times New Roman" w:eastAsia="宋体" w:cs="Times New Roman"/>
          <w:color w:val="auto"/>
          <w:sz w:val="15"/>
          <w:szCs w:val="15"/>
          <w:highlight w:val="none"/>
        </w:rPr>
        <w:t xml:space="preserve"> water and </w:t>
      </w:r>
      <w:r>
        <w:rPr>
          <w:rFonts w:hint="eastAsia" w:ascii="Times New Roman" w:hAnsi="Times New Roman" w:eastAsia="宋体" w:cs="Times New Roman"/>
          <w:color w:val="auto"/>
          <w:sz w:val="15"/>
          <w:szCs w:val="15"/>
          <w:highlight w:val="none"/>
        </w:rPr>
        <w:t>the</w:t>
      </w:r>
      <w:r>
        <w:rPr>
          <w:rFonts w:hint="eastAsia" w:ascii="Times New Roman" w:hAnsi="Times New Roman" w:eastAsia="宋体" w:cs="Times New Roman"/>
          <w:color w:val="auto"/>
          <w:sz w:val="15"/>
          <w:szCs w:val="15"/>
          <w:highlight w:val="none"/>
        </w:rPr>
        <w:t xml:space="preserve"> </w:t>
      </w:r>
      <w:r>
        <w:rPr>
          <w:rFonts w:hint="eastAsia" w:ascii="Times New Roman" w:hAnsi="Times New Roman" w:eastAsia="宋体" w:cs="Times New Roman"/>
          <w:color w:val="auto"/>
          <w:sz w:val="15"/>
          <w:szCs w:val="15"/>
          <w:highlight w:val="none"/>
        </w:rPr>
        <w:t>air</w:t>
      </w:r>
      <w:r>
        <w:rPr>
          <w:rFonts w:hint="eastAsia" w:ascii="Times New Roman" w:hAnsi="Times New Roman" w:eastAsia="宋体" w:cs="Times New Roman"/>
          <w:color w:val="auto"/>
          <w:sz w:val="15"/>
          <w:szCs w:val="15"/>
          <w:highlight w:val="none"/>
        </w:rPr>
        <w:t xml:space="preserve"> </w:t>
      </w:r>
      <w:r>
        <w:rPr>
          <w:rFonts w:hint="eastAsia" w:ascii="Times New Roman" w:hAnsi="Times New Roman" w:eastAsia="宋体" w:cs="Times New Roman"/>
          <w:color w:val="auto"/>
          <w:sz w:val="15"/>
          <w:szCs w:val="15"/>
          <w:highlight w:val="none"/>
        </w:rPr>
        <w:t>&amp; soil humiture</w:t>
      </w:r>
      <w:r>
        <w:rPr>
          <w:rFonts w:hint="eastAsia" w:ascii="Times New Roman" w:hAnsi="Times New Roman" w:eastAsia="宋体" w:cs="Times New Roman"/>
          <w:color w:val="auto"/>
          <w:sz w:val="15"/>
          <w:szCs w:val="15"/>
          <w:highlight w:val="none"/>
        </w:rPr>
        <w:t xml:space="preserve"> in alpine sandy </w:t>
      </w:r>
      <w:r>
        <w:rPr>
          <w:rFonts w:hint="eastAsia" w:ascii="Times New Roman" w:hAnsi="Times New Roman" w:eastAsia="宋体" w:cs="Times New Roman"/>
          <w:color w:val="auto"/>
          <w:sz w:val="15"/>
          <w:szCs w:val="15"/>
          <w:highlight w:val="none"/>
        </w:rPr>
        <w:t>lands</w:t>
      </w:r>
      <w:r>
        <w:rPr>
          <w:rFonts w:hint="eastAsia" w:ascii="Times New Roman" w:hAnsi="Times New Roman" w:eastAsia="宋体" w:cs="Times New Roman"/>
          <w:color w:val="auto"/>
          <w:sz w:val="15"/>
          <w:szCs w:val="15"/>
          <w:highlight w:val="none"/>
        </w:rPr>
        <w:t xml:space="preserve">[J]. Journal of Desert Research, </w:t>
      </w:r>
      <w:r>
        <w:rPr>
          <w:rFonts w:hint="eastAsia" w:ascii="Times New Roman" w:hAnsi="Times New Roman" w:eastAsia="宋体" w:cs="Times New Roman"/>
          <w:color w:val="auto"/>
          <w:sz w:val="15"/>
          <w:szCs w:val="15"/>
          <w:highlight w:val="none"/>
        </w:rPr>
        <w:t>2019</w:t>
      </w:r>
      <w:r>
        <w:rPr>
          <w:rFonts w:hint="eastAsia" w:ascii="Times New Roman" w:hAnsi="Times New Roman" w:eastAsia="宋体" w:cs="Times New Roman"/>
          <w:color w:val="auto"/>
          <w:sz w:val="15"/>
          <w:szCs w:val="15"/>
          <w:highlight w:val="none"/>
        </w:rPr>
        <w:t xml:space="preserve">, </w:t>
      </w:r>
      <w:r>
        <w:rPr>
          <w:rFonts w:hint="eastAsia" w:ascii="Times New Roman" w:hAnsi="Times New Roman" w:eastAsia="宋体" w:cs="Times New Roman"/>
          <w:color w:val="auto"/>
          <w:sz w:val="15"/>
          <w:szCs w:val="15"/>
          <w:highlight w:val="none"/>
        </w:rPr>
        <w:t>39</w:t>
      </w:r>
      <w:r>
        <w:rPr>
          <w:rFonts w:hint="eastAsia" w:ascii="Times New Roman" w:hAnsi="Times New Roman" w:eastAsia="宋体" w:cs="Times New Roman"/>
          <w:color w:val="auto"/>
          <w:sz w:val="15"/>
          <w:szCs w:val="15"/>
          <w:highlight w:val="none"/>
        </w:rPr>
        <w:t xml:space="preserve">(3): 77-86. </w:t>
      </w:r>
    </w:p>
    <w:p w14:paraId="2EFE6096">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 xml:space="preserve">[14] AGAM N, BERLINER P R. Dew formation and water vapor adsorption in semi-arid environments: </w:t>
      </w:r>
      <w:r>
        <w:rPr>
          <w:rFonts w:hint="eastAsia" w:ascii="Times New Roman" w:hAnsi="Times New Roman" w:eastAsia="宋体" w:cs="Times New Roman"/>
          <w:color w:val="auto"/>
          <w:sz w:val="15"/>
          <w:szCs w:val="15"/>
          <w:highlight w:val="none"/>
        </w:rPr>
        <w:t>A</w:t>
      </w:r>
      <w:r>
        <w:rPr>
          <w:rFonts w:hint="eastAsia" w:ascii="Times New Roman" w:hAnsi="Times New Roman" w:eastAsia="宋体" w:cs="Times New Roman"/>
          <w:color w:val="auto"/>
          <w:sz w:val="15"/>
          <w:szCs w:val="15"/>
          <w:highlight w:val="none"/>
        </w:rPr>
        <w:t xml:space="preserve"> review[J]. Journal of Arid Environments, 2006, 65(4): 572-590. </w:t>
      </w:r>
    </w:p>
    <w:p w14:paraId="6FCC2964">
      <w:pPr>
        <w:pStyle w:val="2"/>
        <w:spacing w:after="0"/>
        <w:ind w:left="300" w:hanging="300" w:hangingChars="200"/>
        <w:rPr>
          <w:rFonts w:ascii="Times New Roman" w:hAnsi="Times New Roman" w:eastAsia="宋体" w:cs="Times New Roman"/>
          <w:color w:val="auto"/>
          <w:sz w:val="15"/>
          <w:szCs w:val="15"/>
          <w:highlight w:val="none"/>
        </w:rPr>
      </w:pPr>
      <w:r>
        <w:rPr>
          <w:rFonts w:ascii="Times New Roman" w:hAnsi="Times New Roman" w:eastAsia="宋体" w:cs="Times New Roman"/>
          <w:color w:val="auto"/>
          <w:sz w:val="15"/>
          <w:szCs w:val="15"/>
          <w:highlight w:val="none"/>
        </w:rPr>
        <w:t>[15] KIDRON G J, KRONENFELD R, STARINSKY A, et al. Even in a dew desert: Dewfall does not provide sufficient moisture for biocrust growth – Evidence from direct measurements and a meteorological model[J]. Journal of Hydrology, 2023, 627: 130450.</w:t>
      </w:r>
    </w:p>
    <w:p w14:paraId="40C0817A">
      <w:pPr>
        <w:pStyle w:val="2"/>
        <w:spacing w:after="0"/>
        <w:ind w:left="300" w:hanging="300" w:hangingChars="200"/>
        <w:rPr>
          <w:rFonts w:ascii="Times New Roman" w:hAnsi="Times New Roman" w:eastAsia="宋体" w:cs="Times New Roman"/>
          <w:color w:val="auto"/>
          <w:sz w:val="15"/>
          <w:szCs w:val="15"/>
          <w:highlight w:val="none"/>
        </w:rPr>
      </w:pPr>
      <w:r>
        <w:rPr>
          <w:rFonts w:ascii="Times New Roman" w:hAnsi="Times New Roman" w:eastAsia="宋体" w:cs="Times New Roman"/>
          <w:color w:val="auto"/>
          <w:sz w:val="15"/>
          <w:szCs w:val="15"/>
          <w:highlight w:val="none"/>
        </w:rPr>
        <w:t>[16] GUO X N, WANG Y F, YAN H M, et al. Dew/hoar frost on the canopies and underlying surfaces of two typical desert shrubs in Northwest China and their relevance to drought[J]. Journal of Hydrology, 2022, 609: 127880.</w:t>
      </w:r>
    </w:p>
    <w:p w14:paraId="300F0094">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 xml:space="preserve">[17] </w:t>
      </w:r>
      <w:r>
        <w:rPr>
          <w:rFonts w:ascii="Times New Roman" w:hAnsi="Times New Roman" w:eastAsia="宋体" w:cs="Times New Roman"/>
          <w:color w:val="auto"/>
          <w:sz w:val="15"/>
          <w:szCs w:val="15"/>
          <w:highlight w:val="none"/>
        </w:rPr>
        <w:t>SIBLEY A, SCHULZE M, JONES J, et al. Canopy wetting patterns and the determinants of dry season dewfall in an old growth Douglas-fir canopy[J]. Agricultural and Forest Meteorology, 2022, 323: 109069.</w:t>
      </w:r>
    </w:p>
    <w:p w14:paraId="4A95EBA8">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 xml:space="preserve">[18] ZHANG Q, WANG S, YANG F L, et al. Characteristics of dew formation and distribution, and its contribution to the surface water budget in a semi-arid region in China[J]. Boundary-Layer Meteorology, 2015, 154(2): 317-331. </w:t>
      </w:r>
    </w:p>
    <w:p w14:paraId="747E6737">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 xml:space="preserve">[19] RITTER F, BERKELHAMMER M, BEYSENS D. Dew frequency across the US from a network of </w:t>
      </w:r>
      <w:r>
        <w:rPr>
          <w:rFonts w:hint="eastAsia" w:ascii="Times New Roman" w:hAnsi="Times New Roman" w:eastAsia="宋体" w:cs="Times New Roman"/>
          <w:i/>
          <w:color w:val="auto"/>
          <w:sz w:val="15"/>
          <w:szCs w:val="15"/>
          <w:highlight w:val="none"/>
        </w:rPr>
        <w:t>in situ</w:t>
      </w:r>
      <w:r>
        <w:rPr>
          <w:rFonts w:hint="eastAsia" w:ascii="Times New Roman" w:hAnsi="Times New Roman" w:eastAsia="宋体" w:cs="Times New Roman"/>
          <w:color w:val="auto"/>
          <w:sz w:val="15"/>
          <w:szCs w:val="15"/>
          <w:highlight w:val="none"/>
        </w:rPr>
        <w:t xml:space="preserve"> radiometers[J]. Hydrology and Earth System Sciences, 2019, 23(2): 1179-1197. </w:t>
      </w:r>
    </w:p>
    <w:p w14:paraId="304AAB5B">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 xml:space="preserve">[20] VUOLLEKOSKI H, VOGT M, SINCLAIR V A, et al. Estimates of global dew collection potential on artificial surfaces[J]. Hydrology and Earth System Sciences, 2015, 19(1): 601-613. </w:t>
      </w:r>
    </w:p>
    <w:p w14:paraId="3B9C9DFF">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[21] 王忠静, 张子雄, 索滢. 干旱区凝结水评估及对水量平衡方程影响[J]. 水利学报, 2019, 50(6): 710-720.</w:t>
      </w:r>
      <w:r>
        <w:rPr>
          <w:rFonts w:hint="eastAsia" w:ascii="Times New Roman" w:hAnsi="Times New Roman" w:eastAsia="宋体" w:cs="Times New Roman"/>
          <w:color w:val="auto"/>
          <w:sz w:val="15"/>
          <w:szCs w:val="15"/>
          <w:highlight w:val="none"/>
        </w:rPr>
        <w:br w:type="textWrapping"/>
      </w:r>
      <w:r>
        <w:rPr>
          <w:rFonts w:ascii="Times New Roman" w:hAnsi="Times New Roman" w:eastAsia="宋体" w:cs="Times New Roman"/>
          <w:color w:val="auto"/>
          <w:sz w:val="15"/>
          <w:szCs w:val="15"/>
          <w:highlight w:val="none"/>
        </w:rPr>
        <w:t>WANG Z J, ZHANG Z X, SUO Y. Evaluation of dew and its impact on water balance equation in arid regions[J]. Journal of Hydraulic Engineering, 2019, 50(6): 710-720</w:t>
      </w:r>
      <w:r>
        <w:rPr>
          <w:rFonts w:hint="eastAsia"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 xml:space="preserve"> </w:t>
      </w:r>
    </w:p>
    <w:p w14:paraId="0266149C">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 xml:space="preserve">[22] GAO Z Y, SHI W J, WANG X, et al. Non-rainfall water contributions to dryland jujube plantation evapotranspiration in the Hilly Loess Region of China[J]. Journal of Hydrology, 2020, 583: 124604. </w:t>
      </w:r>
    </w:p>
    <w:p w14:paraId="21315767">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[23] 季辰, 朱忠礼, 徐自为. 高精度称量式蒸渗仪数据处理方法研究[J]. 北京师范大学学报(自然科学版), 2016, 52(5): 628-634.</w:t>
      </w:r>
      <w:r>
        <w:rPr>
          <w:rFonts w:hint="eastAsia" w:ascii="Times New Roman" w:hAnsi="Times New Roman" w:eastAsia="宋体" w:cs="Times New Roman"/>
          <w:color w:val="auto"/>
          <w:sz w:val="15"/>
          <w:szCs w:val="15"/>
          <w:highlight w:val="none"/>
        </w:rPr>
        <w:br w:type="textWrapping"/>
      </w:r>
      <w:r>
        <w:rPr>
          <w:rFonts w:hint="eastAsia" w:ascii="Times New Roman" w:hAnsi="Times New Roman" w:eastAsia="宋体" w:cs="Times New Roman"/>
          <w:color w:val="auto"/>
          <w:sz w:val="15"/>
          <w:szCs w:val="15"/>
          <w:highlight w:val="none"/>
        </w:rPr>
        <w:t>JI</w:t>
      </w:r>
      <w:r>
        <w:rPr>
          <w:rFonts w:hint="eastAsia" w:ascii="Times New Roman" w:hAnsi="Times New Roman" w:eastAsia="宋体" w:cs="Times New Roman"/>
          <w:color w:val="auto"/>
          <w:sz w:val="15"/>
          <w:szCs w:val="15"/>
          <w:highlight w:val="none"/>
        </w:rPr>
        <w:t xml:space="preserve"> C, ZHU Z L, XU Z W. Data processing </w:t>
      </w:r>
      <w:r>
        <w:rPr>
          <w:rFonts w:hint="eastAsia" w:ascii="Times New Roman" w:hAnsi="Times New Roman" w:eastAsia="宋体" w:cs="Times New Roman"/>
          <w:color w:val="auto"/>
          <w:sz w:val="15"/>
          <w:szCs w:val="15"/>
          <w:highlight w:val="none"/>
        </w:rPr>
        <w:t>of</w:t>
      </w:r>
      <w:r>
        <w:rPr>
          <w:rFonts w:hint="eastAsia" w:ascii="Times New Roman" w:hAnsi="Times New Roman" w:eastAsia="宋体" w:cs="Times New Roman"/>
          <w:color w:val="auto"/>
          <w:sz w:val="15"/>
          <w:szCs w:val="15"/>
          <w:highlight w:val="none"/>
        </w:rPr>
        <w:t xml:space="preserve"> high precision weighing lysimeter[J]. Journal of Beijing Normal University (Natural Science), 2016, 52(5): 628-634. </w:t>
      </w:r>
    </w:p>
    <w:p w14:paraId="7CF2BCC5">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 xml:space="preserve">[24] COLAIZZI P D, MAREK G W, EVETT S R, et al. Algorithms to process weighing lysimeter data[J]. Journal of the ASABE, 2025, 68(5): 729-752. </w:t>
      </w:r>
    </w:p>
    <w:p w14:paraId="0740C4CF">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 xml:space="preserve">[25] </w:t>
      </w:r>
      <w:r>
        <w:rPr>
          <w:rFonts w:ascii="Times New Roman" w:hAnsi="Times New Roman" w:eastAsia="宋体" w:cs="Times New Roman"/>
          <w:color w:val="auto"/>
          <w:sz w:val="15"/>
          <w:szCs w:val="15"/>
          <w:highlight w:val="none"/>
        </w:rPr>
        <w:t>PAULUS S J, EL-MADANY T S, ORTH R, et al. Resolving seasonal and diel dynamics of non-rainfall water inputs in a Mediterranean ecosystem using lysimeters[J]. Hydrology and Earth System Sciences, 2022, 26: 6263-6287.</w:t>
      </w:r>
      <w:r>
        <w:rPr>
          <w:rFonts w:hint="eastAsia" w:ascii="Times New Roman" w:hAnsi="Times New Roman" w:eastAsia="宋体" w:cs="Times New Roman"/>
          <w:color w:val="auto"/>
          <w:sz w:val="15"/>
          <w:szCs w:val="15"/>
          <w:highlight w:val="none"/>
        </w:rPr>
        <w:t xml:space="preserve"> </w:t>
      </w:r>
    </w:p>
    <w:p w14:paraId="5ACAFAC3">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 xml:space="preserve">[26] MA Z L, LIU J, ZHANG J Z, et al. Ultra-wide film mulching with moderate irrigation water salinity enhances cotton growth under drip irrigation in Xinjiang, China[J]. Field Crops Research, 2024, 315: 109485. </w:t>
      </w:r>
    </w:p>
    <w:p w14:paraId="3802E235">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[27] QIN S J, LI S E, YANG K, et al. Can plastic mulch save water at night in irrigated croplands</w:t>
      </w:r>
      <w:r>
        <w:rPr>
          <w:rFonts w:hint="eastAsia"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 xml:space="preserve">[J]. Journal of Hydrology, 2018, 564: 667-681. </w:t>
      </w:r>
    </w:p>
    <w:p w14:paraId="61ACDD26">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 xml:space="preserve">[28] YU R H, ZHANG Z Z, LU X X, et al. Variations in dew moisture regimes in desert ecosystems and their influencing factors[J]. WIREs Water, 2020, 7(6): e1482. </w:t>
      </w:r>
    </w:p>
    <w:p w14:paraId="3FACE919">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 xml:space="preserve">[29] </w:t>
      </w:r>
      <w:r>
        <w:rPr>
          <w:rFonts w:ascii="Times New Roman" w:hAnsi="Times New Roman" w:eastAsia="宋体" w:cs="Times New Roman"/>
          <w:color w:val="auto"/>
          <w:sz w:val="15"/>
          <w:szCs w:val="15"/>
          <w:highlight w:val="none"/>
        </w:rPr>
        <w:t>WU Y J, DU T S, DING R S, et al. An isotope method to quantify soil evaporation and evaluate water vapor movement under plastic film mulch[J]. Agricultural Water Management, 2017, 184: 59–66.</w:t>
      </w:r>
      <w:r>
        <w:rPr>
          <w:rFonts w:hint="eastAsia" w:ascii="Times New Roman" w:hAnsi="Times New Roman" w:eastAsia="宋体" w:cs="Times New Roman"/>
          <w:color w:val="auto"/>
          <w:sz w:val="15"/>
          <w:szCs w:val="15"/>
          <w:highlight w:val="none"/>
        </w:rPr>
        <w:t xml:space="preserve"> </w:t>
      </w:r>
    </w:p>
    <w:p w14:paraId="67774C4E">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 xml:space="preserve">[30] KOOL D, AGRA E, DRABKIN A, et al. The overlooked non-rainfall water input sibling of fog and dew: </w:t>
      </w:r>
      <w:r>
        <w:rPr>
          <w:rFonts w:hint="eastAsia" w:ascii="Times New Roman" w:hAnsi="Times New Roman" w:eastAsia="宋体" w:cs="Times New Roman"/>
          <w:color w:val="auto"/>
          <w:sz w:val="15"/>
          <w:szCs w:val="15"/>
          <w:highlight w:val="none"/>
        </w:rPr>
        <w:t>D</w:t>
      </w:r>
      <w:r>
        <w:rPr>
          <w:rFonts w:hint="eastAsia" w:ascii="Times New Roman" w:hAnsi="Times New Roman" w:eastAsia="宋体" w:cs="Times New Roman"/>
          <w:color w:val="auto"/>
          <w:sz w:val="15"/>
          <w:szCs w:val="15"/>
          <w:highlight w:val="none"/>
        </w:rPr>
        <w:t xml:space="preserve">aily water vapor adsorption on a </w:t>
      </w:r>
      <w:r>
        <w:rPr>
          <w:rFonts w:hint="eastAsia"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 xml:space="preserve">Nara hummock in the Namib Sand Sea[J]. Journal of Hydrology, 2021, 598: 126420. </w:t>
      </w:r>
    </w:p>
    <w:p w14:paraId="66B73F93">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 xml:space="preserve">[31] HE S Y, RICHARDS K. The role of dew in the monsoon season assessed </w:t>
      </w:r>
      <w:r>
        <w:rPr>
          <w:rFonts w:hint="eastAsia" w:ascii="Times New Roman" w:hAnsi="Times New Roman" w:eastAsia="宋体" w:cs="Times New Roman"/>
          <w:i/>
          <w:color w:val="auto"/>
          <w:sz w:val="15"/>
          <w:szCs w:val="15"/>
          <w:highlight w:val="none"/>
        </w:rPr>
        <w:t>via</w:t>
      </w:r>
      <w:r>
        <w:rPr>
          <w:rFonts w:hint="eastAsia" w:ascii="Times New Roman" w:hAnsi="Times New Roman" w:eastAsia="宋体" w:cs="Times New Roman"/>
          <w:color w:val="auto"/>
          <w:sz w:val="15"/>
          <w:szCs w:val="15"/>
          <w:highlight w:val="none"/>
        </w:rPr>
        <w:t xml:space="preserve"> stable isotopes in an alpine meadow in Northern Tibet[J]. Atmospheric Research, 2015, 151: 101-109. </w:t>
      </w:r>
    </w:p>
    <w:p w14:paraId="1F0ED22E">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 xml:space="preserve">[32] JIA Z F, ZHAO Z Q, ZHANG Q Y, et al. Dew yield and its influencing factors at the western edge of Gurbantunggut Desert, China[J]. Water, 2019, 11(4): 733. </w:t>
      </w:r>
    </w:p>
    <w:p w14:paraId="16A1F825">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 xml:space="preserve">[33] </w:t>
      </w:r>
      <w:r>
        <w:rPr>
          <w:rFonts w:ascii="Times New Roman" w:hAnsi="Times New Roman" w:eastAsia="宋体" w:cs="Times New Roman"/>
          <w:color w:val="auto"/>
          <w:sz w:val="15"/>
          <w:szCs w:val="15"/>
          <w:highlight w:val="none"/>
        </w:rPr>
        <w:t>GROH J, SLAWITSCH V, HERNDL M, et al. Determining dew and hoar frost formation for a low mountain range and alpine grassland site by weighable lysimeter[J]. Journal of Hydrology, 2018, 563: 372–381.</w:t>
      </w:r>
      <w:r>
        <w:rPr>
          <w:rFonts w:hint="eastAsia" w:ascii="Times New Roman" w:hAnsi="Times New Roman" w:eastAsia="宋体" w:cs="Times New Roman"/>
          <w:color w:val="auto"/>
          <w:sz w:val="15"/>
          <w:szCs w:val="15"/>
          <w:highlight w:val="none"/>
        </w:rPr>
        <w:t xml:space="preserve"> </w:t>
      </w:r>
    </w:p>
    <w:p w14:paraId="5EB95737">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 xml:space="preserve">[34] JIA Z F, WANG Z, WANG H. Characteristics of dew formation in the semi-arid Loess Plateau of central Shaanxi Province, China[J]. Water, 2019, 11(1): 126. </w:t>
      </w:r>
    </w:p>
    <w:p w14:paraId="0753C688">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 xml:space="preserve">[35] </w:t>
      </w:r>
      <w:r>
        <w:rPr>
          <w:rFonts w:ascii="Times New Roman" w:hAnsi="Times New Roman" w:eastAsia="宋体" w:cs="Times New Roman"/>
          <w:color w:val="auto"/>
          <w:sz w:val="15"/>
          <w:szCs w:val="15"/>
          <w:highlight w:val="none"/>
        </w:rPr>
        <w:t>MIAO M, ZHANG M, WANG S J, et al. Effect of oasis and irrigation on mountain precipitation in the northern slope of Tianshan Mountains based on stable isotopes[J]. Journal of Hydrology, 2024, 635: 131151.</w:t>
      </w:r>
      <w:r>
        <w:rPr>
          <w:rFonts w:hint="eastAsia" w:ascii="Times New Roman" w:hAnsi="Times New Roman" w:eastAsia="宋体" w:cs="Times New Roman"/>
          <w:color w:val="auto"/>
          <w:sz w:val="15"/>
          <w:szCs w:val="15"/>
          <w:highlight w:val="none"/>
        </w:rPr>
        <w:t xml:space="preserve"> </w:t>
      </w:r>
    </w:p>
    <w:p w14:paraId="43A902EC">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 xml:space="preserve">[36] 张兴鲁. 干旱地区沙丘水汽凝结及其意义[J]. 水文地质工程地质, 1986, </w:t>
      </w:r>
      <w:r>
        <w:rPr>
          <w:rFonts w:hint="eastAsia" w:ascii="Times New Roman" w:hAnsi="Times New Roman" w:eastAsia="宋体" w:cs="Times New Roman"/>
          <w:color w:val="auto"/>
          <w:sz w:val="15"/>
          <w:szCs w:val="15"/>
          <w:highlight w:val="none"/>
        </w:rPr>
        <w:t>13</w:t>
      </w:r>
      <w:r>
        <w:rPr>
          <w:rFonts w:hint="eastAsia" w:ascii="Times New Roman" w:hAnsi="Times New Roman" w:eastAsia="宋体" w:cs="Times New Roman"/>
          <w:color w:val="auto"/>
          <w:sz w:val="15"/>
          <w:szCs w:val="15"/>
          <w:highlight w:val="none"/>
        </w:rPr>
        <w:t xml:space="preserve">(6): 39-42. </w:t>
      </w:r>
    </w:p>
    <w:p w14:paraId="0B190C31">
      <w:pPr>
        <w:pStyle w:val="2"/>
        <w:spacing w:after="0"/>
        <w:ind w:left="256" w:leftChars="122"/>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ZHANG X L. Water vapor condensation in sand dunes of arid regions and its significance[J]. Hydrogeology &amp; Engineering Geology, 1986(6): 39-42.</w:t>
      </w:r>
    </w:p>
    <w:p w14:paraId="4FAF0894">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[37</w:t>
      </w:r>
      <w:r>
        <w:rPr>
          <w:rFonts w:hint="eastAsia" w:ascii="Times New Roman" w:hAnsi="Times New Roman" w:eastAsia="宋体" w:cs="Times New Roman"/>
          <w:color w:val="auto"/>
          <w:sz w:val="15"/>
          <w:szCs w:val="15"/>
          <w:highlight w:val="none"/>
        </w:rPr>
        <w:t>] 吕明华, 闫江雨, 姚仁太, 等. 风向的统计方法研究[J</w:t>
      </w:r>
      <w:r>
        <w:rPr>
          <w:rFonts w:hint="eastAsia"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 气象与环境学报, 2012, 28(3):</w:t>
      </w:r>
      <w:r>
        <w:rPr>
          <w:rFonts w:hint="eastAsia" w:ascii="Times New Roman" w:hAnsi="Times New Roman" w:eastAsia="宋体" w:cs="Times New Roman"/>
          <w:color w:val="auto"/>
          <w:sz w:val="15"/>
          <w:szCs w:val="15"/>
          <w:highlight w:val="none"/>
        </w:rPr>
        <w:t xml:space="preserve"> </w:t>
      </w:r>
      <w:r>
        <w:rPr>
          <w:rFonts w:hint="eastAsia" w:ascii="Times New Roman" w:hAnsi="Times New Roman" w:eastAsia="宋体" w:cs="Times New Roman"/>
          <w:color w:val="auto"/>
          <w:sz w:val="15"/>
          <w:szCs w:val="15"/>
          <w:highlight w:val="none"/>
        </w:rPr>
        <w:t>83-89.</w:t>
      </w:r>
      <w:r>
        <w:rPr>
          <w:rFonts w:hint="eastAsia" w:ascii="Times New Roman" w:hAnsi="Times New Roman" w:eastAsia="宋体" w:cs="Times New Roman"/>
          <w:color w:val="auto"/>
          <w:sz w:val="15"/>
          <w:szCs w:val="15"/>
          <w:highlight w:val="none"/>
        </w:rPr>
        <w:br w:type="textWrapping"/>
      </w:r>
      <w:r>
        <w:rPr>
          <w:rFonts w:hint="eastAsia" w:ascii="Times New Roman" w:hAnsi="Times New Roman" w:eastAsia="宋体" w:cs="Times New Roman"/>
          <w:color w:val="auto"/>
          <w:sz w:val="15"/>
          <w:szCs w:val="15"/>
          <w:highlight w:val="none"/>
        </w:rPr>
        <w:t>LV M H, YAN J Y, YAO R T, et al. Study on the statistical method of wind direction[J].</w:t>
      </w:r>
      <w:r>
        <w:rPr>
          <w:rFonts w:hint="eastAsia" w:ascii="Times New Roman" w:hAnsi="Times New Roman" w:eastAsia="宋体" w:cs="Times New Roman"/>
          <w:color w:val="auto"/>
          <w:sz w:val="15"/>
          <w:szCs w:val="15"/>
          <w:highlight w:val="none"/>
        </w:rPr>
        <w:t xml:space="preserve"> </w:t>
      </w:r>
      <w:r>
        <w:rPr>
          <w:rFonts w:hint="eastAsia" w:ascii="Times New Roman" w:hAnsi="Times New Roman" w:eastAsia="宋体" w:cs="Times New Roman"/>
          <w:color w:val="auto"/>
          <w:sz w:val="15"/>
          <w:szCs w:val="15"/>
          <w:highlight w:val="none"/>
        </w:rPr>
        <w:t>Journal</w:t>
      </w:r>
      <w:r>
        <w:rPr>
          <w:rFonts w:hint="eastAsia" w:ascii="Times New Roman" w:hAnsi="Times New Roman" w:eastAsia="宋体" w:cs="Times New Roman"/>
          <w:color w:val="auto"/>
          <w:sz w:val="15"/>
          <w:szCs w:val="15"/>
          <w:highlight w:val="none"/>
        </w:rPr>
        <w:t xml:space="preserve"> </w:t>
      </w:r>
      <w:r>
        <w:rPr>
          <w:rFonts w:hint="eastAsia" w:ascii="Times New Roman" w:hAnsi="Times New Roman" w:eastAsia="宋体" w:cs="Times New Roman"/>
          <w:color w:val="auto"/>
          <w:sz w:val="15"/>
          <w:szCs w:val="15"/>
          <w:highlight w:val="none"/>
        </w:rPr>
        <w:t>of</w:t>
      </w:r>
      <w:r>
        <w:rPr>
          <w:rFonts w:hint="eastAsia" w:ascii="Times New Roman" w:hAnsi="Times New Roman" w:eastAsia="宋体" w:cs="Times New Roman"/>
          <w:color w:val="auto"/>
          <w:sz w:val="15"/>
          <w:szCs w:val="15"/>
          <w:highlight w:val="none"/>
        </w:rPr>
        <w:t xml:space="preserve"> </w:t>
      </w:r>
      <w:r>
        <w:rPr>
          <w:rFonts w:hint="eastAsia" w:ascii="Times New Roman" w:hAnsi="Times New Roman" w:eastAsia="宋体" w:cs="Times New Roman"/>
          <w:color w:val="auto"/>
          <w:sz w:val="15"/>
          <w:szCs w:val="15"/>
          <w:highlight w:val="none"/>
        </w:rPr>
        <w:t>Meteorology</w:t>
      </w:r>
      <w:r>
        <w:rPr>
          <w:rFonts w:hint="eastAsia" w:ascii="Times New Roman" w:hAnsi="Times New Roman" w:eastAsia="宋体" w:cs="Times New Roman"/>
          <w:color w:val="auto"/>
          <w:sz w:val="15"/>
          <w:szCs w:val="15"/>
          <w:highlight w:val="none"/>
        </w:rPr>
        <w:t xml:space="preserve"> </w:t>
      </w:r>
      <w:r>
        <w:rPr>
          <w:rFonts w:hint="eastAsia" w:ascii="Times New Roman" w:hAnsi="Times New Roman" w:eastAsia="宋体" w:cs="Times New Roman"/>
          <w:color w:val="auto"/>
          <w:sz w:val="15"/>
          <w:szCs w:val="15"/>
          <w:highlight w:val="none"/>
        </w:rPr>
        <w:t>and Environment</w:t>
      </w:r>
      <w:r>
        <w:rPr>
          <w:rFonts w:hint="eastAsia" w:ascii="Times New Roman" w:hAnsi="Times New Roman" w:eastAsia="宋体" w:cs="Times New Roman"/>
          <w:color w:val="auto"/>
          <w:sz w:val="15"/>
          <w:szCs w:val="15"/>
          <w:highlight w:val="none"/>
        </w:rPr>
        <w:t xml:space="preserve">, 2012, </w:t>
      </w:r>
      <w:r>
        <w:rPr>
          <w:rFonts w:hint="eastAsia" w:ascii="Times New Roman" w:hAnsi="Times New Roman" w:eastAsia="宋体" w:cs="Times New Roman"/>
          <w:color w:val="auto"/>
          <w:sz w:val="15"/>
          <w:szCs w:val="15"/>
          <w:highlight w:val="none"/>
        </w:rPr>
        <w:t>28</w:t>
      </w:r>
      <w:r>
        <w:rPr>
          <w:rFonts w:hint="eastAsia" w:ascii="Times New Roman" w:hAnsi="Times New Roman" w:eastAsia="宋体" w:cs="Times New Roman"/>
          <w:color w:val="auto"/>
          <w:sz w:val="15"/>
          <w:szCs w:val="15"/>
          <w:highlight w:val="none"/>
        </w:rPr>
        <w:t>(</w:t>
      </w:r>
      <w:r>
        <w:rPr>
          <w:rFonts w:hint="eastAsia" w:ascii="Times New Roman" w:hAnsi="Times New Roman" w:eastAsia="宋体" w:cs="Times New Roman"/>
          <w:color w:val="auto"/>
          <w:sz w:val="15"/>
          <w:szCs w:val="15"/>
          <w:highlight w:val="none"/>
        </w:rPr>
        <w:t>3</w:t>
      </w:r>
      <w:r>
        <w:rPr>
          <w:rFonts w:hint="eastAsia" w:ascii="Times New Roman" w:hAnsi="Times New Roman" w:eastAsia="宋体" w:cs="Times New Roman"/>
          <w:color w:val="auto"/>
          <w:sz w:val="15"/>
          <w:szCs w:val="15"/>
          <w:highlight w:val="none"/>
        </w:rPr>
        <w:t xml:space="preserve">): 83-89. </w:t>
      </w:r>
    </w:p>
    <w:p w14:paraId="5AF575F6">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 xml:space="preserve">[38] RICHARDS K. Observation and simulation of dew in rural and urban environments[J]. Progress in Physical Geography: Earth and Environment, 2004, 28(1): 76-94. </w:t>
      </w:r>
    </w:p>
    <w:p w14:paraId="15BB471F">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 xml:space="preserve">[39] YE Y H, ZHOU K, SONG L Y, et al. Dew amounts and its correlations with meteorological factors in urban landscapes of Guangzhou, China[J]. Atmospheric Research, 2007, 86(1): 21-29. </w:t>
      </w:r>
    </w:p>
    <w:p w14:paraId="4CA42130">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[40] BEYSENS D. The formation of dew[J]. Atmospheric Research, 1995, 39(</w:t>
      </w:r>
      <w:r>
        <w:rPr>
          <w:rFonts w:hint="eastAsia" w:ascii="Times New Roman" w:hAnsi="Times New Roman" w:eastAsia="宋体" w:cs="Times New Roman"/>
          <w:color w:val="auto"/>
          <w:sz w:val="15"/>
          <w:szCs w:val="15"/>
          <w:highlight w:val="none"/>
        </w:rPr>
        <w:t>1</w:t>
      </w:r>
      <w:r>
        <w:rPr>
          <w:rFonts w:hint="eastAsia" w:ascii="Times New Roman" w:hAnsi="Times New Roman" w:eastAsia="宋体" w:cs="Times New Roman"/>
          <w:color w:val="auto"/>
          <w:sz w:val="15"/>
          <w:szCs w:val="15"/>
          <w:highlight w:val="none"/>
        </w:rPr>
        <w:t>/2/</w:t>
      </w:r>
      <w:r>
        <w:rPr>
          <w:rFonts w:hint="eastAsia" w:ascii="Times New Roman" w:hAnsi="Times New Roman" w:eastAsia="宋体" w:cs="Times New Roman"/>
          <w:color w:val="auto"/>
          <w:sz w:val="15"/>
          <w:szCs w:val="15"/>
          <w:highlight w:val="none"/>
        </w:rPr>
        <w:t xml:space="preserve">3): </w:t>
      </w:r>
      <w:r>
        <w:rPr>
          <w:rFonts w:hint="eastAsia" w:ascii="Times New Roman" w:hAnsi="Times New Roman" w:eastAsia="宋体" w:cs="Times New Roman"/>
          <w:color w:val="auto"/>
          <w:sz w:val="15"/>
          <w:szCs w:val="15"/>
          <w:highlight w:val="none"/>
        </w:rPr>
        <w:t xml:space="preserve">215-237. </w:t>
      </w:r>
    </w:p>
    <w:p w14:paraId="4F9A1FBA">
      <w:pPr>
        <w:pStyle w:val="2"/>
        <w:spacing w:after="0"/>
        <w:ind w:left="300" w:hanging="300" w:hangingChars="200"/>
        <w:rPr>
          <w:rFonts w:ascii="Times New Roman" w:hAnsi="Times New Roman" w:eastAsia="宋体" w:cs="Times New Roman"/>
          <w:color w:val="auto"/>
          <w:sz w:val="15"/>
          <w:szCs w:val="15"/>
          <w:highlight w:val="none"/>
        </w:rPr>
      </w:pPr>
      <w:r>
        <w:rPr>
          <w:rFonts w:hint="eastAsia" w:ascii="Times New Roman" w:hAnsi="Times New Roman" w:eastAsia="宋体" w:cs="Times New Roman"/>
          <w:color w:val="auto"/>
          <w:sz w:val="15"/>
          <w:szCs w:val="15"/>
          <w:highlight w:val="none"/>
        </w:rPr>
        <w:t>[41] MONTEITH J L. Dew[J]. Quarterly Journal of the Royal Meteorological Society, 1957, 83(357): 322-341.</w:t>
      </w:r>
      <w:r>
        <w:rPr>
          <w:rFonts w:hint="eastAsia" w:ascii="Times New Roman" w:hAnsi="Times New Roman" w:eastAsia="宋体" w:cs="Times New Roman"/>
          <w:color w:val="auto"/>
          <w:sz w:val="15"/>
          <w:szCs w:val="15"/>
          <w:highlight w:val="none"/>
        </w:rPr>
        <w:t xml:space="preserve"> </w:t>
      </w:r>
    </w:p>
    <w:p w14:paraId="66C014FC">
      <w:pPr>
        <w:pStyle w:val="2"/>
        <w:spacing w:after="0"/>
        <w:rPr>
          <w:rFonts w:ascii="Times New Roman" w:hAnsi="Times New Roman" w:eastAsia="宋体" w:cs="Times New Roman"/>
          <w:color w:val="auto"/>
          <w:sz w:val="15"/>
          <w:szCs w:val="15"/>
          <w:highlight w:val="none"/>
        </w:rPr>
      </w:pPr>
    </w:p>
    <w:sectPr>
      <w:footerReference r:id="rId3" w:type="firs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002A5">
    <w:pPr>
      <w:rPr>
        <w:rFonts w:ascii="Times New Roman" w:hAnsi="Times New Roman" w:eastAsia="宋体" w:cs="Times New Roman"/>
        <w:b/>
        <w:color w:val="FF0000"/>
        <w:sz w:val="18"/>
        <w:szCs w:val="18"/>
      </w:rPr>
    </w:pPr>
    <w:r>
      <w:rPr>
        <w:rFonts w:ascii="Times New Roman" w:hAnsi="Times New Roman" w:eastAsia="黑体" w:cs="Times New Roman"/>
        <w:b/>
        <w:bCs/>
        <w:sz w:val="18"/>
        <w:szCs w:val="18"/>
      </w:rPr>
      <w:t>收稿日期：</w:t>
    </w:r>
    <w:r>
      <w:rPr>
        <w:rFonts w:ascii="Times New Roman" w:hAnsi="Times New Roman" w:eastAsia="宋体" w:cs="Times New Roman"/>
        <w:sz w:val="18"/>
        <w:szCs w:val="18"/>
      </w:rPr>
      <w:t>2026-0</w:t>
    </w:r>
    <w:r>
      <w:rPr>
        <w:rFonts w:hint="eastAsia" w:ascii="Times New Roman" w:hAnsi="Times New Roman" w:eastAsia="宋体" w:cs="Times New Roman"/>
        <w:sz w:val="18"/>
        <w:szCs w:val="18"/>
        <w:lang w:val="en"/>
      </w:rPr>
      <w:t>5</w:t>
    </w:r>
    <w:r>
      <w:rPr>
        <w:rFonts w:ascii="Times New Roman" w:hAnsi="Times New Roman" w:eastAsia="宋体" w:cs="Times New Roman"/>
        <w:sz w:val="18"/>
        <w:szCs w:val="18"/>
      </w:rPr>
      <w:t>-1</w:t>
    </w:r>
    <w:r>
      <w:rPr>
        <w:rFonts w:hint="eastAsia" w:ascii="Times New Roman" w:hAnsi="Times New Roman" w:eastAsia="宋体" w:cs="Times New Roman"/>
        <w:sz w:val="18"/>
        <w:szCs w:val="18"/>
      </w:rPr>
      <w:t>1</w:t>
    </w:r>
    <w:r>
      <w:rPr>
        <w:rFonts w:ascii="Times New Roman" w:hAnsi="Times New Roman" w:eastAsia="宋体" w:cs="Times New Roman"/>
        <w:sz w:val="18"/>
        <w:szCs w:val="18"/>
      </w:rPr>
      <w:t>；</w:t>
    </w:r>
    <w:r>
      <w:rPr>
        <w:rFonts w:ascii="Times New Roman" w:hAnsi="Times New Roman" w:eastAsia="黑体" w:cs="Times New Roman"/>
        <w:b/>
        <w:bCs/>
        <w:sz w:val="18"/>
        <w:szCs w:val="18"/>
      </w:rPr>
      <w:t>修回日期：</w:t>
    </w:r>
    <w:r>
      <w:rPr>
        <w:rFonts w:hint="eastAsia" w:ascii="Times New Roman" w:hAnsi="Times New Roman" w:eastAsia="宋体" w:cs="Times New Roman"/>
        <w:sz w:val="18"/>
        <w:szCs w:val="18"/>
      </w:rPr>
      <w:t>2026-06-22</w:t>
    </w:r>
    <w:r>
      <w:rPr>
        <w:rFonts w:ascii="Times New Roman" w:hAnsi="Times New Roman" w:eastAsia="宋体" w:cs="Times New Roman"/>
        <w:sz w:val="18"/>
        <w:szCs w:val="18"/>
      </w:rPr>
      <w:t>；</w:t>
    </w:r>
    <w:r>
      <w:rPr>
        <w:rFonts w:ascii="Times New Roman" w:hAnsi="Times New Roman" w:eastAsia="黑体" w:cs="Times New Roman"/>
        <w:b/>
        <w:bCs/>
        <w:sz w:val="18"/>
        <w:szCs w:val="18"/>
      </w:rPr>
      <w:t>录用日期：</w:t>
    </w:r>
    <w:r>
      <w:rPr>
        <w:rFonts w:hint="eastAsia" w:ascii="Times New Roman" w:hAnsi="Times New Roman" w:eastAsia="宋体" w:cs="Times New Roman"/>
        <w:sz w:val="18"/>
        <w:szCs w:val="18"/>
      </w:rPr>
      <w:t>2026-07-01</w:t>
    </w:r>
    <w:r>
      <w:rPr>
        <w:rFonts w:ascii="Times New Roman" w:hAnsi="Times New Roman" w:eastAsia="宋体" w:cs="Times New Roman"/>
        <w:sz w:val="18"/>
        <w:szCs w:val="18"/>
      </w:rPr>
      <w:t>；</w:t>
    </w:r>
    <w:r>
      <w:rPr>
        <w:rFonts w:ascii="Times New Roman" w:hAnsi="Times New Roman" w:eastAsia="黑体" w:cs="Times New Roman"/>
        <w:b/>
        <w:bCs/>
        <w:sz w:val="18"/>
        <w:szCs w:val="18"/>
      </w:rPr>
      <w:t>网络出版日期：</w:t>
    </w:r>
    <w:r>
      <w:rPr>
        <w:rFonts w:hint="eastAsia" w:ascii="Times New Roman" w:hAnsi="Times New Roman" w:eastAsia="宋体" w:cs="Times New Roman"/>
        <w:sz w:val="18"/>
        <w:szCs w:val="18"/>
      </w:rPr>
      <w:t xml:space="preserve">          </w:t>
    </w:r>
  </w:p>
  <w:p w14:paraId="78623F04">
    <w:pPr>
      <w:pStyle w:val="6"/>
      <w:rPr>
        <w:rFonts w:hint="eastAsia" w:ascii="宋体" w:hAnsi="宋体" w:eastAsia="宋体" w:cs="黑体"/>
        <w:bCs/>
        <w:lang w:val="zh-CN"/>
      </w:rPr>
    </w:pPr>
    <w:r>
      <w:rPr>
        <w:rFonts w:hint="eastAsia" w:ascii="黑体" w:hAnsi="黑体" w:eastAsia="黑体" w:cs="黑体"/>
        <w:b/>
      </w:rPr>
      <w:t>项目基金</w:t>
    </w:r>
    <w:bookmarkStart w:id="5" w:name="OLE_LINK14"/>
    <w:bookmarkStart w:id="6" w:name="OLE_LINK13"/>
    <w:r>
      <w:rPr>
        <w:rFonts w:hint="eastAsia" w:ascii="黑体" w:hAnsi="黑体" w:eastAsia="黑体" w:cs="黑体"/>
        <w:b/>
        <w:lang w:val="zh-CN"/>
      </w:rPr>
      <w:t>：</w:t>
    </w:r>
    <w:r>
      <w:rPr>
        <w:rFonts w:ascii="宋体" w:hAnsi="宋体" w:eastAsia="宋体" w:cs="黑体"/>
        <w:bCs/>
        <w:lang w:val="zh-CN"/>
      </w:rPr>
      <w:t>国家自然科学基金项目</w:t>
    </w:r>
    <w:r>
      <w:rPr>
        <w:rFonts w:ascii="Times New Roman" w:hAnsi="Times New Roman" w:eastAsia="宋体" w:cs="Times New Roman"/>
      </w:rPr>
      <w:t>(</w:t>
    </w:r>
    <w:r>
      <w:rPr>
        <w:rFonts w:ascii="Times New Roman" w:hAnsi="Times New Roman" w:eastAsia="宋体" w:cs="Times New Roman"/>
        <w:bCs/>
        <w:lang w:val="zh-CN"/>
      </w:rPr>
      <w:t>5176903</w:t>
    </w:r>
    <w:r>
      <w:rPr>
        <w:rFonts w:ascii="Times New Roman" w:hAnsi="Times New Roman" w:eastAsia="宋体" w:cs="Times New Roman"/>
        <w:bCs/>
        <w:highlight w:val="yellow"/>
        <w:lang w:val="zh-CN"/>
      </w:rPr>
      <w:t>0</w:t>
    </w:r>
    <w:r>
      <w:rPr>
        <w:rFonts w:ascii="Times New Roman" w:hAnsi="Times New Roman" w:eastAsia="宋体" w:cs="Times New Roman"/>
        <w:highlight w:val="yellow"/>
      </w:rPr>
      <w:t>)</w:t>
    </w:r>
    <w:r>
      <w:rPr>
        <w:rFonts w:hint="eastAsia" w:ascii="Times New Roman" w:hAnsi="Times New Roman" w:eastAsia="宋体" w:cs="Times New Roman"/>
        <w:highlight w:val="yellow"/>
      </w:rPr>
      <w:t>；南疆重点产业创新发展支撑计划</w:t>
    </w:r>
    <w:r>
      <w:rPr>
        <w:rFonts w:ascii="Times New Roman" w:hAnsi="Times New Roman" w:eastAsia="宋体" w:cs="Times New Roman"/>
        <w:highlight w:val="yellow"/>
      </w:rPr>
      <w:t>(2022DB024)</w:t>
    </w:r>
  </w:p>
  <w:bookmarkEnd w:id="5"/>
  <w:bookmarkEnd w:id="6"/>
  <w:p w14:paraId="6C187CCE">
    <w:pPr>
      <w:pStyle w:val="6"/>
      <w:ind w:left="904" w:hanging="904" w:hangingChars="500"/>
      <w:rPr>
        <w:rFonts w:ascii="Times New Roman" w:hAnsi="Times New Roman" w:eastAsia="宋体" w:cs="Times New Roman"/>
      </w:rPr>
    </w:pPr>
    <w:r>
      <w:rPr>
        <w:rFonts w:hint="eastAsia" w:ascii="黑体" w:hAnsi="黑体" w:eastAsia="黑体" w:cs="黑体"/>
        <w:b/>
      </w:rPr>
      <w:t>作者简介：</w:t>
    </w:r>
    <w:r>
      <w:rPr>
        <w:rFonts w:hint="eastAsia" w:ascii="宋体" w:hAnsi="宋体" w:eastAsia="宋体" w:cs="宋体"/>
      </w:rPr>
      <w:t>马瑞莎(</w:t>
    </w:r>
    <w:r>
      <w:rPr>
        <w:rFonts w:ascii="Times New Roman" w:hAnsi="Times New Roman" w:eastAsia="宋体" w:cs="Times New Roman"/>
      </w:rPr>
      <w:t>1994</w:t>
    </w:r>
    <w:r>
      <w:rPr>
        <w:rFonts w:ascii="Times New Roman" w:hAnsi="Times New Roman" w:cs="Times New Roman"/>
      </w:rPr>
      <w:t>—</w:t>
    </w:r>
    <w:r>
      <w:rPr>
        <w:rFonts w:hint="eastAsia" w:ascii="宋体" w:hAnsi="宋体" w:eastAsia="宋体" w:cs="宋体"/>
      </w:rPr>
      <w:t>)，女，讲师,工程师，硕士，主要从事水文水资源研究。</w:t>
    </w:r>
    <w:r>
      <w:rPr>
        <w:rFonts w:ascii="Times New Roman" w:hAnsi="Times New Roman" w:eastAsia="宋体" w:cs="Times New Roman"/>
      </w:rPr>
      <w:t>E-mail</w:t>
    </w:r>
    <w:r>
      <w:rPr>
        <w:rFonts w:hint="eastAsia" w:ascii="Times New Roman" w:hAnsi="Times New Roman" w:eastAsia="宋体" w:cs="Times New Roman"/>
      </w:rPr>
      <w:t>：</w:t>
    </w:r>
    <w:r>
      <w:rPr>
        <w:rFonts w:ascii="Times New Roman" w:hAnsi="Times New Roman" w:eastAsia="宋体" w:cs="Times New Roman"/>
      </w:rPr>
      <w:t>maruisha@yeah.net</w:t>
    </w:r>
  </w:p>
  <w:p w14:paraId="0278CA86">
    <w:pPr>
      <w:pStyle w:val="6"/>
      <w:adjustRightInd w:val="0"/>
      <w:ind w:left="904" w:hanging="904" w:hangingChars="500"/>
      <w:rPr>
        <w:rFonts w:ascii="Times New Roman" w:hAnsi="Times New Roman" w:eastAsia="宋体" w:cs="Times New Roman"/>
      </w:rPr>
    </w:pPr>
    <w:r>
      <w:rPr>
        <w:rFonts w:hint="eastAsia" w:ascii="黑体" w:hAnsi="黑体" w:eastAsia="黑体" w:cs="黑体"/>
        <w:b/>
      </w:rPr>
      <w:t>通讯作者：</w:t>
    </w:r>
    <w:r>
      <w:rPr>
        <w:rFonts w:hint="eastAsia" w:ascii="Times New Roman" w:hAnsi="Times New Roman" w:eastAsia="宋体" w:cs="Times New Roman"/>
      </w:rPr>
      <w:t>乔长录</w:t>
    </w:r>
    <w:r>
      <w:rPr>
        <w:rFonts w:ascii="Times New Roman" w:hAnsi="Times New Roman" w:eastAsia="宋体" w:cs="Times New Roman"/>
      </w:rPr>
      <w:t>(19</w:t>
    </w:r>
    <w:r>
      <w:rPr>
        <w:rFonts w:hint="eastAsia" w:ascii="Times New Roman" w:hAnsi="Times New Roman" w:eastAsia="宋体" w:cs="Times New Roman"/>
      </w:rPr>
      <w:t>76</w:t>
    </w:r>
    <w:r>
      <w:rPr>
        <w:rFonts w:ascii="Times New Roman" w:hAnsi="Times New Roman" w:cs="Times New Roman"/>
      </w:rPr>
      <w:t>—</w:t>
    </w:r>
    <w:r>
      <w:rPr>
        <w:rFonts w:ascii="Times New Roman" w:hAnsi="Times New Roman" w:eastAsia="宋体" w:cs="Times New Roman"/>
      </w:rPr>
      <w:t>)</w:t>
    </w:r>
    <w:r>
      <w:rPr>
        <w:rFonts w:hint="eastAsia" w:ascii="Times New Roman" w:hAnsi="Times New Roman" w:eastAsia="宋体" w:cs="Times New Roman"/>
      </w:rPr>
      <w:t>，</w:t>
    </w:r>
    <w:r>
      <w:rPr>
        <w:rFonts w:ascii="Times New Roman" w:hAnsi="Times New Roman" w:eastAsia="宋体" w:cs="Times New Roman"/>
      </w:rPr>
      <w:t>男，教授，博士</w:t>
    </w:r>
    <w:r>
      <w:rPr>
        <w:rFonts w:hint="eastAsia" w:ascii="Times New Roman" w:hAnsi="Times New Roman" w:eastAsia="宋体" w:cs="Times New Roman"/>
      </w:rPr>
      <w:t>研究</w:t>
    </w:r>
    <w:r>
      <w:rPr>
        <w:rFonts w:ascii="Times New Roman" w:hAnsi="Times New Roman" w:eastAsia="宋体" w:cs="Times New Roman"/>
      </w:rPr>
      <w:t>生导师，博士，主要从事干旱区水文水资源研究。</w:t>
    </w:r>
    <w:r>
      <w:rPr>
        <w:rFonts w:ascii="Times New Roman" w:hAnsi="Times New Roman" w:eastAsia="宋体" w:cs="宋体"/>
      </w:rPr>
      <w:t>E-mail：</w:t>
    </w:r>
    <w:r>
      <w:t>qiaochanglu@126.com</w:t>
    </w:r>
  </w:p>
  <w:p w14:paraId="6EFE2881">
    <w:pPr>
      <w:snapToGrid w:val="0"/>
      <w:ind w:left="893" w:leftChars="425"/>
      <w:jc w:val="left"/>
      <w:rPr>
        <w:rFonts w:ascii="Times New Roman" w:hAnsi="Times New Roman" w:eastAsia="宋体" w:cs="宋体"/>
        <w:sz w:val="18"/>
        <w:szCs w:val="18"/>
      </w:rPr>
    </w:pPr>
    <w:r>
      <w:rPr>
        <w:rFonts w:ascii="Times New Roman" w:hAnsi="Times New Roman" w:eastAsia="宋体" w:cs="宋体"/>
        <w:sz w:val="18"/>
        <w:szCs w:val="18"/>
      </w:rPr>
      <w:t>谷新晨</w:t>
    </w:r>
    <w:r>
      <w:rPr>
        <w:rFonts w:hint="eastAsia" w:ascii="Times New Roman" w:hAnsi="Times New Roman" w:eastAsia="宋体" w:cs="宋体"/>
        <w:sz w:val="18"/>
        <w:szCs w:val="18"/>
      </w:rPr>
      <w:t>(</w:t>
    </w:r>
    <w:r>
      <w:rPr>
        <w:rFonts w:ascii="Times New Roman" w:hAnsi="Times New Roman" w:eastAsia="宋体" w:cs="宋体"/>
        <w:sz w:val="18"/>
        <w:szCs w:val="18"/>
      </w:rPr>
      <w:t>1996—</w:t>
    </w:r>
    <w:r>
      <w:rPr>
        <w:rFonts w:hint="eastAsia" w:ascii="Times New Roman" w:hAnsi="Times New Roman" w:eastAsia="宋体" w:cs="宋体"/>
        <w:sz w:val="18"/>
        <w:szCs w:val="18"/>
      </w:rPr>
      <w:t>)</w:t>
    </w:r>
    <w:r>
      <w:rPr>
        <w:rFonts w:ascii="Times New Roman" w:hAnsi="Times New Roman" w:eastAsia="宋体" w:cs="宋体"/>
        <w:sz w:val="18"/>
        <w:szCs w:val="18"/>
      </w:rPr>
      <w:t>，男，</w:t>
    </w:r>
    <w:r>
      <w:rPr>
        <w:rFonts w:hint="eastAsia" w:ascii="Times New Roman" w:hAnsi="Times New Roman" w:eastAsia="宋体" w:cs="宋体"/>
        <w:sz w:val="18"/>
        <w:szCs w:val="18"/>
      </w:rPr>
      <w:t>助理研究员，博士后，</w:t>
    </w:r>
    <w:r>
      <w:rPr>
        <w:rFonts w:ascii="Times New Roman" w:hAnsi="Times New Roman" w:eastAsia="宋体" w:cs="宋体"/>
        <w:sz w:val="18"/>
        <w:szCs w:val="18"/>
      </w:rPr>
      <w:t>博士，主要从事干旱区水资源与生态水文研究。E-mail：</w:t>
    </w:r>
    <w:r>
      <w:rPr>
        <w:rFonts w:ascii="Times New Roman" w:hAnsi="Times New Roman" w:eastAsia="宋体" w:cs="宋体"/>
        <w:spacing w:val="4"/>
        <w:kern w:val="0"/>
        <w:sz w:val="18"/>
        <w:szCs w:val="18"/>
      </w:rPr>
      <w:t>gxc@scut.edu.cn</w:t>
    </w:r>
  </w:p>
  <w:p w14:paraId="2764D50D">
    <w:pPr>
      <w:pStyle w:val="6"/>
      <w:rPr>
        <w:rFonts w:ascii="Times New Roman" w:hAnsi="Times New Roman" w:eastAsia="宋体"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B3A"/>
    <w:rsid w:val="000004B7"/>
    <w:rsid w:val="00000C59"/>
    <w:rsid w:val="00002EF9"/>
    <w:rsid w:val="00003859"/>
    <w:rsid w:val="00005185"/>
    <w:rsid w:val="000055D4"/>
    <w:rsid w:val="00006D20"/>
    <w:rsid w:val="00013E00"/>
    <w:rsid w:val="000147B9"/>
    <w:rsid w:val="00014C9D"/>
    <w:rsid w:val="00015652"/>
    <w:rsid w:val="00015C11"/>
    <w:rsid w:val="00016DB4"/>
    <w:rsid w:val="00016E27"/>
    <w:rsid w:val="00016F00"/>
    <w:rsid w:val="000178AC"/>
    <w:rsid w:val="000216D8"/>
    <w:rsid w:val="000217DD"/>
    <w:rsid w:val="00022C97"/>
    <w:rsid w:val="00023D71"/>
    <w:rsid w:val="000242FD"/>
    <w:rsid w:val="0002486C"/>
    <w:rsid w:val="0002537C"/>
    <w:rsid w:val="00026347"/>
    <w:rsid w:val="00026929"/>
    <w:rsid w:val="000333CE"/>
    <w:rsid w:val="00034F9B"/>
    <w:rsid w:val="000360D3"/>
    <w:rsid w:val="00037301"/>
    <w:rsid w:val="00041378"/>
    <w:rsid w:val="0004221A"/>
    <w:rsid w:val="000431C2"/>
    <w:rsid w:val="00046306"/>
    <w:rsid w:val="0005070D"/>
    <w:rsid w:val="000560A6"/>
    <w:rsid w:val="00057081"/>
    <w:rsid w:val="00060461"/>
    <w:rsid w:val="00065DD5"/>
    <w:rsid w:val="00066A31"/>
    <w:rsid w:val="00066C7B"/>
    <w:rsid w:val="000714A2"/>
    <w:rsid w:val="00071ED3"/>
    <w:rsid w:val="000720F9"/>
    <w:rsid w:val="000737AB"/>
    <w:rsid w:val="000738ED"/>
    <w:rsid w:val="0007506B"/>
    <w:rsid w:val="000750F0"/>
    <w:rsid w:val="00076354"/>
    <w:rsid w:val="000771F1"/>
    <w:rsid w:val="000821DE"/>
    <w:rsid w:val="00083C36"/>
    <w:rsid w:val="0008461B"/>
    <w:rsid w:val="00085521"/>
    <w:rsid w:val="00085D1C"/>
    <w:rsid w:val="000864C9"/>
    <w:rsid w:val="00086912"/>
    <w:rsid w:val="00086C0E"/>
    <w:rsid w:val="00091380"/>
    <w:rsid w:val="0009171C"/>
    <w:rsid w:val="00091CF1"/>
    <w:rsid w:val="00092509"/>
    <w:rsid w:val="00093682"/>
    <w:rsid w:val="00093C20"/>
    <w:rsid w:val="00094D82"/>
    <w:rsid w:val="00096C0F"/>
    <w:rsid w:val="000A2CD9"/>
    <w:rsid w:val="000A5F95"/>
    <w:rsid w:val="000A603E"/>
    <w:rsid w:val="000A61A7"/>
    <w:rsid w:val="000A62A5"/>
    <w:rsid w:val="000A6636"/>
    <w:rsid w:val="000A6A86"/>
    <w:rsid w:val="000A6E68"/>
    <w:rsid w:val="000B29FC"/>
    <w:rsid w:val="000B2C46"/>
    <w:rsid w:val="000B34AB"/>
    <w:rsid w:val="000B36FA"/>
    <w:rsid w:val="000B4034"/>
    <w:rsid w:val="000B4C53"/>
    <w:rsid w:val="000B5324"/>
    <w:rsid w:val="000B588F"/>
    <w:rsid w:val="000B75EF"/>
    <w:rsid w:val="000C0F77"/>
    <w:rsid w:val="000C181A"/>
    <w:rsid w:val="000C4E61"/>
    <w:rsid w:val="000C5135"/>
    <w:rsid w:val="000C5DC5"/>
    <w:rsid w:val="000C6EBD"/>
    <w:rsid w:val="000C7E59"/>
    <w:rsid w:val="000D0903"/>
    <w:rsid w:val="000D2B95"/>
    <w:rsid w:val="000D4020"/>
    <w:rsid w:val="000D513A"/>
    <w:rsid w:val="000D5AA4"/>
    <w:rsid w:val="000D6276"/>
    <w:rsid w:val="000D71DD"/>
    <w:rsid w:val="000E05BB"/>
    <w:rsid w:val="000E147C"/>
    <w:rsid w:val="000E2C32"/>
    <w:rsid w:val="000E30F1"/>
    <w:rsid w:val="000E3EF9"/>
    <w:rsid w:val="000E45C7"/>
    <w:rsid w:val="000E5590"/>
    <w:rsid w:val="000E6179"/>
    <w:rsid w:val="000E7843"/>
    <w:rsid w:val="000F02B5"/>
    <w:rsid w:val="000F0871"/>
    <w:rsid w:val="000F097A"/>
    <w:rsid w:val="000F0EC1"/>
    <w:rsid w:val="000F131F"/>
    <w:rsid w:val="000F22B9"/>
    <w:rsid w:val="000F3867"/>
    <w:rsid w:val="000F3B88"/>
    <w:rsid w:val="000F3CEF"/>
    <w:rsid w:val="000F4591"/>
    <w:rsid w:val="000F5F03"/>
    <w:rsid w:val="00101BE8"/>
    <w:rsid w:val="00102E3A"/>
    <w:rsid w:val="00110BA3"/>
    <w:rsid w:val="001119E3"/>
    <w:rsid w:val="001122C5"/>
    <w:rsid w:val="00112B67"/>
    <w:rsid w:val="00113B77"/>
    <w:rsid w:val="00114F13"/>
    <w:rsid w:val="00114FCA"/>
    <w:rsid w:val="0011504F"/>
    <w:rsid w:val="001166DD"/>
    <w:rsid w:val="00116C4A"/>
    <w:rsid w:val="00116F26"/>
    <w:rsid w:val="001171FF"/>
    <w:rsid w:val="001272F2"/>
    <w:rsid w:val="001300FF"/>
    <w:rsid w:val="001316EB"/>
    <w:rsid w:val="00132A0F"/>
    <w:rsid w:val="00135CE0"/>
    <w:rsid w:val="00135FA4"/>
    <w:rsid w:val="00136CF0"/>
    <w:rsid w:val="0013753A"/>
    <w:rsid w:val="00140BB5"/>
    <w:rsid w:val="00140E6F"/>
    <w:rsid w:val="00147F88"/>
    <w:rsid w:val="00150F93"/>
    <w:rsid w:val="00154083"/>
    <w:rsid w:val="001572E5"/>
    <w:rsid w:val="00160545"/>
    <w:rsid w:val="00165BE2"/>
    <w:rsid w:val="001665EE"/>
    <w:rsid w:val="00166A6D"/>
    <w:rsid w:val="00167D7E"/>
    <w:rsid w:val="00171D3A"/>
    <w:rsid w:val="00172824"/>
    <w:rsid w:val="00173D07"/>
    <w:rsid w:val="00174515"/>
    <w:rsid w:val="0017474E"/>
    <w:rsid w:val="00175103"/>
    <w:rsid w:val="001772C1"/>
    <w:rsid w:val="001801F2"/>
    <w:rsid w:val="00180370"/>
    <w:rsid w:val="00182CC3"/>
    <w:rsid w:val="001832F4"/>
    <w:rsid w:val="0018406E"/>
    <w:rsid w:val="00185CFF"/>
    <w:rsid w:val="00187D69"/>
    <w:rsid w:val="001908C4"/>
    <w:rsid w:val="00191346"/>
    <w:rsid w:val="00191D10"/>
    <w:rsid w:val="00192702"/>
    <w:rsid w:val="001949A2"/>
    <w:rsid w:val="00195206"/>
    <w:rsid w:val="00197D6B"/>
    <w:rsid w:val="001A1F9E"/>
    <w:rsid w:val="001A27D1"/>
    <w:rsid w:val="001A3BBA"/>
    <w:rsid w:val="001A40DC"/>
    <w:rsid w:val="001A4E0C"/>
    <w:rsid w:val="001A5527"/>
    <w:rsid w:val="001A7D3D"/>
    <w:rsid w:val="001A7F60"/>
    <w:rsid w:val="001B0947"/>
    <w:rsid w:val="001B1B40"/>
    <w:rsid w:val="001B1BA2"/>
    <w:rsid w:val="001B21C8"/>
    <w:rsid w:val="001B2B7D"/>
    <w:rsid w:val="001B3FA9"/>
    <w:rsid w:val="001B4B51"/>
    <w:rsid w:val="001B6929"/>
    <w:rsid w:val="001C04FD"/>
    <w:rsid w:val="001C0995"/>
    <w:rsid w:val="001C19EE"/>
    <w:rsid w:val="001C1CFD"/>
    <w:rsid w:val="001C31FA"/>
    <w:rsid w:val="001C4878"/>
    <w:rsid w:val="001C616D"/>
    <w:rsid w:val="001C63E3"/>
    <w:rsid w:val="001D0163"/>
    <w:rsid w:val="001D08DD"/>
    <w:rsid w:val="001D3972"/>
    <w:rsid w:val="001D45EB"/>
    <w:rsid w:val="001D6C88"/>
    <w:rsid w:val="001D72F4"/>
    <w:rsid w:val="001D7D82"/>
    <w:rsid w:val="001E4D57"/>
    <w:rsid w:val="001E58D3"/>
    <w:rsid w:val="001E59C1"/>
    <w:rsid w:val="001E6503"/>
    <w:rsid w:val="001F0033"/>
    <w:rsid w:val="001F0B84"/>
    <w:rsid w:val="001F15A2"/>
    <w:rsid w:val="001F22D4"/>
    <w:rsid w:val="001F2A90"/>
    <w:rsid w:val="001F3EDA"/>
    <w:rsid w:val="001F5E50"/>
    <w:rsid w:val="001F5F4B"/>
    <w:rsid w:val="001F6924"/>
    <w:rsid w:val="001F7334"/>
    <w:rsid w:val="001F73F7"/>
    <w:rsid w:val="001F793F"/>
    <w:rsid w:val="00201556"/>
    <w:rsid w:val="002017E0"/>
    <w:rsid w:val="002025DB"/>
    <w:rsid w:val="00202ED7"/>
    <w:rsid w:val="00203394"/>
    <w:rsid w:val="002035C0"/>
    <w:rsid w:val="002062F0"/>
    <w:rsid w:val="0020712C"/>
    <w:rsid w:val="002101E1"/>
    <w:rsid w:val="00210647"/>
    <w:rsid w:val="00213C59"/>
    <w:rsid w:val="00215B27"/>
    <w:rsid w:val="00220DDA"/>
    <w:rsid w:val="00222091"/>
    <w:rsid w:val="00223C54"/>
    <w:rsid w:val="00224EB6"/>
    <w:rsid w:val="00225293"/>
    <w:rsid w:val="002272D9"/>
    <w:rsid w:val="002310C7"/>
    <w:rsid w:val="0023137A"/>
    <w:rsid w:val="002319D1"/>
    <w:rsid w:val="00231F4F"/>
    <w:rsid w:val="002342FE"/>
    <w:rsid w:val="00237D47"/>
    <w:rsid w:val="0024059E"/>
    <w:rsid w:val="00243FDC"/>
    <w:rsid w:val="00244A97"/>
    <w:rsid w:val="00246F1E"/>
    <w:rsid w:val="00252C00"/>
    <w:rsid w:val="0025339C"/>
    <w:rsid w:val="002536C1"/>
    <w:rsid w:val="00253CE9"/>
    <w:rsid w:val="002557BF"/>
    <w:rsid w:val="0025584B"/>
    <w:rsid w:val="00256204"/>
    <w:rsid w:val="00260268"/>
    <w:rsid w:val="00261855"/>
    <w:rsid w:val="002623E1"/>
    <w:rsid w:val="00270BAB"/>
    <w:rsid w:val="0027202E"/>
    <w:rsid w:val="00274D6F"/>
    <w:rsid w:val="00274E51"/>
    <w:rsid w:val="0027690D"/>
    <w:rsid w:val="00277E02"/>
    <w:rsid w:val="00281E3A"/>
    <w:rsid w:val="002832BD"/>
    <w:rsid w:val="002864D9"/>
    <w:rsid w:val="00287101"/>
    <w:rsid w:val="0029119F"/>
    <w:rsid w:val="00291C2B"/>
    <w:rsid w:val="002920B3"/>
    <w:rsid w:val="00292869"/>
    <w:rsid w:val="00293A4B"/>
    <w:rsid w:val="00293D34"/>
    <w:rsid w:val="00294BE2"/>
    <w:rsid w:val="00294E3B"/>
    <w:rsid w:val="00296E9E"/>
    <w:rsid w:val="00296FF5"/>
    <w:rsid w:val="002A085D"/>
    <w:rsid w:val="002A2EFD"/>
    <w:rsid w:val="002A38CE"/>
    <w:rsid w:val="002A71D9"/>
    <w:rsid w:val="002B0CC2"/>
    <w:rsid w:val="002B0FBC"/>
    <w:rsid w:val="002B4602"/>
    <w:rsid w:val="002B4BB8"/>
    <w:rsid w:val="002B6A92"/>
    <w:rsid w:val="002B6BF2"/>
    <w:rsid w:val="002B7993"/>
    <w:rsid w:val="002C0016"/>
    <w:rsid w:val="002C13AD"/>
    <w:rsid w:val="002C3C95"/>
    <w:rsid w:val="002C4249"/>
    <w:rsid w:val="002C4AF6"/>
    <w:rsid w:val="002C5515"/>
    <w:rsid w:val="002C56D5"/>
    <w:rsid w:val="002C73CC"/>
    <w:rsid w:val="002D10AA"/>
    <w:rsid w:val="002D1602"/>
    <w:rsid w:val="002D3683"/>
    <w:rsid w:val="002D4AA5"/>
    <w:rsid w:val="002D4EAC"/>
    <w:rsid w:val="002D56FC"/>
    <w:rsid w:val="002E1374"/>
    <w:rsid w:val="002E1BB1"/>
    <w:rsid w:val="002E2CD8"/>
    <w:rsid w:val="002E4648"/>
    <w:rsid w:val="002E479E"/>
    <w:rsid w:val="002E6A9F"/>
    <w:rsid w:val="002E6BB9"/>
    <w:rsid w:val="002E7015"/>
    <w:rsid w:val="002F1A95"/>
    <w:rsid w:val="002F3044"/>
    <w:rsid w:val="002F6B12"/>
    <w:rsid w:val="002F7D2C"/>
    <w:rsid w:val="00300F00"/>
    <w:rsid w:val="0030352B"/>
    <w:rsid w:val="00303CD1"/>
    <w:rsid w:val="00305B22"/>
    <w:rsid w:val="00307241"/>
    <w:rsid w:val="003077CD"/>
    <w:rsid w:val="00307F50"/>
    <w:rsid w:val="003103DB"/>
    <w:rsid w:val="003110F0"/>
    <w:rsid w:val="0031283E"/>
    <w:rsid w:val="003128B4"/>
    <w:rsid w:val="003153E4"/>
    <w:rsid w:val="00315A11"/>
    <w:rsid w:val="00317586"/>
    <w:rsid w:val="00317599"/>
    <w:rsid w:val="00317E59"/>
    <w:rsid w:val="00320C6E"/>
    <w:rsid w:val="00321F81"/>
    <w:rsid w:val="00322125"/>
    <w:rsid w:val="00324A60"/>
    <w:rsid w:val="003253D2"/>
    <w:rsid w:val="00330EAB"/>
    <w:rsid w:val="0033164E"/>
    <w:rsid w:val="00332431"/>
    <w:rsid w:val="00333FC1"/>
    <w:rsid w:val="00334AF7"/>
    <w:rsid w:val="00336EAF"/>
    <w:rsid w:val="00341191"/>
    <w:rsid w:val="003424FF"/>
    <w:rsid w:val="0034455A"/>
    <w:rsid w:val="00345650"/>
    <w:rsid w:val="00345889"/>
    <w:rsid w:val="00345AB5"/>
    <w:rsid w:val="00345D61"/>
    <w:rsid w:val="00347F7F"/>
    <w:rsid w:val="00353786"/>
    <w:rsid w:val="00360631"/>
    <w:rsid w:val="00360EF6"/>
    <w:rsid w:val="00363100"/>
    <w:rsid w:val="003639FA"/>
    <w:rsid w:val="00363A00"/>
    <w:rsid w:val="00365217"/>
    <w:rsid w:val="00365D91"/>
    <w:rsid w:val="00366A10"/>
    <w:rsid w:val="00372B02"/>
    <w:rsid w:val="00373918"/>
    <w:rsid w:val="00374484"/>
    <w:rsid w:val="00375E46"/>
    <w:rsid w:val="003764B6"/>
    <w:rsid w:val="003764DE"/>
    <w:rsid w:val="00377CFF"/>
    <w:rsid w:val="003825BE"/>
    <w:rsid w:val="003859E0"/>
    <w:rsid w:val="003862ED"/>
    <w:rsid w:val="00387FF5"/>
    <w:rsid w:val="003909D5"/>
    <w:rsid w:val="00392DD4"/>
    <w:rsid w:val="00394F9E"/>
    <w:rsid w:val="003956BF"/>
    <w:rsid w:val="003967B2"/>
    <w:rsid w:val="00396FBC"/>
    <w:rsid w:val="003A11EF"/>
    <w:rsid w:val="003A2776"/>
    <w:rsid w:val="003A2BA2"/>
    <w:rsid w:val="003A36A7"/>
    <w:rsid w:val="003A4191"/>
    <w:rsid w:val="003A44DF"/>
    <w:rsid w:val="003A5820"/>
    <w:rsid w:val="003A706D"/>
    <w:rsid w:val="003A7977"/>
    <w:rsid w:val="003A7CE1"/>
    <w:rsid w:val="003B1C15"/>
    <w:rsid w:val="003B1D14"/>
    <w:rsid w:val="003B2508"/>
    <w:rsid w:val="003B2994"/>
    <w:rsid w:val="003B2BB5"/>
    <w:rsid w:val="003B2DCA"/>
    <w:rsid w:val="003B3A8F"/>
    <w:rsid w:val="003B5A72"/>
    <w:rsid w:val="003C0E01"/>
    <w:rsid w:val="003C37DB"/>
    <w:rsid w:val="003C48EF"/>
    <w:rsid w:val="003C73A8"/>
    <w:rsid w:val="003C7661"/>
    <w:rsid w:val="003C7EA4"/>
    <w:rsid w:val="003D0471"/>
    <w:rsid w:val="003D04BC"/>
    <w:rsid w:val="003D1529"/>
    <w:rsid w:val="003D25CB"/>
    <w:rsid w:val="003D3FC9"/>
    <w:rsid w:val="003D4B9D"/>
    <w:rsid w:val="003D6AE7"/>
    <w:rsid w:val="003E1BB2"/>
    <w:rsid w:val="003E5D6B"/>
    <w:rsid w:val="003E5EAF"/>
    <w:rsid w:val="003E7FCA"/>
    <w:rsid w:val="003F1171"/>
    <w:rsid w:val="003F39CB"/>
    <w:rsid w:val="003F7296"/>
    <w:rsid w:val="004001DE"/>
    <w:rsid w:val="004001E3"/>
    <w:rsid w:val="004010B3"/>
    <w:rsid w:val="0040312F"/>
    <w:rsid w:val="004033FD"/>
    <w:rsid w:val="004051E4"/>
    <w:rsid w:val="00406A89"/>
    <w:rsid w:val="00406B69"/>
    <w:rsid w:val="004118CB"/>
    <w:rsid w:val="004125E4"/>
    <w:rsid w:val="00412799"/>
    <w:rsid w:val="00414E5F"/>
    <w:rsid w:val="00416C7D"/>
    <w:rsid w:val="004203AC"/>
    <w:rsid w:val="004204B8"/>
    <w:rsid w:val="004205E7"/>
    <w:rsid w:val="00420865"/>
    <w:rsid w:val="00421D98"/>
    <w:rsid w:val="0042274C"/>
    <w:rsid w:val="00423F4E"/>
    <w:rsid w:val="0042481A"/>
    <w:rsid w:val="00425243"/>
    <w:rsid w:val="0042570E"/>
    <w:rsid w:val="0042574D"/>
    <w:rsid w:val="00425863"/>
    <w:rsid w:val="0043100B"/>
    <w:rsid w:val="00431BD4"/>
    <w:rsid w:val="0043304B"/>
    <w:rsid w:val="0043484E"/>
    <w:rsid w:val="00435837"/>
    <w:rsid w:val="00436CB7"/>
    <w:rsid w:val="00436D50"/>
    <w:rsid w:val="00436F0B"/>
    <w:rsid w:val="004370A7"/>
    <w:rsid w:val="004408CD"/>
    <w:rsid w:val="0044154C"/>
    <w:rsid w:val="00443349"/>
    <w:rsid w:val="00443467"/>
    <w:rsid w:val="004464DB"/>
    <w:rsid w:val="00451012"/>
    <w:rsid w:val="00451BD8"/>
    <w:rsid w:val="00452BE5"/>
    <w:rsid w:val="00453D07"/>
    <w:rsid w:val="004552B6"/>
    <w:rsid w:val="00455B10"/>
    <w:rsid w:val="00456250"/>
    <w:rsid w:val="00456775"/>
    <w:rsid w:val="00456839"/>
    <w:rsid w:val="00456C3F"/>
    <w:rsid w:val="00460006"/>
    <w:rsid w:val="00460797"/>
    <w:rsid w:val="004615AC"/>
    <w:rsid w:val="00471401"/>
    <w:rsid w:val="0047318F"/>
    <w:rsid w:val="0047558B"/>
    <w:rsid w:val="004760E5"/>
    <w:rsid w:val="00483712"/>
    <w:rsid w:val="004847C0"/>
    <w:rsid w:val="00484B86"/>
    <w:rsid w:val="0048546A"/>
    <w:rsid w:val="00485A9C"/>
    <w:rsid w:val="00490649"/>
    <w:rsid w:val="0049094C"/>
    <w:rsid w:val="00490FA0"/>
    <w:rsid w:val="0049162C"/>
    <w:rsid w:val="00491640"/>
    <w:rsid w:val="00494BC4"/>
    <w:rsid w:val="004A3379"/>
    <w:rsid w:val="004A33B2"/>
    <w:rsid w:val="004A432B"/>
    <w:rsid w:val="004A5A55"/>
    <w:rsid w:val="004A6126"/>
    <w:rsid w:val="004A6791"/>
    <w:rsid w:val="004A795A"/>
    <w:rsid w:val="004A7F22"/>
    <w:rsid w:val="004B17C4"/>
    <w:rsid w:val="004B480B"/>
    <w:rsid w:val="004B6609"/>
    <w:rsid w:val="004B6AE8"/>
    <w:rsid w:val="004B7686"/>
    <w:rsid w:val="004B7C4B"/>
    <w:rsid w:val="004C4345"/>
    <w:rsid w:val="004C4E67"/>
    <w:rsid w:val="004C563F"/>
    <w:rsid w:val="004C5927"/>
    <w:rsid w:val="004C5AE6"/>
    <w:rsid w:val="004C67DA"/>
    <w:rsid w:val="004C6DCD"/>
    <w:rsid w:val="004C6FB2"/>
    <w:rsid w:val="004D0E73"/>
    <w:rsid w:val="004D1AF1"/>
    <w:rsid w:val="004D2C10"/>
    <w:rsid w:val="004D4986"/>
    <w:rsid w:val="004D52D6"/>
    <w:rsid w:val="004D64F3"/>
    <w:rsid w:val="004D775E"/>
    <w:rsid w:val="004E01C5"/>
    <w:rsid w:val="004E0B6D"/>
    <w:rsid w:val="004E313C"/>
    <w:rsid w:val="004E4CF4"/>
    <w:rsid w:val="004E4FCA"/>
    <w:rsid w:val="004E5F79"/>
    <w:rsid w:val="004F2719"/>
    <w:rsid w:val="004F2917"/>
    <w:rsid w:val="004F299F"/>
    <w:rsid w:val="004F30D5"/>
    <w:rsid w:val="004F361B"/>
    <w:rsid w:val="004F3A54"/>
    <w:rsid w:val="004F4544"/>
    <w:rsid w:val="004F5D7B"/>
    <w:rsid w:val="004F7FE6"/>
    <w:rsid w:val="00502823"/>
    <w:rsid w:val="00502DDA"/>
    <w:rsid w:val="00503BBC"/>
    <w:rsid w:val="005064CC"/>
    <w:rsid w:val="00506C03"/>
    <w:rsid w:val="00506C30"/>
    <w:rsid w:val="005077AE"/>
    <w:rsid w:val="00511669"/>
    <w:rsid w:val="00511B55"/>
    <w:rsid w:val="00512EC0"/>
    <w:rsid w:val="005136D9"/>
    <w:rsid w:val="0051414E"/>
    <w:rsid w:val="005142AB"/>
    <w:rsid w:val="0051625B"/>
    <w:rsid w:val="005204D0"/>
    <w:rsid w:val="00520AE2"/>
    <w:rsid w:val="005211F9"/>
    <w:rsid w:val="00521689"/>
    <w:rsid w:val="00522D2B"/>
    <w:rsid w:val="005248C8"/>
    <w:rsid w:val="00524C4D"/>
    <w:rsid w:val="005252E3"/>
    <w:rsid w:val="00525A9D"/>
    <w:rsid w:val="00527AAE"/>
    <w:rsid w:val="00530665"/>
    <w:rsid w:val="00530D90"/>
    <w:rsid w:val="005311C2"/>
    <w:rsid w:val="00533FA4"/>
    <w:rsid w:val="005340C8"/>
    <w:rsid w:val="0053688B"/>
    <w:rsid w:val="00536AE5"/>
    <w:rsid w:val="00540343"/>
    <w:rsid w:val="0054275E"/>
    <w:rsid w:val="00544459"/>
    <w:rsid w:val="005458AE"/>
    <w:rsid w:val="005522DD"/>
    <w:rsid w:val="00552309"/>
    <w:rsid w:val="00552D6F"/>
    <w:rsid w:val="00552EFE"/>
    <w:rsid w:val="00560AB2"/>
    <w:rsid w:val="00561A64"/>
    <w:rsid w:val="00561BFF"/>
    <w:rsid w:val="00562EF9"/>
    <w:rsid w:val="00565CF9"/>
    <w:rsid w:val="005712DF"/>
    <w:rsid w:val="00572EAC"/>
    <w:rsid w:val="0057385E"/>
    <w:rsid w:val="00573BC3"/>
    <w:rsid w:val="00575599"/>
    <w:rsid w:val="005768C6"/>
    <w:rsid w:val="00580F27"/>
    <w:rsid w:val="00581E6B"/>
    <w:rsid w:val="00583602"/>
    <w:rsid w:val="005856CE"/>
    <w:rsid w:val="0058582A"/>
    <w:rsid w:val="00585D2E"/>
    <w:rsid w:val="0058720F"/>
    <w:rsid w:val="00587570"/>
    <w:rsid w:val="00592843"/>
    <w:rsid w:val="005930A9"/>
    <w:rsid w:val="005979E5"/>
    <w:rsid w:val="00597CFB"/>
    <w:rsid w:val="005A00CC"/>
    <w:rsid w:val="005A0613"/>
    <w:rsid w:val="005A18B8"/>
    <w:rsid w:val="005A1939"/>
    <w:rsid w:val="005A1A35"/>
    <w:rsid w:val="005A1C72"/>
    <w:rsid w:val="005A4F20"/>
    <w:rsid w:val="005A4FDD"/>
    <w:rsid w:val="005A6117"/>
    <w:rsid w:val="005A69A2"/>
    <w:rsid w:val="005A75FB"/>
    <w:rsid w:val="005B36D2"/>
    <w:rsid w:val="005B3FB3"/>
    <w:rsid w:val="005B4B0F"/>
    <w:rsid w:val="005B4F5D"/>
    <w:rsid w:val="005B572F"/>
    <w:rsid w:val="005C00EA"/>
    <w:rsid w:val="005C1AB6"/>
    <w:rsid w:val="005C2C40"/>
    <w:rsid w:val="005C41D6"/>
    <w:rsid w:val="005C6699"/>
    <w:rsid w:val="005D18E3"/>
    <w:rsid w:val="005D2FCD"/>
    <w:rsid w:val="005D4FE1"/>
    <w:rsid w:val="005D59AC"/>
    <w:rsid w:val="005D7E0C"/>
    <w:rsid w:val="005E01EC"/>
    <w:rsid w:val="005E0770"/>
    <w:rsid w:val="005E093B"/>
    <w:rsid w:val="005E18E9"/>
    <w:rsid w:val="005E304F"/>
    <w:rsid w:val="005E383D"/>
    <w:rsid w:val="005E3E1E"/>
    <w:rsid w:val="005F047F"/>
    <w:rsid w:val="005F13A2"/>
    <w:rsid w:val="005F162B"/>
    <w:rsid w:val="005F1689"/>
    <w:rsid w:val="005F35B5"/>
    <w:rsid w:val="005F3EC7"/>
    <w:rsid w:val="005F5137"/>
    <w:rsid w:val="005F70F0"/>
    <w:rsid w:val="00601E5F"/>
    <w:rsid w:val="00603C71"/>
    <w:rsid w:val="0060400C"/>
    <w:rsid w:val="006079C0"/>
    <w:rsid w:val="00610117"/>
    <w:rsid w:val="00611085"/>
    <w:rsid w:val="006113D3"/>
    <w:rsid w:val="00611725"/>
    <w:rsid w:val="006128EB"/>
    <w:rsid w:val="0061392E"/>
    <w:rsid w:val="00614097"/>
    <w:rsid w:val="006150C3"/>
    <w:rsid w:val="00616421"/>
    <w:rsid w:val="00616719"/>
    <w:rsid w:val="00617AD6"/>
    <w:rsid w:val="00620045"/>
    <w:rsid w:val="00621003"/>
    <w:rsid w:val="00621E05"/>
    <w:rsid w:val="00622A09"/>
    <w:rsid w:val="00623655"/>
    <w:rsid w:val="00623877"/>
    <w:rsid w:val="0062572C"/>
    <w:rsid w:val="006314A7"/>
    <w:rsid w:val="006316F7"/>
    <w:rsid w:val="00633305"/>
    <w:rsid w:val="006346B2"/>
    <w:rsid w:val="006350A1"/>
    <w:rsid w:val="00635613"/>
    <w:rsid w:val="006356C0"/>
    <w:rsid w:val="0063579A"/>
    <w:rsid w:val="006363BB"/>
    <w:rsid w:val="00636667"/>
    <w:rsid w:val="0063764F"/>
    <w:rsid w:val="006376C9"/>
    <w:rsid w:val="00637757"/>
    <w:rsid w:val="00643E6E"/>
    <w:rsid w:val="00650488"/>
    <w:rsid w:val="00651298"/>
    <w:rsid w:val="00651AA5"/>
    <w:rsid w:val="00652EEC"/>
    <w:rsid w:val="00653E75"/>
    <w:rsid w:val="00654516"/>
    <w:rsid w:val="00655F68"/>
    <w:rsid w:val="00656F10"/>
    <w:rsid w:val="00661486"/>
    <w:rsid w:val="00661D98"/>
    <w:rsid w:val="0066217E"/>
    <w:rsid w:val="0066223E"/>
    <w:rsid w:val="006625F3"/>
    <w:rsid w:val="0066262D"/>
    <w:rsid w:val="00662AAF"/>
    <w:rsid w:val="00665A8B"/>
    <w:rsid w:val="0066610C"/>
    <w:rsid w:val="006738F3"/>
    <w:rsid w:val="00673D8E"/>
    <w:rsid w:val="00674889"/>
    <w:rsid w:val="00676719"/>
    <w:rsid w:val="006773E7"/>
    <w:rsid w:val="00680619"/>
    <w:rsid w:val="006819FF"/>
    <w:rsid w:val="00681FD9"/>
    <w:rsid w:val="00682177"/>
    <w:rsid w:val="00682658"/>
    <w:rsid w:val="006841E4"/>
    <w:rsid w:val="006853B2"/>
    <w:rsid w:val="00685F24"/>
    <w:rsid w:val="00685F53"/>
    <w:rsid w:val="00686849"/>
    <w:rsid w:val="00692CC5"/>
    <w:rsid w:val="00694765"/>
    <w:rsid w:val="006A28A6"/>
    <w:rsid w:val="006A33FA"/>
    <w:rsid w:val="006A3729"/>
    <w:rsid w:val="006A5ACE"/>
    <w:rsid w:val="006A6ECC"/>
    <w:rsid w:val="006A764C"/>
    <w:rsid w:val="006B1257"/>
    <w:rsid w:val="006B1FB6"/>
    <w:rsid w:val="006B2386"/>
    <w:rsid w:val="006B2A9B"/>
    <w:rsid w:val="006B537F"/>
    <w:rsid w:val="006B67AB"/>
    <w:rsid w:val="006B6E12"/>
    <w:rsid w:val="006B7966"/>
    <w:rsid w:val="006C252F"/>
    <w:rsid w:val="006C38ED"/>
    <w:rsid w:val="006C41F4"/>
    <w:rsid w:val="006C60AC"/>
    <w:rsid w:val="006D0DDE"/>
    <w:rsid w:val="006D4896"/>
    <w:rsid w:val="006D4DF4"/>
    <w:rsid w:val="006D6BB4"/>
    <w:rsid w:val="006D75ED"/>
    <w:rsid w:val="006D7969"/>
    <w:rsid w:val="006E0D8D"/>
    <w:rsid w:val="006E19D3"/>
    <w:rsid w:val="006E1A9E"/>
    <w:rsid w:val="006F17CB"/>
    <w:rsid w:val="006F3897"/>
    <w:rsid w:val="006F7389"/>
    <w:rsid w:val="007013B7"/>
    <w:rsid w:val="007014B4"/>
    <w:rsid w:val="00701669"/>
    <w:rsid w:val="007016ED"/>
    <w:rsid w:val="00701E1C"/>
    <w:rsid w:val="007053DD"/>
    <w:rsid w:val="00705E82"/>
    <w:rsid w:val="00707D3D"/>
    <w:rsid w:val="00707F4B"/>
    <w:rsid w:val="007117C6"/>
    <w:rsid w:val="00711960"/>
    <w:rsid w:val="00711E34"/>
    <w:rsid w:val="007121E2"/>
    <w:rsid w:val="007129D3"/>
    <w:rsid w:val="00712A07"/>
    <w:rsid w:val="00712EAB"/>
    <w:rsid w:val="00713F5E"/>
    <w:rsid w:val="00717D7B"/>
    <w:rsid w:val="00720A5E"/>
    <w:rsid w:val="0072157E"/>
    <w:rsid w:val="0072303C"/>
    <w:rsid w:val="00723528"/>
    <w:rsid w:val="00723E5F"/>
    <w:rsid w:val="00724538"/>
    <w:rsid w:val="007261CB"/>
    <w:rsid w:val="00730857"/>
    <w:rsid w:val="0073124D"/>
    <w:rsid w:val="007344E5"/>
    <w:rsid w:val="007346A7"/>
    <w:rsid w:val="00736EDF"/>
    <w:rsid w:val="0074111E"/>
    <w:rsid w:val="0074191E"/>
    <w:rsid w:val="00741B21"/>
    <w:rsid w:val="00741C89"/>
    <w:rsid w:val="00744BD1"/>
    <w:rsid w:val="007469CE"/>
    <w:rsid w:val="00755541"/>
    <w:rsid w:val="00756993"/>
    <w:rsid w:val="0076011C"/>
    <w:rsid w:val="00760B02"/>
    <w:rsid w:val="007616B2"/>
    <w:rsid w:val="0076343F"/>
    <w:rsid w:val="00764043"/>
    <w:rsid w:val="00764075"/>
    <w:rsid w:val="00765256"/>
    <w:rsid w:val="007655E3"/>
    <w:rsid w:val="00767A57"/>
    <w:rsid w:val="00770686"/>
    <w:rsid w:val="007717E5"/>
    <w:rsid w:val="0077288C"/>
    <w:rsid w:val="00774B3C"/>
    <w:rsid w:val="00775624"/>
    <w:rsid w:val="0077675B"/>
    <w:rsid w:val="00781A80"/>
    <w:rsid w:val="00782D09"/>
    <w:rsid w:val="00784A66"/>
    <w:rsid w:val="00785B5E"/>
    <w:rsid w:val="0078739E"/>
    <w:rsid w:val="007918BF"/>
    <w:rsid w:val="00791BC7"/>
    <w:rsid w:val="00791D65"/>
    <w:rsid w:val="00792AE6"/>
    <w:rsid w:val="00796F33"/>
    <w:rsid w:val="0079716B"/>
    <w:rsid w:val="007A04F0"/>
    <w:rsid w:val="007A0E19"/>
    <w:rsid w:val="007A2108"/>
    <w:rsid w:val="007A2142"/>
    <w:rsid w:val="007A5A09"/>
    <w:rsid w:val="007A5F8F"/>
    <w:rsid w:val="007A61C0"/>
    <w:rsid w:val="007A677D"/>
    <w:rsid w:val="007A6B45"/>
    <w:rsid w:val="007A7E2D"/>
    <w:rsid w:val="007A7E88"/>
    <w:rsid w:val="007B0389"/>
    <w:rsid w:val="007B208C"/>
    <w:rsid w:val="007B24E8"/>
    <w:rsid w:val="007B35E1"/>
    <w:rsid w:val="007B3F4E"/>
    <w:rsid w:val="007B4D4B"/>
    <w:rsid w:val="007B4DCF"/>
    <w:rsid w:val="007C1194"/>
    <w:rsid w:val="007C1D50"/>
    <w:rsid w:val="007C390B"/>
    <w:rsid w:val="007C4497"/>
    <w:rsid w:val="007C6B23"/>
    <w:rsid w:val="007C74B9"/>
    <w:rsid w:val="007D0F75"/>
    <w:rsid w:val="007D1F4E"/>
    <w:rsid w:val="007D4375"/>
    <w:rsid w:val="007D6CFB"/>
    <w:rsid w:val="007D7548"/>
    <w:rsid w:val="007E17B9"/>
    <w:rsid w:val="007E6717"/>
    <w:rsid w:val="007F094D"/>
    <w:rsid w:val="007F2359"/>
    <w:rsid w:val="007F2F27"/>
    <w:rsid w:val="007F33F6"/>
    <w:rsid w:val="007F610D"/>
    <w:rsid w:val="007F6848"/>
    <w:rsid w:val="008024DC"/>
    <w:rsid w:val="00803343"/>
    <w:rsid w:val="00804E36"/>
    <w:rsid w:val="008054A0"/>
    <w:rsid w:val="0080797B"/>
    <w:rsid w:val="00807CAF"/>
    <w:rsid w:val="008144CA"/>
    <w:rsid w:val="00814A25"/>
    <w:rsid w:val="00814EBC"/>
    <w:rsid w:val="00815715"/>
    <w:rsid w:val="00817257"/>
    <w:rsid w:val="00817613"/>
    <w:rsid w:val="00817EC3"/>
    <w:rsid w:val="00822057"/>
    <w:rsid w:val="00824022"/>
    <w:rsid w:val="00824DF5"/>
    <w:rsid w:val="00826008"/>
    <w:rsid w:val="00826A66"/>
    <w:rsid w:val="00826FEA"/>
    <w:rsid w:val="008272FC"/>
    <w:rsid w:val="008300BE"/>
    <w:rsid w:val="008300FA"/>
    <w:rsid w:val="00832222"/>
    <w:rsid w:val="00833A18"/>
    <w:rsid w:val="00834267"/>
    <w:rsid w:val="008357FA"/>
    <w:rsid w:val="00835849"/>
    <w:rsid w:val="00840484"/>
    <w:rsid w:val="008411E2"/>
    <w:rsid w:val="00843842"/>
    <w:rsid w:val="008500D1"/>
    <w:rsid w:val="00850B29"/>
    <w:rsid w:val="00850C69"/>
    <w:rsid w:val="008516B7"/>
    <w:rsid w:val="00851B1C"/>
    <w:rsid w:val="0085533C"/>
    <w:rsid w:val="00855C31"/>
    <w:rsid w:val="0085686A"/>
    <w:rsid w:val="00856B37"/>
    <w:rsid w:val="008573E8"/>
    <w:rsid w:val="00861582"/>
    <w:rsid w:val="00862756"/>
    <w:rsid w:val="00864F30"/>
    <w:rsid w:val="008660EB"/>
    <w:rsid w:val="00871022"/>
    <w:rsid w:val="008719FC"/>
    <w:rsid w:val="008752E1"/>
    <w:rsid w:val="00876B15"/>
    <w:rsid w:val="0088256C"/>
    <w:rsid w:val="00886450"/>
    <w:rsid w:val="00890BF4"/>
    <w:rsid w:val="008914F5"/>
    <w:rsid w:val="00894F82"/>
    <w:rsid w:val="00896AD1"/>
    <w:rsid w:val="008971DA"/>
    <w:rsid w:val="008A0AB0"/>
    <w:rsid w:val="008A0CB3"/>
    <w:rsid w:val="008A2987"/>
    <w:rsid w:val="008A3816"/>
    <w:rsid w:val="008A45A4"/>
    <w:rsid w:val="008A5081"/>
    <w:rsid w:val="008A5FE1"/>
    <w:rsid w:val="008A6D8B"/>
    <w:rsid w:val="008B11DC"/>
    <w:rsid w:val="008B197B"/>
    <w:rsid w:val="008B1FD1"/>
    <w:rsid w:val="008B7270"/>
    <w:rsid w:val="008C04BF"/>
    <w:rsid w:val="008C334D"/>
    <w:rsid w:val="008C4889"/>
    <w:rsid w:val="008C4C3B"/>
    <w:rsid w:val="008C5265"/>
    <w:rsid w:val="008C52F3"/>
    <w:rsid w:val="008C78DD"/>
    <w:rsid w:val="008D098D"/>
    <w:rsid w:val="008D0C6D"/>
    <w:rsid w:val="008D3BEF"/>
    <w:rsid w:val="008D500F"/>
    <w:rsid w:val="008D5C6B"/>
    <w:rsid w:val="008D7B47"/>
    <w:rsid w:val="008D7D68"/>
    <w:rsid w:val="008E071E"/>
    <w:rsid w:val="008E1912"/>
    <w:rsid w:val="008E28ED"/>
    <w:rsid w:val="008E5C70"/>
    <w:rsid w:val="008F3EE9"/>
    <w:rsid w:val="008F4ECA"/>
    <w:rsid w:val="008F5E22"/>
    <w:rsid w:val="008F6F10"/>
    <w:rsid w:val="008F77CC"/>
    <w:rsid w:val="00900556"/>
    <w:rsid w:val="00900927"/>
    <w:rsid w:val="00900A99"/>
    <w:rsid w:val="00902329"/>
    <w:rsid w:val="00903D1B"/>
    <w:rsid w:val="00907286"/>
    <w:rsid w:val="00907481"/>
    <w:rsid w:val="00912F88"/>
    <w:rsid w:val="00915E2E"/>
    <w:rsid w:val="00921A54"/>
    <w:rsid w:val="00921BCE"/>
    <w:rsid w:val="00921DA4"/>
    <w:rsid w:val="00923811"/>
    <w:rsid w:val="00923B4E"/>
    <w:rsid w:val="00924F68"/>
    <w:rsid w:val="00925A5D"/>
    <w:rsid w:val="00926371"/>
    <w:rsid w:val="0092639C"/>
    <w:rsid w:val="0092683A"/>
    <w:rsid w:val="00927EAF"/>
    <w:rsid w:val="00930B2D"/>
    <w:rsid w:val="00931372"/>
    <w:rsid w:val="00933EDC"/>
    <w:rsid w:val="00934C69"/>
    <w:rsid w:val="00936C50"/>
    <w:rsid w:val="00937225"/>
    <w:rsid w:val="0093758A"/>
    <w:rsid w:val="00942EAA"/>
    <w:rsid w:val="00943696"/>
    <w:rsid w:val="009444FD"/>
    <w:rsid w:val="009446E2"/>
    <w:rsid w:val="00945493"/>
    <w:rsid w:val="0094604F"/>
    <w:rsid w:val="009460E0"/>
    <w:rsid w:val="00946645"/>
    <w:rsid w:val="0094793B"/>
    <w:rsid w:val="00950147"/>
    <w:rsid w:val="009539BA"/>
    <w:rsid w:val="009548E5"/>
    <w:rsid w:val="009550E1"/>
    <w:rsid w:val="00961909"/>
    <w:rsid w:val="009642D8"/>
    <w:rsid w:val="00972CB9"/>
    <w:rsid w:val="00973358"/>
    <w:rsid w:val="00974BDB"/>
    <w:rsid w:val="00975186"/>
    <w:rsid w:val="00975749"/>
    <w:rsid w:val="00976E9D"/>
    <w:rsid w:val="0097713C"/>
    <w:rsid w:val="00980668"/>
    <w:rsid w:val="00981884"/>
    <w:rsid w:val="00981DE3"/>
    <w:rsid w:val="0098276B"/>
    <w:rsid w:val="00982D89"/>
    <w:rsid w:val="00986576"/>
    <w:rsid w:val="009869C4"/>
    <w:rsid w:val="00986A54"/>
    <w:rsid w:val="00987C92"/>
    <w:rsid w:val="0099111B"/>
    <w:rsid w:val="00992A3B"/>
    <w:rsid w:val="009935EF"/>
    <w:rsid w:val="00993B33"/>
    <w:rsid w:val="0099493F"/>
    <w:rsid w:val="00994E02"/>
    <w:rsid w:val="00995572"/>
    <w:rsid w:val="009955AB"/>
    <w:rsid w:val="00995E5A"/>
    <w:rsid w:val="0099771A"/>
    <w:rsid w:val="009A0977"/>
    <w:rsid w:val="009A2367"/>
    <w:rsid w:val="009A23E3"/>
    <w:rsid w:val="009A24F3"/>
    <w:rsid w:val="009A3D49"/>
    <w:rsid w:val="009A4C6E"/>
    <w:rsid w:val="009A4F4D"/>
    <w:rsid w:val="009A5222"/>
    <w:rsid w:val="009A70C9"/>
    <w:rsid w:val="009A7B34"/>
    <w:rsid w:val="009B05E6"/>
    <w:rsid w:val="009B0705"/>
    <w:rsid w:val="009B1130"/>
    <w:rsid w:val="009B1970"/>
    <w:rsid w:val="009B3773"/>
    <w:rsid w:val="009B3FE6"/>
    <w:rsid w:val="009B575D"/>
    <w:rsid w:val="009B6C70"/>
    <w:rsid w:val="009B7146"/>
    <w:rsid w:val="009B76E8"/>
    <w:rsid w:val="009C0ADA"/>
    <w:rsid w:val="009C19B3"/>
    <w:rsid w:val="009C375B"/>
    <w:rsid w:val="009C74B7"/>
    <w:rsid w:val="009D08C5"/>
    <w:rsid w:val="009D18BA"/>
    <w:rsid w:val="009D3111"/>
    <w:rsid w:val="009D5529"/>
    <w:rsid w:val="009D6023"/>
    <w:rsid w:val="009D6B32"/>
    <w:rsid w:val="009D6E1F"/>
    <w:rsid w:val="009D73A2"/>
    <w:rsid w:val="009E1EDE"/>
    <w:rsid w:val="009E242A"/>
    <w:rsid w:val="009E389F"/>
    <w:rsid w:val="009E3ECD"/>
    <w:rsid w:val="009E5439"/>
    <w:rsid w:val="009E59A4"/>
    <w:rsid w:val="009E6C8D"/>
    <w:rsid w:val="009E7739"/>
    <w:rsid w:val="009F2ADD"/>
    <w:rsid w:val="009F3104"/>
    <w:rsid w:val="009F3C34"/>
    <w:rsid w:val="009F430B"/>
    <w:rsid w:val="009F446F"/>
    <w:rsid w:val="009F571A"/>
    <w:rsid w:val="009F5CD0"/>
    <w:rsid w:val="00A01A89"/>
    <w:rsid w:val="00A01E23"/>
    <w:rsid w:val="00A01FDA"/>
    <w:rsid w:val="00A02675"/>
    <w:rsid w:val="00A0275C"/>
    <w:rsid w:val="00A036C9"/>
    <w:rsid w:val="00A04E07"/>
    <w:rsid w:val="00A059FE"/>
    <w:rsid w:val="00A064AD"/>
    <w:rsid w:val="00A06912"/>
    <w:rsid w:val="00A07CFB"/>
    <w:rsid w:val="00A112AD"/>
    <w:rsid w:val="00A120E6"/>
    <w:rsid w:val="00A129E2"/>
    <w:rsid w:val="00A15672"/>
    <w:rsid w:val="00A15C18"/>
    <w:rsid w:val="00A165EE"/>
    <w:rsid w:val="00A22381"/>
    <w:rsid w:val="00A22D45"/>
    <w:rsid w:val="00A2496D"/>
    <w:rsid w:val="00A25961"/>
    <w:rsid w:val="00A27246"/>
    <w:rsid w:val="00A27AE9"/>
    <w:rsid w:val="00A3050D"/>
    <w:rsid w:val="00A31BC9"/>
    <w:rsid w:val="00A32671"/>
    <w:rsid w:val="00A358BB"/>
    <w:rsid w:val="00A36253"/>
    <w:rsid w:val="00A4085A"/>
    <w:rsid w:val="00A42316"/>
    <w:rsid w:val="00A4599A"/>
    <w:rsid w:val="00A46DDE"/>
    <w:rsid w:val="00A50ED3"/>
    <w:rsid w:val="00A51436"/>
    <w:rsid w:val="00A53235"/>
    <w:rsid w:val="00A53D2A"/>
    <w:rsid w:val="00A56A9A"/>
    <w:rsid w:val="00A573F5"/>
    <w:rsid w:val="00A57B2C"/>
    <w:rsid w:val="00A6118A"/>
    <w:rsid w:val="00A612E5"/>
    <w:rsid w:val="00A61F1C"/>
    <w:rsid w:val="00A6302F"/>
    <w:rsid w:val="00A63BF6"/>
    <w:rsid w:val="00A67088"/>
    <w:rsid w:val="00A705A7"/>
    <w:rsid w:val="00A7124A"/>
    <w:rsid w:val="00A727A5"/>
    <w:rsid w:val="00A7437D"/>
    <w:rsid w:val="00A74E19"/>
    <w:rsid w:val="00A752BA"/>
    <w:rsid w:val="00A753F3"/>
    <w:rsid w:val="00A75BAC"/>
    <w:rsid w:val="00A76C18"/>
    <w:rsid w:val="00A808A9"/>
    <w:rsid w:val="00A809AD"/>
    <w:rsid w:val="00A81DA7"/>
    <w:rsid w:val="00A82065"/>
    <w:rsid w:val="00A83F4F"/>
    <w:rsid w:val="00A854CA"/>
    <w:rsid w:val="00A87114"/>
    <w:rsid w:val="00A93609"/>
    <w:rsid w:val="00A939F7"/>
    <w:rsid w:val="00A94219"/>
    <w:rsid w:val="00A94512"/>
    <w:rsid w:val="00A95C12"/>
    <w:rsid w:val="00A964AA"/>
    <w:rsid w:val="00A97B09"/>
    <w:rsid w:val="00AA07C0"/>
    <w:rsid w:val="00AA0E0E"/>
    <w:rsid w:val="00AA0ED9"/>
    <w:rsid w:val="00AA3960"/>
    <w:rsid w:val="00AA4870"/>
    <w:rsid w:val="00AA6007"/>
    <w:rsid w:val="00AA6A8F"/>
    <w:rsid w:val="00AB6FEF"/>
    <w:rsid w:val="00AC062A"/>
    <w:rsid w:val="00AC3D2B"/>
    <w:rsid w:val="00AC506A"/>
    <w:rsid w:val="00AC557A"/>
    <w:rsid w:val="00AC55DD"/>
    <w:rsid w:val="00AC6DEB"/>
    <w:rsid w:val="00AC71F0"/>
    <w:rsid w:val="00AD0D56"/>
    <w:rsid w:val="00AD1531"/>
    <w:rsid w:val="00AD1988"/>
    <w:rsid w:val="00AD2734"/>
    <w:rsid w:val="00AD287B"/>
    <w:rsid w:val="00AD2FF7"/>
    <w:rsid w:val="00AD30B0"/>
    <w:rsid w:val="00AD3519"/>
    <w:rsid w:val="00AD3B1B"/>
    <w:rsid w:val="00AD4FDF"/>
    <w:rsid w:val="00AD6092"/>
    <w:rsid w:val="00AD7043"/>
    <w:rsid w:val="00AD77A1"/>
    <w:rsid w:val="00AD7B2D"/>
    <w:rsid w:val="00AE17EF"/>
    <w:rsid w:val="00AE2654"/>
    <w:rsid w:val="00AE35A5"/>
    <w:rsid w:val="00AE3B72"/>
    <w:rsid w:val="00AE3EBA"/>
    <w:rsid w:val="00AE4132"/>
    <w:rsid w:val="00AE5B26"/>
    <w:rsid w:val="00AE6BDC"/>
    <w:rsid w:val="00AF0BBE"/>
    <w:rsid w:val="00AF0BD2"/>
    <w:rsid w:val="00AF1220"/>
    <w:rsid w:val="00AF26DD"/>
    <w:rsid w:val="00AF3E2F"/>
    <w:rsid w:val="00AF45DF"/>
    <w:rsid w:val="00AF5029"/>
    <w:rsid w:val="00AF7165"/>
    <w:rsid w:val="00B009E2"/>
    <w:rsid w:val="00B024FE"/>
    <w:rsid w:val="00B047B8"/>
    <w:rsid w:val="00B10E64"/>
    <w:rsid w:val="00B122D2"/>
    <w:rsid w:val="00B1323C"/>
    <w:rsid w:val="00B14644"/>
    <w:rsid w:val="00B202B8"/>
    <w:rsid w:val="00B2075B"/>
    <w:rsid w:val="00B217BC"/>
    <w:rsid w:val="00B228C9"/>
    <w:rsid w:val="00B22947"/>
    <w:rsid w:val="00B30548"/>
    <w:rsid w:val="00B3091A"/>
    <w:rsid w:val="00B309D4"/>
    <w:rsid w:val="00B32704"/>
    <w:rsid w:val="00B35E5F"/>
    <w:rsid w:val="00B37459"/>
    <w:rsid w:val="00B42C94"/>
    <w:rsid w:val="00B42EB6"/>
    <w:rsid w:val="00B43271"/>
    <w:rsid w:val="00B43973"/>
    <w:rsid w:val="00B44B2D"/>
    <w:rsid w:val="00B455CA"/>
    <w:rsid w:val="00B45929"/>
    <w:rsid w:val="00B46EB0"/>
    <w:rsid w:val="00B50AF7"/>
    <w:rsid w:val="00B528FD"/>
    <w:rsid w:val="00B5481D"/>
    <w:rsid w:val="00B55822"/>
    <w:rsid w:val="00B60047"/>
    <w:rsid w:val="00B60990"/>
    <w:rsid w:val="00B634E9"/>
    <w:rsid w:val="00B64675"/>
    <w:rsid w:val="00B64877"/>
    <w:rsid w:val="00B65983"/>
    <w:rsid w:val="00B65BB4"/>
    <w:rsid w:val="00B66538"/>
    <w:rsid w:val="00B66DA1"/>
    <w:rsid w:val="00B70A49"/>
    <w:rsid w:val="00B75E0C"/>
    <w:rsid w:val="00B8043B"/>
    <w:rsid w:val="00B81EAB"/>
    <w:rsid w:val="00B83E98"/>
    <w:rsid w:val="00B84AC7"/>
    <w:rsid w:val="00B8528A"/>
    <w:rsid w:val="00B90BCF"/>
    <w:rsid w:val="00B90DF0"/>
    <w:rsid w:val="00B91E94"/>
    <w:rsid w:val="00B91F2E"/>
    <w:rsid w:val="00B93EB8"/>
    <w:rsid w:val="00B94F6F"/>
    <w:rsid w:val="00B961D0"/>
    <w:rsid w:val="00B9620D"/>
    <w:rsid w:val="00BA19BF"/>
    <w:rsid w:val="00BA4B3D"/>
    <w:rsid w:val="00BA72D1"/>
    <w:rsid w:val="00BB3E30"/>
    <w:rsid w:val="00BB3EB1"/>
    <w:rsid w:val="00BB3EEC"/>
    <w:rsid w:val="00BB5577"/>
    <w:rsid w:val="00BB557D"/>
    <w:rsid w:val="00BB5C24"/>
    <w:rsid w:val="00BB6A48"/>
    <w:rsid w:val="00BB7B2B"/>
    <w:rsid w:val="00BB7B83"/>
    <w:rsid w:val="00BB7C0C"/>
    <w:rsid w:val="00BC066D"/>
    <w:rsid w:val="00BC0B82"/>
    <w:rsid w:val="00BC1A1B"/>
    <w:rsid w:val="00BC1A68"/>
    <w:rsid w:val="00BC2D35"/>
    <w:rsid w:val="00BC2FC5"/>
    <w:rsid w:val="00BC4E7C"/>
    <w:rsid w:val="00BC54D4"/>
    <w:rsid w:val="00BC604B"/>
    <w:rsid w:val="00BC7DF9"/>
    <w:rsid w:val="00BC7EC6"/>
    <w:rsid w:val="00BD3006"/>
    <w:rsid w:val="00BD5857"/>
    <w:rsid w:val="00BD596F"/>
    <w:rsid w:val="00BD7B26"/>
    <w:rsid w:val="00BE3963"/>
    <w:rsid w:val="00BE3B16"/>
    <w:rsid w:val="00BE54C2"/>
    <w:rsid w:val="00BF3412"/>
    <w:rsid w:val="00BF40EF"/>
    <w:rsid w:val="00BF7C1F"/>
    <w:rsid w:val="00C00E39"/>
    <w:rsid w:val="00C01D2B"/>
    <w:rsid w:val="00C02BD5"/>
    <w:rsid w:val="00C03F17"/>
    <w:rsid w:val="00C040D5"/>
    <w:rsid w:val="00C05432"/>
    <w:rsid w:val="00C05DBB"/>
    <w:rsid w:val="00C10A73"/>
    <w:rsid w:val="00C11613"/>
    <w:rsid w:val="00C11625"/>
    <w:rsid w:val="00C1175B"/>
    <w:rsid w:val="00C12B4D"/>
    <w:rsid w:val="00C15BA8"/>
    <w:rsid w:val="00C16975"/>
    <w:rsid w:val="00C176FE"/>
    <w:rsid w:val="00C25D19"/>
    <w:rsid w:val="00C26F35"/>
    <w:rsid w:val="00C30266"/>
    <w:rsid w:val="00C3102E"/>
    <w:rsid w:val="00C320AC"/>
    <w:rsid w:val="00C3477C"/>
    <w:rsid w:val="00C36499"/>
    <w:rsid w:val="00C40ED4"/>
    <w:rsid w:val="00C41B3A"/>
    <w:rsid w:val="00C42710"/>
    <w:rsid w:val="00C432B7"/>
    <w:rsid w:val="00C43745"/>
    <w:rsid w:val="00C43A5D"/>
    <w:rsid w:val="00C43C99"/>
    <w:rsid w:val="00C43DD3"/>
    <w:rsid w:val="00C44CAE"/>
    <w:rsid w:val="00C468C7"/>
    <w:rsid w:val="00C46CCF"/>
    <w:rsid w:val="00C46FBE"/>
    <w:rsid w:val="00C4721C"/>
    <w:rsid w:val="00C513A6"/>
    <w:rsid w:val="00C5278F"/>
    <w:rsid w:val="00C53F14"/>
    <w:rsid w:val="00C54201"/>
    <w:rsid w:val="00C543DB"/>
    <w:rsid w:val="00C556E9"/>
    <w:rsid w:val="00C5616E"/>
    <w:rsid w:val="00C57919"/>
    <w:rsid w:val="00C60391"/>
    <w:rsid w:val="00C607E2"/>
    <w:rsid w:val="00C62FB7"/>
    <w:rsid w:val="00C6503E"/>
    <w:rsid w:val="00C67242"/>
    <w:rsid w:val="00C754DB"/>
    <w:rsid w:val="00C75D58"/>
    <w:rsid w:val="00C7608F"/>
    <w:rsid w:val="00C765E6"/>
    <w:rsid w:val="00C80607"/>
    <w:rsid w:val="00C82639"/>
    <w:rsid w:val="00C83A3A"/>
    <w:rsid w:val="00C841A3"/>
    <w:rsid w:val="00C8421F"/>
    <w:rsid w:val="00C854C1"/>
    <w:rsid w:val="00C85615"/>
    <w:rsid w:val="00C8727A"/>
    <w:rsid w:val="00C87C38"/>
    <w:rsid w:val="00C901AE"/>
    <w:rsid w:val="00C904C9"/>
    <w:rsid w:val="00C90702"/>
    <w:rsid w:val="00C91E12"/>
    <w:rsid w:val="00C939DC"/>
    <w:rsid w:val="00C945A1"/>
    <w:rsid w:val="00C961EB"/>
    <w:rsid w:val="00C9750A"/>
    <w:rsid w:val="00CA13BF"/>
    <w:rsid w:val="00CA1DCA"/>
    <w:rsid w:val="00CA3AEC"/>
    <w:rsid w:val="00CA6E5A"/>
    <w:rsid w:val="00CB5D3C"/>
    <w:rsid w:val="00CB64BF"/>
    <w:rsid w:val="00CB7347"/>
    <w:rsid w:val="00CB7F3D"/>
    <w:rsid w:val="00CC0FE4"/>
    <w:rsid w:val="00CC3F43"/>
    <w:rsid w:val="00CC41B1"/>
    <w:rsid w:val="00CC4E23"/>
    <w:rsid w:val="00CC5799"/>
    <w:rsid w:val="00CC795D"/>
    <w:rsid w:val="00CD3F6E"/>
    <w:rsid w:val="00CE2888"/>
    <w:rsid w:val="00CE3DD4"/>
    <w:rsid w:val="00CE4EBC"/>
    <w:rsid w:val="00CE5F7E"/>
    <w:rsid w:val="00CE7440"/>
    <w:rsid w:val="00CF1AC9"/>
    <w:rsid w:val="00CF2187"/>
    <w:rsid w:val="00CF24B3"/>
    <w:rsid w:val="00CF2BDF"/>
    <w:rsid w:val="00CF3664"/>
    <w:rsid w:val="00CF4950"/>
    <w:rsid w:val="00D0193E"/>
    <w:rsid w:val="00D02D43"/>
    <w:rsid w:val="00D04B74"/>
    <w:rsid w:val="00D04CE9"/>
    <w:rsid w:val="00D056E8"/>
    <w:rsid w:val="00D07659"/>
    <w:rsid w:val="00D1010A"/>
    <w:rsid w:val="00D14162"/>
    <w:rsid w:val="00D15FF5"/>
    <w:rsid w:val="00D16D18"/>
    <w:rsid w:val="00D23123"/>
    <w:rsid w:val="00D24A17"/>
    <w:rsid w:val="00D24CA6"/>
    <w:rsid w:val="00D25451"/>
    <w:rsid w:val="00D25AAD"/>
    <w:rsid w:val="00D25DB4"/>
    <w:rsid w:val="00D30228"/>
    <w:rsid w:val="00D30C58"/>
    <w:rsid w:val="00D311F0"/>
    <w:rsid w:val="00D31EA0"/>
    <w:rsid w:val="00D3221F"/>
    <w:rsid w:val="00D33786"/>
    <w:rsid w:val="00D34BED"/>
    <w:rsid w:val="00D3594B"/>
    <w:rsid w:val="00D414CE"/>
    <w:rsid w:val="00D422E0"/>
    <w:rsid w:val="00D45077"/>
    <w:rsid w:val="00D45098"/>
    <w:rsid w:val="00D45CBF"/>
    <w:rsid w:val="00D47369"/>
    <w:rsid w:val="00D544BC"/>
    <w:rsid w:val="00D55B3E"/>
    <w:rsid w:val="00D56C52"/>
    <w:rsid w:val="00D57455"/>
    <w:rsid w:val="00D5798A"/>
    <w:rsid w:val="00D604DD"/>
    <w:rsid w:val="00D60760"/>
    <w:rsid w:val="00D60CBB"/>
    <w:rsid w:val="00D61387"/>
    <w:rsid w:val="00D63801"/>
    <w:rsid w:val="00D6416D"/>
    <w:rsid w:val="00D64707"/>
    <w:rsid w:val="00D65303"/>
    <w:rsid w:val="00D66FBD"/>
    <w:rsid w:val="00D70259"/>
    <w:rsid w:val="00D7028A"/>
    <w:rsid w:val="00D7180C"/>
    <w:rsid w:val="00D72B16"/>
    <w:rsid w:val="00D749CB"/>
    <w:rsid w:val="00D75563"/>
    <w:rsid w:val="00D761D1"/>
    <w:rsid w:val="00D773EA"/>
    <w:rsid w:val="00D778EA"/>
    <w:rsid w:val="00D80A3F"/>
    <w:rsid w:val="00D811D5"/>
    <w:rsid w:val="00D8232F"/>
    <w:rsid w:val="00D831BD"/>
    <w:rsid w:val="00D83E10"/>
    <w:rsid w:val="00D84EF0"/>
    <w:rsid w:val="00D85216"/>
    <w:rsid w:val="00D918B0"/>
    <w:rsid w:val="00D97265"/>
    <w:rsid w:val="00D97D6A"/>
    <w:rsid w:val="00DA05BF"/>
    <w:rsid w:val="00DA39A2"/>
    <w:rsid w:val="00DA3AC9"/>
    <w:rsid w:val="00DA4341"/>
    <w:rsid w:val="00DA4B88"/>
    <w:rsid w:val="00DA54DF"/>
    <w:rsid w:val="00DB0A7F"/>
    <w:rsid w:val="00DB0AC9"/>
    <w:rsid w:val="00DB0E7F"/>
    <w:rsid w:val="00DB101F"/>
    <w:rsid w:val="00DB3893"/>
    <w:rsid w:val="00DB4953"/>
    <w:rsid w:val="00DB602A"/>
    <w:rsid w:val="00DB7328"/>
    <w:rsid w:val="00DC0BD7"/>
    <w:rsid w:val="00DC145F"/>
    <w:rsid w:val="00DC3E90"/>
    <w:rsid w:val="00DC55EA"/>
    <w:rsid w:val="00DC5658"/>
    <w:rsid w:val="00DC5A0A"/>
    <w:rsid w:val="00DC611A"/>
    <w:rsid w:val="00DD1001"/>
    <w:rsid w:val="00DD1BF6"/>
    <w:rsid w:val="00DD4910"/>
    <w:rsid w:val="00DD5CAA"/>
    <w:rsid w:val="00DD609E"/>
    <w:rsid w:val="00DE10E5"/>
    <w:rsid w:val="00DE1DED"/>
    <w:rsid w:val="00DE3442"/>
    <w:rsid w:val="00DE47A5"/>
    <w:rsid w:val="00DE58CA"/>
    <w:rsid w:val="00DF1147"/>
    <w:rsid w:val="00DF11BF"/>
    <w:rsid w:val="00DF40F4"/>
    <w:rsid w:val="00DF531B"/>
    <w:rsid w:val="00DF6179"/>
    <w:rsid w:val="00DF6570"/>
    <w:rsid w:val="00DF66BD"/>
    <w:rsid w:val="00E0035D"/>
    <w:rsid w:val="00E005E6"/>
    <w:rsid w:val="00E01322"/>
    <w:rsid w:val="00E04A99"/>
    <w:rsid w:val="00E064E6"/>
    <w:rsid w:val="00E079D0"/>
    <w:rsid w:val="00E11728"/>
    <w:rsid w:val="00E11D27"/>
    <w:rsid w:val="00E144F5"/>
    <w:rsid w:val="00E1686A"/>
    <w:rsid w:val="00E172B8"/>
    <w:rsid w:val="00E26E78"/>
    <w:rsid w:val="00E2700C"/>
    <w:rsid w:val="00E30E9B"/>
    <w:rsid w:val="00E33076"/>
    <w:rsid w:val="00E33362"/>
    <w:rsid w:val="00E33F46"/>
    <w:rsid w:val="00E3552B"/>
    <w:rsid w:val="00E35AA0"/>
    <w:rsid w:val="00E35B5E"/>
    <w:rsid w:val="00E36019"/>
    <w:rsid w:val="00E36FD4"/>
    <w:rsid w:val="00E3753E"/>
    <w:rsid w:val="00E4016F"/>
    <w:rsid w:val="00E435B7"/>
    <w:rsid w:val="00E507F9"/>
    <w:rsid w:val="00E51001"/>
    <w:rsid w:val="00E517CD"/>
    <w:rsid w:val="00E520A2"/>
    <w:rsid w:val="00E531E6"/>
    <w:rsid w:val="00E53288"/>
    <w:rsid w:val="00E5431E"/>
    <w:rsid w:val="00E54536"/>
    <w:rsid w:val="00E5793F"/>
    <w:rsid w:val="00E61519"/>
    <w:rsid w:val="00E63562"/>
    <w:rsid w:val="00E63795"/>
    <w:rsid w:val="00E6531C"/>
    <w:rsid w:val="00E65329"/>
    <w:rsid w:val="00E664B0"/>
    <w:rsid w:val="00E675F9"/>
    <w:rsid w:val="00E71ACD"/>
    <w:rsid w:val="00E7359B"/>
    <w:rsid w:val="00E7663E"/>
    <w:rsid w:val="00E76A96"/>
    <w:rsid w:val="00E770F5"/>
    <w:rsid w:val="00E805B6"/>
    <w:rsid w:val="00E8097F"/>
    <w:rsid w:val="00E82ABC"/>
    <w:rsid w:val="00E83A98"/>
    <w:rsid w:val="00E84E4C"/>
    <w:rsid w:val="00E85231"/>
    <w:rsid w:val="00E85839"/>
    <w:rsid w:val="00E87177"/>
    <w:rsid w:val="00E87566"/>
    <w:rsid w:val="00E87B5E"/>
    <w:rsid w:val="00E907B0"/>
    <w:rsid w:val="00E90BB7"/>
    <w:rsid w:val="00E95181"/>
    <w:rsid w:val="00E96674"/>
    <w:rsid w:val="00EA364D"/>
    <w:rsid w:val="00EA47C0"/>
    <w:rsid w:val="00EA5192"/>
    <w:rsid w:val="00EA6138"/>
    <w:rsid w:val="00EA7BDC"/>
    <w:rsid w:val="00EB30B1"/>
    <w:rsid w:val="00EB3B23"/>
    <w:rsid w:val="00EB49A1"/>
    <w:rsid w:val="00EB49A6"/>
    <w:rsid w:val="00EB6A0D"/>
    <w:rsid w:val="00EB7A09"/>
    <w:rsid w:val="00EB7C21"/>
    <w:rsid w:val="00EC0E18"/>
    <w:rsid w:val="00EC63FC"/>
    <w:rsid w:val="00ED0CB9"/>
    <w:rsid w:val="00ED2445"/>
    <w:rsid w:val="00ED45E1"/>
    <w:rsid w:val="00ED55E2"/>
    <w:rsid w:val="00ED5CE4"/>
    <w:rsid w:val="00ED7378"/>
    <w:rsid w:val="00ED75B2"/>
    <w:rsid w:val="00ED7E49"/>
    <w:rsid w:val="00EE2473"/>
    <w:rsid w:val="00EE274C"/>
    <w:rsid w:val="00EE2C6C"/>
    <w:rsid w:val="00EE374E"/>
    <w:rsid w:val="00EE540E"/>
    <w:rsid w:val="00EE5C23"/>
    <w:rsid w:val="00EE5D2B"/>
    <w:rsid w:val="00EE62F1"/>
    <w:rsid w:val="00EE6686"/>
    <w:rsid w:val="00EE756A"/>
    <w:rsid w:val="00EF0285"/>
    <w:rsid w:val="00EF0500"/>
    <w:rsid w:val="00EF0BFE"/>
    <w:rsid w:val="00EF1718"/>
    <w:rsid w:val="00EF18E1"/>
    <w:rsid w:val="00EF3630"/>
    <w:rsid w:val="00EF4919"/>
    <w:rsid w:val="00F0126B"/>
    <w:rsid w:val="00F02EC1"/>
    <w:rsid w:val="00F04E70"/>
    <w:rsid w:val="00F146D7"/>
    <w:rsid w:val="00F152A6"/>
    <w:rsid w:val="00F1559D"/>
    <w:rsid w:val="00F168EE"/>
    <w:rsid w:val="00F20EE6"/>
    <w:rsid w:val="00F21EB9"/>
    <w:rsid w:val="00F235D8"/>
    <w:rsid w:val="00F238F7"/>
    <w:rsid w:val="00F2561E"/>
    <w:rsid w:val="00F25882"/>
    <w:rsid w:val="00F27C07"/>
    <w:rsid w:val="00F30FC6"/>
    <w:rsid w:val="00F311FE"/>
    <w:rsid w:val="00F31553"/>
    <w:rsid w:val="00F31AD9"/>
    <w:rsid w:val="00F32F34"/>
    <w:rsid w:val="00F35C7F"/>
    <w:rsid w:val="00F376BD"/>
    <w:rsid w:val="00F404A5"/>
    <w:rsid w:val="00F405D6"/>
    <w:rsid w:val="00F41796"/>
    <w:rsid w:val="00F43051"/>
    <w:rsid w:val="00F4559F"/>
    <w:rsid w:val="00F466E0"/>
    <w:rsid w:val="00F46B59"/>
    <w:rsid w:val="00F479ED"/>
    <w:rsid w:val="00F501F0"/>
    <w:rsid w:val="00F50686"/>
    <w:rsid w:val="00F520C8"/>
    <w:rsid w:val="00F52305"/>
    <w:rsid w:val="00F52BB1"/>
    <w:rsid w:val="00F539E3"/>
    <w:rsid w:val="00F60651"/>
    <w:rsid w:val="00F61F6C"/>
    <w:rsid w:val="00F62BFF"/>
    <w:rsid w:val="00F66109"/>
    <w:rsid w:val="00F668BD"/>
    <w:rsid w:val="00F67A81"/>
    <w:rsid w:val="00F71063"/>
    <w:rsid w:val="00F7155B"/>
    <w:rsid w:val="00F71AA6"/>
    <w:rsid w:val="00F739D5"/>
    <w:rsid w:val="00F76015"/>
    <w:rsid w:val="00F76336"/>
    <w:rsid w:val="00F76371"/>
    <w:rsid w:val="00F77B33"/>
    <w:rsid w:val="00F8068C"/>
    <w:rsid w:val="00F816CE"/>
    <w:rsid w:val="00F8171B"/>
    <w:rsid w:val="00F86D24"/>
    <w:rsid w:val="00F87570"/>
    <w:rsid w:val="00F90D55"/>
    <w:rsid w:val="00F91B0A"/>
    <w:rsid w:val="00F91E9D"/>
    <w:rsid w:val="00F939CB"/>
    <w:rsid w:val="00FA0C49"/>
    <w:rsid w:val="00FA3218"/>
    <w:rsid w:val="00FA497B"/>
    <w:rsid w:val="00FA4C23"/>
    <w:rsid w:val="00FA5316"/>
    <w:rsid w:val="00FA7FAA"/>
    <w:rsid w:val="00FB0FBD"/>
    <w:rsid w:val="00FB12EC"/>
    <w:rsid w:val="00FB1D51"/>
    <w:rsid w:val="00FB31EC"/>
    <w:rsid w:val="00FB4444"/>
    <w:rsid w:val="00FB5AAD"/>
    <w:rsid w:val="00FC2B96"/>
    <w:rsid w:val="00FC334B"/>
    <w:rsid w:val="00FC7750"/>
    <w:rsid w:val="00FC7781"/>
    <w:rsid w:val="00FD03B3"/>
    <w:rsid w:val="00FD07DC"/>
    <w:rsid w:val="00FD1B2E"/>
    <w:rsid w:val="00FD23BA"/>
    <w:rsid w:val="00FD396F"/>
    <w:rsid w:val="00FD3DB8"/>
    <w:rsid w:val="00FD5F11"/>
    <w:rsid w:val="00FE241F"/>
    <w:rsid w:val="00FE510A"/>
    <w:rsid w:val="00FE5776"/>
    <w:rsid w:val="00FE5919"/>
    <w:rsid w:val="00FF0D82"/>
    <w:rsid w:val="00FF43CB"/>
    <w:rsid w:val="00FF44E9"/>
    <w:rsid w:val="00FF4625"/>
    <w:rsid w:val="00FF56E1"/>
    <w:rsid w:val="00FF71D5"/>
    <w:rsid w:val="00FF75A8"/>
    <w:rsid w:val="031E47C7"/>
    <w:rsid w:val="08D5567E"/>
    <w:rsid w:val="09D516AE"/>
    <w:rsid w:val="0ACE4448"/>
    <w:rsid w:val="0B3B01BA"/>
    <w:rsid w:val="0B76395D"/>
    <w:rsid w:val="0D861A83"/>
    <w:rsid w:val="0E8C4A31"/>
    <w:rsid w:val="0EF1722A"/>
    <w:rsid w:val="10947BCD"/>
    <w:rsid w:val="110F32B7"/>
    <w:rsid w:val="13EE148A"/>
    <w:rsid w:val="13EF4F40"/>
    <w:rsid w:val="18AB3604"/>
    <w:rsid w:val="1A49562F"/>
    <w:rsid w:val="1AF003A5"/>
    <w:rsid w:val="1D1A3B4F"/>
    <w:rsid w:val="1E7B1B91"/>
    <w:rsid w:val="20C23B03"/>
    <w:rsid w:val="20D87472"/>
    <w:rsid w:val="250F4863"/>
    <w:rsid w:val="27CF2804"/>
    <w:rsid w:val="2D68440E"/>
    <w:rsid w:val="30650573"/>
    <w:rsid w:val="310149B3"/>
    <w:rsid w:val="31B6249E"/>
    <w:rsid w:val="32A73FA5"/>
    <w:rsid w:val="33DD78A5"/>
    <w:rsid w:val="33DE46D9"/>
    <w:rsid w:val="385723BC"/>
    <w:rsid w:val="3AAA60BB"/>
    <w:rsid w:val="3C526A0A"/>
    <w:rsid w:val="421D4587"/>
    <w:rsid w:val="45726F5A"/>
    <w:rsid w:val="47332F94"/>
    <w:rsid w:val="477D7ED7"/>
    <w:rsid w:val="4C8C27A2"/>
    <w:rsid w:val="4D9940C5"/>
    <w:rsid w:val="4F382E0A"/>
    <w:rsid w:val="4F5747CE"/>
    <w:rsid w:val="52B21B59"/>
    <w:rsid w:val="545220E4"/>
    <w:rsid w:val="558A5663"/>
    <w:rsid w:val="57327F9E"/>
    <w:rsid w:val="5A665C4D"/>
    <w:rsid w:val="5E086AD1"/>
    <w:rsid w:val="5F46765E"/>
    <w:rsid w:val="608840DE"/>
    <w:rsid w:val="60B06C30"/>
    <w:rsid w:val="60EE6F43"/>
    <w:rsid w:val="65294DFC"/>
    <w:rsid w:val="659C7302"/>
    <w:rsid w:val="66C17E25"/>
    <w:rsid w:val="677A17D2"/>
    <w:rsid w:val="68337128"/>
    <w:rsid w:val="68CD4B9F"/>
    <w:rsid w:val="6B8C3281"/>
    <w:rsid w:val="6C2E1E2A"/>
    <w:rsid w:val="7150520E"/>
    <w:rsid w:val="728B486E"/>
    <w:rsid w:val="75EF43A6"/>
    <w:rsid w:val="765B27BA"/>
    <w:rsid w:val="79116D2A"/>
    <w:rsid w:val="7993773F"/>
    <w:rsid w:val="7BC73B55"/>
    <w:rsid w:val="7BE63AD5"/>
    <w:rsid w:val="7F9E2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5"/>
    <w:qFormat/>
    <w:uiPriority w:val="9"/>
    <w:pPr>
      <w:keepNext/>
      <w:keepLines/>
      <w:spacing w:before="340" w:after="330" w:line="576" w:lineRule="auto"/>
      <w:outlineLvl w:val="0"/>
    </w:pPr>
    <w:rPr>
      <w:rFonts w:eastAsia="黑体"/>
      <w:b/>
      <w:bCs/>
      <w:kern w:val="44"/>
      <w:sz w:val="28"/>
      <w:szCs w:val="44"/>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4">
    <w:name w:val="annotation text"/>
    <w:basedOn w:val="1"/>
    <w:link w:val="28"/>
    <w:semiHidden/>
    <w:unhideWhenUsed/>
    <w:qFormat/>
    <w:uiPriority w:val="99"/>
    <w:pPr>
      <w:jc w:val="left"/>
    </w:pPr>
  </w:style>
  <w:style w:type="paragraph" w:styleId="5">
    <w:name w:val="Date"/>
    <w:basedOn w:val="1"/>
    <w:next w:val="1"/>
    <w:link w:val="23"/>
    <w:semiHidden/>
    <w:unhideWhenUsed/>
    <w:qFormat/>
    <w:uiPriority w:val="99"/>
    <w:pPr>
      <w:ind w:left="100" w:leftChars="2500"/>
    </w:p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Title"/>
    <w:basedOn w:val="1"/>
    <w:next w:val="1"/>
    <w:qFormat/>
    <w:uiPriority w:val="10"/>
    <w:pPr>
      <w:spacing w:before="240" w:after="60"/>
      <w:jc w:val="center"/>
      <w:outlineLvl w:val="0"/>
    </w:pPr>
    <w:rPr>
      <w:rFonts w:ascii="Cambria" w:hAnsi="Cambria" w:cs="Times New Roman"/>
      <w:b/>
      <w:bCs/>
      <w:sz w:val="48"/>
      <w:szCs w:val="32"/>
    </w:rPr>
  </w:style>
  <w:style w:type="paragraph" w:styleId="10">
    <w:name w:val="annotation subject"/>
    <w:basedOn w:val="4"/>
    <w:next w:val="4"/>
    <w:link w:val="29"/>
    <w:semiHidden/>
    <w:unhideWhenUsed/>
    <w:qFormat/>
    <w:uiPriority w:val="99"/>
    <w:rPr>
      <w:b/>
      <w:bCs/>
    </w:rPr>
  </w:style>
  <w:style w:type="table" w:styleId="12">
    <w:name w:val="Table Grid"/>
    <w:basedOn w:val="1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22"/>
    <w:rPr>
      <w:b/>
      <w:bCs/>
    </w:rPr>
  </w:style>
  <w:style w:type="character" w:styleId="15">
    <w:name w:val="line number"/>
    <w:basedOn w:val="13"/>
    <w:semiHidden/>
    <w:unhideWhenUsed/>
    <w:qFormat/>
    <w:uiPriority w:val="99"/>
  </w:style>
  <w:style w:type="character" w:styleId="16">
    <w:name w:val="Hyperlink"/>
    <w:basedOn w:val="13"/>
    <w:unhideWhenUsed/>
    <w:qFormat/>
    <w:uiPriority w:val="99"/>
    <w:rPr>
      <w:color w:val="0563C1" w:themeColor="hyperlink"/>
      <w:u w:val="single"/>
      <w14:textFill>
        <w14:solidFill>
          <w14:schemeClr w14:val="hlink"/>
        </w14:solidFill>
      </w14:textFill>
    </w:rPr>
  </w:style>
  <w:style w:type="character" w:styleId="17">
    <w:name w:val="HTML Code"/>
    <w:basedOn w:val="13"/>
    <w:semiHidden/>
    <w:unhideWhenUsed/>
    <w:qFormat/>
    <w:uiPriority w:val="99"/>
    <w:rPr>
      <w:rFonts w:ascii="宋体" w:hAnsi="宋体" w:eastAsia="宋体" w:cs="宋体"/>
      <w:sz w:val="24"/>
      <w:szCs w:val="24"/>
    </w:rPr>
  </w:style>
  <w:style w:type="character" w:styleId="18">
    <w:name w:val="annotation reference"/>
    <w:basedOn w:val="13"/>
    <w:semiHidden/>
    <w:unhideWhenUsed/>
    <w:qFormat/>
    <w:uiPriority w:val="99"/>
    <w:rPr>
      <w:sz w:val="21"/>
      <w:szCs w:val="21"/>
    </w:rPr>
  </w:style>
  <w:style w:type="character" w:customStyle="1" w:styleId="19">
    <w:name w:val="页眉 字符"/>
    <w:basedOn w:val="13"/>
    <w:link w:val="7"/>
    <w:qFormat/>
    <w:uiPriority w:val="99"/>
    <w:rPr>
      <w:sz w:val="18"/>
      <w:szCs w:val="18"/>
    </w:rPr>
  </w:style>
  <w:style w:type="character" w:customStyle="1" w:styleId="20">
    <w:name w:val="页脚 字符"/>
    <w:basedOn w:val="13"/>
    <w:link w:val="6"/>
    <w:qFormat/>
    <w:uiPriority w:val="99"/>
    <w:rPr>
      <w:sz w:val="18"/>
      <w:szCs w:val="18"/>
    </w:rPr>
  </w:style>
  <w:style w:type="paragraph" w:customStyle="1" w:styleId="21">
    <w:name w:val="样式 首行缩进:  0.77 厘米"/>
    <w:basedOn w:val="1"/>
    <w:qFormat/>
    <w:uiPriority w:val="0"/>
    <w:pPr>
      <w:widowControl/>
      <w:spacing w:line="360" w:lineRule="auto"/>
      <w:ind w:firstLine="435" w:firstLineChars="200"/>
    </w:pPr>
    <w:rPr>
      <w:rFonts w:ascii="Times New Roman" w:hAnsi="Times New Roman" w:eastAsia="宋体" w:cs="宋体"/>
      <w:kern w:val="0"/>
      <w:sz w:val="24"/>
      <w:szCs w:val="20"/>
    </w:rPr>
  </w:style>
  <w:style w:type="character" w:styleId="22">
    <w:name w:val="Placeholder Text"/>
    <w:basedOn w:val="13"/>
    <w:semiHidden/>
    <w:qFormat/>
    <w:uiPriority w:val="99"/>
    <w:rPr>
      <w:color w:val="808080"/>
    </w:rPr>
  </w:style>
  <w:style w:type="character" w:customStyle="1" w:styleId="23">
    <w:name w:val="日期 字符"/>
    <w:basedOn w:val="13"/>
    <w:link w:val="5"/>
    <w:semiHidden/>
    <w:qFormat/>
    <w:uiPriority w:val="99"/>
  </w:style>
  <w:style w:type="paragraph" w:styleId="24">
    <w:name w:val="List Paragraph"/>
    <w:basedOn w:val="1"/>
    <w:qFormat/>
    <w:uiPriority w:val="34"/>
    <w:pPr>
      <w:ind w:firstLine="420" w:firstLineChars="200"/>
    </w:pPr>
  </w:style>
  <w:style w:type="character" w:customStyle="1" w:styleId="25">
    <w:name w:val="标题 1 字符"/>
    <w:basedOn w:val="13"/>
    <w:link w:val="3"/>
    <w:qFormat/>
    <w:uiPriority w:val="9"/>
    <w:rPr>
      <w:rFonts w:eastAsia="黑体"/>
      <w:b/>
      <w:bCs/>
      <w:kern w:val="44"/>
      <w:sz w:val="28"/>
      <w:szCs w:val="44"/>
    </w:rPr>
  </w:style>
  <w:style w:type="character" w:customStyle="1" w:styleId="26">
    <w:name w:val="未处理的提及1"/>
    <w:basedOn w:val="13"/>
    <w:semiHidden/>
    <w:unhideWhenUsed/>
    <w:qFormat/>
    <w:uiPriority w:val="99"/>
    <w:rPr>
      <w:color w:val="605E5C"/>
      <w:shd w:val="clear" w:color="auto" w:fill="E1DFDD"/>
    </w:rPr>
  </w:style>
  <w:style w:type="paragraph" w:customStyle="1" w:styleId="27">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8">
    <w:name w:val="批注文字 字符"/>
    <w:basedOn w:val="13"/>
    <w:link w:val="4"/>
    <w:semiHidden/>
    <w:qFormat/>
    <w:uiPriority w:val="99"/>
    <w:rPr>
      <w:kern w:val="2"/>
      <w:sz w:val="21"/>
      <w:szCs w:val="22"/>
    </w:rPr>
  </w:style>
  <w:style w:type="character" w:customStyle="1" w:styleId="29">
    <w:name w:val="批注主题 字符"/>
    <w:basedOn w:val="28"/>
    <w:link w:val="10"/>
    <w:semiHidden/>
    <w:qFormat/>
    <w:uiPriority w:val="99"/>
    <w:rPr>
      <w:b/>
      <w:bCs/>
      <w:kern w:val="2"/>
      <w:sz w:val="21"/>
      <w:szCs w:val="22"/>
    </w:rPr>
  </w:style>
  <w:style w:type="character" w:customStyle="1" w:styleId="30">
    <w:name w:val="ng-star-inserted"/>
    <w:basedOn w:val="13"/>
    <w:qFormat/>
    <w:uiPriority w:val="0"/>
  </w:style>
  <w:style w:type="paragraph" w:customStyle="1" w:styleId="31">
    <w:name w:val="标准三号正文"/>
    <w:basedOn w:val="1"/>
    <w:qFormat/>
    <w:uiPriority w:val="0"/>
    <w:pPr>
      <w:spacing w:line="360" w:lineRule="auto"/>
      <w:ind w:firstLine="880" w:firstLineChars="200"/>
    </w:pPr>
    <w:rPr>
      <w:rFonts w:ascii="宋体" w:hAnsi="宋体" w:eastAsia="仿宋"/>
      <w:sz w:val="32"/>
    </w:rPr>
  </w:style>
  <w:style w:type="paragraph" w:customStyle="1" w:styleId="32">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3">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4">
    <w:name w:val="修订4"/>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package" Target="embeddings/Microsoft_Visio___1.vsdx"/><Relationship Id="rId7" Type="http://schemas.openxmlformats.org/officeDocument/2006/relationships/image" Target="media/image2.wmf"/><Relationship Id="rId60" Type="http://schemas.openxmlformats.org/officeDocument/2006/relationships/fontTable" Target="fontTable.xml"/><Relationship Id="rId6" Type="http://schemas.openxmlformats.org/officeDocument/2006/relationships/oleObject" Target="embeddings/oleObject1.bin"/><Relationship Id="rId59" Type="http://schemas.openxmlformats.org/officeDocument/2006/relationships/customXml" Target="../customXml/item2.xml"/><Relationship Id="rId58" Type="http://schemas.openxmlformats.org/officeDocument/2006/relationships/customXml" Target="../customXml/item1.xml"/><Relationship Id="rId57" Type="http://schemas.openxmlformats.org/officeDocument/2006/relationships/chart" Target="charts/chart26.xml"/><Relationship Id="rId56" Type="http://schemas.openxmlformats.org/officeDocument/2006/relationships/chart" Target="charts/chart25.xml"/><Relationship Id="rId55" Type="http://schemas.openxmlformats.org/officeDocument/2006/relationships/chart" Target="charts/chart24.xml"/><Relationship Id="rId54" Type="http://schemas.openxmlformats.org/officeDocument/2006/relationships/chart" Target="charts/chart23.xml"/><Relationship Id="rId53" Type="http://schemas.openxmlformats.org/officeDocument/2006/relationships/image" Target="media/image25.tiff"/><Relationship Id="rId52" Type="http://schemas.openxmlformats.org/officeDocument/2006/relationships/image" Target="media/image24.tiff"/><Relationship Id="rId51" Type="http://schemas.openxmlformats.org/officeDocument/2006/relationships/image" Target="media/image23.tiff"/><Relationship Id="rId50" Type="http://schemas.openxmlformats.org/officeDocument/2006/relationships/image" Target="media/image22.tiff"/><Relationship Id="rId5" Type="http://schemas.openxmlformats.org/officeDocument/2006/relationships/image" Target="media/image1.png"/><Relationship Id="rId49" Type="http://schemas.openxmlformats.org/officeDocument/2006/relationships/image" Target="media/image21.tiff"/><Relationship Id="rId48" Type="http://schemas.openxmlformats.org/officeDocument/2006/relationships/image" Target="media/image20.tiff"/><Relationship Id="rId47" Type="http://schemas.openxmlformats.org/officeDocument/2006/relationships/image" Target="media/image19.tiff"/><Relationship Id="rId46" Type="http://schemas.openxmlformats.org/officeDocument/2006/relationships/image" Target="media/image18.tiff"/><Relationship Id="rId45" Type="http://schemas.openxmlformats.org/officeDocument/2006/relationships/image" Target="media/image17.tiff"/><Relationship Id="rId44" Type="http://schemas.openxmlformats.org/officeDocument/2006/relationships/image" Target="media/image16.tiff"/><Relationship Id="rId43" Type="http://schemas.openxmlformats.org/officeDocument/2006/relationships/image" Target="media/image15.tiff"/><Relationship Id="rId42" Type="http://schemas.openxmlformats.org/officeDocument/2006/relationships/image" Target="media/image14.tiff"/><Relationship Id="rId41" Type="http://schemas.openxmlformats.org/officeDocument/2006/relationships/image" Target="media/image13.tiff"/><Relationship Id="rId40" Type="http://schemas.openxmlformats.org/officeDocument/2006/relationships/image" Target="media/image12.tiff"/><Relationship Id="rId4" Type="http://schemas.openxmlformats.org/officeDocument/2006/relationships/theme" Target="theme/theme1.xml"/><Relationship Id="rId39" Type="http://schemas.openxmlformats.org/officeDocument/2006/relationships/image" Target="media/image11.tiff"/><Relationship Id="rId38" Type="http://schemas.openxmlformats.org/officeDocument/2006/relationships/image" Target="media/image10.tiff"/><Relationship Id="rId37" Type="http://schemas.openxmlformats.org/officeDocument/2006/relationships/image" Target="media/image9.tiff"/><Relationship Id="rId36" Type="http://schemas.openxmlformats.org/officeDocument/2006/relationships/image" Target="media/image8.tiff"/><Relationship Id="rId35" Type="http://schemas.openxmlformats.org/officeDocument/2006/relationships/image" Target="media/image7.tiff"/><Relationship Id="rId34" Type="http://schemas.openxmlformats.org/officeDocument/2006/relationships/image" Target="media/image6.tiff"/><Relationship Id="rId33" Type="http://schemas.openxmlformats.org/officeDocument/2006/relationships/image" Target="media/image5.tiff"/><Relationship Id="rId32" Type="http://schemas.openxmlformats.org/officeDocument/2006/relationships/image" Target="media/image4.tiff"/><Relationship Id="rId31" Type="http://schemas.openxmlformats.org/officeDocument/2006/relationships/chart" Target="charts/chart22.xml"/><Relationship Id="rId30" Type="http://schemas.openxmlformats.org/officeDocument/2006/relationships/chart" Target="charts/chart21.xml"/><Relationship Id="rId3" Type="http://schemas.openxmlformats.org/officeDocument/2006/relationships/footer" Target="footer1.xml"/><Relationship Id="rId29" Type="http://schemas.openxmlformats.org/officeDocument/2006/relationships/chart" Target="charts/chart20.xml"/><Relationship Id="rId28" Type="http://schemas.openxmlformats.org/officeDocument/2006/relationships/chart" Target="charts/chart19.xml"/><Relationship Id="rId27" Type="http://schemas.openxmlformats.org/officeDocument/2006/relationships/chart" Target="charts/chart18.xml"/><Relationship Id="rId26" Type="http://schemas.openxmlformats.org/officeDocument/2006/relationships/chart" Target="charts/chart17.xml"/><Relationship Id="rId25" Type="http://schemas.openxmlformats.org/officeDocument/2006/relationships/chart" Target="charts/chart16.xml"/><Relationship Id="rId24" Type="http://schemas.openxmlformats.org/officeDocument/2006/relationships/chart" Target="charts/chart15.xml"/><Relationship Id="rId23" Type="http://schemas.openxmlformats.org/officeDocument/2006/relationships/chart" Target="charts/chart14.xml"/><Relationship Id="rId22" Type="http://schemas.openxmlformats.org/officeDocument/2006/relationships/chart" Target="charts/chart13.xml"/><Relationship Id="rId21" Type="http://schemas.openxmlformats.org/officeDocument/2006/relationships/chart" Target="charts/chart12.xml"/><Relationship Id="rId20" Type="http://schemas.openxmlformats.org/officeDocument/2006/relationships/chart" Target="charts/chart11.xml"/><Relationship Id="rId2" Type="http://schemas.openxmlformats.org/officeDocument/2006/relationships/settings" Target="settings.xml"/><Relationship Id="rId19" Type="http://schemas.openxmlformats.org/officeDocument/2006/relationships/chart" Target="charts/chart10.xml"/><Relationship Id="rId18" Type="http://schemas.openxmlformats.org/officeDocument/2006/relationships/chart" Target="charts/chart9.xml"/><Relationship Id="rId17" Type="http://schemas.openxmlformats.org/officeDocument/2006/relationships/chart" Target="charts/chart8.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7.xml"/><Relationship Id="rId3" Type="http://schemas.microsoft.com/office/2011/relationships/chartStyle" Target="style17.xml"/><Relationship Id="rId2" Type="http://schemas.openxmlformats.org/officeDocument/2006/relationships/themeOverride" Target="../theme/themeOverride16.xml"/><Relationship Id="rId1" Type="http://schemas.openxmlformats.org/officeDocument/2006/relationships/package" Target="../embeddings/Workbook14.xlsx"/></Relationships>
</file>

<file path=word/charts/_rels/chart10.xml.rels><?xml version="1.0" encoding="UTF-8" standalone="yes"?>
<Relationships xmlns="http://schemas.openxmlformats.org/package/2006/relationships"><Relationship Id="rId4" Type="http://schemas.microsoft.com/office/2011/relationships/chartColorStyle" Target="colors16.xml"/><Relationship Id="rId3" Type="http://schemas.microsoft.com/office/2011/relationships/chartStyle" Target="style16.xml"/><Relationship Id="rId2" Type="http://schemas.openxmlformats.org/officeDocument/2006/relationships/themeOverride" Target="../theme/themeOverride15.xml"/><Relationship Id="rId1" Type="http://schemas.openxmlformats.org/officeDocument/2006/relationships/package" Target="../embeddings/Workbook13.xlsx"/></Relationships>
</file>

<file path=word/charts/_rels/chart11.xml.rels><?xml version="1.0" encoding="UTF-8" standalone="yes"?>
<Relationships xmlns="http://schemas.openxmlformats.org/package/2006/relationships"><Relationship Id="rId4" Type="http://schemas.microsoft.com/office/2011/relationships/chartColorStyle" Target="colors6.xml"/><Relationship Id="rId3" Type="http://schemas.microsoft.com/office/2011/relationships/chartStyle" Target="style6.xml"/><Relationship Id="rId2" Type="http://schemas.openxmlformats.org/officeDocument/2006/relationships/themeOverride" Target="../theme/themeOverride5.xml"/><Relationship Id="rId1" Type="http://schemas.openxmlformats.org/officeDocument/2006/relationships/oleObject" Target="file:///F:\&#29983;&#27963;&#25991;&#20214;\&#20010;&#20154;&#23653;&#21382;\&#35770;&#25991;&#25104;&#26524;\&#27700;&#21033;&#27700;&#30005;&#25216;&#26415;&#8212;&#33180;&#19979;&#28404;&#28748;&#26825;&#30000;&#20957;&#32467;&#27700;&#21450;&#20854;&#19982;&#27668;&#35937;&#22240;&#23376;&#30340;&#20851;&#31995;&#30740;&#31350;&#65288;&#19968;&#20316;&#65292;&#21271;&#26680;&#65292;cscd&#65289;\&#20957;&#32467;&#27700;&#23567;&#35770;&#25991;&#30456;&#20851;&#22270;&#34920;\&#22270;3-&#22270;4.xlsx" TargetMode="External"/></Relationships>
</file>

<file path=word/charts/_rels/chart12.xml.rels><?xml version="1.0" encoding="UTF-8" standalone="yes"?>
<Relationships xmlns="http://schemas.openxmlformats.org/package/2006/relationships"><Relationship Id="rId4" Type="http://schemas.microsoft.com/office/2011/relationships/chartColorStyle" Target="colors7.xml"/><Relationship Id="rId3" Type="http://schemas.microsoft.com/office/2011/relationships/chartStyle" Target="style7.xml"/><Relationship Id="rId2" Type="http://schemas.openxmlformats.org/officeDocument/2006/relationships/themeOverride" Target="../theme/themeOverride6.xml"/><Relationship Id="rId1" Type="http://schemas.openxmlformats.org/officeDocument/2006/relationships/package" Target="../embeddings/Workbook5.xlsx"/></Relationships>
</file>

<file path=word/charts/_rels/chart13.xml.rels><?xml version="1.0" encoding="UTF-8" standalone="yes"?>
<Relationships xmlns="http://schemas.openxmlformats.org/package/2006/relationships"><Relationship Id="rId4" Type="http://schemas.microsoft.com/office/2011/relationships/chartColorStyle" Target="colors8.xml"/><Relationship Id="rId3" Type="http://schemas.microsoft.com/office/2011/relationships/chartStyle" Target="style8.xml"/><Relationship Id="rId2" Type="http://schemas.openxmlformats.org/officeDocument/2006/relationships/themeOverride" Target="../theme/themeOverride7.xml"/><Relationship Id="rId1" Type="http://schemas.openxmlformats.org/officeDocument/2006/relationships/package" Target="../embeddings/Workbook6.xlsx"/></Relationships>
</file>

<file path=word/charts/_rels/chart14.xml.rels><?xml version="1.0" encoding="UTF-8" standalone="yes"?>
<Relationships xmlns="http://schemas.openxmlformats.org/package/2006/relationships"><Relationship Id="rId4" Type="http://schemas.microsoft.com/office/2011/relationships/chartColorStyle" Target="colors9.xml"/><Relationship Id="rId3" Type="http://schemas.microsoft.com/office/2011/relationships/chartStyle" Target="style9.xml"/><Relationship Id="rId2" Type="http://schemas.openxmlformats.org/officeDocument/2006/relationships/themeOverride" Target="../theme/themeOverride8.xml"/><Relationship Id="rId1" Type="http://schemas.openxmlformats.org/officeDocument/2006/relationships/package" Target="../embeddings/Workbook7.xlsx"/></Relationships>
</file>

<file path=word/charts/_rels/chart15.xml.rels><?xml version="1.0" encoding="UTF-8" standalone="yes"?>
<Relationships xmlns="http://schemas.openxmlformats.org/package/2006/relationships"><Relationship Id="rId5" Type="http://schemas.microsoft.com/office/2011/relationships/chartColorStyle" Target="colors11.xml"/><Relationship Id="rId4" Type="http://schemas.microsoft.com/office/2011/relationships/chartStyle" Target="style11.xml"/><Relationship Id="rId3" Type="http://schemas.openxmlformats.org/officeDocument/2006/relationships/chartUserShapes" Target="../drawings/drawing1.xml"/><Relationship Id="rId2" Type="http://schemas.openxmlformats.org/officeDocument/2006/relationships/themeOverride" Target="../theme/themeOverride10.xml"/><Relationship Id="rId1" Type="http://schemas.openxmlformats.org/officeDocument/2006/relationships/oleObject" Target="file:///F:\&#29983;&#27963;&#25991;&#20214;\&#20010;&#20154;&#23653;&#21382;\&#35770;&#25991;&#25104;&#26524;\&#27700;&#21033;&#27700;&#30005;&#25216;&#26415;&#8212;&#33180;&#19979;&#28404;&#28748;&#26825;&#30000;&#20957;&#32467;&#27700;&#21450;&#20854;&#19982;&#27668;&#35937;&#22240;&#23376;&#30340;&#20851;&#31995;&#30740;&#31350;&#65288;&#19968;&#20316;&#65292;&#21271;&#26680;&#65292;cscd&#65289;\&#20957;&#32467;&#27700;&#23567;&#35770;&#25991;&#30456;&#20851;&#22270;&#34920;\&#22270;3-&#22270;4.xlsx" TargetMode="External"/></Relationships>
</file>

<file path=word/charts/_rels/chart16.xml.rels><?xml version="1.0" encoding="UTF-8" standalone="yes"?>
<Relationships xmlns="http://schemas.openxmlformats.org/package/2006/relationships"><Relationship Id="rId4" Type="http://schemas.microsoft.com/office/2011/relationships/chartColorStyle" Target="colors12.xml"/><Relationship Id="rId3" Type="http://schemas.microsoft.com/office/2011/relationships/chartStyle" Target="style12.xml"/><Relationship Id="rId2" Type="http://schemas.openxmlformats.org/officeDocument/2006/relationships/themeOverride" Target="../theme/themeOverride11.xml"/><Relationship Id="rId1" Type="http://schemas.openxmlformats.org/officeDocument/2006/relationships/package" Target="../embeddings/Workbook9.xlsx"/></Relationships>
</file>

<file path=word/charts/_rels/chart17.xml.rels><?xml version="1.0" encoding="UTF-8" standalone="yes"?>
<Relationships xmlns="http://schemas.openxmlformats.org/package/2006/relationships"><Relationship Id="rId4" Type="http://schemas.microsoft.com/office/2011/relationships/chartColorStyle" Target="colors13.xml"/><Relationship Id="rId3" Type="http://schemas.microsoft.com/office/2011/relationships/chartStyle" Target="style13.xml"/><Relationship Id="rId2" Type="http://schemas.openxmlformats.org/officeDocument/2006/relationships/themeOverride" Target="../theme/themeOverride12.xml"/><Relationship Id="rId1" Type="http://schemas.openxmlformats.org/officeDocument/2006/relationships/package" Target="../embeddings/Workbook10.xlsx"/></Relationships>
</file>

<file path=word/charts/_rels/chart18.xml.rels><?xml version="1.0" encoding="UTF-8" standalone="yes"?>
<Relationships xmlns="http://schemas.openxmlformats.org/package/2006/relationships"><Relationship Id="rId4" Type="http://schemas.microsoft.com/office/2011/relationships/chartColorStyle" Target="colors14.xml"/><Relationship Id="rId3" Type="http://schemas.microsoft.com/office/2011/relationships/chartStyle" Target="style14.xml"/><Relationship Id="rId2" Type="http://schemas.openxmlformats.org/officeDocument/2006/relationships/themeOverride" Target="../theme/themeOverride13.xml"/><Relationship Id="rId1" Type="http://schemas.openxmlformats.org/officeDocument/2006/relationships/package" Target="../embeddings/Workbook11.xlsx"/></Relationships>
</file>

<file path=word/charts/_rels/chart19.xml.rels><?xml version="1.0" encoding="UTF-8" standalone="yes"?>
<Relationships xmlns="http://schemas.openxmlformats.org/package/2006/relationships"><Relationship Id="rId4" Type="http://schemas.microsoft.com/office/2011/relationships/chartColorStyle" Target="colors22.xml"/><Relationship Id="rId3" Type="http://schemas.microsoft.com/office/2011/relationships/chartStyle" Target="style22.xml"/><Relationship Id="rId2" Type="http://schemas.openxmlformats.org/officeDocument/2006/relationships/themeOverride" Target="../theme/themeOverride21.xml"/><Relationship Id="rId1" Type="http://schemas.openxmlformats.org/officeDocument/2006/relationships/oleObject" Target="file:///F:\&#29983;&#27963;&#25991;&#20214;\&#20010;&#20154;&#23653;&#21382;\&#35770;&#25991;&#25104;&#26524;\&#27700;&#21033;&#27700;&#30005;&#25216;&#26415;&#8212;&#33180;&#19979;&#28404;&#28748;&#26825;&#30000;&#20957;&#32467;&#27700;&#21450;&#20854;&#19982;&#27668;&#35937;&#22240;&#23376;&#30340;&#20851;&#31995;&#30740;&#31350;&#65288;&#19968;&#20316;&#65292;&#21271;&#26680;&#65292;cscd&#65289;\&#20957;&#32467;&#27700;&#23567;&#35770;&#25991;&#30456;&#20851;&#22270;&#34920;\&#22270;3-&#22270;4.xlsx" TargetMode="External"/></Relationships>
</file>

<file path=word/charts/_rels/chart2.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themeOverride" Target="../theme/themeOverride4.xml"/><Relationship Id="rId1" Type="http://schemas.openxmlformats.org/officeDocument/2006/relationships/package" Target="../embeddings/Workbook4.xlsx"/></Relationships>
</file>

<file path=word/charts/_rels/chart20.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21.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2.xml"/><Relationship Id="rId1" Type="http://schemas.openxmlformats.org/officeDocument/2006/relationships/package" Target="../embeddings/Workbook2.xlsx"/></Relationships>
</file>

<file path=word/charts/_rels/chart22.xml.rels><?xml version="1.0" encoding="UTF-8" standalone="yes"?>
<Relationships xmlns="http://schemas.openxmlformats.org/package/2006/relationships"><Relationship Id="rId4" Type="http://schemas.microsoft.com/office/2011/relationships/chartColorStyle" Target="colors26.xml"/><Relationship Id="rId3" Type="http://schemas.microsoft.com/office/2011/relationships/chartStyle" Target="style26.xml"/><Relationship Id="rId2" Type="http://schemas.openxmlformats.org/officeDocument/2006/relationships/themeOverride" Target="../theme/themeOverride25.xml"/><Relationship Id="rId1" Type="http://schemas.openxmlformats.org/officeDocument/2006/relationships/package" Target="../embeddings/Workbook22.xlsx"/></Relationships>
</file>

<file path=word/charts/_rels/chart23.xml.rels><?xml version="1.0" encoding="UTF-8" standalone="yes"?>
<Relationships xmlns="http://schemas.openxmlformats.org/package/2006/relationships"><Relationship Id="rId4" Type="http://schemas.microsoft.com/office/2011/relationships/chartColorStyle" Target="colors18.xml"/><Relationship Id="rId3" Type="http://schemas.microsoft.com/office/2011/relationships/chartStyle" Target="style18.xml"/><Relationship Id="rId2" Type="http://schemas.openxmlformats.org/officeDocument/2006/relationships/themeOverride" Target="../theme/themeOverride17.xml"/><Relationship Id="rId1" Type="http://schemas.openxmlformats.org/officeDocument/2006/relationships/package" Target="../embeddings/Workbook15.xlsx"/></Relationships>
</file>

<file path=word/charts/_rels/chart24.xml.rels><?xml version="1.0" encoding="UTF-8" standalone="yes"?>
<Relationships xmlns="http://schemas.openxmlformats.org/package/2006/relationships"><Relationship Id="rId4" Type="http://schemas.microsoft.com/office/2011/relationships/chartColorStyle" Target="colors25.xml"/><Relationship Id="rId3" Type="http://schemas.microsoft.com/office/2011/relationships/chartStyle" Target="style25.xml"/><Relationship Id="rId2" Type="http://schemas.openxmlformats.org/officeDocument/2006/relationships/themeOverride" Target="../theme/themeOverride24.xml"/><Relationship Id="rId1" Type="http://schemas.openxmlformats.org/officeDocument/2006/relationships/package" Target="../embeddings/Workbook21.xlsx"/></Relationships>
</file>

<file path=word/charts/_rels/chart25.xml.rels><?xml version="1.0" encoding="UTF-8" standalone="yes"?>
<Relationships xmlns="http://schemas.openxmlformats.org/package/2006/relationships"><Relationship Id="rId4" Type="http://schemas.microsoft.com/office/2011/relationships/chartColorStyle" Target="colors23.xml"/><Relationship Id="rId3" Type="http://schemas.microsoft.com/office/2011/relationships/chartStyle" Target="style23.xml"/><Relationship Id="rId2" Type="http://schemas.openxmlformats.org/officeDocument/2006/relationships/themeOverride" Target="../theme/themeOverride22.xml"/><Relationship Id="rId1" Type="http://schemas.openxmlformats.org/officeDocument/2006/relationships/package" Target="../embeddings/Workbook19.xlsx"/></Relationships>
</file>

<file path=word/charts/_rels/chart26.xml.rels><?xml version="1.0" encoding="UTF-8" standalone="yes"?>
<Relationships xmlns="http://schemas.openxmlformats.org/package/2006/relationships"><Relationship Id="rId4" Type="http://schemas.microsoft.com/office/2011/relationships/chartColorStyle" Target="colors24.xml"/><Relationship Id="rId3" Type="http://schemas.microsoft.com/office/2011/relationships/chartStyle" Target="style24.xml"/><Relationship Id="rId2" Type="http://schemas.openxmlformats.org/officeDocument/2006/relationships/themeOverride" Target="../theme/themeOverride23.xml"/><Relationship Id="rId1" Type="http://schemas.openxmlformats.org/officeDocument/2006/relationships/package" Target="../embeddings/Workbook20.xlsx"/></Relationships>
</file>

<file path=word/charts/_rels/chart3.xml.rels><?xml version="1.0" encoding="UTF-8" standalone="yes"?>
<Relationships xmlns="http://schemas.openxmlformats.org/package/2006/relationships"><Relationship Id="rId4" Type="http://schemas.microsoft.com/office/2011/relationships/chartColorStyle" Target="colors19.xml"/><Relationship Id="rId3" Type="http://schemas.microsoft.com/office/2011/relationships/chartStyle" Target="style19.xml"/><Relationship Id="rId2" Type="http://schemas.openxmlformats.org/officeDocument/2006/relationships/themeOverride" Target="../theme/themeOverride18.xml"/><Relationship Id="rId1" Type="http://schemas.openxmlformats.org/officeDocument/2006/relationships/package" Target="../embeddings/Workbook16.xlsx"/></Relationships>
</file>

<file path=word/charts/_rels/chart4.xml.rels><?xml version="1.0" encoding="UTF-8" standalone="yes"?>
<Relationships xmlns="http://schemas.openxmlformats.org/package/2006/relationships"><Relationship Id="rId4" Type="http://schemas.microsoft.com/office/2011/relationships/chartColorStyle" Target="colors20.xml"/><Relationship Id="rId3" Type="http://schemas.microsoft.com/office/2011/relationships/chartStyle" Target="style20.xml"/><Relationship Id="rId2" Type="http://schemas.openxmlformats.org/officeDocument/2006/relationships/themeOverride" Target="../theme/themeOverride19.xml"/><Relationship Id="rId1" Type="http://schemas.openxmlformats.org/officeDocument/2006/relationships/package" Target="../embeddings/Workbook17.xlsx"/></Relationships>
</file>

<file path=word/charts/_rels/chart5.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4" Type="http://schemas.microsoft.com/office/2011/relationships/chartColorStyle" Target="colors21.xml"/><Relationship Id="rId3" Type="http://schemas.microsoft.com/office/2011/relationships/chartStyle" Target="style21.xml"/><Relationship Id="rId2" Type="http://schemas.openxmlformats.org/officeDocument/2006/relationships/themeOverride" Target="../theme/themeOverride20.xml"/><Relationship Id="rId1" Type="http://schemas.openxmlformats.org/officeDocument/2006/relationships/package" Target="../embeddings/Workbook18.xlsx"/></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F:\&#29983;&#27963;&#25991;&#20214;\&#20010;&#20154;&#23653;&#21382;\&#35770;&#25991;&#25104;&#26524;\&#27700;&#21033;&#27700;&#30005;&#25216;&#26415;&#8212;&#33180;&#19979;&#28404;&#28748;&#26825;&#30000;&#20957;&#32467;&#27700;&#21450;&#20854;&#19982;&#27668;&#35937;&#22240;&#23376;&#30340;&#20851;&#31995;&#30740;&#31350;&#65288;&#19968;&#20316;&#65292;&#21271;&#26680;&#65292;cscd&#65289;\&#20957;&#32467;&#27700;&#23567;&#35770;&#25991;&#30456;&#20851;&#22270;&#34920;\&#22270;3-&#22270;4.xlsx" TargetMode="External"/></Relationships>
</file>

<file path=word/charts/_rels/chart8.xml.rels><?xml version="1.0" encoding="UTF-8" standalone="yes"?>
<Relationships xmlns="http://schemas.openxmlformats.org/package/2006/relationships"><Relationship Id="rId4" Type="http://schemas.microsoft.com/office/2011/relationships/chartColorStyle" Target="colors10.xml"/><Relationship Id="rId3" Type="http://schemas.microsoft.com/office/2011/relationships/chartStyle" Target="style10.xml"/><Relationship Id="rId2" Type="http://schemas.openxmlformats.org/officeDocument/2006/relationships/themeOverride" Target="../theme/themeOverride9.xml"/><Relationship Id="rId1" Type="http://schemas.openxmlformats.org/officeDocument/2006/relationships/package" Target="../embeddings/Workbook8.xlsx"/></Relationships>
</file>

<file path=word/charts/_rels/chart9.xml.rels><?xml version="1.0" encoding="UTF-8" standalone="yes"?>
<Relationships xmlns="http://schemas.openxmlformats.org/package/2006/relationships"><Relationship Id="rId4" Type="http://schemas.microsoft.com/office/2011/relationships/chartColorStyle" Target="colors15.xml"/><Relationship Id="rId3" Type="http://schemas.microsoft.com/office/2011/relationships/chartStyle" Target="style15.xml"/><Relationship Id="rId2" Type="http://schemas.openxmlformats.org/officeDocument/2006/relationships/themeOverride" Target="../theme/themeOverride14.xml"/><Relationship Id="rId1" Type="http://schemas.openxmlformats.org/officeDocument/2006/relationships/package" Target="../embeddings/Workbook1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0967828492649"/>
          <c:y val="0.0705634484083264"/>
          <c:w val="0.739490548405304"/>
          <c:h val="0.720607240671003"/>
        </c:manualLayout>
      </c:layout>
      <c:lineChart>
        <c:grouping val="standard"/>
        <c:varyColors val="0"/>
        <c:ser>
          <c:idx val="0"/>
          <c:order val="0"/>
          <c:tx>
            <c:strRef>
              <c:f>图3!$B$1:$B$2</c:f>
              <c:strCache>
                <c:ptCount val="1"/>
                <c:pt idx="0">
                  <c:v>2018年不覆膜</c:v>
                </c:pt>
              </c:strCache>
            </c:strRef>
          </c:tx>
          <c:spPr>
            <a:ln w="7620" cap="rnd">
              <a:solidFill>
                <a:srgbClr val="C00000"/>
              </a:solidFill>
              <a:round/>
            </a:ln>
            <a:effectLst/>
          </c:spPr>
          <c:marker>
            <c:symbol val="circle"/>
            <c:size val="3"/>
            <c:spPr>
              <a:noFill/>
              <a:ln w="7620">
                <a:solidFill>
                  <a:srgbClr val="C00000"/>
                </a:solidFill>
              </a:ln>
              <a:effectLst/>
            </c:spPr>
          </c:marker>
          <c:dLbls>
            <c:delete val="1"/>
          </c:dLbls>
          <c:cat>
            <c:numRef>
              <c:f>图3!$A$3:$A$27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图3!$B$3:$B$27</c:f>
              <c:numCache>
                <c:formatCode>General</c:formatCode>
                <c:ptCount val="25"/>
                <c:pt idx="0">
                  <c:v>0</c:v>
                </c:pt>
                <c:pt idx="1" c:formatCode="0.00">
                  <c:v>-0.21855</c:v>
                </c:pt>
                <c:pt idx="2" c:formatCode="0.00">
                  <c:v>-0.33386</c:v>
                </c:pt>
                <c:pt idx="3" c:formatCode="0.00">
                  <c:v>-0.42223</c:v>
                </c:pt>
                <c:pt idx="4" c:formatCode="0.00">
                  <c:v>-0.43708</c:v>
                </c:pt>
                <c:pt idx="5" c:formatCode="0.00">
                  <c:v>-0.45949</c:v>
                </c:pt>
                <c:pt idx="6" c:formatCode="0.00">
                  <c:v>-0.45944</c:v>
                </c:pt>
                <c:pt idx="7" c:formatCode="0.00">
                  <c:v>-0.46547</c:v>
                </c:pt>
                <c:pt idx="8" c:formatCode="0.00">
                  <c:v>-0.44468</c:v>
                </c:pt>
                <c:pt idx="9" c:formatCode="0.00">
                  <c:v>-0.40348</c:v>
                </c:pt>
                <c:pt idx="10" c:formatCode="0.00">
                  <c:v>-0.3164</c:v>
                </c:pt>
                <c:pt idx="11" c:formatCode="0.00">
                  <c:v>-0.21279</c:v>
                </c:pt>
                <c:pt idx="12" c:formatCode="0.00">
                  <c:v>-0.15275</c:v>
                </c:pt>
                <c:pt idx="13" c:formatCode="0.00">
                  <c:v>-0.09845</c:v>
                </c:pt>
                <c:pt idx="14" c:formatCode="0.00">
                  <c:v>-0.09875</c:v>
                </c:pt>
                <c:pt idx="15" c:formatCode="0.00">
                  <c:v>-0.01545</c:v>
                </c:pt>
                <c:pt idx="16" c:formatCode="0.00">
                  <c:v>0.07641</c:v>
                </c:pt>
                <c:pt idx="17" c:formatCode="0.00">
                  <c:v>0.05383</c:v>
                </c:pt>
                <c:pt idx="18" c:formatCode="0.00">
                  <c:v>0.09787</c:v>
                </c:pt>
                <c:pt idx="19" c:formatCode="0.00">
                  <c:v>0.05229</c:v>
                </c:pt>
                <c:pt idx="20" c:formatCode="0.00">
                  <c:v>0.0513</c:v>
                </c:pt>
                <c:pt idx="21" c:formatCode="0.00">
                  <c:v>0.06463</c:v>
                </c:pt>
                <c:pt idx="22" c:formatCode="0.00">
                  <c:v>0.01904</c:v>
                </c:pt>
                <c:pt idx="23" c:formatCode="0.00">
                  <c:v>-0.05488</c:v>
                </c:pt>
                <c:pt idx="24" c:formatCode="0.00">
                  <c:v>-0.1223</c:v>
                </c:pt>
              </c:numCache>
            </c:numRef>
          </c:val>
          <c:smooth val="0"/>
        </c:ser>
        <c:dLbls>
          <c:showLegendKey val="0"/>
          <c:showVal val="0"/>
          <c:showCatName val="0"/>
          <c:showSerName val="0"/>
          <c:showPercent val="0"/>
          <c:showBubbleSize val="0"/>
        </c:dLbls>
        <c:marker val="1"/>
        <c:smooth val="0"/>
        <c:axId val="188892480"/>
        <c:axId val="188888320"/>
      </c:lineChart>
      <c:catAx>
        <c:axId val="188892480"/>
        <c:scaling>
          <c:orientation val="minMax"/>
        </c:scaling>
        <c:delete val="0"/>
        <c:axPos val="b"/>
        <c:title>
          <c:tx>
            <c:rich>
              <a:bodyPr rot="0" spcFirstLastPara="1" vertOverflow="ellipsis"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r>
                  <a:rPr lang="zh-CN" altLang="en-US" sz="750">
                    <a:solidFill>
                      <a:sysClr val="windowText" lastClr="000000"/>
                    </a:solidFill>
                    <a:latin typeface="宋体" panose="02010600030101010101" charset="-122"/>
                    <a:ea typeface="宋体" panose="02010600030101010101" charset="-122"/>
                  </a:rPr>
                  <a:t>时间</a:t>
                </a:r>
                <a:endParaRPr lang="zh-CN" altLang="en-US" sz="750">
                  <a:solidFill>
                    <a:sysClr val="windowText" lastClr="000000"/>
                  </a:solidFill>
                  <a:latin typeface="宋体" panose="02010600030101010101" charset="-122"/>
                  <a:ea typeface="宋体" panose="02010600030101010101" charset="-122"/>
                </a:endParaRPr>
              </a:p>
            </c:rich>
          </c:tx>
          <c:layout>
            <c:manualLayout>
              <c:xMode val="edge"/>
              <c:yMode val="edge"/>
              <c:x val="0.519779522355338"/>
              <c:y val="0.931224442248203"/>
            </c:manualLayout>
          </c:layout>
          <c:overlay val="0"/>
          <c:spPr>
            <a:noFill/>
            <a:ln>
              <a:noFill/>
            </a:ln>
            <a:effectLst/>
          </c:spPr>
        </c:title>
        <c:numFmt formatCode="h:mm" sourceLinked="1"/>
        <c:majorTickMark val="in"/>
        <c:minorTickMark val="none"/>
        <c:tickLblPos val="low"/>
        <c:spPr>
          <a:noFill/>
          <a:ln w="5080" cap="flat" cmpd="sng" algn="ctr">
            <a:solidFill>
              <a:schemeClr val="tx1"/>
            </a:solidFill>
            <a:round/>
          </a:ln>
          <a:effectLst/>
        </c:spPr>
        <c:txPr>
          <a:bodyPr rot="0" spcFirstLastPara="1" vertOverflow="ellipsis" vert="horz" wrap="square" anchor="ctr" anchorCtr="0"/>
          <a:lstStyle/>
          <a:p>
            <a:pPr>
              <a:defRPr lang="zh-CN" sz="7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88320"/>
        <c:crossesAt val="-0.7"/>
        <c:auto val="0"/>
        <c:lblAlgn val="ctr"/>
        <c:lblOffset val="150"/>
        <c:tickMarkSkip val="3"/>
        <c:noMultiLvlLbl val="0"/>
      </c:catAx>
      <c:valAx>
        <c:axId val="188888320"/>
        <c:scaling>
          <c:orientation val="minMax"/>
          <c:max val="0.2"/>
          <c:min val="-0.7"/>
        </c:scaling>
        <c:delete val="0"/>
        <c:axPos val="l"/>
        <c:title>
          <c:tx>
            <c:rich>
              <a:bodyPr rot="-5400000" spcFirstLastPara="1" vertOverflow="ellipsis" vert="horz" wrap="square" anchor="ctr" anchorCtr="1"/>
              <a:lstStyle/>
              <a:p>
                <a:pPr>
                  <a:defRPr lang="zh-CN" sz="750" b="0" i="0" u="none" strike="noStrike" kern="1200" baseline="0">
                    <a:solidFill>
                      <a:sysClr val="windowText" lastClr="000000"/>
                    </a:solidFill>
                    <a:latin typeface="+mn-lt"/>
                    <a:ea typeface="+mn-ea"/>
                    <a:cs typeface="+mn-cs"/>
                  </a:defRPr>
                </a:pPr>
                <a:r>
                  <a:rPr lang="zh-CN" altLang="en-US" sz="750">
                    <a:solidFill>
                      <a:sysClr val="windowText" lastClr="000000"/>
                    </a:solidFill>
                    <a:latin typeface="宋体" panose="02010600030101010101" charset="-122"/>
                    <a:ea typeface="宋体" panose="02010600030101010101" charset="-122"/>
                  </a:rPr>
                  <a:t>凝结水量</a:t>
                </a:r>
                <a:r>
                  <a:rPr lang="en-US" altLang="zh-CN" sz="750">
                    <a:solidFill>
                      <a:sysClr val="windowText" lastClr="000000"/>
                    </a:solidFill>
                    <a:latin typeface="宋体" panose="02010600030101010101" charset="-122"/>
                    <a:ea typeface="宋体" panose="02010600030101010101" charset="-122"/>
                  </a:rPr>
                  <a:t>/</a:t>
                </a:r>
                <a:r>
                  <a:rPr lang="en-US" altLang="zh-CN" sz="7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750">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364894501582058"/>
              <c:y val="0.258588341924885"/>
            </c:manualLayout>
          </c:layout>
          <c:overlay val="0"/>
          <c:spPr>
            <a:noFill/>
            <a:ln>
              <a:noFill/>
            </a:ln>
            <a:effectLst/>
          </c:spPr>
        </c:title>
        <c:numFmt formatCode="General" sourceLinked="0"/>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7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92480"/>
        <c:crosses val="autoZero"/>
        <c:crossBetween val="midCat"/>
        <c:majorUnit val="0.1"/>
        <c:minorUnit val="0.1"/>
      </c:valAx>
      <c:spPr>
        <a:noFill/>
        <a:ln w="5080">
          <a:noFill/>
        </a:ln>
        <a:effectLst/>
      </c:spPr>
    </c:plotArea>
    <c:legend>
      <c:legendPos val="b"/>
      <c:layout>
        <c:manualLayout>
          <c:xMode val="edge"/>
          <c:yMode val="edge"/>
          <c:x val="0.196240458191845"/>
          <c:y val="0.0696657822663471"/>
          <c:w val="0.374461676371496"/>
          <c:h val="0.078076857240671"/>
        </c:manualLayout>
      </c:layout>
      <c:overlay val="0"/>
      <c:spPr>
        <a:noFill/>
        <a:ln>
          <a:noFill/>
        </a:ln>
        <a:effectLst/>
      </c:spPr>
      <c:txPr>
        <a:bodyPr rot="0" spcFirstLastPara="1" vertOverflow="ellipsis" vert="horz" wrap="square" anchor="ctr" anchorCtr="1"/>
        <a:lstStyle/>
        <a:p>
          <a:pPr algn="ctr">
            <a:defRPr lang="zh-CN" sz="75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c3edb848-60ec-4eed-a51f-816666a32661}"/>
      </c:ext>
    </c:extLst>
  </c:chart>
  <c:spPr>
    <a:noFill/>
    <a:ln w="5080" cap="flat" cmpd="sng" algn="ctr">
      <a:noFill/>
      <a:round/>
    </a:ln>
    <a:effectLst/>
  </c:spPr>
  <c:txPr>
    <a:bodyPr/>
    <a:lstStyle/>
    <a:p>
      <a:pPr algn="ctr">
        <a:defRPr lang="zh-CN"/>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5790848724555"/>
          <c:y val="0.112715294542337"/>
          <c:w val="0.706885836350748"/>
          <c:h val="0.675866315168754"/>
        </c:manualLayout>
      </c:layout>
      <c:lineChart>
        <c:grouping val="standard"/>
        <c:varyColors val="0"/>
        <c:ser>
          <c:idx val="0"/>
          <c:order val="0"/>
          <c:tx>
            <c:strRef>
              <c:f>'图4 苗期2019不覆膜'!$B$1:$B$2</c:f>
              <c:strCache>
                <c:ptCount val="1"/>
                <c:pt idx="0">
                  <c:v>2018年不覆膜</c:v>
                </c:pt>
              </c:strCache>
            </c:strRef>
          </c:tx>
          <c:spPr>
            <a:ln w="7620" cap="rnd">
              <a:solidFill>
                <a:srgbClr val="00FF00"/>
              </a:solidFill>
              <a:round/>
            </a:ln>
            <a:effectLst/>
          </c:spPr>
          <c:marker>
            <c:symbol val="triangle"/>
            <c:size val="4"/>
            <c:spPr>
              <a:noFill/>
              <a:ln w="7620">
                <a:solidFill>
                  <a:srgbClr val="00FF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苗期2019不覆膜'!$B$3:$B$27</c:f>
              <c:numCache>
                <c:formatCode>General</c:formatCode>
                <c:ptCount val="25"/>
                <c:pt idx="0">
                  <c:v>0</c:v>
                </c:pt>
              </c:numCache>
            </c:numRef>
          </c:val>
          <c:smooth val="0"/>
        </c:ser>
        <c:ser>
          <c:idx val="1"/>
          <c:order val="1"/>
          <c:tx>
            <c:strRef>
              <c:f>'图4 苗期2019不覆膜'!$C$1:$C$2</c:f>
              <c:strCache>
                <c:ptCount val="1"/>
                <c:pt idx="0">
                  <c:v>2018年覆膜</c:v>
                </c:pt>
              </c:strCache>
            </c:strRef>
          </c:tx>
          <c:spPr>
            <a:ln w="7620" cap="rnd">
              <a:solidFill>
                <a:srgbClr val="C00000"/>
              </a:solidFill>
              <a:round/>
            </a:ln>
            <a:effectLst/>
          </c:spPr>
          <c:marker>
            <c:symbol val="square"/>
            <c:size val="4"/>
            <c:spPr>
              <a:no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苗期2019不覆膜'!$C$3:$C$27</c:f>
              <c:numCache>
                <c:formatCode>General</c:formatCode>
                <c:ptCount val="25"/>
                <c:pt idx="0">
                  <c:v>0</c:v>
                </c:pt>
              </c:numCache>
            </c:numRef>
          </c:val>
          <c:smooth val="0"/>
        </c:ser>
        <c:dLbls>
          <c:showLegendKey val="0"/>
          <c:showVal val="0"/>
          <c:showCatName val="0"/>
          <c:showSerName val="0"/>
          <c:showPercent val="0"/>
          <c:showBubbleSize val="0"/>
        </c:dLbls>
        <c:marker val="1"/>
        <c:smooth val="0"/>
        <c:axId val="188892480"/>
        <c:axId val="188888320"/>
      </c:lineChart>
      <c:lineChart>
        <c:grouping val="standard"/>
        <c:varyColors val="0"/>
        <c:ser>
          <c:idx val="2"/>
          <c:order val="2"/>
          <c:tx>
            <c:strRef>
              <c:f>'图4 苗期2019不覆膜'!$D$1:$D$2</c:f>
              <c:strCache>
                <c:ptCount val="1"/>
                <c:pt idx="0">
                  <c:v>2020年覆膜</c:v>
                </c:pt>
              </c:strCache>
            </c:strRef>
          </c:tx>
          <c:spPr>
            <a:ln w="6350" cap="rnd">
              <a:solidFill>
                <a:srgbClr val="0000FF"/>
              </a:solidFill>
              <a:round/>
            </a:ln>
            <a:effectLst/>
          </c:spPr>
          <c:marker>
            <c:symbol val="circle"/>
            <c:size val="3"/>
            <c:spPr>
              <a:solidFill>
                <a:srgbClr val="0000FF"/>
              </a:solidFill>
              <a:ln w="7620">
                <a:solidFill>
                  <a:srgbClr val="0000FF"/>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苗期2019不覆膜'!$D$3:$D$27</c:f>
              <c:numCache>
                <c:formatCode>General</c:formatCode>
                <c:ptCount val="25"/>
                <c:pt idx="0">
                  <c:v>0</c:v>
                </c:pt>
                <c:pt idx="1" c:formatCode="0.00">
                  <c:v>-0.23257</c:v>
                </c:pt>
                <c:pt idx="2" c:formatCode="0.00">
                  <c:v>-0.0723</c:v>
                </c:pt>
                <c:pt idx="3" c:formatCode="0.00">
                  <c:v>-0.09947</c:v>
                </c:pt>
                <c:pt idx="4" c:formatCode="0.00">
                  <c:v>-0.0982</c:v>
                </c:pt>
                <c:pt idx="5" c:formatCode="0.00">
                  <c:v>-0.07425</c:v>
                </c:pt>
                <c:pt idx="6" c:formatCode="0.00">
                  <c:v>-0.06893</c:v>
                </c:pt>
                <c:pt idx="7" c:formatCode="0.00">
                  <c:v>-0.09459</c:v>
                </c:pt>
                <c:pt idx="8" c:formatCode="0.00">
                  <c:v>-0.07265</c:v>
                </c:pt>
                <c:pt idx="9" c:formatCode="0.00">
                  <c:v>-0.01635</c:v>
                </c:pt>
                <c:pt idx="10" c:formatCode="0.00">
                  <c:v>-0.07117</c:v>
                </c:pt>
                <c:pt idx="11" c:formatCode="0.00">
                  <c:v>-0.04668</c:v>
                </c:pt>
                <c:pt idx="12" c:formatCode="0.00">
                  <c:v>-0.03186</c:v>
                </c:pt>
                <c:pt idx="13" c:formatCode="0.00">
                  <c:v>-0.02946</c:v>
                </c:pt>
                <c:pt idx="14" c:formatCode="0.00">
                  <c:v>-0.000785603</c:v>
                </c:pt>
                <c:pt idx="15" c:formatCode="0.00">
                  <c:v>0.01757</c:v>
                </c:pt>
                <c:pt idx="16" c:formatCode="0.00">
                  <c:v>0.01861</c:v>
                </c:pt>
                <c:pt idx="17" c:formatCode="0.00">
                  <c:v>0.03192</c:v>
                </c:pt>
                <c:pt idx="18" c:formatCode="0.00">
                  <c:v>0.0237</c:v>
                </c:pt>
                <c:pt idx="19" c:formatCode="0.00">
                  <c:v>0.02486</c:v>
                </c:pt>
                <c:pt idx="20" c:formatCode="0.00">
                  <c:v>0.02076</c:v>
                </c:pt>
                <c:pt idx="21" c:formatCode="0.00">
                  <c:v>0.02964</c:v>
                </c:pt>
                <c:pt idx="22" c:formatCode="0.00">
                  <c:v>0.02336</c:v>
                </c:pt>
                <c:pt idx="23" c:formatCode="0.00">
                  <c:v>0.02455</c:v>
                </c:pt>
                <c:pt idx="24" c:formatCode="0.00">
                  <c:v>0.06848</c:v>
                </c:pt>
              </c:numCache>
            </c:numRef>
          </c:val>
          <c:smooth val="0"/>
        </c:ser>
        <c:dLbls>
          <c:showLegendKey val="0"/>
          <c:showVal val="0"/>
          <c:showCatName val="0"/>
          <c:showSerName val="0"/>
          <c:showPercent val="0"/>
          <c:showBubbleSize val="0"/>
        </c:dLbls>
        <c:marker val="1"/>
        <c:smooth val="0"/>
        <c:axId val="804323280"/>
        <c:axId val="804327856"/>
      </c:lineChart>
      <c:catAx>
        <c:axId val="188892480"/>
        <c:scaling>
          <c:orientation val="minMax"/>
        </c:scaling>
        <c:delete val="0"/>
        <c:axPos val="b"/>
        <c:title>
          <c:tx>
            <c:rich>
              <a:bodyPr rot="0" spcFirstLastPara="1" vertOverflow="ellipsis" vert="horz" wrap="square" anchor="ctr" anchorCtr="1"/>
              <a:lstStyle/>
              <a:p>
                <a:pPr>
                  <a:defRPr lang="zh-CN" sz="450" b="0" i="0" u="none" strike="noStrike" kern="1200" baseline="0">
                    <a:solidFill>
                      <a:schemeClr val="tx1">
                        <a:lumMod val="65000"/>
                        <a:lumOff val="35000"/>
                      </a:schemeClr>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时间</a:t>
                </a:r>
                <a:endParaRPr lang="zh-CN" altLang="en-US" sz="450">
                  <a:solidFill>
                    <a:sysClr val="windowText" lastClr="000000"/>
                  </a:solidFill>
                  <a:latin typeface="宋体" panose="02010600030101010101" charset="-122"/>
                  <a:ea typeface="宋体" panose="02010600030101010101" charset="-122"/>
                </a:endParaRPr>
              </a:p>
            </c:rich>
          </c:tx>
          <c:layout>
            <c:manualLayout>
              <c:xMode val="edge"/>
              <c:yMode val="edge"/>
              <c:x val="0.507300579925191"/>
              <c:y val="0.894969041260679"/>
            </c:manualLayout>
          </c:layout>
          <c:overlay val="0"/>
          <c:spPr>
            <a:noFill/>
            <a:ln>
              <a:noFill/>
            </a:ln>
            <a:effectLst/>
          </c:spPr>
        </c:title>
        <c:numFmt formatCode="h:mm" sourceLinked="1"/>
        <c:majorTickMark val="in"/>
        <c:minorTickMark val="none"/>
        <c:tickLblPos val="low"/>
        <c:spPr>
          <a:noFill/>
          <a:ln w="5080" cap="flat" cmpd="sng" algn="ctr">
            <a:solidFill>
              <a:schemeClr val="tx1"/>
            </a:solidFill>
            <a:round/>
          </a:ln>
          <a:effectLst/>
        </c:spPr>
        <c:txPr>
          <a:bodyPr rot="0" spcFirstLastPara="1" vertOverflow="ellipsis" vert="horz" wrap="square" anchor="ctr" anchorCtr="0"/>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88320"/>
        <c:crossesAt val="-0.7"/>
        <c:auto val="0"/>
        <c:lblAlgn val="ctr"/>
        <c:lblOffset val="150"/>
        <c:tickMarkSkip val="4"/>
        <c:noMultiLvlLbl val="0"/>
      </c:catAx>
      <c:valAx>
        <c:axId val="188888320"/>
        <c:scaling>
          <c:orientation val="minMax"/>
          <c:max val="0.2"/>
          <c:min val="-0.7"/>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lang="zh-CN" sz="450" b="0" i="0" u="none" strike="noStrike" kern="1200" baseline="0">
                    <a:solidFill>
                      <a:sysClr val="windowText" lastClr="000000"/>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凝结水量</a:t>
                </a:r>
                <a:r>
                  <a:rPr lang="en-US" altLang="zh-CN" sz="450">
                    <a:solidFill>
                      <a:sysClr val="windowText" lastClr="000000"/>
                    </a:solidFill>
                    <a:latin typeface="宋体" panose="02010600030101010101" charset="-122"/>
                    <a:ea typeface="宋体" panose="02010600030101010101" charset="-122"/>
                  </a:rPr>
                  <a:t>/</a:t>
                </a:r>
                <a:r>
                  <a:rPr lang="en-US" altLang="zh-CN" sz="4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450">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0421168284197034"/>
              <c:y val="0.30894845468105"/>
            </c:manualLayout>
          </c:layout>
          <c:overlay val="0"/>
          <c:spPr>
            <a:noFill/>
            <a:ln>
              <a:noFill/>
            </a:ln>
            <a:effectLst/>
          </c:spPr>
        </c:title>
        <c:numFmt formatCode="General" sourceLinked="0"/>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92480"/>
        <c:crosses val="autoZero"/>
        <c:crossBetween val="midCat"/>
        <c:majorUnit val="0.1"/>
        <c:minorUnit val="0.1"/>
      </c:valAx>
      <c:catAx>
        <c:axId val="804323280"/>
        <c:scaling>
          <c:orientation val="minMax"/>
        </c:scaling>
        <c:delete val="1"/>
        <c:axPos val="b"/>
        <c:numFmt formatCode="h:mm"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7856"/>
        <c:crossesAt val="0"/>
        <c:auto val="1"/>
        <c:lblAlgn val="ctr"/>
        <c:lblOffset val="100"/>
        <c:noMultiLvlLbl val="0"/>
      </c:catAx>
      <c:valAx>
        <c:axId val="804327856"/>
        <c:scaling>
          <c:orientation val="minMax"/>
        </c:scaling>
        <c:delete val="0"/>
        <c:axPos val="l"/>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3280"/>
        <c:crossesAt val="1"/>
        <c:crossBetween val="midCat"/>
      </c:valAx>
      <c:spPr>
        <a:noFill/>
        <a:ln w="5080">
          <a:noFill/>
        </a:ln>
        <a:effectLst/>
      </c:spPr>
    </c:plotArea>
    <c:legend>
      <c:legendPos val="b"/>
      <c:legendEntry>
        <c:idx val="0"/>
        <c:delete val="1"/>
      </c:legendEntry>
      <c:legendEntry>
        <c:idx val="1"/>
        <c:delete val="1"/>
      </c:legendEntry>
      <c:layout>
        <c:manualLayout>
          <c:xMode val="edge"/>
          <c:yMode val="edge"/>
          <c:x val="0.386652106442899"/>
          <c:y val="0.652354734420704"/>
          <c:w val="0.528480947180872"/>
          <c:h val="0.0984176534366007"/>
        </c:manualLayout>
      </c:layout>
      <c:overlay val="0"/>
      <c:spPr>
        <a:noFill/>
        <a:ln>
          <a:noFill/>
        </a:ln>
        <a:effectLst/>
      </c:spPr>
      <c:txPr>
        <a:bodyPr rot="0" spcFirstLastPara="1" vertOverflow="ellipsis" vert="horz" wrap="square" anchor="ctr" anchorCtr="1"/>
        <a:lstStyle/>
        <a:p>
          <a:pPr>
            <a:defRPr lang="zh-CN" sz="4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e78674ce-efd3-4c3d-a8ac-287763a74f5b}"/>
      </c:ext>
    </c:extLst>
  </c:chart>
  <c:spPr>
    <a:solidFill>
      <a:schemeClr val="bg1"/>
    </a:solidFill>
    <a:ln w="5080" cap="flat" cmpd="sng" algn="ctr">
      <a:noFill/>
      <a:round/>
    </a:ln>
    <a:effectLst/>
  </c:spPr>
  <c:txPr>
    <a:bodyPr/>
    <a:lstStyle/>
    <a:p>
      <a:pPr>
        <a:defRPr lang="zh-CN"/>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5790848724555"/>
          <c:y val="0.112715294542337"/>
          <c:w val="0.706885836350748"/>
          <c:h val="0.675866315168754"/>
        </c:manualLayout>
      </c:layout>
      <c:lineChart>
        <c:grouping val="standard"/>
        <c:varyColors val="0"/>
        <c:ser>
          <c:idx val="0"/>
          <c:order val="0"/>
          <c:tx>
            <c:strRef>
              <c:f>'图4 苗期2019不覆膜'!$B$1:$B$2</c:f>
              <c:strCache>
                <c:ptCount val="1"/>
                <c:pt idx="0">
                  <c:v>2018年不覆膜</c:v>
                </c:pt>
              </c:strCache>
            </c:strRef>
          </c:tx>
          <c:spPr>
            <a:ln w="7620" cap="rnd">
              <a:solidFill>
                <a:srgbClr val="00FF00"/>
              </a:solidFill>
              <a:round/>
            </a:ln>
            <a:effectLst/>
          </c:spPr>
          <c:marker>
            <c:symbol val="triangle"/>
            <c:size val="4"/>
            <c:spPr>
              <a:noFill/>
              <a:ln w="7620">
                <a:solidFill>
                  <a:srgbClr val="00FF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苗期2019不覆膜'!$B$3:$B$27</c:f>
              <c:numCache>
                <c:formatCode>General</c:formatCode>
                <c:ptCount val="25"/>
                <c:pt idx="0">
                  <c:v>0</c:v>
                </c:pt>
              </c:numCache>
            </c:numRef>
          </c:val>
          <c:smooth val="0"/>
        </c:ser>
        <c:ser>
          <c:idx val="1"/>
          <c:order val="1"/>
          <c:tx>
            <c:strRef>
              <c:f>'图4 苗期2019不覆膜'!$C$1:$C$2</c:f>
              <c:strCache>
                <c:ptCount val="1"/>
                <c:pt idx="0">
                  <c:v>2018年覆膜</c:v>
                </c:pt>
              </c:strCache>
            </c:strRef>
          </c:tx>
          <c:spPr>
            <a:ln w="7620" cap="rnd">
              <a:solidFill>
                <a:srgbClr val="C00000"/>
              </a:solidFill>
              <a:round/>
            </a:ln>
            <a:effectLst/>
          </c:spPr>
          <c:marker>
            <c:symbol val="square"/>
            <c:size val="4"/>
            <c:spPr>
              <a:no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苗期2019不覆膜'!$C$3:$C$27</c:f>
              <c:numCache>
                <c:formatCode>General</c:formatCode>
                <c:ptCount val="25"/>
                <c:pt idx="0">
                  <c:v>0</c:v>
                </c:pt>
              </c:numCache>
            </c:numRef>
          </c:val>
          <c:smooth val="0"/>
        </c:ser>
        <c:dLbls>
          <c:showLegendKey val="0"/>
          <c:showVal val="0"/>
          <c:showCatName val="0"/>
          <c:showSerName val="0"/>
          <c:showPercent val="0"/>
          <c:showBubbleSize val="0"/>
        </c:dLbls>
        <c:marker val="1"/>
        <c:smooth val="0"/>
        <c:axId val="188892480"/>
        <c:axId val="188888320"/>
      </c:lineChart>
      <c:lineChart>
        <c:grouping val="standard"/>
        <c:varyColors val="0"/>
        <c:ser>
          <c:idx val="2"/>
          <c:order val="2"/>
          <c:tx>
            <c:strRef>
              <c:f>'图4 苗期2019不覆膜'!$D$1:$D$2</c:f>
              <c:strCache>
                <c:ptCount val="1"/>
                <c:pt idx="0">
                  <c:v>2019年不覆膜</c:v>
                </c:pt>
              </c:strCache>
            </c:strRef>
          </c:tx>
          <c:spPr>
            <a:ln w="6350" cap="rnd">
              <a:solidFill>
                <a:srgbClr val="C00000"/>
              </a:solidFill>
              <a:round/>
            </a:ln>
            <a:effectLst/>
          </c:spPr>
          <c:marker>
            <c:symbol val="circle"/>
            <c:size val="3"/>
            <c:spPr>
              <a:no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苗期2019不覆膜'!$D$3:$D$27</c:f>
              <c:numCache>
                <c:formatCode>General</c:formatCode>
                <c:ptCount val="25"/>
                <c:pt idx="0">
                  <c:v>0</c:v>
                </c:pt>
                <c:pt idx="1" c:formatCode="0.00">
                  <c:v>-0.16</c:v>
                </c:pt>
                <c:pt idx="2" c:formatCode="0.00">
                  <c:v>-0.26</c:v>
                </c:pt>
                <c:pt idx="3" c:formatCode="0.00">
                  <c:v>-0.3</c:v>
                </c:pt>
                <c:pt idx="4" c:formatCode="0.00">
                  <c:v>-0.29</c:v>
                </c:pt>
                <c:pt idx="5" c:formatCode="0.00">
                  <c:v>-0.29</c:v>
                </c:pt>
                <c:pt idx="6" c:formatCode="0.00">
                  <c:v>-0.27</c:v>
                </c:pt>
                <c:pt idx="7" c:formatCode="0.00">
                  <c:v>-0.28</c:v>
                </c:pt>
                <c:pt idx="8" c:formatCode="0.00">
                  <c:v>-0.26</c:v>
                </c:pt>
                <c:pt idx="9" c:formatCode="0.00">
                  <c:v>-0.22</c:v>
                </c:pt>
                <c:pt idx="10" c:formatCode="0.00">
                  <c:v>-0.43</c:v>
                </c:pt>
                <c:pt idx="11" c:formatCode="0.00">
                  <c:v>-0.12</c:v>
                </c:pt>
                <c:pt idx="12" c:formatCode="0.00">
                  <c:v>-0.1</c:v>
                </c:pt>
                <c:pt idx="13" c:formatCode="0.00">
                  <c:v>-0.35</c:v>
                </c:pt>
                <c:pt idx="14" c:formatCode="0.00">
                  <c:v>0</c:v>
                </c:pt>
                <c:pt idx="15" c:formatCode="0.00">
                  <c:v>-0.01</c:v>
                </c:pt>
                <c:pt idx="16" c:formatCode="0.00">
                  <c:v>0.02</c:v>
                </c:pt>
                <c:pt idx="17" c:formatCode="0.00">
                  <c:v>0.03</c:v>
                </c:pt>
                <c:pt idx="18" c:formatCode="0.00">
                  <c:v>0.02</c:v>
                </c:pt>
                <c:pt idx="19" c:formatCode="0.00">
                  <c:v>0.05</c:v>
                </c:pt>
                <c:pt idx="20" c:formatCode="0.00">
                  <c:v>0.04</c:v>
                </c:pt>
                <c:pt idx="21" c:formatCode="0.00">
                  <c:v>0.07</c:v>
                </c:pt>
                <c:pt idx="22" c:formatCode="0.00">
                  <c:v>0.04</c:v>
                </c:pt>
                <c:pt idx="23" c:formatCode="0.00">
                  <c:v>-0.04</c:v>
                </c:pt>
                <c:pt idx="24" c:formatCode="0.00">
                  <c:v>-0.09</c:v>
                </c:pt>
              </c:numCache>
            </c:numRef>
          </c:val>
          <c:smooth val="0"/>
        </c:ser>
        <c:dLbls>
          <c:showLegendKey val="0"/>
          <c:showVal val="0"/>
          <c:showCatName val="0"/>
          <c:showSerName val="0"/>
          <c:showPercent val="0"/>
          <c:showBubbleSize val="0"/>
        </c:dLbls>
        <c:marker val="1"/>
        <c:smooth val="0"/>
        <c:axId val="804323280"/>
        <c:axId val="804327856"/>
      </c:lineChart>
      <c:catAx>
        <c:axId val="188892480"/>
        <c:scaling>
          <c:orientation val="minMax"/>
        </c:scaling>
        <c:delete val="0"/>
        <c:axPos val="b"/>
        <c:title>
          <c:tx>
            <c:rich>
              <a:bodyPr rot="0" spcFirstLastPara="1" vertOverflow="ellipsis" vert="horz" wrap="square" anchor="ctr" anchorCtr="1"/>
              <a:lstStyle/>
              <a:p>
                <a:pPr>
                  <a:defRPr lang="zh-CN" sz="450" b="0" i="0" u="none" strike="noStrike" kern="1200" baseline="0">
                    <a:solidFill>
                      <a:schemeClr val="tx1">
                        <a:lumMod val="65000"/>
                        <a:lumOff val="35000"/>
                      </a:schemeClr>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时间</a:t>
                </a:r>
                <a:endParaRPr lang="zh-CN" altLang="en-US" sz="450">
                  <a:solidFill>
                    <a:sysClr val="windowText" lastClr="000000"/>
                  </a:solidFill>
                  <a:latin typeface="宋体" panose="02010600030101010101" charset="-122"/>
                  <a:ea typeface="宋体" panose="02010600030101010101" charset="-122"/>
                </a:endParaRPr>
              </a:p>
            </c:rich>
          </c:tx>
          <c:layout>
            <c:manualLayout>
              <c:xMode val="edge"/>
              <c:yMode val="edge"/>
              <c:x val="0.507300579925191"/>
              <c:y val="0.894969041260679"/>
            </c:manualLayout>
          </c:layout>
          <c:overlay val="0"/>
          <c:spPr>
            <a:noFill/>
            <a:ln>
              <a:noFill/>
            </a:ln>
            <a:effectLst/>
          </c:spPr>
        </c:title>
        <c:numFmt formatCode="h:mm" sourceLinked="1"/>
        <c:majorTickMark val="in"/>
        <c:minorTickMark val="none"/>
        <c:tickLblPos val="low"/>
        <c:spPr>
          <a:noFill/>
          <a:ln w="5080" cap="flat" cmpd="sng" algn="ctr">
            <a:solidFill>
              <a:schemeClr val="tx1"/>
            </a:solidFill>
            <a:round/>
          </a:ln>
          <a:effectLst/>
        </c:spPr>
        <c:txPr>
          <a:bodyPr rot="0" spcFirstLastPara="1" vertOverflow="ellipsis" vert="horz" wrap="square" anchor="ctr" anchorCtr="0"/>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88320"/>
        <c:crossesAt val="-0.7"/>
        <c:auto val="0"/>
        <c:lblAlgn val="ctr"/>
        <c:lblOffset val="150"/>
        <c:tickMarkSkip val="4"/>
        <c:noMultiLvlLbl val="0"/>
      </c:catAx>
      <c:valAx>
        <c:axId val="188888320"/>
        <c:scaling>
          <c:orientation val="minMax"/>
          <c:max val="0.2"/>
          <c:min val="-0.7"/>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lang="zh-CN" sz="450" b="0" i="0" u="none" strike="noStrike" kern="1200" baseline="0">
                    <a:solidFill>
                      <a:sysClr val="windowText" lastClr="000000"/>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凝结水量</a:t>
                </a:r>
                <a:r>
                  <a:rPr lang="en-US" altLang="zh-CN" sz="450">
                    <a:solidFill>
                      <a:sysClr val="windowText" lastClr="000000"/>
                    </a:solidFill>
                    <a:latin typeface="宋体" panose="02010600030101010101" charset="-122"/>
                    <a:ea typeface="宋体" panose="02010600030101010101" charset="-122"/>
                  </a:rPr>
                  <a:t>/</a:t>
                </a:r>
                <a:r>
                  <a:rPr lang="en-US" altLang="zh-CN" sz="4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450">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0421168284197034"/>
              <c:y val="0.30894845468105"/>
            </c:manualLayout>
          </c:layout>
          <c:overlay val="0"/>
          <c:spPr>
            <a:noFill/>
            <a:ln>
              <a:noFill/>
            </a:ln>
            <a:effectLst/>
          </c:spPr>
        </c:title>
        <c:numFmt formatCode="General" sourceLinked="0"/>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92480"/>
        <c:crosses val="autoZero"/>
        <c:crossBetween val="midCat"/>
        <c:majorUnit val="0.1"/>
        <c:minorUnit val="0.1"/>
      </c:valAx>
      <c:catAx>
        <c:axId val="804323280"/>
        <c:scaling>
          <c:orientation val="minMax"/>
        </c:scaling>
        <c:delete val="1"/>
        <c:axPos val="b"/>
        <c:numFmt formatCode="h:mm"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7856"/>
        <c:crossesAt val="0"/>
        <c:auto val="1"/>
        <c:lblAlgn val="ctr"/>
        <c:lblOffset val="100"/>
        <c:noMultiLvlLbl val="0"/>
      </c:catAx>
      <c:valAx>
        <c:axId val="804327856"/>
        <c:scaling>
          <c:orientation val="minMax"/>
        </c:scaling>
        <c:delete val="0"/>
        <c:axPos val="l"/>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3280"/>
        <c:crossesAt val="1"/>
        <c:crossBetween val="midCat"/>
      </c:valAx>
      <c:spPr>
        <a:noFill/>
        <a:ln w="5080">
          <a:noFill/>
        </a:ln>
        <a:effectLst/>
      </c:spPr>
    </c:plotArea>
    <c:legend>
      <c:legendPos val="b"/>
      <c:legendEntry>
        <c:idx val="0"/>
        <c:delete val="1"/>
      </c:legendEntry>
      <c:legendEntry>
        <c:idx val="1"/>
        <c:delete val="1"/>
      </c:legendEntry>
      <c:layout>
        <c:manualLayout>
          <c:xMode val="edge"/>
          <c:yMode val="edge"/>
          <c:x val="0.357455026150928"/>
          <c:y val="0.652354734420704"/>
          <c:w val="0.557678027472843"/>
          <c:h val="0.0984176534366007"/>
        </c:manualLayout>
      </c:layout>
      <c:overlay val="0"/>
      <c:spPr>
        <a:noFill/>
        <a:ln>
          <a:noFill/>
        </a:ln>
        <a:effectLst/>
      </c:spPr>
      <c:txPr>
        <a:bodyPr rot="0" spcFirstLastPara="1" vertOverflow="ellipsis" vert="horz" wrap="square" anchor="ctr" anchorCtr="1"/>
        <a:lstStyle/>
        <a:p>
          <a:pPr>
            <a:defRPr lang="zh-CN" sz="4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b1f941fd-1904-45d5-8aef-dbe786d1f435}"/>
      </c:ext>
    </c:extLst>
  </c:chart>
  <c:spPr>
    <a:solidFill>
      <a:schemeClr val="bg1"/>
    </a:solidFill>
    <a:ln w="5080" cap="flat" cmpd="sng" algn="ctr">
      <a:noFill/>
      <a:round/>
    </a:ln>
    <a:effectLst/>
  </c:spPr>
  <c:txPr>
    <a:bodyPr/>
    <a:lstStyle/>
    <a:p>
      <a:pPr>
        <a:defRPr lang="zh-CN"/>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5790848724555"/>
          <c:y val="0.112715294542337"/>
          <c:w val="0.706885836350748"/>
          <c:h val="0.675866315168754"/>
        </c:manualLayout>
      </c:layout>
      <c:lineChart>
        <c:grouping val="standard"/>
        <c:varyColors val="0"/>
        <c:ser>
          <c:idx val="0"/>
          <c:order val="0"/>
          <c:tx>
            <c:strRef>
              <c:f>'图4 苗期2019不覆膜'!$B$1:$B$2</c:f>
              <c:strCache>
                <c:ptCount val="1"/>
                <c:pt idx="0">
                  <c:v>2018年不覆膜</c:v>
                </c:pt>
              </c:strCache>
            </c:strRef>
          </c:tx>
          <c:spPr>
            <a:ln w="7620" cap="rnd">
              <a:solidFill>
                <a:srgbClr val="00FF00"/>
              </a:solidFill>
              <a:round/>
            </a:ln>
            <a:effectLst/>
          </c:spPr>
          <c:marker>
            <c:symbol val="triangle"/>
            <c:size val="4"/>
            <c:spPr>
              <a:noFill/>
              <a:ln w="7620">
                <a:solidFill>
                  <a:srgbClr val="00FF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苗期2019不覆膜'!$B$3:$B$27</c:f>
              <c:numCache>
                <c:formatCode>General</c:formatCode>
                <c:ptCount val="25"/>
                <c:pt idx="0">
                  <c:v>0</c:v>
                </c:pt>
              </c:numCache>
            </c:numRef>
          </c:val>
          <c:smooth val="0"/>
        </c:ser>
        <c:ser>
          <c:idx val="1"/>
          <c:order val="1"/>
          <c:tx>
            <c:strRef>
              <c:f>'图4 苗期2019不覆膜'!$C$1:$C$2</c:f>
              <c:strCache>
                <c:ptCount val="1"/>
                <c:pt idx="0">
                  <c:v>2018年覆膜</c:v>
                </c:pt>
              </c:strCache>
            </c:strRef>
          </c:tx>
          <c:spPr>
            <a:ln w="7620" cap="rnd">
              <a:solidFill>
                <a:srgbClr val="C00000"/>
              </a:solidFill>
              <a:round/>
            </a:ln>
            <a:effectLst/>
          </c:spPr>
          <c:marker>
            <c:symbol val="square"/>
            <c:size val="4"/>
            <c:spPr>
              <a:no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苗期2019不覆膜'!$C$3:$C$27</c:f>
              <c:numCache>
                <c:formatCode>General</c:formatCode>
                <c:ptCount val="25"/>
                <c:pt idx="0">
                  <c:v>0</c:v>
                </c:pt>
              </c:numCache>
            </c:numRef>
          </c:val>
          <c:smooth val="0"/>
        </c:ser>
        <c:dLbls>
          <c:showLegendKey val="0"/>
          <c:showVal val="0"/>
          <c:showCatName val="0"/>
          <c:showSerName val="0"/>
          <c:showPercent val="0"/>
          <c:showBubbleSize val="0"/>
        </c:dLbls>
        <c:marker val="1"/>
        <c:smooth val="0"/>
        <c:axId val="188892480"/>
        <c:axId val="188888320"/>
      </c:lineChart>
      <c:lineChart>
        <c:grouping val="standard"/>
        <c:varyColors val="0"/>
        <c:ser>
          <c:idx val="2"/>
          <c:order val="2"/>
          <c:tx>
            <c:strRef>
              <c:f>'图4 苗期2019不覆膜'!$D$1:$D$2</c:f>
              <c:strCache>
                <c:ptCount val="1"/>
                <c:pt idx="0">
                  <c:v>2019年覆膜</c:v>
                </c:pt>
              </c:strCache>
            </c:strRef>
          </c:tx>
          <c:spPr>
            <a:ln w="6350" cap="rnd">
              <a:solidFill>
                <a:srgbClr val="C00000"/>
              </a:solidFill>
              <a:round/>
            </a:ln>
            <a:effectLst/>
          </c:spPr>
          <c:marker>
            <c:symbol val="circle"/>
            <c:size val="3"/>
            <c:spPr>
              <a:solidFill>
                <a:srgbClr val="C00000"/>
              </a:solid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苗期2019不覆膜'!$D$3:$D$27</c:f>
              <c:numCache>
                <c:formatCode>General</c:formatCode>
                <c:ptCount val="25"/>
                <c:pt idx="0">
                  <c:v>0</c:v>
                </c:pt>
                <c:pt idx="1" c:formatCode="0.00">
                  <c:v>-0.16282</c:v>
                </c:pt>
                <c:pt idx="2" c:formatCode="0.00">
                  <c:v>-0.26073</c:v>
                </c:pt>
                <c:pt idx="3" c:formatCode="0.00">
                  <c:v>-0.30262</c:v>
                </c:pt>
                <c:pt idx="4" c:formatCode="0.00">
                  <c:v>-0.28537</c:v>
                </c:pt>
                <c:pt idx="5" c:formatCode="0.00">
                  <c:v>-0.29261</c:v>
                </c:pt>
                <c:pt idx="6" c:formatCode="0.00">
                  <c:v>-0.27218</c:v>
                </c:pt>
                <c:pt idx="7" c:formatCode="0.00">
                  <c:v>-0.27778</c:v>
                </c:pt>
                <c:pt idx="8" c:formatCode="0.00">
                  <c:v>-0.25502</c:v>
                </c:pt>
                <c:pt idx="9" c:formatCode="0.00">
                  <c:v>-0.21787</c:v>
                </c:pt>
                <c:pt idx="10" c:formatCode="0.00">
                  <c:v>-0.42994</c:v>
                </c:pt>
                <c:pt idx="11" c:formatCode="0.00">
                  <c:v>-0.11838</c:v>
                </c:pt>
                <c:pt idx="12" c:formatCode="0.00">
                  <c:v>-0.09525</c:v>
                </c:pt>
                <c:pt idx="13" c:formatCode="0.00">
                  <c:v>-0.35449</c:v>
                </c:pt>
                <c:pt idx="14" c:formatCode="0.00">
                  <c:v>-0.00192</c:v>
                </c:pt>
                <c:pt idx="15" c:formatCode="0.00">
                  <c:v>-0.01003</c:v>
                </c:pt>
                <c:pt idx="16" c:formatCode="0.00">
                  <c:v>0.01571</c:v>
                </c:pt>
                <c:pt idx="17" c:formatCode="0.00">
                  <c:v>0.0254</c:v>
                </c:pt>
                <c:pt idx="18" c:formatCode="0.00">
                  <c:v>0.01727</c:v>
                </c:pt>
                <c:pt idx="19" c:formatCode="0.00">
                  <c:v>0.04502</c:v>
                </c:pt>
                <c:pt idx="20" c:formatCode="0.00">
                  <c:v>0.03634</c:v>
                </c:pt>
                <c:pt idx="21" c:formatCode="0.00">
                  <c:v>0.06822</c:v>
                </c:pt>
                <c:pt idx="22" c:formatCode="0.00">
                  <c:v>0.03844</c:v>
                </c:pt>
                <c:pt idx="23" c:formatCode="0.00">
                  <c:v>-0.03632</c:v>
                </c:pt>
                <c:pt idx="24" c:formatCode="0.00">
                  <c:v>-0.09403</c:v>
                </c:pt>
              </c:numCache>
            </c:numRef>
          </c:val>
          <c:smooth val="0"/>
        </c:ser>
        <c:dLbls>
          <c:showLegendKey val="0"/>
          <c:showVal val="0"/>
          <c:showCatName val="0"/>
          <c:showSerName val="0"/>
          <c:showPercent val="0"/>
          <c:showBubbleSize val="0"/>
        </c:dLbls>
        <c:marker val="1"/>
        <c:smooth val="0"/>
        <c:axId val="804323280"/>
        <c:axId val="804327856"/>
      </c:lineChart>
      <c:catAx>
        <c:axId val="188892480"/>
        <c:scaling>
          <c:orientation val="minMax"/>
        </c:scaling>
        <c:delete val="0"/>
        <c:axPos val="b"/>
        <c:title>
          <c:tx>
            <c:rich>
              <a:bodyPr rot="0" spcFirstLastPara="1" vertOverflow="ellipsis" vert="horz" wrap="square" anchor="ctr" anchorCtr="1"/>
              <a:lstStyle/>
              <a:p>
                <a:pPr>
                  <a:defRPr lang="zh-CN" sz="450" b="0" i="0" u="none" strike="noStrike" kern="1200" baseline="0">
                    <a:solidFill>
                      <a:schemeClr val="tx1">
                        <a:lumMod val="65000"/>
                        <a:lumOff val="35000"/>
                      </a:schemeClr>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时间</a:t>
                </a:r>
                <a:endParaRPr lang="zh-CN" altLang="en-US" sz="450">
                  <a:solidFill>
                    <a:sysClr val="windowText" lastClr="000000"/>
                  </a:solidFill>
                  <a:latin typeface="宋体" panose="02010600030101010101" charset="-122"/>
                  <a:ea typeface="宋体" panose="02010600030101010101" charset="-122"/>
                </a:endParaRPr>
              </a:p>
            </c:rich>
          </c:tx>
          <c:layout>
            <c:manualLayout>
              <c:xMode val="edge"/>
              <c:yMode val="edge"/>
              <c:x val="0.507300579925191"/>
              <c:y val="0.894969041260679"/>
            </c:manualLayout>
          </c:layout>
          <c:overlay val="0"/>
          <c:spPr>
            <a:noFill/>
            <a:ln>
              <a:noFill/>
            </a:ln>
            <a:effectLst/>
          </c:spPr>
        </c:title>
        <c:numFmt formatCode="h:mm" sourceLinked="1"/>
        <c:majorTickMark val="in"/>
        <c:minorTickMark val="none"/>
        <c:tickLblPos val="low"/>
        <c:spPr>
          <a:noFill/>
          <a:ln w="5080" cap="flat" cmpd="sng" algn="ctr">
            <a:solidFill>
              <a:schemeClr val="tx1"/>
            </a:solidFill>
            <a:round/>
          </a:ln>
          <a:effectLst/>
        </c:spPr>
        <c:txPr>
          <a:bodyPr rot="0" spcFirstLastPara="1" vertOverflow="ellipsis" vert="horz" wrap="square" anchor="ctr" anchorCtr="0"/>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88320"/>
        <c:crossesAt val="-0.7"/>
        <c:auto val="0"/>
        <c:lblAlgn val="ctr"/>
        <c:lblOffset val="150"/>
        <c:tickMarkSkip val="4"/>
        <c:noMultiLvlLbl val="0"/>
      </c:catAx>
      <c:valAx>
        <c:axId val="188888320"/>
        <c:scaling>
          <c:orientation val="minMax"/>
          <c:max val="0.2"/>
          <c:min val="-0.7"/>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lang="zh-CN" sz="450" b="0" i="0" u="none" strike="noStrike" kern="1200" baseline="0">
                    <a:solidFill>
                      <a:sysClr val="windowText" lastClr="000000"/>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凝结水量</a:t>
                </a:r>
                <a:r>
                  <a:rPr lang="en-US" altLang="zh-CN" sz="450">
                    <a:solidFill>
                      <a:sysClr val="windowText" lastClr="000000"/>
                    </a:solidFill>
                    <a:latin typeface="宋体" panose="02010600030101010101" charset="-122"/>
                    <a:ea typeface="宋体" panose="02010600030101010101" charset="-122"/>
                  </a:rPr>
                  <a:t>/</a:t>
                </a:r>
                <a:r>
                  <a:rPr lang="en-US" altLang="zh-CN" sz="4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450">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0421168284197034"/>
              <c:y val="0.30894845468105"/>
            </c:manualLayout>
          </c:layout>
          <c:overlay val="0"/>
          <c:spPr>
            <a:noFill/>
            <a:ln>
              <a:noFill/>
            </a:ln>
            <a:effectLst/>
          </c:spPr>
        </c:title>
        <c:numFmt formatCode="General" sourceLinked="0"/>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92480"/>
        <c:crosses val="autoZero"/>
        <c:crossBetween val="midCat"/>
        <c:majorUnit val="0.1"/>
        <c:minorUnit val="0.1"/>
      </c:valAx>
      <c:catAx>
        <c:axId val="804323280"/>
        <c:scaling>
          <c:orientation val="minMax"/>
        </c:scaling>
        <c:delete val="1"/>
        <c:axPos val="b"/>
        <c:numFmt formatCode="h:mm"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7856"/>
        <c:crossesAt val="0"/>
        <c:auto val="1"/>
        <c:lblAlgn val="ctr"/>
        <c:lblOffset val="100"/>
        <c:noMultiLvlLbl val="0"/>
      </c:catAx>
      <c:valAx>
        <c:axId val="804327856"/>
        <c:scaling>
          <c:orientation val="minMax"/>
        </c:scaling>
        <c:delete val="0"/>
        <c:axPos val="l"/>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3280"/>
        <c:crossesAt val="1"/>
        <c:crossBetween val="midCat"/>
      </c:valAx>
      <c:spPr>
        <a:noFill/>
        <a:ln w="5080">
          <a:noFill/>
        </a:ln>
        <a:effectLst/>
      </c:spPr>
    </c:plotArea>
    <c:legend>
      <c:legendPos val="b"/>
      <c:legendEntry>
        <c:idx val="0"/>
        <c:delete val="1"/>
      </c:legendEntry>
      <c:legendEntry>
        <c:idx val="1"/>
        <c:delete val="1"/>
      </c:legendEntry>
      <c:layout>
        <c:manualLayout>
          <c:xMode val="edge"/>
          <c:yMode val="edge"/>
          <c:x val="0.396384466540223"/>
          <c:y val="0.652354734420704"/>
          <c:w val="0.518748587083549"/>
          <c:h val="0.0984176534366007"/>
        </c:manualLayout>
      </c:layout>
      <c:overlay val="0"/>
      <c:spPr>
        <a:noFill/>
        <a:ln>
          <a:noFill/>
        </a:ln>
        <a:effectLst/>
      </c:spPr>
      <c:txPr>
        <a:bodyPr rot="0" spcFirstLastPara="1" vertOverflow="ellipsis" vert="horz" wrap="square" anchor="ctr" anchorCtr="1"/>
        <a:lstStyle/>
        <a:p>
          <a:pPr>
            <a:defRPr lang="zh-CN" sz="4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5d3952c3-a92c-45f7-bbc6-ce41e45bdb74}"/>
      </c:ext>
    </c:extLst>
  </c:chart>
  <c:spPr>
    <a:solidFill>
      <a:schemeClr val="bg1"/>
    </a:solidFill>
    <a:ln w="5080" cap="flat" cmpd="sng" algn="ctr">
      <a:noFill/>
      <a:round/>
    </a:ln>
    <a:effectLst/>
  </c:spPr>
  <c:txPr>
    <a:bodyPr/>
    <a:lstStyle/>
    <a:p>
      <a:pPr>
        <a:defRPr lang="zh-CN"/>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5790848724555"/>
          <c:y val="0.112715294542337"/>
          <c:w val="0.706885836350748"/>
          <c:h val="0.675866315168754"/>
        </c:manualLayout>
      </c:layout>
      <c:lineChart>
        <c:grouping val="standard"/>
        <c:varyColors val="0"/>
        <c:ser>
          <c:idx val="0"/>
          <c:order val="0"/>
          <c:tx>
            <c:strRef>
              <c:f>'图4 苗期2019不覆膜'!$B$1:$B$2</c:f>
              <c:strCache>
                <c:ptCount val="1"/>
                <c:pt idx="0">
                  <c:v>2018年不覆膜</c:v>
                </c:pt>
              </c:strCache>
            </c:strRef>
          </c:tx>
          <c:spPr>
            <a:ln w="7620" cap="rnd">
              <a:solidFill>
                <a:srgbClr val="00FF00"/>
              </a:solidFill>
              <a:round/>
            </a:ln>
            <a:effectLst/>
          </c:spPr>
          <c:marker>
            <c:symbol val="triangle"/>
            <c:size val="4"/>
            <c:spPr>
              <a:noFill/>
              <a:ln w="7620">
                <a:solidFill>
                  <a:srgbClr val="00FF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苗期2019不覆膜'!$B$3:$B$27</c:f>
              <c:numCache>
                <c:formatCode>General</c:formatCode>
                <c:ptCount val="25"/>
                <c:pt idx="0">
                  <c:v>0</c:v>
                </c:pt>
              </c:numCache>
            </c:numRef>
          </c:val>
          <c:smooth val="0"/>
        </c:ser>
        <c:ser>
          <c:idx val="1"/>
          <c:order val="1"/>
          <c:tx>
            <c:strRef>
              <c:f>'图4 苗期2019不覆膜'!$C$1:$C$2</c:f>
              <c:strCache>
                <c:ptCount val="1"/>
                <c:pt idx="0">
                  <c:v>2018年覆膜</c:v>
                </c:pt>
              </c:strCache>
            </c:strRef>
          </c:tx>
          <c:spPr>
            <a:ln w="7620" cap="rnd">
              <a:solidFill>
                <a:srgbClr val="C00000"/>
              </a:solidFill>
              <a:round/>
            </a:ln>
            <a:effectLst/>
          </c:spPr>
          <c:marker>
            <c:symbol val="square"/>
            <c:size val="4"/>
            <c:spPr>
              <a:no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苗期2019不覆膜'!$C$3:$C$27</c:f>
              <c:numCache>
                <c:formatCode>General</c:formatCode>
                <c:ptCount val="25"/>
                <c:pt idx="0">
                  <c:v>0</c:v>
                </c:pt>
              </c:numCache>
            </c:numRef>
          </c:val>
          <c:smooth val="0"/>
        </c:ser>
        <c:dLbls>
          <c:showLegendKey val="0"/>
          <c:showVal val="0"/>
          <c:showCatName val="0"/>
          <c:showSerName val="0"/>
          <c:showPercent val="0"/>
          <c:showBubbleSize val="0"/>
        </c:dLbls>
        <c:marker val="1"/>
        <c:smooth val="0"/>
        <c:axId val="188892480"/>
        <c:axId val="188888320"/>
      </c:lineChart>
      <c:lineChart>
        <c:grouping val="standard"/>
        <c:varyColors val="0"/>
        <c:ser>
          <c:idx val="2"/>
          <c:order val="2"/>
          <c:tx>
            <c:strRef>
              <c:f>'图4 苗期2019不覆膜'!$D$1:$D$2</c:f>
              <c:strCache>
                <c:ptCount val="1"/>
                <c:pt idx="0">
                  <c:v>2020年不覆膜</c:v>
                </c:pt>
              </c:strCache>
            </c:strRef>
          </c:tx>
          <c:spPr>
            <a:ln w="6350" cap="rnd">
              <a:solidFill>
                <a:srgbClr val="0000FF"/>
              </a:solidFill>
              <a:round/>
            </a:ln>
            <a:effectLst/>
          </c:spPr>
          <c:marker>
            <c:symbol val="circle"/>
            <c:size val="3"/>
            <c:spPr>
              <a:noFill/>
              <a:ln w="7620">
                <a:solidFill>
                  <a:srgbClr val="0000FF"/>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苗期2019不覆膜'!$D$3:$D$27</c:f>
              <c:numCache>
                <c:formatCode>General</c:formatCode>
                <c:ptCount val="25"/>
                <c:pt idx="0">
                  <c:v>0</c:v>
                </c:pt>
                <c:pt idx="1" c:formatCode="0.00">
                  <c:v>-0.12452</c:v>
                </c:pt>
                <c:pt idx="2" c:formatCode="0.00">
                  <c:v>-0.22445</c:v>
                </c:pt>
                <c:pt idx="3" c:formatCode="0.00">
                  <c:v>-0.2647</c:v>
                </c:pt>
                <c:pt idx="4" c:formatCode="0.00">
                  <c:v>-0.26837</c:v>
                </c:pt>
                <c:pt idx="5" c:formatCode="0.00">
                  <c:v>-0.2623</c:v>
                </c:pt>
                <c:pt idx="6" c:formatCode="0.00">
                  <c:v>-0.02041</c:v>
                </c:pt>
                <c:pt idx="7" c:formatCode="0.00">
                  <c:v>-0.32104</c:v>
                </c:pt>
                <c:pt idx="8" c:formatCode="0.00">
                  <c:v>-0.65953</c:v>
                </c:pt>
                <c:pt idx="9" c:formatCode="0.00">
                  <c:v>-0.54135</c:v>
                </c:pt>
                <c:pt idx="10" c:formatCode="0.00">
                  <c:v>-0.27082</c:v>
                </c:pt>
                <c:pt idx="11" c:formatCode="0.00">
                  <c:v>-0.62266</c:v>
                </c:pt>
                <c:pt idx="12" c:formatCode="0.00">
                  <c:v>-0.11063</c:v>
                </c:pt>
                <c:pt idx="13" c:formatCode="0.00">
                  <c:v>-0.02822</c:v>
                </c:pt>
                <c:pt idx="14" c:formatCode="0.00">
                  <c:v>-0.00143</c:v>
                </c:pt>
                <c:pt idx="15" c:formatCode="0.00">
                  <c:v>0.08871</c:v>
                </c:pt>
                <c:pt idx="16" c:formatCode="0.00">
                  <c:v>0.03091</c:v>
                </c:pt>
                <c:pt idx="17" c:formatCode="0.00">
                  <c:v>-0.0227</c:v>
                </c:pt>
                <c:pt idx="18" c:formatCode="0.00">
                  <c:v>0.0504</c:v>
                </c:pt>
                <c:pt idx="19" c:formatCode="0.00">
                  <c:v>-0.00652</c:v>
                </c:pt>
                <c:pt idx="20" c:formatCode="0.00">
                  <c:v>0.07806</c:v>
                </c:pt>
                <c:pt idx="21" c:formatCode="0.00">
                  <c:v>0.08939</c:v>
                </c:pt>
                <c:pt idx="22" c:formatCode="0.00">
                  <c:v>0.02714</c:v>
                </c:pt>
                <c:pt idx="23" c:formatCode="0.00">
                  <c:v>-0.03601</c:v>
                </c:pt>
                <c:pt idx="24" c:formatCode="0.00">
                  <c:v>-0.06551</c:v>
                </c:pt>
              </c:numCache>
            </c:numRef>
          </c:val>
          <c:smooth val="0"/>
        </c:ser>
        <c:dLbls>
          <c:showLegendKey val="0"/>
          <c:showVal val="0"/>
          <c:showCatName val="0"/>
          <c:showSerName val="0"/>
          <c:showPercent val="0"/>
          <c:showBubbleSize val="0"/>
        </c:dLbls>
        <c:marker val="1"/>
        <c:smooth val="0"/>
        <c:axId val="804323280"/>
        <c:axId val="804327856"/>
      </c:lineChart>
      <c:catAx>
        <c:axId val="188892480"/>
        <c:scaling>
          <c:orientation val="minMax"/>
        </c:scaling>
        <c:delete val="0"/>
        <c:axPos val="b"/>
        <c:title>
          <c:tx>
            <c:rich>
              <a:bodyPr rot="0" spcFirstLastPara="1" vertOverflow="ellipsis" vert="horz" wrap="square" anchor="ctr" anchorCtr="1"/>
              <a:lstStyle/>
              <a:p>
                <a:pPr>
                  <a:defRPr lang="zh-CN" sz="450" b="0" i="0" u="none" strike="noStrike" kern="1200" baseline="0">
                    <a:solidFill>
                      <a:schemeClr val="tx1">
                        <a:lumMod val="65000"/>
                        <a:lumOff val="35000"/>
                      </a:schemeClr>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时间</a:t>
                </a:r>
                <a:endParaRPr lang="zh-CN" altLang="en-US" sz="450">
                  <a:solidFill>
                    <a:sysClr val="windowText" lastClr="000000"/>
                  </a:solidFill>
                  <a:latin typeface="宋体" panose="02010600030101010101" charset="-122"/>
                  <a:ea typeface="宋体" panose="02010600030101010101" charset="-122"/>
                </a:endParaRPr>
              </a:p>
            </c:rich>
          </c:tx>
          <c:layout>
            <c:manualLayout>
              <c:xMode val="edge"/>
              <c:yMode val="edge"/>
              <c:x val="0.507300579925191"/>
              <c:y val="0.894969041260679"/>
            </c:manualLayout>
          </c:layout>
          <c:overlay val="0"/>
          <c:spPr>
            <a:noFill/>
            <a:ln>
              <a:noFill/>
            </a:ln>
            <a:effectLst/>
          </c:spPr>
        </c:title>
        <c:numFmt formatCode="h:mm" sourceLinked="1"/>
        <c:majorTickMark val="in"/>
        <c:minorTickMark val="none"/>
        <c:tickLblPos val="low"/>
        <c:spPr>
          <a:noFill/>
          <a:ln w="5080" cap="flat" cmpd="sng" algn="ctr">
            <a:solidFill>
              <a:schemeClr val="tx1"/>
            </a:solidFill>
            <a:round/>
          </a:ln>
          <a:effectLst/>
        </c:spPr>
        <c:txPr>
          <a:bodyPr rot="0" spcFirstLastPara="1" vertOverflow="ellipsis" vert="horz" wrap="square" anchor="ctr" anchorCtr="0"/>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88320"/>
        <c:crossesAt val="-0.7"/>
        <c:auto val="0"/>
        <c:lblAlgn val="ctr"/>
        <c:lblOffset val="150"/>
        <c:tickMarkSkip val="4"/>
        <c:noMultiLvlLbl val="0"/>
      </c:catAx>
      <c:valAx>
        <c:axId val="188888320"/>
        <c:scaling>
          <c:orientation val="minMax"/>
          <c:max val="0.2"/>
          <c:min val="-0.7"/>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lang="zh-CN" sz="450" b="0" i="0" u="none" strike="noStrike" kern="1200" baseline="0">
                    <a:solidFill>
                      <a:sysClr val="windowText" lastClr="000000"/>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凝结水量</a:t>
                </a:r>
                <a:r>
                  <a:rPr lang="en-US" altLang="zh-CN" sz="450">
                    <a:solidFill>
                      <a:sysClr val="windowText" lastClr="000000"/>
                    </a:solidFill>
                    <a:latin typeface="宋体" panose="02010600030101010101" charset="-122"/>
                    <a:ea typeface="宋体" panose="02010600030101010101" charset="-122"/>
                  </a:rPr>
                  <a:t>/</a:t>
                </a:r>
                <a:r>
                  <a:rPr lang="en-US" altLang="zh-CN" sz="4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450">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0421168284197034"/>
              <c:y val="0.30894845468105"/>
            </c:manualLayout>
          </c:layout>
          <c:overlay val="0"/>
          <c:spPr>
            <a:noFill/>
            <a:ln>
              <a:noFill/>
            </a:ln>
            <a:effectLst/>
          </c:spPr>
        </c:title>
        <c:numFmt formatCode="General" sourceLinked="0"/>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92480"/>
        <c:crosses val="autoZero"/>
        <c:crossBetween val="midCat"/>
        <c:majorUnit val="0.1"/>
        <c:minorUnit val="0.1"/>
      </c:valAx>
      <c:catAx>
        <c:axId val="804323280"/>
        <c:scaling>
          <c:orientation val="minMax"/>
        </c:scaling>
        <c:delete val="1"/>
        <c:axPos val="b"/>
        <c:numFmt formatCode="h:mm"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7856"/>
        <c:crossesAt val="0"/>
        <c:auto val="1"/>
        <c:lblAlgn val="ctr"/>
        <c:lblOffset val="100"/>
        <c:noMultiLvlLbl val="0"/>
      </c:catAx>
      <c:valAx>
        <c:axId val="804327856"/>
        <c:scaling>
          <c:orientation val="minMax"/>
        </c:scaling>
        <c:delete val="0"/>
        <c:axPos val="l"/>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3280"/>
        <c:crossesAt val="1"/>
        <c:crossBetween val="midCat"/>
      </c:valAx>
      <c:spPr>
        <a:noFill/>
        <a:ln w="5080">
          <a:noFill/>
        </a:ln>
        <a:effectLst/>
      </c:spPr>
    </c:plotArea>
    <c:legend>
      <c:legendPos val="b"/>
      <c:legendEntry>
        <c:idx val="0"/>
        <c:delete val="1"/>
      </c:legendEntry>
      <c:legendEntry>
        <c:idx val="1"/>
        <c:delete val="1"/>
      </c:legendEntry>
      <c:layout>
        <c:manualLayout>
          <c:xMode val="edge"/>
          <c:yMode val="edge"/>
          <c:x val="0.396384466540223"/>
          <c:y val="0.652354467252287"/>
          <c:w val="0.54794566737552"/>
          <c:h val="0.0984176534366007"/>
        </c:manualLayout>
      </c:layout>
      <c:overlay val="0"/>
      <c:spPr>
        <a:noFill/>
        <a:ln>
          <a:noFill/>
        </a:ln>
        <a:effectLst/>
      </c:spPr>
      <c:txPr>
        <a:bodyPr rot="0" spcFirstLastPara="1" vertOverflow="ellipsis" vert="horz" wrap="square" anchor="ctr" anchorCtr="1"/>
        <a:lstStyle/>
        <a:p>
          <a:pPr>
            <a:defRPr lang="zh-CN" sz="4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3c5c3a12-284d-468c-a8f0-40426e97aff0}"/>
      </c:ext>
    </c:extLst>
  </c:chart>
  <c:spPr>
    <a:solidFill>
      <a:schemeClr val="bg1"/>
    </a:solidFill>
    <a:ln w="5080" cap="flat" cmpd="sng" algn="ctr">
      <a:noFill/>
      <a:round/>
    </a:ln>
    <a:effectLst/>
  </c:spPr>
  <c:txPr>
    <a:bodyPr/>
    <a:lstStyle/>
    <a:p>
      <a:pPr>
        <a:defRPr lang="zh-CN"/>
      </a:pP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5790848724555"/>
          <c:y val="0.112715294542337"/>
          <c:w val="0.706885836350748"/>
          <c:h val="0.675866315168754"/>
        </c:manualLayout>
      </c:layout>
      <c:lineChart>
        <c:grouping val="standard"/>
        <c:varyColors val="0"/>
        <c:ser>
          <c:idx val="0"/>
          <c:order val="0"/>
          <c:tx>
            <c:strRef>
              <c:f>'图4 苗期2019不覆膜'!$B$1:$B$2</c:f>
              <c:strCache>
                <c:ptCount val="1"/>
                <c:pt idx="0">
                  <c:v>2018年不覆膜</c:v>
                </c:pt>
              </c:strCache>
            </c:strRef>
          </c:tx>
          <c:spPr>
            <a:ln w="7620" cap="rnd">
              <a:solidFill>
                <a:srgbClr val="00FF00"/>
              </a:solidFill>
              <a:round/>
            </a:ln>
            <a:effectLst/>
          </c:spPr>
          <c:marker>
            <c:symbol val="triangle"/>
            <c:size val="4"/>
            <c:spPr>
              <a:noFill/>
              <a:ln w="7620">
                <a:solidFill>
                  <a:srgbClr val="00FF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苗期2019不覆膜'!$B$3:$B$27</c:f>
              <c:numCache>
                <c:formatCode>General</c:formatCode>
                <c:ptCount val="25"/>
                <c:pt idx="0">
                  <c:v>0</c:v>
                </c:pt>
              </c:numCache>
            </c:numRef>
          </c:val>
          <c:smooth val="0"/>
        </c:ser>
        <c:ser>
          <c:idx val="1"/>
          <c:order val="1"/>
          <c:tx>
            <c:strRef>
              <c:f>'图4 苗期2019不覆膜'!$C$1:$C$2</c:f>
              <c:strCache>
                <c:ptCount val="1"/>
                <c:pt idx="0">
                  <c:v>2018年覆膜</c:v>
                </c:pt>
              </c:strCache>
            </c:strRef>
          </c:tx>
          <c:spPr>
            <a:ln w="7620" cap="rnd">
              <a:solidFill>
                <a:srgbClr val="C00000"/>
              </a:solidFill>
              <a:round/>
            </a:ln>
            <a:effectLst/>
          </c:spPr>
          <c:marker>
            <c:symbol val="square"/>
            <c:size val="4"/>
            <c:spPr>
              <a:no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苗期2019不覆膜'!$C$3:$C$27</c:f>
              <c:numCache>
                <c:formatCode>General</c:formatCode>
                <c:ptCount val="25"/>
                <c:pt idx="0">
                  <c:v>0</c:v>
                </c:pt>
              </c:numCache>
            </c:numRef>
          </c:val>
          <c:smooth val="0"/>
        </c:ser>
        <c:dLbls>
          <c:showLegendKey val="0"/>
          <c:showVal val="0"/>
          <c:showCatName val="0"/>
          <c:showSerName val="0"/>
          <c:showPercent val="0"/>
          <c:showBubbleSize val="0"/>
        </c:dLbls>
        <c:marker val="1"/>
        <c:smooth val="0"/>
        <c:axId val="188892480"/>
        <c:axId val="188888320"/>
      </c:lineChart>
      <c:lineChart>
        <c:grouping val="standard"/>
        <c:varyColors val="0"/>
        <c:ser>
          <c:idx val="2"/>
          <c:order val="2"/>
          <c:tx>
            <c:strRef>
              <c:f>'图4 苗期2019不覆膜'!$D$1:$D$2</c:f>
              <c:strCache>
                <c:ptCount val="1"/>
                <c:pt idx="0">
                  <c:v>2020年覆膜</c:v>
                </c:pt>
              </c:strCache>
            </c:strRef>
          </c:tx>
          <c:spPr>
            <a:ln w="6350" cap="rnd">
              <a:solidFill>
                <a:srgbClr val="0000FF"/>
              </a:solidFill>
              <a:round/>
            </a:ln>
            <a:effectLst/>
          </c:spPr>
          <c:marker>
            <c:symbol val="circle"/>
            <c:size val="3"/>
            <c:spPr>
              <a:solidFill>
                <a:srgbClr val="0000FF"/>
              </a:solidFill>
              <a:ln w="7620">
                <a:solidFill>
                  <a:srgbClr val="0000FF"/>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苗期2019不覆膜'!$D$3:$D$27</c:f>
              <c:numCache>
                <c:formatCode>General</c:formatCode>
                <c:ptCount val="25"/>
                <c:pt idx="0">
                  <c:v>0</c:v>
                </c:pt>
                <c:pt idx="1" c:formatCode="0.00">
                  <c:v>-0.02294</c:v>
                </c:pt>
                <c:pt idx="2" c:formatCode="0.00">
                  <c:v>-0.16109</c:v>
                </c:pt>
                <c:pt idx="3" c:formatCode="0.00">
                  <c:v>-0.25861</c:v>
                </c:pt>
                <c:pt idx="4" c:formatCode="0.00">
                  <c:v>-0.25018</c:v>
                </c:pt>
                <c:pt idx="5" c:formatCode="0.00">
                  <c:v>-0.00334</c:v>
                </c:pt>
                <c:pt idx="6" c:formatCode="0.00">
                  <c:v>-0.0923</c:v>
                </c:pt>
                <c:pt idx="7" c:formatCode="0.00">
                  <c:v>-0.19723</c:v>
                </c:pt>
                <c:pt idx="8" c:formatCode="0.00">
                  <c:v>-0.54718</c:v>
                </c:pt>
                <c:pt idx="9" c:formatCode="0.00">
                  <c:v>-0.04442</c:v>
                </c:pt>
                <c:pt idx="10" c:formatCode="0.00">
                  <c:v>-0.26342</c:v>
                </c:pt>
                <c:pt idx="11" c:formatCode="0.00">
                  <c:v>-0.5067</c:v>
                </c:pt>
                <c:pt idx="12" c:formatCode="0.00">
                  <c:v>-0.12445</c:v>
                </c:pt>
                <c:pt idx="13" c:formatCode="0.00">
                  <c:v>-0.0274</c:v>
                </c:pt>
                <c:pt idx="14" c:formatCode="0.00">
                  <c:v>-0.000582959</c:v>
                </c:pt>
                <c:pt idx="15" c:formatCode="0.00">
                  <c:v>0.10156</c:v>
                </c:pt>
                <c:pt idx="16" c:formatCode="0.00">
                  <c:v>0.04039</c:v>
                </c:pt>
                <c:pt idx="17" c:formatCode="0.00">
                  <c:v>-0.01575</c:v>
                </c:pt>
                <c:pt idx="18" c:formatCode="0.00">
                  <c:v>0.04492</c:v>
                </c:pt>
                <c:pt idx="19" c:formatCode="0.00">
                  <c:v>0.00132</c:v>
                </c:pt>
                <c:pt idx="20" c:formatCode="0.00">
                  <c:v>0.0612</c:v>
                </c:pt>
                <c:pt idx="21" c:formatCode="0.00">
                  <c:v>-0.04814</c:v>
                </c:pt>
                <c:pt idx="22" c:formatCode="0.00">
                  <c:v>0.03322</c:v>
                </c:pt>
                <c:pt idx="23" c:formatCode="0.00">
                  <c:v>-0.00465</c:v>
                </c:pt>
                <c:pt idx="24" c:formatCode="0.00">
                  <c:v>0.00858</c:v>
                </c:pt>
              </c:numCache>
            </c:numRef>
          </c:val>
          <c:smooth val="0"/>
        </c:ser>
        <c:dLbls>
          <c:showLegendKey val="0"/>
          <c:showVal val="0"/>
          <c:showCatName val="0"/>
          <c:showSerName val="0"/>
          <c:showPercent val="0"/>
          <c:showBubbleSize val="0"/>
        </c:dLbls>
        <c:marker val="1"/>
        <c:smooth val="0"/>
        <c:axId val="804323280"/>
        <c:axId val="804327856"/>
      </c:lineChart>
      <c:catAx>
        <c:axId val="188892480"/>
        <c:scaling>
          <c:orientation val="minMax"/>
        </c:scaling>
        <c:delete val="0"/>
        <c:axPos val="b"/>
        <c:title>
          <c:tx>
            <c:rich>
              <a:bodyPr rot="0" spcFirstLastPara="1" vertOverflow="ellipsis" vert="horz" wrap="square" anchor="ctr" anchorCtr="1"/>
              <a:lstStyle/>
              <a:p>
                <a:pPr>
                  <a:defRPr lang="zh-CN" sz="450" b="0" i="0" u="none" strike="noStrike" kern="1200" baseline="0">
                    <a:solidFill>
                      <a:schemeClr val="tx1">
                        <a:lumMod val="65000"/>
                        <a:lumOff val="35000"/>
                      </a:schemeClr>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时间</a:t>
                </a:r>
                <a:endParaRPr lang="zh-CN" altLang="en-US" sz="450">
                  <a:solidFill>
                    <a:sysClr val="windowText" lastClr="000000"/>
                  </a:solidFill>
                  <a:latin typeface="宋体" panose="02010600030101010101" charset="-122"/>
                  <a:ea typeface="宋体" panose="02010600030101010101" charset="-122"/>
                </a:endParaRPr>
              </a:p>
            </c:rich>
          </c:tx>
          <c:layout>
            <c:manualLayout>
              <c:xMode val="edge"/>
              <c:yMode val="edge"/>
              <c:x val="0.507300579925191"/>
              <c:y val="0.894969041260679"/>
            </c:manualLayout>
          </c:layout>
          <c:overlay val="0"/>
          <c:spPr>
            <a:noFill/>
            <a:ln>
              <a:noFill/>
            </a:ln>
            <a:effectLst/>
          </c:spPr>
        </c:title>
        <c:numFmt formatCode="h:mm" sourceLinked="1"/>
        <c:majorTickMark val="in"/>
        <c:minorTickMark val="none"/>
        <c:tickLblPos val="low"/>
        <c:spPr>
          <a:noFill/>
          <a:ln w="5080" cap="flat" cmpd="sng" algn="ctr">
            <a:solidFill>
              <a:schemeClr val="tx1"/>
            </a:solidFill>
            <a:round/>
          </a:ln>
          <a:effectLst/>
        </c:spPr>
        <c:txPr>
          <a:bodyPr rot="0" spcFirstLastPara="1" vertOverflow="ellipsis" vert="horz" wrap="square" anchor="ctr" anchorCtr="0"/>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88320"/>
        <c:crossesAt val="-0.7"/>
        <c:auto val="0"/>
        <c:lblAlgn val="ctr"/>
        <c:lblOffset val="150"/>
        <c:tickMarkSkip val="4"/>
        <c:noMultiLvlLbl val="0"/>
      </c:catAx>
      <c:valAx>
        <c:axId val="188888320"/>
        <c:scaling>
          <c:orientation val="minMax"/>
          <c:max val="0.2"/>
          <c:min val="-0.7"/>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lang="zh-CN" sz="450" b="0" i="0" u="none" strike="noStrike" kern="1200" baseline="0">
                    <a:solidFill>
                      <a:sysClr val="windowText" lastClr="000000"/>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凝结水量</a:t>
                </a:r>
                <a:r>
                  <a:rPr lang="en-US" altLang="zh-CN" sz="450">
                    <a:solidFill>
                      <a:sysClr val="windowText" lastClr="000000"/>
                    </a:solidFill>
                    <a:latin typeface="宋体" panose="02010600030101010101" charset="-122"/>
                    <a:ea typeface="宋体" panose="02010600030101010101" charset="-122"/>
                  </a:rPr>
                  <a:t>/</a:t>
                </a:r>
                <a:r>
                  <a:rPr lang="en-US" altLang="zh-CN" sz="4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450">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0421168284197034"/>
              <c:y val="0.30894845468105"/>
            </c:manualLayout>
          </c:layout>
          <c:overlay val="0"/>
          <c:spPr>
            <a:noFill/>
            <a:ln>
              <a:noFill/>
            </a:ln>
            <a:effectLst/>
          </c:spPr>
        </c:title>
        <c:numFmt formatCode="General" sourceLinked="0"/>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92480"/>
        <c:crosses val="autoZero"/>
        <c:crossBetween val="midCat"/>
        <c:majorUnit val="0.1"/>
        <c:minorUnit val="0.1"/>
      </c:valAx>
      <c:catAx>
        <c:axId val="804323280"/>
        <c:scaling>
          <c:orientation val="minMax"/>
        </c:scaling>
        <c:delete val="1"/>
        <c:axPos val="b"/>
        <c:numFmt formatCode="h:mm"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7856"/>
        <c:crossesAt val="0"/>
        <c:auto val="1"/>
        <c:lblAlgn val="ctr"/>
        <c:lblOffset val="100"/>
        <c:noMultiLvlLbl val="0"/>
      </c:catAx>
      <c:valAx>
        <c:axId val="804327856"/>
        <c:scaling>
          <c:orientation val="minMax"/>
        </c:scaling>
        <c:delete val="0"/>
        <c:axPos val="l"/>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3280"/>
        <c:crossesAt val="1"/>
        <c:crossBetween val="midCat"/>
      </c:valAx>
      <c:spPr>
        <a:noFill/>
        <a:ln w="5080">
          <a:noFill/>
        </a:ln>
        <a:effectLst/>
      </c:spPr>
    </c:plotArea>
    <c:legend>
      <c:legendPos val="b"/>
      <c:legendEntry>
        <c:idx val="0"/>
        <c:delete val="1"/>
      </c:legendEntry>
      <c:legendEntry>
        <c:idx val="1"/>
        <c:delete val="1"/>
      </c:legendEntry>
      <c:layout>
        <c:manualLayout>
          <c:xMode val="edge"/>
          <c:yMode val="edge"/>
          <c:x val="0.386652106442899"/>
          <c:y val="0.652354734420704"/>
          <c:w val="0.528480947180872"/>
          <c:h val="0.0984176534366007"/>
        </c:manualLayout>
      </c:layout>
      <c:overlay val="0"/>
      <c:spPr>
        <a:noFill/>
        <a:ln>
          <a:noFill/>
        </a:ln>
        <a:effectLst/>
      </c:spPr>
      <c:txPr>
        <a:bodyPr rot="0" spcFirstLastPara="1" vertOverflow="ellipsis" vert="horz" wrap="square" anchor="ctr" anchorCtr="1"/>
        <a:lstStyle/>
        <a:p>
          <a:pPr>
            <a:defRPr lang="zh-CN" sz="4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0f8df24c-eacb-4d5b-b048-3e3064464a95}"/>
      </c:ext>
    </c:extLst>
  </c:chart>
  <c:spPr>
    <a:solidFill>
      <a:schemeClr val="bg1"/>
    </a:solidFill>
    <a:ln w="5080" cap="flat" cmpd="sng" algn="ctr">
      <a:noFill/>
      <a:round/>
    </a:ln>
    <a:effectLst/>
  </c:spPr>
  <c:txPr>
    <a:bodyPr/>
    <a:lstStyle/>
    <a:p>
      <a:pPr>
        <a:defRPr lang="zh-CN"/>
      </a:pP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5790848724555"/>
          <c:y val="0.112715294542337"/>
          <c:w val="0.706885836350748"/>
          <c:h val="0.675866315168754"/>
        </c:manualLayout>
      </c:layout>
      <c:lineChart>
        <c:grouping val="standard"/>
        <c:varyColors val="0"/>
        <c:ser>
          <c:idx val="0"/>
          <c:order val="0"/>
          <c:tx>
            <c:strRef>
              <c:f>'图4 苗期2019不覆膜'!$B$1:$B$2</c:f>
              <c:strCache>
                <c:ptCount val="1"/>
                <c:pt idx="0">
                  <c:v>2018年不覆膜</c:v>
                </c:pt>
              </c:strCache>
            </c:strRef>
          </c:tx>
          <c:spPr>
            <a:ln w="7620" cap="rnd">
              <a:solidFill>
                <a:srgbClr val="00FF00"/>
              </a:solidFill>
              <a:round/>
            </a:ln>
            <a:effectLst/>
          </c:spPr>
          <c:marker>
            <c:symbol val="triangle"/>
            <c:size val="4"/>
            <c:spPr>
              <a:noFill/>
              <a:ln w="7620">
                <a:solidFill>
                  <a:srgbClr val="00FF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苗期2019不覆膜'!$B$3:$B$27</c:f>
              <c:numCache>
                <c:formatCode>General</c:formatCode>
                <c:ptCount val="25"/>
                <c:pt idx="0">
                  <c:v>0</c:v>
                </c:pt>
              </c:numCache>
            </c:numRef>
          </c:val>
          <c:smooth val="0"/>
        </c:ser>
        <c:ser>
          <c:idx val="1"/>
          <c:order val="1"/>
          <c:tx>
            <c:strRef>
              <c:f>'图4 苗期2019不覆膜'!$C$1:$C$2</c:f>
              <c:strCache>
                <c:ptCount val="1"/>
                <c:pt idx="0">
                  <c:v>2018年覆膜</c:v>
                </c:pt>
              </c:strCache>
            </c:strRef>
          </c:tx>
          <c:spPr>
            <a:ln w="7620" cap="rnd">
              <a:solidFill>
                <a:srgbClr val="C00000"/>
              </a:solidFill>
              <a:round/>
            </a:ln>
            <a:effectLst/>
          </c:spPr>
          <c:marker>
            <c:symbol val="square"/>
            <c:size val="4"/>
            <c:spPr>
              <a:no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苗期2019不覆膜'!$C$3:$C$27</c:f>
              <c:numCache>
                <c:formatCode>General</c:formatCode>
                <c:ptCount val="25"/>
                <c:pt idx="0">
                  <c:v>0</c:v>
                </c:pt>
              </c:numCache>
            </c:numRef>
          </c:val>
          <c:smooth val="0"/>
        </c:ser>
        <c:dLbls>
          <c:showLegendKey val="0"/>
          <c:showVal val="0"/>
          <c:showCatName val="0"/>
          <c:showSerName val="0"/>
          <c:showPercent val="0"/>
          <c:showBubbleSize val="0"/>
        </c:dLbls>
        <c:marker val="1"/>
        <c:smooth val="0"/>
        <c:axId val="188892480"/>
        <c:axId val="188888320"/>
      </c:lineChart>
      <c:lineChart>
        <c:grouping val="standard"/>
        <c:varyColors val="0"/>
        <c:ser>
          <c:idx val="2"/>
          <c:order val="2"/>
          <c:tx>
            <c:strRef>
              <c:f>'图4 苗期2019不覆膜'!$D$1:$D$2</c:f>
              <c:strCache>
                <c:ptCount val="1"/>
                <c:pt idx="0">
                  <c:v>2019年不覆膜</c:v>
                </c:pt>
              </c:strCache>
            </c:strRef>
          </c:tx>
          <c:spPr>
            <a:ln w="6350" cap="rnd">
              <a:solidFill>
                <a:srgbClr val="C00000"/>
              </a:solidFill>
              <a:round/>
            </a:ln>
            <a:effectLst/>
          </c:spPr>
          <c:marker>
            <c:symbol val="circle"/>
            <c:size val="3"/>
            <c:spPr>
              <a:no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苗期2019不覆膜'!$D$3:$D$27</c:f>
              <c:numCache>
                <c:formatCode>General</c:formatCode>
                <c:ptCount val="25"/>
                <c:pt idx="0">
                  <c:v>0</c:v>
                </c:pt>
                <c:pt idx="1" c:formatCode="0.00">
                  <c:v>-0.36008</c:v>
                </c:pt>
                <c:pt idx="2" c:formatCode="0.00">
                  <c:v>-0.38405</c:v>
                </c:pt>
                <c:pt idx="3" c:formatCode="0.00">
                  <c:v>-0.50647</c:v>
                </c:pt>
                <c:pt idx="4" c:formatCode="0.00">
                  <c:v>-0.54634</c:v>
                </c:pt>
                <c:pt idx="5" c:formatCode="0.00">
                  <c:v>-0.60037</c:v>
                </c:pt>
                <c:pt idx="6" c:formatCode="0.00">
                  <c:v>-0.5721</c:v>
                </c:pt>
                <c:pt idx="7" c:formatCode="0.00">
                  <c:v>-0.52552</c:v>
                </c:pt>
                <c:pt idx="8" c:formatCode="0.00">
                  <c:v>-0.48569</c:v>
                </c:pt>
                <c:pt idx="9" c:formatCode="0.00">
                  <c:v>-0.37643</c:v>
                </c:pt>
                <c:pt idx="10" c:formatCode="0.00">
                  <c:v>-0.2384</c:v>
                </c:pt>
                <c:pt idx="11" c:formatCode="0.00">
                  <c:v>-0.19474</c:v>
                </c:pt>
                <c:pt idx="12" c:formatCode="0.00">
                  <c:v>-0.13405</c:v>
                </c:pt>
                <c:pt idx="13" c:formatCode="0.00">
                  <c:v>-0.26854</c:v>
                </c:pt>
                <c:pt idx="14" c:formatCode="0.00">
                  <c:v>-0.00778</c:v>
                </c:pt>
                <c:pt idx="15" c:formatCode="0.00">
                  <c:v>-0.03738</c:v>
                </c:pt>
                <c:pt idx="16" c:formatCode="0.00">
                  <c:v>0.07137</c:v>
                </c:pt>
                <c:pt idx="17" c:formatCode="0.00">
                  <c:v>0.07902</c:v>
                </c:pt>
                <c:pt idx="18" c:formatCode="0.00">
                  <c:v>0.07077</c:v>
                </c:pt>
                <c:pt idx="19" c:formatCode="0.00">
                  <c:v>0.07461</c:v>
                </c:pt>
                <c:pt idx="20" c:formatCode="0.00">
                  <c:v>0.02615</c:v>
                </c:pt>
                <c:pt idx="21" c:formatCode="0.00">
                  <c:v>0.08008</c:v>
                </c:pt>
                <c:pt idx="22" c:formatCode="0.00">
                  <c:v>0.04237</c:v>
                </c:pt>
                <c:pt idx="23" c:formatCode="0.00">
                  <c:v>-0.00686</c:v>
                </c:pt>
                <c:pt idx="24" c:formatCode="0.00">
                  <c:v>-0.12627</c:v>
                </c:pt>
              </c:numCache>
            </c:numRef>
          </c:val>
          <c:smooth val="0"/>
        </c:ser>
        <c:dLbls>
          <c:showLegendKey val="0"/>
          <c:showVal val="0"/>
          <c:showCatName val="0"/>
          <c:showSerName val="0"/>
          <c:showPercent val="0"/>
          <c:showBubbleSize val="0"/>
        </c:dLbls>
        <c:marker val="1"/>
        <c:smooth val="0"/>
        <c:axId val="804323280"/>
        <c:axId val="804327856"/>
      </c:lineChart>
      <c:catAx>
        <c:axId val="188892480"/>
        <c:scaling>
          <c:orientation val="minMax"/>
        </c:scaling>
        <c:delete val="0"/>
        <c:axPos val="b"/>
        <c:title>
          <c:tx>
            <c:rich>
              <a:bodyPr rot="0" spcFirstLastPara="1" vertOverflow="ellipsis" vert="horz" wrap="square" anchor="ctr" anchorCtr="1"/>
              <a:lstStyle/>
              <a:p>
                <a:pPr>
                  <a:defRPr lang="zh-CN" sz="450" b="0" i="0" u="none" strike="noStrike" kern="1200" baseline="0">
                    <a:solidFill>
                      <a:schemeClr val="tx1">
                        <a:lumMod val="65000"/>
                        <a:lumOff val="35000"/>
                      </a:schemeClr>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时间</a:t>
                </a:r>
                <a:endParaRPr lang="zh-CN" altLang="en-US" sz="450">
                  <a:solidFill>
                    <a:sysClr val="windowText" lastClr="000000"/>
                  </a:solidFill>
                  <a:latin typeface="宋体" panose="02010600030101010101" charset="-122"/>
                  <a:ea typeface="宋体" panose="02010600030101010101" charset="-122"/>
                </a:endParaRPr>
              </a:p>
            </c:rich>
          </c:tx>
          <c:layout>
            <c:manualLayout>
              <c:xMode val="edge"/>
              <c:yMode val="edge"/>
              <c:x val="0.507300579925191"/>
              <c:y val="0.894969041260679"/>
            </c:manualLayout>
          </c:layout>
          <c:overlay val="0"/>
          <c:spPr>
            <a:noFill/>
            <a:ln>
              <a:noFill/>
            </a:ln>
            <a:effectLst/>
          </c:spPr>
        </c:title>
        <c:numFmt formatCode="h:mm" sourceLinked="1"/>
        <c:majorTickMark val="in"/>
        <c:minorTickMark val="none"/>
        <c:tickLblPos val="low"/>
        <c:spPr>
          <a:noFill/>
          <a:ln w="5080" cap="flat" cmpd="sng" algn="ctr">
            <a:solidFill>
              <a:schemeClr val="tx1"/>
            </a:solidFill>
            <a:round/>
          </a:ln>
          <a:effectLst/>
        </c:spPr>
        <c:txPr>
          <a:bodyPr rot="0" spcFirstLastPara="1" vertOverflow="ellipsis" vert="horz" wrap="square" anchor="ctr" anchorCtr="0"/>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88320"/>
        <c:crossesAt val="-0.7"/>
        <c:auto val="0"/>
        <c:lblAlgn val="ctr"/>
        <c:lblOffset val="150"/>
        <c:tickMarkSkip val="4"/>
        <c:noMultiLvlLbl val="0"/>
      </c:catAx>
      <c:valAx>
        <c:axId val="188888320"/>
        <c:scaling>
          <c:orientation val="minMax"/>
          <c:max val="0.2"/>
          <c:min val="-0.7"/>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lang="zh-CN" sz="450" b="0" i="0" u="none" strike="noStrike" kern="1200" baseline="0">
                    <a:solidFill>
                      <a:sysClr val="windowText" lastClr="000000"/>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凝结水量</a:t>
                </a:r>
                <a:r>
                  <a:rPr lang="en-US" altLang="zh-CN" sz="450">
                    <a:solidFill>
                      <a:sysClr val="windowText" lastClr="000000"/>
                    </a:solidFill>
                    <a:latin typeface="宋体" panose="02010600030101010101" charset="-122"/>
                    <a:ea typeface="宋体" panose="02010600030101010101" charset="-122"/>
                  </a:rPr>
                  <a:t>/</a:t>
                </a:r>
                <a:r>
                  <a:rPr lang="en-US" altLang="zh-CN" sz="4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450">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0421168284197034"/>
              <c:y val="0.30894845468105"/>
            </c:manualLayout>
          </c:layout>
          <c:overlay val="0"/>
          <c:spPr>
            <a:noFill/>
            <a:ln>
              <a:noFill/>
            </a:ln>
            <a:effectLst/>
          </c:spPr>
        </c:title>
        <c:numFmt formatCode="General" sourceLinked="0"/>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92480"/>
        <c:crosses val="autoZero"/>
        <c:crossBetween val="midCat"/>
        <c:majorUnit val="0.1"/>
        <c:minorUnit val="0.1"/>
      </c:valAx>
      <c:catAx>
        <c:axId val="804323280"/>
        <c:scaling>
          <c:orientation val="minMax"/>
        </c:scaling>
        <c:delete val="1"/>
        <c:axPos val="b"/>
        <c:numFmt formatCode="h:mm"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7856"/>
        <c:crossesAt val="0"/>
        <c:auto val="1"/>
        <c:lblAlgn val="ctr"/>
        <c:lblOffset val="100"/>
        <c:noMultiLvlLbl val="0"/>
      </c:catAx>
      <c:valAx>
        <c:axId val="804327856"/>
        <c:scaling>
          <c:orientation val="minMax"/>
        </c:scaling>
        <c:delete val="0"/>
        <c:axPos val="l"/>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3280"/>
        <c:crossesAt val="1"/>
        <c:crossBetween val="midCat"/>
      </c:valAx>
      <c:spPr>
        <a:noFill/>
        <a:ln w="5080">
          <a:noFill/>
        </a:ln>
        <a:effectLst/>
      </c:spPr>
    </c:plotArea>
    <c:legend>
      <c:legendPos val="b"/>
      <c:legendEntry>
        <c:idx val="0"/>
        <c:delete val="1"/>
      </c:legendEntry>
      <c:legendEntry>
        <c:idx val="1"/>
        <c:delete val="1"/>
      </c:legendEntry>
      <c:layout>
        <c:manualLayout>
          <c:xMode val="edge"/>
          <c:yMode val="edge"/>
          <c:x val="0.357455026150928"/>
          <c:y val="0.652354734420704"/>
          <c:w val="0.557678027472843"/>
          <c:h val="0.0984176534366007"/>
        </c:manualLayout>
      </c:layout>
      <c:overlay val="0"/>
      <c:spPr>
        <a:noFill/>
        <a:ln>
          <a:noFill/>
        </a:ln>
        <a:effectLst/>
      </c:spPr>
      <c:txPr>
        <a:bodyPr rot="0" spcFirstLastPara="1" vertOverflow="ellipsis" vert="horz" wrap="square" anchor="ctr" anchorCtr="1"/>
        <a:lstStyle/>
        <a:p>
          <a:pPr>
            <a:defRPr lang="zh-CN" sz="4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413a50d2-f0d6-44d4-b22a-d20fcd42aa01}"/>
      </c:ext>
    </c:extLst>
  </c:chart>
  <c:spPr>
    <a:solidFill>
      <a:schemeClr val="bg1"/>
    </a:solidFill>
    <a:ln w="5080" cap="flat" cmpd="sng" algn="ctr">
      <a:noFill/>
      <a:round/>
    </a:ln>
    <a:effectLst/>
  </c:spPr>
  <c:txPr>
    <a:bodyPr/>
    <a:lstStyle/>
    <a:p>
      <a:pPr>
        <a:defRPr lang="zh-CN"/>
      </a:pPr>
    </a:p>
  </c:txPr>
  <c:externalData r:id="rId1">
    <c:autoUpdate val="0"/>
  </c:externalData>
  <c:userShapes r:id="rId3"/>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5790848724555"/>
          <c:y val="0.112715294542337"/>
          <c:w val="0.706885836350748"/>
          <c:h val="0.675866315168754"/>
        </c:manualLayout>
      </c:layout>
      <c:lineChart>
        <c:grouping val="standard"/>
        <c:varyColors val="0"/>
        <c:ser>
          <c:idx val="0"/>
          <c:order val="0"/>
          <c:tx>
            <c:strRef>
              <c:f>'图4 苗期2019不覆膜'!$B$1:$B$2</c:f>
              <c:strCache>
                <c:ptCount val="1"/>
                <c:pt idx="0">
                  <c:v>2018年不覆膜</c:v>
                </c:pt>
              </c:strCache>
            </c:strRef>
          </c:tx>
          <c:spPr>
            <a:ln w="7620" cap="rnd">
              <a:solidFill>
                <a:srgbClr val="00FF00"/>
              </a:solidFill>
              <a:round/>
            </a:ln>
            <a:effectLst/>
          </c:spPr>
          <c:marker>
            <c:symbol val="triangle"/>
            <c:size val="4"/>
            <c:spPr>
              <a:noFill/>
              <a:ln w="7620">
                <a:solidFill>
                  <a:srgbClr val="00FF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苗期2019不覆膜'!$B$3:$B$27</c:f>
              <c:numCache>
                <c:formatCode>General</c:formatCode>
                <c:ptCount val="25"/>
                <c:pt idx="0">
                  <c:v>0</c:v>
                </c:pt>
              </c:numCache>
            </c:numRef>
          </c:val>
          <c:smooth val="0"/>
        </c:ser>
        <c:ser>
          <c:idx val="1"/>
          <c:order val="1"/>
          <c:tx>
            <c:strRef>
              <c:f>'图4 苗期2019不覆膜'!$C$1:$C$2</c:f>
              <c:strCache>
                <c:ptCount val="1"/>
                <c:pt idx="0">
                  <c:v>2018年覆膜</c:v>
                </c:pt>
              </c:strCache>
            </c:strRef>
          </c:tx>
          <c:spPr>
            <a:ln w="7620" cap="rnd">
              <a:solidFill>
                <a:srgbClr val="C00000"/>
              </a:solidFill>
              <a:round/>
            </a:ln>
            <a:effectLst/>
          </c:spPr>
          <c:marker>
            <c:symbol val="square"/>
            <c:size val="4"/>
            <c:spPr>
              <a:no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苗期2019不覆膜'!$C$3:$C$27</c:f>
              <c:numCache>
                <c:formatCode>General</c:formatCode>
                <c:ptCount val="25"/>
                <c:pt idx="0">
                  <c:v>0</c:v>
                </c:pt>
              </c:numCache>
            </c:numRef>
          </c:val>
          <c:smooth val="0"/>
        </c:ser>
        <c:dLbls>
          <c:showLegendKey val="0"/>
          <c:showVal val="0"/>
          <c:showCatName val="0"/>
          <c:showSerName val="0"/>
          <c:showPercent val="0"/>
          <c:showBubbleSize val="0"/>
        </c:dLbls>
        <c:marker val="1"/>
        <c:smooth val="0"/>
        <c:axId val="188892480"/>
        <c:axId val="188888320"/>
      </c:lineChart>
      <c:lineChart>
        <c:grouping val="standard"/>
        <c:varyColors val="0"/>
        <c:ser>
          <c:idx val="2"/>
          <c:order val="2"/>
          <c:tx>
            <c:strRef>
              <c:f>'图4 苗期2019不覆膜'!$D$1:$D$2</c:f>
              <c:strCache>
                <c:ptCount val="1"/>
                <c:pt idx="0">
                  <c:v>2019年覆膜</c:v>
                </c:pt>
              </c:strCache>
            </c:strRef>
          </c:tx>
          <c:spPr>
            <a:ln w="6350" cap="rnd">
              <a:solidFill>
                <a:srgbClr val="C00000"/>
              </a:solidFill>
              <a:round/>
            </a:ln>
            <a:effectLst/>
          </c:spPr>
          <c:marker>
            <c:symbol val="circle"/>
            <c:size val="3"/>
            <c:spPr>
              <a:solidFill>
                <a:srgbClr val="C00000"/>
              </a:solid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苗期2019不覆膜'!$D$3:$D$27</c:f>
              <c:numCache>
                <c:formatCode>General</c:formatCode>
                <c:ptCount val="25"/>
                <c:pt idx="0">
                  <c:v>0</c:v>
                </c:pt>
                <c:pt idx="1" c:formatCode="0.00">
                  <c:v>-0.39352</c:v>
                </c:pt>
                <c:pt idx="2" c:formatCode="0.00">
                  <c:v>-0.4302</c:v>
                </c:pt>
                <c:pt idx="3" c:formatCode="0.00">
                  <c:v>-0.6095</c:v>
                </c:pt>
                <c:pt idx="4" c:formatCode="0.00">
                  <c:v>-0.60656</c:v>
                </c:pt>
                <c:pt idx="5" c:formatCode="0.00">
                  <c:v>-0.61559</c:v>
                </c:pt>
                <c:pt idx="6" c:formatCode="0.00">
                  <c:v>-0.60395</c:v>
                </c:pt>
                <c:pt idx="7" c:formatCode="0.00">
                  <c:v>-0.53566</c:v>
                </c:pt>
                <c:pt idx="8" c:formatCode="0.00">
                  <c:v>-0.4566</c:v>
                </c:pt>
                <c:pt idx="9" c:formatCode="0.00">
                  <c:v>-0.34912</c:v>
                </c:pt>
                <c:pt idx="10" c:formatCode="0.00">
                  <c:v>-0.22556</c:v>
                </c:pt>
                <c:pt idx="11" c:formatCode="0.00">
                  <c:v>-0.13524</c:v>
                </c:pt>
                <c:pt idx="12" c:formatCode="0.00">
                  <c:v>-0.05875</c:v>
                </c:pt>
                <c:pt idx="13" c:formatCode="0.00">
                  <c:v>-0.03881</c:v>
                </c:pt>
                <c:pt idx="14" c:formatCode="0.00">
                  <c:v>-0.00392</c:v>
                </c:pt>
                <c:pt idx="15" c:formatCode="0.00">
                  <c:v>-0.00315</c:v>
                </c:pt>
                <c:pt idx="16" c:formatCode="0.00">
                  <c:v>0.09973</c:v>
                </c:pt>
                <c:pt idx="17" c:formatCode="0.00">
                  <c:v>0.08917</c:v>
                </c:pt>
                <c:pt idx="18" c:formatCode="0.00">
                  <c:v>0.0995</c:v>
                </c:pt>
                <c:pt idx="19" c:formatCode="0.00">
                  <c:v>0.07164</c:v>
                </c:pt>
                <c:pt idx="20" c:formatCode="0.00">
                  <c:v>0.05969</c:v>
                </c:pt>
                <c:pt idx="21" c:formatCode="0.00">
                  <c:v>0.06725</c:v>
                </c:pt>
                <c:pt idx="22" c:formatCode="0.00">
                  <c:v>0.01575</c:v>
                </c:pt>
                <c:pt idx="23" c:formatCode="0.00">
                  <c:v>-0.01451</c:v>
                </c:pt>
                <c:pt idx="24" c:formatCode="0.00">
                  <c:v>-0.11585</c:v>
                </c:pt>
              </c:numCache>
            </c:numRef>
          </c:val>
          <c:smooth val="0"/>
        </c:ser>
        <c:dLbls>
          <c:showLegendKey val="0"/>
          <c:showVal val="0"/>
          <c:showCatName val="0"/>
          <c:showSerName val="0"/>
          <c:showPercent val="0"/>
          <c:showBubbleSize val="0"/>
        </c:dLbls>
        <c:marker val="1"/>
        <c:smooth val="0"/>
        <c:axId val="804323280"/>
        <c:axId val="804327856"/>
      </c:lineChart>
      <c:catAx>
        <c:axId val="188892480"/>
        <c:scaling>
          <c:orientation val="minMax"/>
        </c:scaling>
        <c:delete val="0"/>
        <c:axPos val="b"/>
        <c:title>
          <c:tx>
            <c:rich>
              <a:bodyPr rot="0" spcFirstLastPara="1" vertOverflow="ellipsis" vert="horz" wrap="square" anchor="ctr" anchorCtr="1"/>
              <a:lstStyle/>
              <a:p>
                <a:pPr>
                  <a:defRPr lang="zh-CN" sz="450" b="0" i="0" u="none" strike="noStrike" kern="1200" baseline="0">
                    <a:solidFill>
                      <a:schemeClr val="tx1">
                        <a:lumMod val="65000"/>
                        <a:lumOff val="35000"/>
                      </a:schemeClr>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时间</a:t>
                </a:r>
                <a:endParaRPr lang="zh-CN" altLang="en-US" sz="450">
                  <a:solidFill>
                    <a:sysClr val="windowText" lastClr="000000"/>
                  </a:solidFill>
                  <a:latin typeface="宋体" panose="02010600030101010101" charset="-122"/>
                  <a:ea typeface="宋体" panose="02010600030101010101" charset="-122"/>
                </a:endParaRPr>
              </a:p>
            </c:rich>
          </c:tx>
          <c:layout>
            <c:manualLayout>
              <c:xMode val="edge"/>
              <c:yMode val="edge"/>
              <c:x val="0.507300579925191"/>
              <c:y val="0.894969041260679"/>
            </c:manualLayout>
          </c:layout>
          <c:overlay val="0"/>
          <c:spPr>
            <a:noFill/>
            <a:ln>
              <a:noFill/>
            </a:ln>
            <a:effectLst/>
          </c:spPr>
        </c:title>
        <c:numFmt formatCode="h:mm" sourceLinked="1"/>
        <c:majorTickMark val="in"/>
        <c:minorTickMark val="none"/>
        <c:tickLblPos val="low"/>
        <c:spPr>
          <a:noFill/>
          <a:ln w="5080" cap="flat" cmpd="sng" algn="ctr">
            <a:solidFill>
              <a:schemeClr val="tx1"/>
            </a:solidFill>
            <a:round/>
          </a:ln>
          <a:effectLst/>
        </c:spPr>
        <c:txPr>
          <a:bodyPr rot="0" spcFirstLastPara="1" vertOverflow="ellipsis" vert="horz" wrap="square" anchor="ctr" anchorCtr="0"/>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88320"/>
        <c:crossesAt val="-0.7"/>
        <c:auto val="0"/>
        <c:lblAlgn val="ctr"/>
        <c:lblOffset val="150"/>
        <c:tickMarkSkip val="4"/>
        <c:noMultiLvlLbl val="0"/>
      </c:catAx>
      <c:valAx>
        <c:axId val="188888320"/>
        <c:scaling>
          <c:orientation val="minMax"/>
          <c:max val="0.2"/>
          <c:min val="-0.7"/>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lang="zh-CN" sz="450" b="0" i="0" u="none" strike="noStrike" kern="1200" baseline="0">
                    <a:solidFill>
                      <a:sysClr val="windowText" lastClr="000000"/>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凝结水量</a:t>
                </a:r>
                <a:r>
                  <a:rPr lang="en-US" altLang="zh-CN" sz="450">
                    <a:solidFill>
                      <a:sysClr val="windowText" lastClr="000000"/>
                    </a:solidFill>
                    <a:latin typeface="宋体" panose="02010600030101010101" charset="-122"/>
                    <a:ea typeface="宋体" panose="02010600030101010101" charset="-122"/>
                  </a:rPr>
                  <a:t>/</a:t>
                </a:r>
                <a:r>
                  <a:rPr lang="en-US" altLang="zh-CN" sz="4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450">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0421168284197034"/>
              <c:y val="0.30894845468105"/>
            </c:manualLayout>
          </c:layout>
          <c:overlay val="0"/>
          <c:spPr>
            <a:noFill/>
            <a:ln>
              <a:noFill/>
            </a:ln>
            <a:effectLst/>
          </c:spPr>
        </c:title>
        <c:numFmt formatCode="General" sourceLinked="0"/>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92480"/>
        <c:crosses val="autoZero"/>
        <c:crossBetween val="midCat"/>
        <c:majorUnit val="0.1"/>
        <c:minorUnit val="0.1"/>
      </c:valAx>
      <c:catAx>
        <c:axId val="804323280"/>
        <c:scaling>
          <c:orientation val="minMax"/>
        </c:scaling>
        <c:delete val="1"/>
        <c:axPos val="b"/>
        <c:numFmt formatCode="h:mm"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7856"/>
        <c:crossesAt val="0"/>
        <c:auto val="1"/>
        <c:lblAlgn val="ctr"/>
        <c:lblOffset val="100"/>
        <c:noMultiLvlLbl val="0"/>
      </c:catAx>
      <c:valAx>
        <c:axId val="804327856"/>
        <c:scaling>
          <c:orientation val="minMax"/>
        </c:scaling>
        <c:delete val="0"/>
        <c:axPos val="l"/>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3280"/>
        <c:crossesAt val="1"/>
        <c:crossBetween val="midCat"/>
      </c:valAx>
      <c:spPr>
        <a:noFill/>
        <a:ln w="5080">
          <a:noFill/>
        </a:ln>
        <a:effectLst/>
      </c:spPr>
    </c:plotArea>
    <c:legend>
      <c:legendPos val="b"/>
      <c:legendEntry>
        <c:idx val="0"/>
        <c:delete val="1"/>
      </c:legendEntry>
      <c:legendEntry>
        <c:idx val="1"/>
        <c:delete val="1"/>
      </c:legendEntry>
      <c:layout>
        <c:manualLayout>
          <c:xMode val="edge"/>
          <c:yMode val="edge"/>
          <c:x val="0.396384466540223"/>
          <c:y val="0.652354734420704"/>
          <c:w val="0.518748587083549"/>
          <c:h val="0.0984176534366007"/>
        </c:manualLayout>
      </c:layout>
      <c:overlay val="0"/>
      <c:spPr>
        <a:noFill/>
        <a:ln>
          <a:noFill/>
        </a:ln>
        <a:effectLst/>
      </c:spPr>
      <c:txPr>
        <a:bodyPr rot="0" spcFirstLastPara="1" vertOverflow="ellipsis" vert="horz" wrap="square" anchor="ctr" anchorCtr="1"/>
        <a:lstStyle/>
        <a:p>
          <a:pPr>
            <a:defRPr lang="zh-CN" sz="4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3fe3af92-1723-45fa-af96-36125378e8a1}"/>
      </c:ext>
    </c:extLst>
  </c:chart>
  <c:spPr>
    <a:solidFill>
      <a:schemeClr val="bg1"/>
    </a:solidFill>
    <a:ln w="5080" cap="flat" cmpd="sng" algn="ctr">
      <a:noFill/>
      <a:round/>
    </a:ln>
    <a:effectLst/>
  </c:spPr>
  <c:txPr>
    <a:bodyPr/>
    <a:lstStyle/>
    <a:p>
      <a:pPr>
        <a:defRPr lang="zh-CN"/>
      </a:pPr>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5790848724555"/>
          <c:y val="0.112715294542337"/>
          <c:w val="0.706885836350748"/>
          <c:h val="0.675866315168754"/>
        </c:manualLayout>
      </c:layout>
      <c:lineChart>
        <c:grouping val="standard"/>
        <c:varyColors val="0"/>
        <c:ser>
          <c:idx val="0"/>
          <c:order val="0"/>
          <c:tx>
            <c:strRef>
              <c:f>'图4 苗期2019不覆膜'!$B$1:$B$2</c:f>
              <c:strCache>
                <c:ptCount val="1"/>
                <c:pt idx="0">
                  <c:v>2018年不覆膜</c:v>
                </c:pt>
              </c:strCache>
            </c:strRef>
          </c:tx>
          <c:spPr>
            <a:ln w="7620" cap="rnd">
              <a:solidFill>
                <a:srgbClr val="00FF00"/>
              </a:solidFill>
              <a:round/>
            </a:ln>
            <a:effectLst/>
          </c:spPr>
          <c:marker>
            <c:symbol val="triangle"/>
            <c:size val="4"/>
            <c:spPr>
              <a:noFill/>
              <a:ln w="7620">
                <a:solidFill>
                  <a:srgbClr val="00FF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苗期2019不覆膜'!$B$3:$B$27</c:f>
              <c:numCache>
                <c:formatCode>General</c:formatCode>
                <c:ptCount val="25"/>
                <c:pt idx="0">
                  <c:v>0</c:v>
                </c:pt>
              </c:numCache>
            </c:numRef>
          </c:val>
          <c:smooth val="0"/>
        </c:ser>
        <c:ser>
          <c:idx val="1"/>
          <c:order val="1"/>
          <c:tx>
            <c:strRef>
              <c:f>'图4 苗期2019不覆膜'!$C$1:$C$2</c:f>
              <c:strCache>
                <c:ptCount val="1"/>
                <c:pt idx="0">
                  <c:v>2018年覆膜</c:v>
                </c:pt>
              </c:strCache>
            </c:strRef>
          </c:tx>
          <c:spPr>
            <a:ln w="7620" cap="rnd">
              <a:solidFill>
                <a:srgbClr val="C00000"/>
              </a:solidFill>
              <a:round/>
            </a:ln>
            <a:effectLst/>
          </c:spPr>
          <c:marker>
            <c:symbol val="square"/>
            <c:size val="4"/>
            <c:spPr>
              <a:no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苗期2019不覆膜'!$C$3:$C$27</c:f>
              <c:numCache>
                <c:formatCode>General</c:formatCode>
                <c:ptCount val="25"/>
                <c:pt idx="0">
                  <c:v>0</c:v>
                </c:pt>
              </c:numCache>
            </c:numRef>
          </c:val>
          <c:smooth val="0"/>
        </c:ser>
        <c:dLbls>
          <c:showLegendKey val="0"/>
          <c:showVal val="0"/>
          <c:showCatName val="0"/>
          <c:showSerName val="0"/>
          <c:showPercent val="0"/>
          <c:showBubbleSize val="0"/>
        </c:dLbls>
        <c:marker val="1"/>
        <c:smooth val="0"/>
        <c:axId val="188892480"/>
        <c:axId val="188888320"/>
      </c:lineChart>
      <c:lineChart>
        <c:grouping val="standard"/>
        <c:varyColors val="0"/>
        <c:ser>
          <c:idx val="2"/>
          <c:order val="2"/>
          <c:tx>
            <c:strRef>
              <c:f>'图4 苗期2019不覆膜'!$D$1:$D$2</c:f>
              <c:strCache>
                <c:ptCount val="1"/>
                <c:pt idx="0">
                  <c:v>2020年不覆膜</c:v>
                </c:pt>
              </c:strCache>
            </c:strRef>
          </c:tx>
          <c:spPr>
            <a:ln w="6350" cap="rnd">
              <a:solidFill>
                <a:srgbClr val="0000FF"/>
              </a:solidFill>
              <a:round/>
            </a:ln>
            <a:effectLst/>
          </c:spPr>
          <c:marker>
            <c:symbol val="circle"/>
            <c:size val="3"/>
            <c:spPr>
              <a:noFill/>
              <a:ln w="7620">
                <a:solidFill>
                  <a:srgbClr val="0000FF"/>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苗期2019不覆膜'!$D$3:$D$27</c:f>
              <c:numCache>
                <c:formatCode>General</c:formatCode>
                <c:ptCount val="25"/>
                <c:pt idx="0">
                  <c:v>0</c:v>
                </c:pt>
                <c:pt idx="1" c:formatCode="0.00">
                  <c:v>0.04198</c:v>
                </c:pt>
                <c:pt idx="2" c:formatCode="0.00">
                  <c:v>-0.18478</c:v>
                </c:pt>
                <c:pt idx="3" c:formatCode="0.00">
                  <c:v>-0.15004</c:v>
                </c:pt>
                <c:pt idx="4" c:formatCode="0.00">
                  <c:v>-0.49788</c:v>
                </c:pt>
                <c:pt idx="5" c:formatCode="0.00">
                  <c:v>-0.55768</c:v>
                </c:pt>
                <c:pt idx="6" c:formatCode="0.00">
                  <c:v>-0.55287</c:v>
                </c:pt>
                <c:pt idx="7" c:formatCode="0.00">
                  <c:v>-0.50335</c:v>
                </c:pt>
                <c:pt idx="8" c:formatCode="0.00">
                  <c:v>-0.51572</c:v>
                </c:pt>
                <c:pt idx="9" c:formatCode="0.00">
                  <c:v>-0.60907</c:v>
                </c:pt>
                <c:pt idx="10" c:formatCode="0.00">
                  <c:v>-0.34235</c:v>
                </c:pt>
                <c:pt idx="11" c:formatCode="0.00">
                  <c:v>-0.20592</c:v>
                </c:pt>
                <c:pt idx="12" c:formatCode="0.00">
                  <c:v>-0.0895</c:v>
                </c:pt>
                <c:pt idx="13" c:formatCode="0.00">
                  <c:v>-0.30421</c:v>
                </c:pt>
                <c:pt idx="14" c:formatCode="0.00">
                  <c:v>-0.28229</c:v>
                </c:pt>
                <c:pt idx="15" c:formatCode="0.00">
                  <c:v>0.07135</c:v>
                </c:pt>
                <c:pt idx="16" c:formatCode="0.00">
                  <c:v>0.02393</c:v>
                </c:pt>
                <c:pt idx="17" c:formatCode="0.00">
                  <c:v>0.07518</c:v>
                </c:pt>
                <c:pt idx="18" c:formatCode="0.00">
                  <c:v>0.03497</c:v>
                </c:pt>
                <c:pt idx="19" c:formatCode="0.00">
                  <c:v>0.0464</c:v>
                </c:pt>
                <c:pt idx="20" c:formatCode="0.00">
                  <c:v>0.04227</c:v>
                </c:pt>
                <c:pt idx="21" c:formatCode="0.00">
                  <c:v>0.04281</c:v>
                </c:pt>
                <c:pt idx="22" c:formatCode="0.00">
                  <c:v>-0.02426</c:v>
                </c:pt>
                <c:pt idx="23" c:formatCode="0.00">
                  <c:v>0.01222</c:v>
                </c:pt>
                <c:pt idx="24" c:formatCode="0.00">
                  <c:v>-0.03505</c:v>
                </c:pt>
              </c:numCache>
            </c:numRef>
          </c:val>
          <c:smooth val="0"/>
        </c:ser>
        <c:dLbls>
          <c:showLegendKey val="0"/>
          <c:showVal val="0"/>
          <c:showCatName val="0"/>
          <c:showSerName val="0"/>
          <c:showPercent val="0"/>
          <c:showBubbleSize val="0"/>
        </c:dLbls>
        <c:marker val="1"/>
        <c:smooth val="0"/>
        <c:axId val="804323280"/>
        <c:axId val="804327856"/>
      </c:lineChart>
      <c:catAx>
        <c:axId val="188892480"/>
        <c:scaling>
          <c:orientation val="minMax"/>
        </c:scaling>
        <c:delete val="0"/>
        <c:axPos val="b"/>
        <c:title>
          <c:tx>
            <c:rich>
              <a:bodyPr rot="0" spcFirstLastPara="1" vertOverflow="ellipsis" vert="horz" wrap="square" anchor="ctr" anchorCtr="1"/>
              <a:lstStyle/>
              <a:p>
                <a:pPr>
                  <a:defRPr lang="zh-CN" sz="450" b="0" i="0" u="none" strike="noStrike" kern="1200" baseline="0">
                    <a:solidFill>
                      <a:schemeClr val="tx1">
                        <a:lumMod val="65000"/>
                        <a:lumOff val="35000"/>
                      </a:schemeClr>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时间</a:t>
                </a:r>
                <a:endParaRPr lang="zh-CN" altLang="en-US" sz="450">
                  <a:solidFill>
                    <a:sysClr val="windowText" lastClr="000000"/>
                  </a:solidFill>
                  <a:latin typeface="宋体" panose="02010600030101010101" charset="-122"/>
                  <a:ea typeface="宋体" panose="02010600030101010101" charset="-122"/>
                </a:endParaRPr>
              </a:p>
            </c:rich>
          </c:tx>
          <c:layout>
            <c:manualLayout>
              <c:xMode val="edge"/>
              <c:yMode val="edge"/>
              <c:x val="0.507300579925191"/>
              <c:y val="0.894969041260679"/>
            </c:manualLayout>
          </c:layout>
          <c:overlay val="0"/>
          <c:spPr>
            <a:noFill/>
            <a:ln>
              <a:noFill/>
            </a:ln>
            <a:effectLst/>
          </c:spPr>
        </c:title>
        <c:numFmt formatCode="h:mm" sourceLinked="1"/>
        <c:majorTickMark val="in"/>
        <c:minorTickMark val="none"/>
        <c:tickLblPos val="low"/>
        <c:spPr>
          <a:noFill/>
          <a:ln w="5080" cap="flat" cmpd="sng" algn="ctr">
            <a:solidFill>
              <a:schemeClr val="tx1"/>
            </a:solidFill>
            <a:round/>
          </a:ln>
          <a:effectLst/>
        </c:spPr>
        <c:txPr>
          <a:bodyPr rot="0" spcFirstLastPara="1" vertOverflow="ellipsis" vert="horz" wrap="square" anchor="ctr" anchorCtr="0"/>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88320"/>
        <c:crossesAt val="-0.7"/>
        <c:auto val="0"/>
        <c:lblAlgn val="ctr"/>
        <c:lblOffset val="150"/>
        <c:tickMarkSkip val="4"/>
        <c:noMultiLvlLbl val="0"/>
      </c:catAx>
      <c:valAx>
        <c:axId val="188888320"/>
        <c:scaling>
          <c:orientation val="minMax"/>
          <c:max val="0.2"/>
          <c:min val="-0.7"/>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lang="zh-CN" sz="450" b="0" i="0" u="none" strike="noStrike" kern="1200" baseline="0">
                    <a:solidFill>
                      <a:sysClr val="windowText" lastClr="000000"/>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凝结水量</a:t>
                </a:r>
                <a:r>
                  <a:rPr lang="en-US" altLang="zh-CN" sz="450">
                    <a:solidFill>
                      <a:sysClr val="windowText" lastClr="000000"/>
                    </a:solidFill>
                    <a:latin typeface="宋体" panose="02010600030101010101" charset="-122"/>
                    <a:ea typeface="宋体" panose="02010600030101010101" charset="-122"/>
                  </a:rPr>
                  <a:t>/</a:t>
                </a:r>
                <a:r>
                  <a:rPr lang="en-US" altLang="zh-CN" sz="4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450">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0421168284197034"/>
              <c:y val="0.30894845468105"/>
            </c:manualLayout>
          </c:layout>
          <c:overlay val="0"/>
          <c:spPr>
            <a:noFill/>
            <a:ln>
              <a:noFill/>
            </a:ln>
            <a:effectLst/>
          </c:spPr>
        </c:title>
        <c:numFmt formatCode="General" sourceLinked="0"/>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92480"/>
        <c:crosses val="autoZero"/>
        <c:crossBetween val="midCat"/>
        <c:majorUnit val="0.1"/>
        <c:minorUnit val="0.1"/>
      </c:valAx>
      <c:catAx>
        <c:axId val="804323280"/>
        <c:scaling>
          <c:orientation val="minMax"/>
        </c:scaling>
        <c:delete val="1"/>
        <c:axPos val="b"/>
        <c:numFmt formatCode="h:mm"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7856"/>
        <c:crossesAt val="0"/>
        <c:auto val="1"/>
        <c:lblAlgn val="ctr"/>
        <c:lblOffset val="100"/>
        <c:noMultiLvlLbl val="0"/>
      </c:catAx>
      <c:valAx>
        <c:axId val="804327856"/>
        <c:scaling>
          <c:orientation val="minMax"/>
        </c:scaling>
        <c:delete val="0"/>
        <c:axPos val="l"/>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3280"/>
        <c:crossesAt val="1"/>
        <c:crossBetween val="midCat"/>
      </c:valAx>
      <c:spPr>
        <a:noFill/>
        <a:ln w="5080">
          <a:noFill/>
        </a:ln>
        <a:effectLst/>
      </c:spPr>
    </c:plotArea>
    <c:legend>
      <c:legendPos val="b"/>
      <c:legendEntry>
        <c:idx val="0"/>
        <c:delete val="1"/>
      </c:legendEntry>
      <c:legendEntry>
        <c:idx val="1"/>
        <c:delete val="1"/>
      </c:legendEntry>
      <c:layout>
        <c:manualLayout>
          <c:xMode val="edge"/>
          <c:yMode val="edge"/>
          <c:x val="0.41584918673487"/>
          <c:y val="0.652354467252287"/>
          <c:w val="0.54794566737552"/>
          <c:h val="0.0984176534366007"/>
        </c:manualLayout>
      </c:layout>
      <c:overlay val="0"/>
      <c:spPr>
        <a:noFill/>
        <a:ln>
          <a:noFill/>
        </a:ln>
        <a:effectLst/>
      </c:spPr>
      <c:txPr>
        <a:bodyPr rot="0" spcFirstLastPara="1" vertOverflow="ellipsis" vert="horz" wrap="square" anchor="ctr" anchorCtr="1"/>
        <a:lstStyle/>
        <a:p>
          <a:pPr>
            <a:defRPr lang="zh-CN" sz="4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55ace22c-112b-414c-aa86-1bdb41e74a03}"/>
      </c:ext>
    </c:extLst>
  </c:chart>
  <c:spPr>
    <a:solidFill>
      <a:schemeClr val="bg1"/>
    </a:solidFill>
    <a:ln w="5080" cap="flat" cmpd="sng" algn="ctr">
      <a:noFill/>
      <a:round/>
    </a:ln>
    <a:effectLst/>
  </c:spPr>
  <c:txPr>
    <a:bodyPr/>
    <a:lstStyle/>
    <a:p>
      <a:pPr>
        <a:defRPr lang="zh-CN"/>
      </a:pPr>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5790848724555"/>
          <c:y val="0.112715294542337"/>
          <c:w val="0.706885836350748"/>
          <c:h val="0.675866315168754"/>
        </c:manualLayout>
      </c:layout>
      <c:lineChart>
        <c:grouping val="standard"/>
        <c:varyColors val="0"/>
        <c:ser>
          <c:idx val="0"/>
          <c:order val="0"/>
          <c:tx>
            <c:strRef>
              <c:f>'图4 苗期2019不覆膜'!$B$1:$B$2</c:f>
              <c:strCache>
                <c:ptCount val="1"/>
                <c:pt idx="0">
                  <c:v>2018年不覆膜</c:v>
                </c:pt>
              </c:strCache>
            </c:strRef>
          </c:tx>
          <c:spPr>
            <a:ln w="7620" cap="rnd">
              <a:solidFill>
                <a:srgbClr val="00FF00"/>
              </a:solidFill>
              <a:round/>
            </a:ln>
            <a:effectLst/>
          </c:spPr>
          <c:marker>
            <c:symbol val="triangle"/>
            <c:size val="4"/>
            <c:spPr>
              <a:noFill/>
              <a:ln w="7620">
                <a:solidFill>
                  <a:srgbClr val="00FF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苗期2019不覆膜'!$B$3:$B$27</c:f>
              <c:numCache>
                <c:formatCode>General</c:formatCode>
                <c:ptCount val="25"/>
                <c:pt idx="0">
                  <c:v>0</c:v>
                </c:pt>
              </c:numCache>
            </c:numRef>
          </c:val>
          <c:smooth val="0"/>
        </c:ser>
        <c:ser>
          <c:idx val="1"/>
          <c:order val="1"/>
          <c:tx>
            <c:strRef>
              <c:f>'图4 苗期2019不覆膜'!$C$1:$C$2</c:f>
              <c:strCache>
                <c:ptCount val="1"/>
                <c:pt idx="0">
                  <c:v>2018年覆膜</c:v>
                </c:pt>
              </c:strCache>
            </c:strRef>
          </c:tx>
          <c:spPr>
            <a:ln w="7620" cap="rnd">
              <a:solidFill>
                <a:srgbClr val="C00000"/>
              </a:solidFill>
              <a:round/>
            </a:ln>
            <a:effectLst/>
          </c:spPr>
          <c:marker>
            <c:symbol val="square"/>
            <c:size val="4"/>
            <c:spPr>
              <a:no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苗期2019不覆膜'!$C$3:$C$27</c:f>
              <c:numCache>
                <c:formatCode>General</c:formatCode>
                <c:ptCount val="25"/>
                <c:pt idx="0">
                  <c:v>0</c:v>
                </c:pt>
              </c:numCache>
            </c:numRef>
          </c:val>
          <c:smooth val="0"/>
        </c:ser>
        <c:dLbls>
          <c:showLegendKey val="0"/>
          <c:showVal val="0"/>
          <c:showCatName val="0"/>
          <c:showSerName val="0"/>
          <c:showPercent val="0"/>
          <c:showBubbleSize val="0"/>
        </c:dLbls>
        <c:marker val="1"/>
        <c:smooth val="0"/>
        <c:axId val="188892480"/>
        <c:axId val="188888320"/>
      </c:lineChart>
      <c:lineChart>
        <c:grouping val="standard"/>
        <c:varyColors val="0"/>
        <c:ser>
          <c:idx val="2"/>
          <c:order val="2"/>
          <c:tx>
            <c:strRef>
              <c:f>'图4 苗期2019不覆膜'!$D$1:$D$2</c:f>
              <c:strCache>
                <c:ptCount val="1"/>
                <c:pt idx="0">
                  <c:v>2020年覆膜</c:v>
                </c:pt>
              </c:strCache>
            </c:strRef>
          </c:tx>
          <c:spPr>
            <a:ln w="6350" cap="rnd">
              <a:solidFill>
                <a:srgbClr val="0000FF"/>
              </a:solidFill>
              <a:round/>
            </a:ln>
            <a:effectLst/>
          </c:spPr>
          <c:marker>
            <c:symbol val="circle"/>
            <c:size val="3"/>
            <c:spPr>
              <a:solidFill>
                <a:srgbClr val="0000FF"/>
              </a:solidFill>
              <a:ln w="7620">
                <a:solidFill>
                  <a:srgbClr val="0000FF"/>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苗期2019不覆膜'!$D$3:$D$27</c:f>
              <c:numCache>
                <c:formatCode>General</c:formatCode>
                <c:ptCount val="25"/>
                <c:pt idx="0">
                  <c:v>0</c:v>
                </c:pt>
                <c:pt idx="1" c:formatCode="0.00">
                  <c:v>-0.08741</c:v>
                </c:pt>
                <c:pt idx="2" c:formatCode="0.00">
                  <c:v>-0.10753</c:v>
                </c:pt>
                <c:pt idx="3" c:formatCode="0.00">
                  <c:v>-0.13337</c:v>
                </c:pt>
                <c:pt idx="4" c:formatCode="0.00">
                  <c:v>-0.20046</c:v>
                </c:pt>
                <c:pt idx="5" c:formatCode="0.00">
                  <c:v>-0.30605</c:v>
                </c:pt>
                <c:pt idx="6" c:formatCode="0.00">
                  <c:v>-0.46403</c:v>
                </c:pt>
                <c:pt idx="7" c:formatCode="0.00">
                  <c:v>-0.41556</c:v>
                </c:pt>
                <c:pt idx="8" c:formatCode="0.00">
                  <c:v>-0.418</c:v>
                </c:pt>
                <c:pt idx="9" c:formatCode="0.00">
                  <c:v>-0.21681</c:v>
                </c:pt>
                <c:pt idx="10" c:formatCode="0.00">
                  <c:v>-0.27939</c:v>
                </c:pt>
                <c:pt idx="11" c:formatCode="0.00">
                  <c:v>-0.17776</c:v>
                </c:pt>
                <c:pt idx="12" c:formatCode="0.00">
                  <c:v>-0.08071</c:v>
                </c:pt>
                <c:pt idx="13" c:formatCode="0.00">
                  <c:v>-0.05013</c:v>
                </c:pt>
                <c:pt idx="14" c:formatCode="0.00">
                  <c:v>-0.01243</c:v>
                </c:pt>
                <c:pt idx="15" c:formatCode="0.00">
                  <c:v>0.05258</c:v>
                </c:pt>
                <c:pt idx="16" c:formatCode="0.00">
                  <c:v>0.03242</c:v>
                </c:pt>
                <c:pt idx="17" c:formatCode="0.00">
                  <c:v>0.05586</c:v>
                </c:pt>
                <c:pt idx="18" c:formatCode="0.00">
                  <c:v>0.03985</c:v>
                </c:pt>
                <c:pt idx="19" c:formatCode="0.00">
                  <c:v>0.03951</c:v>
                </c:pt>
                <c:pt idx="20" c:formatCode="0.00">
                  <c:v>0.02826</c:v>
                </c:pt>
                <c:pt idx="21" c:formatCode="0.00">
                  <c:v>0.0253</c:v>
                </c:pt>
                <c:pt idx="22" c:formatCode="0.00">
                  <c:v>0.00369</c:v>
                </c:pt>
                <c:pt idx="23" c:formatCode="0.00">
                  <c:v>0.02683</c:v>
                </c:pt>
                <c:pt idx="24" c:formatCode="0.00">
                  <c:v>0.00635</c:v>
                </c:pt>
              </c:numCache>
            </c:numRef>
          </c:val>
          <c:smooth val="0"/>
        </c:ser>
        <c:dLbls>
          <c:showLegendKey val="0"/>
          <c:showVal val="0"/>
          <c:showCatName val="0"/>
          <c:showSerName val="0"/>
          <c:showPercent val="0"/>
          <c:showBubbleSize val="0"/>
        </c:dLbls>
        <c:marker val="1"/>
        <c:smooth val="0"/>
        <c:axId val="804323280"/>
        <c:axId val="804327856"/>
      </c:lineChart>
      <c:catAx>
        <c:axId val="188892480"/>
        <c:scaling>
          <c:orientation val="minMax"/>
        </c:scaling>
        <c:delete val="0"/>
        <c:axPos val="b"/>
        <c:title>
          <c:tx>
            <c:rich>
              <a:bodyPr rot="0" spcFirstLastPara="1" vertOverflow="ellipsis" vert="horz" wrap="square" anchor="ctr" anchorCtr="1"/>
              <a:lstStyle/>
              <a:p>
                <a:pPr>
                  <a:defRPr lang="zh-CN" sz="450" b="0" i="0" u="none" strike="noStrike" kern="1200" baseline="0">
                    <a:solidFill>
                      <a:schemeClr val="tx1">
                        <a:lumMod val="65000"/>
                        <a:lumOff val="35000"/>
                      </a:schemeClr>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时间</a:t>
                </a:r>
                <a:endParaRPr lang="zh-CN" altLang="en-US" sz="450">
                  <a:solidFill>
                    <a:sysClr val="windowText" lastClr="000000"/>
                  </a:solidFill>
                  <a:latin typeface="宋体" panose="02010600030101010101" charset="-122"/>
                  <a:ea typeface="宋体" panose="02010600030101010101" charset="-122"/>
                </a:endParaRPr>
              </a:p>
            </c:rich>
          </c:tx>
          <c:layout>
            <c:manualLayout>
              <c:xMode val="edge"/>
              <c:yMode val="edge"/>
              <c:x val="0.507300579925191"/>
              <c:y val="0.894969041260679"/>
            </c:manualLayout>
          </c:layout>
          <c:overlay val="0"/>
          <c:spPr>
            <a:noFill/>
            <a:ln>
              <a:noFill/>
            </a:ln>
            <a:effectLst/>
          </c:spPr>
        </c:title>
        <c:numFmt formatCode="h:mm" sourceLinked="1"/>
        <c:majorTickMark val="in"/>
        <c:minorTickMark val="none"/>
        <c:tickLblPos val="low"/>
        <c:spPr>
          <a:noFill/>
          <a:ln w="5080" cap="flat" cmpd="sng" algn="ctr">
            <a:solidFill>
              <a:schemeClr val="tx1"/>
            </a:solidFill>
            <a:round/>
          </a:ln>
          <a:effectLst/>
        </c:spPr>
        <c:txPr>
          <a:bodyPr rot="0" spcFirstLastPara="1" vertOverflow="ellipsis" vert="horz" wrap="square" anchor="ctr" anchorCtr="0"/>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88320"/>
        <c:crossesAt val="-0.7"/>
        <c:auto val="0"/>
        <c:lblAlgn val="ctr"/>
        <c:lblOffset val="150"/>
        <c:tickMarkSkip val="4"/>
        <c:noMultiLvlLbl val="0"/>
      </c:catAx>
      <c:valAx>
        <c:axId val="188888320"/>
        <c:scaling>
          <c:orientation val="minMax"/>
          <c:max val="0.2"/>
          <c:min val="-0.7"/>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lang="zh-CN" sz="450" b="0" i="0" u="none" strike="noStrike" kern="1200" baseline="0">
                    <a:solidFill>
                      <a:sysClr val="windowText" lastClr="000000"/>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凝结水量</a:t>
                </a:r>
                <a:r>
                  <a:rPr lang="en-US" altLang="zh-CN" sz="450">
                    <a:solidFill>
                      <a:sysClr val="windowText" lastClr="000000"/>
                    </a:solidFill>
                    <a:latin typeface="宋体" panose="02010600030101010101" charset="-122"/>
                    <a:ea typeface="宋体" panose="02010600030101010101" charset="-122"/>
                  </a:rPr>
                  <a:t>/</a:t>
                </a:r>
                <a:r>
                  <a:rPr lang="en-US" altLang="zh-CN" sz="4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450">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0421168284197034"/>
              <c:y val="0.30894845468105"/>
            </c:manualLayout>
          </c:layout>
          <c:overlay val="0"/>
          <c:spPr>
            <a:noFill/>
            <a:ln>
              <a:noFill/>
            </a:ln>
            <a:effectLst/>
          </c:spPr>
        </c:title>
        <c:numFmt formatCode="General" sourceLinked="0"/>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92480"/>
        <c:crosses val="autoZero"/>
        <c:crossBetween val="midCat"/>
        <c:majorUnit val="0.1"/>
        <c:minorUnit val="0.1"/>
      </c:valAx>
      <c:catAx>
        <c:axId val="804323280"/>
        <c:scaling>
          <c:orientation val="minMax"/>
        </c:scaling>
        <c:delete val="1"/>
        <c:axPos val="b"/>
        <c:numFmt formatCode="h:mm"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7856"/>
        <c:crossesAt val="0"/>
        <c:auto val="1"/>
        <c:lblAlgn val="ctr"/>
        <c:lblOffset val="100"/>
        <c:noMultiLvlLbl val="0"/>
      </c:catAx>
      <c:valAx>
        <c:axId val="804327856"/>
        <c:scaling>
          <c:orientation val="minMax"/>
        </c:scaling>
        <c:delete val="0"/>
        <c:axPos val="l"/>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3280"/>
        <c:crossesAt val="1"/>
        <c:crossBetween val="midCat"/>
      </c:valAx>
      <c:spPr>
        <a:noFill/>
        <a:ln w="5080">
          <a:noFill/>
        </a:ln>
        <a:effectLst/>
      </c:spPr>
    </c:plotArea>
    <c:legend>
      <c:legendPos val="b"/>
      <c:legendEntry>
        <c:idx val="0"/>
        <c:delete val="1"/>
      </c:legendEntry>
      <c:legendEntry>
        <c:idx val="1"/>
        <c:delete val="1"/>
      </c:legendEntry>
      <c:layout>
        <c:manualLayout>
          <c:xMode val="edge"/>
          <c:yMode val="edge"/>
          <c:x val="0.386652106442899"/>
          <c:y val="0.652354734420704"/>
          <c:w val="0.528480947180872"/>
          <c:h val="0.0984176534366007"/>
        </c:manualLayout>
      </c:layout>
      <c:overlay val="0"/>
      <c:spPr>
        <a:noFill/>
        <a:ln>
          <a:noFill/>
        </a:ln>
        <a:effectLst/>
      </c:spPr>
      <c:txPr>
        <a:bodyPr rot="0" spcFirstLastPara="1" vertOverflow="ellipsis" vert="horz" wrap="square" anchor="ctr" anchorCtr="1"/>
        <a:lstStyle/>
        <a:p>
          <a:pPr>
            <a:defRPr lang="zh-CN" sz="4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7769ea72-9063-4485-95de-eccb2f889218}"/>
      </c:ext>
    </c:extLst>
  </c:chart>
  <c:spPr>
    <a:solidFill>
      <a:schemeClr val="bg1"/>
    </a:solidFill>
    <a:ln w="5080" cap="flat" cmpd="sng" algn="ctr">
      <a:noFill/>
      <a:round/>
    </a:ln>
    <a:effectLst/>
  </c:spPr>
  <c:txPr>
    <a:bodyPr/>
    <a:lstStyle/>
    <a:p>
      <a:pPr>
        <a:defRPr lang="zh-CN"/>
      </a:pPr>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5790848724555"/>
          <c:y val="0.112715294542337"/>
          <c:w val="0.706885836350748"/>
          <c:h val="0.675866315168754"/>
        </c:manualLayout>
      </c:layout>
      <c:lineChart>
        <c:grouping val="standard"/>
        <c:varyColors val="0"/>
        <c:ser>
          <c:idx val="0"/>
          <c:order val="0"/>
          <c:tx>
            <c:strRef>
              <c:f>'图4 苗期2019不覆膜'!$B$1:$B$2</c:f>
              <c:strCache>
                <c:ptCount val="1"/>
                <c:pt idx="0">
                  <c:v>2018年不覆膜</c:v>
                </c:pt>
              </c:strCache>
            </c:strRef>
          </c:tx>
          <c:spPr>
            <a:ln w="7620" cap="rnd">
              <a:solidFill>
                <a:srgbClr val="00FF00"/>
              </a:solidFill>
              <a:round/>
            </a:ln>
            <a:effectLst/>
          </c:spPr>
          <c:marker>
            <c:symbol val="triangle"/>
            <c:size val="4"/>
            <c:spPr>
              <a:noFill/>
              <a:ln w="7620">
                <a:solidFill>
                  <a:srgbClr val="00FF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苗期2019不覆膜'!$B$3:$B$27</c:f>
              <c:numCache>
                <c:formatCode>General</c:formatCode>
                <c:ptCount val="25"/>
                <c:pt idx="0">
                  <c:v>0</c:v>
                </c:pt>
              </c:numCache>
            </c:numRef>
          </c:val>
          <c:smooth val="0"/>
        </c:ser>
        <c:ser>
          <c:idx val="1"/>
          <c:order val="1"/>
          <c:tx>
            <c:strRef>
              <c:f>'图4 苗期2019不覆膜'!$C$1:$C$2</c:f>
              <c:strCache>
                <c:ptCount val="1"/>
                <c:pt idx="0">
                  <c:v>2018年覆膜</c:v>
                </c:pt>
              </c:strCache>
            </c:strRef>
          </c:tx>
          <c:spPr>
            <a:ln w="7620" cap="rnd">
              <a:solidFill>
                <a:srgbClr val="C00000"/>
              </a:solidFill>
              <a:round/>
            </a:ln>
            <a:effectLst/>
          </c:spPr>
          <c:marker>
            <c:symbol val="square"/>
            <c:size val="4"/>
            <c:spPr>
              <a:no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苗期2019不覆膜'!$C$3:$C$27</c:f>
              <c:numCache>
                <c:formatCode>General</c:formatCode>
                <c:ptCount val="25"/>
                <c:pt idx="0">
                  <c:v>0</c:v>
                </c:pt>
              </c:numCache>
            </c:numRef>
          </c:val>
          <c:smooth val="0"/>
        </c:ser>
        <c:dLbls>
          <c:showLegendKey val="0"/>
          <c:showVal val="0"/>
          <c:showCatName val="0"/>
          <c:showSerName val="0"/>
          <c:showPercent val="0"/>
          <c:showBubbleSize val="0"/>
        </c:dLbls>
        <c:marker val="1"/>
        <c:smooth val="0"/>
        <c:axId val="188892480"/>
        <c:axId val="188888320"/>
      </c:lineChart>
      <c:lineChart>
        <c:grouping val="standard"/>
        <c:varyColors val="0"/>
        <c:ser>
          <c:idx val="2"/>
          <c:order val="2"/>
          <c:tx>
            <c:strRef>
              <c:f>'图4 苗期2019不覆膜'!$D$1:$D$2</c:f>
              <c:strCache>
                <c:ptCount val="1"/>
                <c:pt idx="0">
                  <c:v>2019年不覆膜</c:v>
                </c:pt>
              </c:strCache>
            </c:strRef>
          </c:tx>
          <c:spPr>
            <a:ln w="6350" cap="rnd">
              <a:solidFill>
                <a:srgbClr val="C00000"/>
              </a:solidFill>
              <a:round/>
            </a:ln>
            <a:effectLst/>
          </c:spPr>
          <c:marker>
            <c:symbol val="circle"/>
            <c:size val="3"/>
            <c:spPr>
              <a:no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苗期2019不覆膜'!$D$3:$D$27</c:f>
              <c:numCache>
                <c:formatCode>General</c:formatCode>
                <c:ptCount val="25"/>
                <c:pt idx="0">
                  <c:v>0</c:v>
                </c:pt>
                <c:pt idx="1" c:formatCode="0.00">
                  <c:v>-0.09239</c:v>
                </c:pt>
                <c:pt idx="2" c:formatCode="0.00">
                  <c:v>-0.17846</c:v>
                </c:pt>
                <c:pt idx="3" c:formatCode="0.00">
                  <c:v>-0.23728</c:v>
                </c:pt>
                <c:pt idx="4" c:formatCode="0.00">
                  <c:v>-0.33123</c:v>
                </c:pt>
                <c:pt idx="5" c:formatCode="0.00">
                  <c:v>-0.32811</c:v>
                </c:pt>
                <c:pt idx="6" c:formatCode="0.00">
                  <c:v>-0.33968</c:v>
                </c:pt>
                <c:pt idx="7" c:formatCode="0.00">
                  <c:v>-0.3371</c:v>
                </c:pt>
                <c:pt idx="8" c:formatCode="0.00">
                  <c:v>-0.27987</c:v>
                </c:pt>
                <c:pt idx="9" c:formatCode="0.00">
                  <c:v>-0.21982</c:v>
                </c:pt>
                <c:pt idx="10" c:formatCode="0.00">
                  <c:v>-0.13603</c:v>
                </c:pt>
                <c:pt idx="11" c:formatCode="0.00">
                  <c:v>-0.08473</c:v>
                </c:pt>
                <c:pt idx="12" c:formatCode="0.00">
                  <c:v>-0.04721</c:v>
                </c:pt>
                <c:pt idx="13" c:formatCode="0.00">
                  <c:v>-0.02327</c:v>
                </c:pt>
                <c:pt idx="14" c:formatCode="0.00">
                  <c:v>0.05697</c:v>
                </c:pt>
                <c:pt idx="15" c:formatCode="0.00">
                  <c:v>0.06644</c:v>
                </c:pt>
                <c:pt idx="16" c:formatCode="0.00">
                  <c:v>0.03921</c:v>
                </c:pt>
                <c:pt idx="17" c:formatCode="0.00">
                  <c:v>0.02197</c:v>
                </c:pt>
                <c:pt idx="18" c:formatCode="0.00">
                  <c:v>0.07242</c:v>
                </c:pt>
                <c:pt idx="19" c:formatCode="0.00">
                  <c:v>0.03793</c:v>
                </c:pt>
                <c:pt idx="20" c:formatCode="0.00">
                  <c:v>0.0451</c:v>
                </c:pt>
                <c:pt idx="21" c:formatCode="0.00">
                  <c:v>0.05076</c:v>
                </c:pt>
                <c:pt idx="22" c:formatCode="0.00">
                  <c:v>-0.000286232</c:v>
                </c:pt>
                <c:pt idx="23" c:formatCode="0.00">
                  <c:v>0.00256</c:v>
                </c:pt>
                <c:pt idx="24" c:formatCode="0.00">
                  <c:v>-0.01454</c:v>
                </c:pt>
              </c:numCache>
            </c:numRef>
          </c:val>
          <c:smooth val="0"/>
        </c:ser>
        <c:dLbls>
          <c:showLegendKey val="0"/>
          <c:showVal val="0"/>
          <c:showCatName val="0"/>
          <c:showSerName val="0"/>
          <c:showPercent val="0"/>
          <c:showBubbleSize val="0"/>
        </c:dLbls>
        <c:marker val="1"/>
        <c:smooth val="0"/>
        <c:axId val="804323280"/>
        <c:axId val="804327856"/>
      </c:lineChart>
      <c:catAx>
        <c:axId val="188892480"/>
        <c:scaling>
          <c:orientation val="minMax"/>
        </c:scaling>
        <c:delete val="0"/>
        <c:axPos val="b"/>
        <c:title>
          <c:tx>
            <c:rich>
              <a:bodyPr rot="0" spcFirstLastPara="1" vertOverflow="ellipsis" vert="horz" wrap="square" anchor="ctr" anchorCtr="1"/>
              <a:lstStyle/>
              <a:p>
                <a:pPr>
                  <a:defRPr lang="zh-CN" sz="450" b="0" i="0" u="none" strike="noStrike" kern="1200" baseline="0">
                    <a:solidFill>
                      <a:schemeClr val="tx1">
                        <a:lumMod val="65000"/>
                        <a:lumOff val="35000"/>
                      </a:schemeClr>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时间</a:t>
                </a:r>
                <a:endParaRPr lang="zh-CN" altLang="en-US" sz="450">
                  <a:solidFill>
                    <a:sysClr val="windowText" lastClr="000000"/>
                  </a:solidFill>
                  <a:latin typeface="宋体" panose="02010600030101010101" charset="-122"/>
                  <a:ea typeface="宋体" panose="02010600030101010101" charset="-122"/>
                </a:endParaRPr>
              </a:p>
            </c:rich>
          </c:tx>
          <c:layout>
            <c:manualLayout>
              <c:xMode val="edge"/>
              <c:yMode val="edge"/>
              <c:x val="0.507300579925191"/>
              <c:y val="0.894969041260679"/>
            </c:manualLayout>
          </c:layout>
          <c:overlay val="0"/>
          <c:spPr>
            <a:noFill/>
            <a:ln>
              <a:noFill/>
            </a:ln>
            <a:effectLst/>
          </c:spPr>
        </c:title>
        <c:numFmt formatCode="h:mm" sourceLinked="1"/>
        <c:majorTickMark val="in"/>
        <c:minorTickMark val="none"/>
        <c:tickLblPos val="low"/>
        <c:spPr>
          <a:noFill/>
          <a:ln w="5080" cap="flat" cmpd="sng" algn="ctr">
            <a:solidFill>
              <a:schemeClr val="tx1"/>
            </a:solidFill>
            <a:round/>
          </a:ln>
          <a:effectLst/>
        </c:spPr>
        <c:txPr>
          <a:bodyPr rot="0" spcFirstLastPara="1" vertOverflow="ellipsis" vert="horz" wrap="square" anchor="ctr" anchorCtr="0"/>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88320"/>
        <c:crossesAt val="-0.7"/>
        <c:auto val="0"/>
        <c:lblAlgn val="ctr"/>
        <c:lblOffset val="150"/>
        <c:tickMarkSkip val="4"/>
        <c:noMultiLvlLbl val="0"/>
      </c:catAx>
      <c:valAx>
        <c:axId val="188888320"/>
        <c:scaling>
          <c:orientation val="minMax"/>
          <c:max val="0.2"/>
          <c:min val="-0.7"/>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lang="zh-CN" sz="450" b="0" i="0" u="none" strike="noStrike" kern="1200" baseline="0">
                    <a:solidFill>
                      <a:sysClr val="windowText" lastClr="000000"/>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凝结水量</a:t>
                </a:r>
                <a:r>
                  <a:rPr lang="en-US" altLang="zh-CN" sz="450">
                    <a:solidFill>
                      <a:sysClr val="windowText" lastClr="000000"/>
                    </a:solidFill>
                    <a:latin typeface="宋体" panose="02010600030101010101" charset="-122"/>
                    <a:ea typeface="宋体" panose="02010600030101010101" charset="-122"/>
                  </a:rPr>
                  <a:t>/</a:t>
                </a:r>
                <a:r>
                  <a:rPr lang="en-US" altLang="zh-CN" sz="4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450">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0421168284197034"/>
              <c:y val="0.30894845468105"/>
            </c:manualLayout>
          </c:layout>
          <c:overlay val="0"/>
          <c:spPr>
            <a:noFill/>
            <a:ln>
              <a:noFill/>
            </a:ln>
            <a:effectLst/>
          </c:spPr>
        </c:title>
        <c:numFmt formatCode="General" sourceLinked="0"/>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92480"/>
        <c:crosses val="autoZero"/>
        <c:crossBetween val="midCat"/>
        <c:majorUnit val="0.1"/>
        <c:minorUnit val="0.1"/>
      </c:valAx>
      <c:catAx>
        <c:axId val="804323280"/>
        <c:scaling>
          <c:orientation val="minMax"/>
        </c:scaling>
        <c:delete val="1"/>
        <c:axPos val="b"/>
        <c:numFmt formatCode="h:mm"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7856"/>
        <c:crossesAt val="0"/>
        <c:auto val="1"/>
        <c:lblAlgn val="ctr"/>
        <c:lblOffset val="100"/>
        <c:noMultiLvlLbl val="0"/>
      </c:catAx>
      <c:valAx>
        <c:axId val="804327856"/>
        <c:scaling>
          <c:orientation val="minMax"/>
        </c:scaling>
        <c:delete val="0"/>
        <c:axPos val="l"/>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3280"/>
        <c:crossesAt val="1"/>
        <c:crossBetween val="midCat"/>
      </c:valAx>
      <c:spPr>
        <a:noFill/>
        <a:ln w="5080">
          <a:noFill/>
        </a:ln>
        <a:effectLst/>
      </c:spPr>
    </c:plotArea>
    <c:legend>
      <c:legendPos val="b"/>
      <c:legendEntry>
        <c:idx val="0"/>
        <c:delete val="1"/>
      </c:legendEntry>
      <c:legendEntry>
        <c:idx val="1"/>
        <c:delete val="1"/>
      </c:legendEntry>
      <c:layout>
        <c:manualLayout>
          <c:xMode val="edge"/>
          <c:yMode val="edge"/>
          <c:x val="0.357455026150928"/>
          <c:y val="0.652354734420704"/>
          <c:w val="0.557678027472843"/>
          <c:h val="0.0984176534366007"/>
        </c:manualLayout>
      </c:layout>
      <c:overlay val="0"/>
      <c:spPr>
        <a:noFill/>
        <a:ln>
          <a:noFill/>
        </a:ln>
        <a:effectLst/>
      </c:spPr>
      <c:txPr>
        <a:bodyPr rot="0" spcFirstLastPara="1" vertOverflow="ellipsis" vert="horz" wrap="square" anchor="ctr" anchorCtr="1"/>
        <a:lstStyle/>
        <a:p>
          <a:pPr>
            <a:defRPr lang="zh-CN" sz="4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1fae2e6b-86b1-48dd-905c-8ebaeac34c78}"/>
      </c:ext>
    </c:extLst>
  </c:chart>
  <c:spPr>
    <a:solidFill>
      <a:schemeClr val="bg1"/>
    </a:solidFill>
    <a:ln w="5080" cap="flat" cmpd="sng" algn="ctr">
      <a:no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0967828492649"/>
          <c:y val="0.0705634484083264"/>
          <c:w val="0.739490548405304"/>
          <c:h val="0.720607240671003"/>
        </c:manualLayout>
      </c:layout>
      <c:lineChart>
        <c:grouping val="standard"/>
        <c:varyColors val="0"/>
        <c:ser>
          <c:idx val="0"/>
          <c:order val="0"/>
          <c:tx>
            <c:strRef>
              <c:f>图3!$B$1:$B$2</c:f>
              <c:strCache>
                <c:ptCount val="1"/>
                <c:pt idx="0">
                  <c:v>2018年覆膜</c:v>
                </c:pt>
              </c:strCache>
            </c:strRef>
          </c:tx>
          <c:spPr>
            <a:ln w="7620" cap="rnd">
              <a:solidFill>
                <a:srgbClr val="C00000"/>
              </a:solidFill>
              <a:round/>
            </a:ln>
            <a:effectLst/>
          </c:spPr>
          <c:marker>
            <c:symbol val="triangle"/>
            <c:size val="3"/>
            <c:spPr>
              <a:noFill/>
              <a:ln w="7620">
                <a:solidFill>
                  <a:srgbClr val="C00000"/>
                </a:solidFill>
              </a:ln>
              <a:effectLst/>
            </c:spPr>
          </c:marker>
          <c:dLbls>
            <c:delete val="1"/>
          </c:dLbls>
          <c:cat>
            <c:numRef>
              <c:f>图3!$A$3:$A$27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图3!$B$3:$B$27</c:f>
              <c:numCache>
                <c:formatCode>General</c:formatCode>
                <c:ptCount val="25"/>
                <c:pt idx="0">
                  <c:v>0</c:v>
                </c:pt>
                <c:pt idx="1" c:formatCode="0.00">
                  <c:v>-0.11486</c:v>
                </c:pt>
                <c:pt idx="2" c:formatCode="0.00">
                  <c:v>-0.2116</c:v>
                </c:pt>
                <c:pt idx="3" c:formatCode="0.00">
                  <c:v>-0.22469</c:v>
                </c:pt>
                <c:pt idx="4" c:formatCode="0.00">
                  <c:v>-0.23938</c:v>
                </c:pt>
                <c:pt idx="5" c:formatCode="0.00">
                  <c:v>-0.26308</c:v>
                </c:pt>
                <c:pt idx="6" c:formatCode="0.00">
                  <c:v>-0.33431</c:v>
                </c:pt>
                <c:pt idx="7" c:formatCode="0.00">
                  <c:v>-0.27354</c:v>
                </c:pt>
                <c:pt idx="8" c:formatCode="0.00">
                  <c:v>-0.27121</c:v>
                </c:pt>
                <c:pt idx="9" c:formatCode="0.00">
                  <c:v>-0.23445</c:v>
                </c:pt>
                <c:pt idx="10" c:formatCode="0.00">
                  <c:v>-0.20251</c:v>
                </c:pt>
                <c:pt idx="11" c:formatCode="0.00">
                  <c:v>-0.17468</c:v>
                </c:pt>
                <c:pt idx="12" c:formatCode="0.00">
                  <c:v>-0.10037</c:v>
                </c:pt>
                <c:pt idx="13" c:formatCode="0.00">
                  <c:v>-0.07688</c:v>
                </c:pt>
                <c:pt idx="14" c:formatCode="0.00">
                  <c:v>-0.03074</c:v>
                </c:pt>
                <c:pt idx="15" c:formatCode="0.00">
                  <c:v>0.00459</c:v>
                </c:pt>
                <c:pt idx="16" c:formatCode="0.00">
                  <c:v>0.02211</c:v>
                </c:pt>
                <c:pt idx="17" c:formatCode="0.00">
                  <c:v>0.00737</c:v>
                </c:pt>
                <c:pt idx="18" c:formatCode="0.00">
                  <c:v>0.01035</c:v>
                </c:pt>
                <c:pt idx="19" c:formatCode="0.00">
                  <c:v>0.00385</c:v>
                </c:pt>
                <c:pt idx="20" c:formatCode="0.00">
                  <c:v>0.02377</c:v>
                </c:pt>
                <c:pt idx="21" c:formatCode="0.00">
                  <c:v>0.02658</c:v>
                </c:pt>
                <c:pt idx="22" c:formatCode="0.00">
                  <c:v>0.01979</c:v>
                </c:pt>
                <c:pt idx="23" c:formatCode="0.00">
                  <c:v>-0.02675</c:v>
                </c:pt>
                <c:pt idx="24" c:formatCode="0.00">
                  <c:v>-0.06649</c:v>
                </c:pt>
              </c:numCache>
            </c:numRef>
          </c:val>
          <c:smooth val="0"/>
        </c:ser>
        <c:dLbls>
          <c:showLegendKey val="0"/>
          <c:showVal val="0"/>
          <c:showCatName val="0"/>
          <c:showSerName val="0"/>
          <c:showPercent val="0"/>
          <c:showBubbleSize val="0"/>
        </c:dLbls>
        <c:marker val="1"/>
        <c:smooth val="0"/>
        <c:axId val="188892480"/>
        <c:axId val="188888320"/>
      </c:lineChart>
      <c:catAx>
        <c:axId val="188892480"/>
        <c:scaling>
          <c:orientation val="minMax"/>
        </c:scaling>
        <c:delete val="0"/>
        <c:axPos val="b"/>
        <c:title>
          <c:tx>
            <c:rich>
              <a:bodyPr rot="0" spcFirstLastPara="1" vertOverflow="ellipsis"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r>
                  <a:rPr lang="zh-CN" altLang="en-US" sz="750">
                    <a:solidFill>
                      <a:sysClr val="windowText" lastClr="000000"/>
                    </a:solidFill>
                    <a:latin typeface="宋体" panose="02010600030101010101" charset="-122"/>
                    <a:ea typeface="宋体" panose="02010600030101010101" charset="-122"/>
                  </a:rPr>
                  <a:t>时间</a:t>
                </a:r>
                <a:endParaRPr lang="zh-CN" altLang="en-US" sz="750">
                  <a:solidFill>
                    <a:sysClr val="windowText" lastClr="000000"/>
                  </a:solidFill>
                  <a:latin typeface="宋体" panose="02010600030101010101" charset="-122"/>
                  <a:ea typeface="宋体" panose="02010600030101010101" charset="-122"/>
                </a:endParaRPr>
              </a:p>
            </c:rich>
          </c:tx>
          <c:layout>
            <c:manualLayout>
              <c:xMode val="edge"/>
              <c:yMode val="edge"/>
              <c:x val="0.519779522355338"/>
              <c:y val="0.931224442248203"/>
            </c:manualLayout>
          </c:layout>
          <c:overlay val="0"/>
          <c:spPr>
            <a:noFill/>
            <a:ln>
              <a:noFill/>
            </a:ln>
            <a:effectLst/>
          </c:spPr>
        </c:title>
        <c:numFmt formatCode="h:mm" sourceLinked="1"/>
        <c:majorTickMark val="in"/>
        <c:minorTickMark val="none"/>
        <c:tickLblPos val="low"/>
        <c:spPr>
          <a:noFill/>
          <a:ln w="5080" cap="flat" cmpd="sng" algn="ctr">
            <a:solidFill>
              <a:schemeClr val="tx1"/>
            </a:solidFill>
            <a:round/>
          </a:ln>
          <a:effectLst/>
        </c:spPr>
        <c:txPr>
          <a:bodyPr rot="0" spcFirstLastPara="1" vertOverflow="ellipsis" vert="horz" wrap="square" anchor="ctr" anchorCtr="0"/>
          <a:lstStyle/>
          <a:p>
            <a:pPr>
              <a:defRPr lang="zh-CN" sz="7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88320"/>
        <c:crossesAt val="-0.7"/>
        <c:auto val="0"/>
        <c:lblAlgn val="ctr"/>
        <c:lblOffset val="150"/>
        <c:tickMarkSkip val="3"/>
        <c:noMultiLvlLbl val="0"/>
      </c:catAx>
      <c:valAx>
        <c:axId val="188888320"/>
        <c:scaling>
          <c:orientation val="minMax"/>
          <c:max val="0.2"/>
          <c:min val="-0.7"/>
        </c:scaling>
        <c:delete val="0"/>
        <c:axPos val="l"/>
        <c:title>
          <c:tx>
            <c:rich>
              <a:bodyPr rot="-5400000" spcFirstLastPara="1" vertOverflow="ellipsis" vert="horz" wrap="square" anchor="ctr" anchorCtr="1"/>
              <a:lstStyle/>
              <a:p>
                <a:pPr>
                  <a:defRPr lang="zh-CN" sz="750" b="0" i="0" u="none" strike="noStrike" kern="1200" baseline="0">
                    <a:solidFill>
                      <a:sysClr val="windowText" lastClr="000000"/>
                    </a:solidFill>
                    <a:latin typeface="+mn-lt"/>
                    <a:ea typeface="+mn-ea"/>
                    <a:cs typeface="+mn-cs"/>
                  </a:defRPr>
                </a:pPr>
                <a:r>
                  <a:rPr lang="zh-CN" altLang="en-US" sz="750">
                    <a:solidFill>
                      <a:sysClr val="windowText" lastClr="000000"/>
                    </a:solidFill>
                    <a:latin typeface="宋体" panose="02010600030101010101" charset="-122"/>
                    <a:ea typeface="宋体" panose="02010600030101010101" charset="-122"/>
                  </a:rPr>
                  <a:t>凝结水量</a:t>
                </a:r>
                <a:r>
                  <a:rPr lang="en-US" altLang="zh-CN" sz="750">
                    <a:solidFill>
                      <a:sysClr val="windowText" lastClr="000000"/>
                    </a:solidFill>
                    <a:latin typeface="宋体" panose="02010600030101010101" charset="-122"/>
                    <a:ea typeface="宋体" panose="02010600030101010101" charset="-122"/>
                  </a:rPr>
                  <a:t>/</a:t>
                </a:r>
                <a:r>
                  <a:rPr lang="en-US" altLang="zh-CN" sz="7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750">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41415771304449"/>
              <c:y val="0.241100403346679"/>
            </c:manualLayout>
          </c:layout>
          <c:overlay val="0"/>
          <c:spPr>
            <a:noFill/>
            <a:ln>
              <a:noFill/>
            </a:ln>
            <a:effectLst/>
          </c:spPr>
        </c:title>
        <c:numFmt formatCode="General" sourceLinked="0"/>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7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92480"/>
        <c:crosses val="autoZero"/>
        <c:crossBetween val="midCat"/>
        <c:majorUnit val="0.1"/>
        <c:minorUnit val="0.1"/>
      </c:valAx>
      <c:spPr>
        <a:noFill/>
        <a:ln w="5080">
          <a:noFill/>
        </a:ln>
        <a:effectLst/>
      </c:spPr>
    </c:plotArea>
    <c:legend>
      <c:legendPos val="b"/>
      <c:layout>
        <c:manualLayout>
          <c:xMode val="edge"/>
          <c:yMode val="edge"/>
          <c:x val="0.196240458191845"/>
          <c:y val="0.0696657822663471"/>
          <c:w val="0.365426864745355"/>
          <c:h val="0.078076857240671"/>
        </c:manualLayout>
      </c:layout>
      <c:overlay val="0"/>
      <c:spPr>
        <a:noFill/>
        <a:ln>
          <a:noFill/>
        </a:ln>
        <a:effectLst/>
      </c:spPr>
      <c:txPr>
        <a:bodyPr rot="0" spcFirstLastPara="1" vertOverflow="ellipsis" vert="horz" wrap="square" anchor="ctr" anchorCtr="1"/>
        <a:lstStyle/>
        <a:p>
          <a:pPr algn="ctr">
            <a:defRPr lang="zh-CN" sz="75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6c1c8b5c-aedf-4eea-96a4-8044b4657b5a}"/>
      </c:ext>
    </c:extLst>
  </c:chart>
  <c:spPr>
    <a:noFill/>
    <a:ln w="5080" cap="flat" cmpd="sng" algn="ctr">
      <a:noFill/>
      <a:round/>
    </a:ln>
    <a:effectLst/>
  </c:spPr>
  <c:txPr>
    <a:bodyPr/>
    <a:lstStyle/>
    <a:p>
      <a:pPr algn="ctr">
        <a:defRPr lang="zh-CN"/>
      </a:pPr>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5790848724555"/>
          <c:y val="0.112715294542337"/>
          <c:w val="0.706885836350748"/>
          <c:h val="0.675866315168754"/>
        </c:manualLayout>
      </c:layout>
      <c:lineChart>
        <c:grouping val="standard"/>
        <c:varyColors val="0"/>
        <c:ser>
          <c:idx val="0"/>
          <c:order val="0"/>
          <c:tx>
            <c:strRef>
              <c:f>'图4 苗期2019不覆膜'!$B$1:$B$2</c:f>
              <c:strCache>
                <c:ptCount val="1"/>
                <c:pt idx="0">
                  <c:v>2018年不覆膜</c:v>
                </c:pt>
              </c:strCache>
            </c:strRef>
          </c:tx>
          <c:spPr>
            <a:ln w="7620" cap="rnd">
              <a:solidFill>
                <a:srgbClr val="00FF00"/>
              </a:solidFill>
              <a:round/>
            </a:ln>
            <a:effectLst/>
          </c:spPr>
          <c:marker>
            <c:symbol val="triangle"/>
            <c:size val="4"/>
            <c:spPr>
              <a:noFill/>
              <a:ln w="7620">
                <a:solidFill>
                  <a:srgbClr val="00FF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苗期2019不覆膜'!$B$3:$B$27</c:f>
              <c:numCache>
                <c:formatCode>General</c:formatCode>
                <c:ptCount val="25"/>
                <c:pt idx="0">
                  <c:v>0</c:v>
                </c:pt>
              </c:numCache>
            </c:numRef>
          </c:val>
          <c:smooth val="0"/>
        </c:ser>
        <c:ser>
          <c:idx val="1"/>
          <c:order val="1"/>
          <c:tx>
            <c:strRef>
              <c:f>'图4 苗期2019不覆膜'!$C$1:$C$2</c:f>
              <c:strCache>
                <c:ptCount val="1"/>
                <c:pt idx="0">
                  <c:v>2018年覆膜</c:v>
                </c:pt>
              </c:strCache>
            </c:strRef>
          </c:tx>
          <c:spPr>
            <a:ln w="7620" cap="rnd">
              <a:solidFill>
                <a:srgbClr val="C00000"/>
              </a:solidFill>
              <a:round/>
            </a:ln>
            <a:effectLst/>
          </c:spPr>
          <c:marker>
            <c:symbol val="square"/>
            <c:size val="4"/>
            <c:spPr>
              <a:no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苗期2019不覆膜'!$C$3:$C$27</c:f>
              <c:numCache>
                <c:formatCode>General</c:formatCode>
                <c:ptCount val="25"/>
                <c:pt idx="0">
                  <c:v>0</c:v>
                </c:pt>
              </c:numCache>
            </c:numRef>
          </c:val>
          <c:smooth val="0"/>
        </c:ser>
        <c:dLbls>
          <c:showLegendKey val="0"/>
          <c:showVal val="0"/>
          <c:showCatName val="0"/>
          <c:showSerName val="0"/>
          <c:showPercent val="0"/>
          <c:showBubbleSize val="0"/>
        </c:dLbls>
        <c:marker val="1"/>
        <c:smooth val="0"/>
        <c:axId val="188892480"/>
        <c:axId val="188888320"/>
      </c:lineChart>
      <c:lineChart>
        <c:grouping val="standard"/>
        <c:varyColors val="0"/>
        <c:ser>
          <c:idx val="2"/>
          <c:order val="2"/>
          <c:tx>
            <c:strRef>
              <c:f>'图4 苗期2019不覆膜'!$D$1:$D$2</c:f>
              <c:strCache>
                <c:ptCount val="1"/>
                <c:pt idx="0">
                  <c:v>2019年覆膜</c:v>
                </c:pt>
              </c:strCache>
            </c:strRef>
          </c:tx>
          <c:spPr>
            <a:ln w="6350" cap="rnd">
              <a:solidFill>
                <a:srgbClr val="C00000"/>
              </a:solidFill>
              <a:round/>
            </a:ln>
            <a:effectLst/>
          </c:spPr>
          <c:marker>
            <c:symbol val="circle"/>
            <c:size val="3"/>
            <c:spPr>
              <a:solidFill>
                <a:srgbClr val="C00000"/>
              </a:solid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苗期2019不覆膜'!$D$3:$D$27</c:f>
              <c:numCache>
                <c:formatCode>General</c:formatCode>
                <c:ptCount val="25"/>
                <c:pt idx="0">
                  <c:v>0</c:v>
                </c:pt>
                <c:pt idx="1" c:formatCode="0.00">
                  <c:v>-0.01185</c:v>
                </c:pt>
                <c:pt idx="2" c:formatCode="0.00">
                  <c:v>-0.10757</c:v>
                </c:pt>
                <c:pt idx="3" c:formatCode="0.00">
                  <c:v>-0.23822</c:v>
                </c:pt>
                <c:pt idx="4" c:formatCode="0.00">
                  <c:v>-0.32687</c:v>
                </c:pt>
                <c:pt idx="5" c:formatCode="0.00">
                  <c:v>-0.35497</c:v>
                </c:pt>
                <c:pt idx="6" c:formatCode="0.00">
                  <c:v>-0.38357</c:v>
                </c:pt>
                <c:pt idx="7" c:formatCode="0.00">
                  <c:v>-0.34522</c:v>
                </c:pt>
                <c:pt idx="8" c:formatCode="0.00">
                  <c:v>-0.29611</c:v>
                </c:pt>
                <c:pt idx="9" c:formatCode="0.00">
                  <c:v>-0.22423</c:v>
                </c:pt>
                <c:pt idx="10" c:formatCode="0.00">
                  <c:v>-0.14666</c:v>
                </c:pt>
                <c:pt idx="11" c:formatCode="0.00">
                  <c:v>-0.12539</c:v>
                </c:pt>
                <c:pt idx="12" c:formatCode="0.00">
                  <c:v>-0.06763</c:v>
                </c:pt>
                <c:pt idx="13" c:formatCode="0.00">
                  <c:v>-0.05045</c:v>
                </c:pt>
                <c:pt idx="14" c:formatCode="0.00">
                  <c:v>-0.03646</c:v>
                </c:pt>
                <c:pt idx="15" c:formatCode="0.00">
                  <c:v>0.03634</c:v>
                </c:pt>
                <c:pt idx="16" c:formatCode="0.00">
                  <c:v>0.0038</c:v>
                </c:pt>
                <c:pt idx="17" c:formatCode="0.00">
                  <c:v>0.0241</c:v>
                </c:pt>
                <c:pt idx="18" c:formatCode="0.00">
                  <c:v>0.01441</c:v>
                </c:pt>
                <c:pt idx="19" c:formatCode="0.00">
                  <c:v>0.01255</c:v>
                </c:pt>
                <c:pt idx="20" c:formatCode="0.00">
                  <c:v>0.01927</c:v>
                </c:pt>
                <c:pt idx="21" c:formatCode="0.00">
                  <c:v>0.01655</c:v>
                </c:pt>
                <c:pt idx="22" c:formatCode="0.00">
                  <c:v>-0.00335</c:v>
                </c:pt>
                <c:pt idx="23" c:formatCode="0.00">
                  <c:v>-0.09599</c:v>
                </c:pt>
                <c:pt idx="24" c:formatCode="0.00">
                  <c:v>-0.00969</c:v>
                </c:pt>
              </c:numCache>
            </c:numRef>
          </c:val>
          <c:smooth val="0"/>
        </c:ser>
        <c:dLbls>
          <c:showLegendKey val="0"/>
          <c:showVal val="0"/>
          <c:showCatName val="0"/>
          <c:showSerName val="0"/>
          <c:showPercent val="0"/>
          <c:showBubbleSize val="0"/>
        </c:dLbls>
        <c:marker val="1"/>
        <c:smooth val="0"/>
        <c:axId val="804323280"/>
        <c:axId val="804327856"/>
      </c:lineChart>
      <c:catAx>
        <c:axId val="188892480"/>
        <c:scaling>
          <c:orientation val="minMax"/>
        </c:scaling>
        <c:delete val="0"/>
        <c:axPos val="b"/>
        <c:title>
          <c:tx>
            <c:rich>
              <a:bodyPr rot="0" spcFirstLastPara="1" vertOverflow="ellipsis" vert="horz" wrap="square" anchor="ctr" anchorCtr="1"/>
              <a:lstStyle/>
              <a:p>
                <a:pPr>
                  <a:defRPr lang="zh-CN" sz="450" b="0" i="0" u="none" strike="noStrike" kern="1200" baseline="0">
                    <a:solidFill>
                      <a:schemeClr val="tx1">
                        <a:lumMod val="65000"/>
                        <a:lumOff val="35000"/>
                      </a:schemeClr>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时间</a:t>
                </a:r>
                <a:endParaRPr lang="zh-CN" altLang="en-US" sz="450">
                  <a:solidFill>
                    <a:sysClr val="windowText" lastClr="000000"/>
                  </a:solidFill>
                  <a:latin typeface="宋体" panose="02010600030101010101" charset="-122"/>
                  <a:ea typeface="宋体" panose="02010600030101010101" charset="-122"/>
                </a:endParaRPr>
              </a:p>
            </c:rich>
          </c:tx>
          <c:layout>
            <c:manualLayout>
              <c:xMode val="edge"/>
              <c:yMode val="edge"/>
              <c:x val="0.507300579925191"/>
              <c:y val="0.894969041260679"/>
            </c:manualLayout>
          </c:layout>
          <c:overlay val="0"/>
          <c:spPr>
            <a:noFill/>
            <a:ln>
              <a:noFill/>
            </a:ln>
            <a:effectLst/>
          </c:spPr>
        </c:title>
        <c:numFmt formatCode="h:mm" sourceLinked="1"/>
        <c:majorTickMark val="in"/>
        <c:minorTickMark val="none"/>
        <c:tickLblPos val="low"/>
        <c:spPr>
          <a:noFill/>
          <a:ln w="5080" cap="flat" cmpd="sng" algn="ctr">
            <a:solidFill>
              <a:schemeClr val="tx1"/>
            </a:solidFill>
            <a:round/>
          </a:ln>
          <a:effectLst/>
        </c:spPr>
        <c:txPr>
          <a:bodyPr rot="0" spcFirstLastPara="1" vertOverflow="ellipsis" vert="horz" wrap="square" anchor="ctr" anchorCtr="0"/>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88320"/>
        <c:crossesAt val="-0.7"/>
        <c:auto val="0"/>
        <c:lblAlgn val="ctr"/>
        <c:lblOffset val="150"/>
        <c:tickMarkSkip val="4"/>
        <c:noMultiLvlLbl val="0"/>
      </c:catAx>
      <c:valAx>
        <c:axId val="188888320"/>
        <c:scaling>
          <c:orientation val="minMax"/>
          <c:max val="0.2"/>
          <c:min val="-0.7"/>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lang="zh-CN" sz="450" b="0" i="0" u="none" strike="noStrike" kern="1200" baseline="0">
                    <a:solidFill>
                      <a:sysClr val="windowText" lastClr="000000"/>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凝结水量</a:t>
                </a:r>
                <a:r>
                  <a:rPr lang="en-US" altLang="zh-CN" sz="450">
                    <a:solidFill>
                      <a:sysClr val="windowText" lastClr="000000"/>
                    </a:solidFill>
                    <a:latin typeface="宋体" panose="02010600030101010101" charset="-122"/>
                    <a:ea typeface="宋体" panose="02010600030101010101" charset="-122"/>
                  </a:rPr>
                  <a:t>/</a:t>
                </a:r>
                <a:r>
                  <a:rPr lang="en-US" altLang="zh-CN" sz="4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450">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0421168284197034"/>
              <c:y val="0.30894845468105"/>
            </c:manualLayout>
          </c:layout>
          <c:overlay val="0"/>
          <c:spPr>
            <a:noFill/>
            <a:ln>
              <a:noFill/>
            </a:ln>
            <a:effectLst/>
          </c:spPr>
        </c:title>
        <c:numFmt formatCode="General" sourceLinked="0"/>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92480"/>
        <c:crosses val="autoZero"/>
        <c:crossBetween val="midCat"/>
        <c:majorUnit val="0.1"/>
        <c:minorUnit val="0.1"/>
      </c:valAx>
      <c:catAx>
        <c:axId val="804323280"/>
        <c:scaling>
          <c:orientation val="minMax"/>
        </c:scaling>
        <c:delete val="1"/>
        <c:axPos val="b"/>
        <c:numFmt formatCode="h:mm"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7856"/>
        <c:crossesAt val="0"/>
        <c:auto val="1"/>
        <c:lblAlgn val="ctr"/>
        <c:lblOffset val="100"/>
        <c:noMultiLvlLbl val="0"/>
      </c:catAx>
      <c:valAx>
        <c:axId val="804327856"/>
        <c:scaling>
          <c:orientation val="minMax"/>
        </c:scaling>
        <c:delete val="0"/>
        <c:axPos val="l"/>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3280"/>
        <c:crossesAt val="1"/>
        <c:crossBetween val="midCat"/>
      </c:valAx>
      <c:spPr>
        <a:noFill/>
        <a:ln w="5080">
          <a:noFill/>
        </a:ln>
        <a:effectLst/>
      </c:spPr>
    </c:plotArea>
    <c:legend>
      <c:legendPos val="b"/>
      <c:legendEntry>
        <c:idx val="0"/>
        <c:delete val="1"/>
      </c:legendEntry>
      <c:legendEntry>
        <c:idx val="1"/>
        <c:delete val="1"/>
      </c:legendEntry>
      <c:layout>
        <c:manualLayout>
          <c:xMode val="edge"/>
          <c:yMode val="edge"/>
          <c:x val="0.396384466540223"/>
          <c:y val="0.652354734420704"/>
          <c:w val="0.518748587083549"/>
          <c:h val="0.0984176534366007"/>
        </c:manualLayout>
      </c:layout>
      <c:overlay val="0"/>
      <c:spPr>
        <a:noFill/>
        <a:ln>
          <a:noFill/>
        </a:ln>
        <a:effectLst/>
      </c:spPr>
      <c:txPr>
        <a:bodyPr rot="0" spcFirstLastPara="1" vertOverflow="ellipsis" vert="horz" wrap="square" anchor="ctr" anchorCtr="1"/>
        <a:lstStyle/>
        <a:p>
          <a:pPr>
            <a:defRPr lang="zh-CN" sz="4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215f8e71-18cb-49d7-b896-27dce1f92218}"/>
      </c:ext>
    </c:extLst>
  </c:chart>
  <c:spPr>
    <a:solidFill>
      <a:schemeClr val="bg1"/>
    </a:solidFill>
    <a:ln w="5080" cap="flat" cmpd="sng" algn="ctr">
      <a:noFill/>
      <a:round/>
    </a:ln>
    <a:effectLst/>
  </c:spPr>
  <c:txPr>
    <a:bodyPr/>
    <a:lstStyle/>
    <a:p>
      <a:pPr>
        <a:defRPr lang="zh-CN"/>
      </a:pPr>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5790848724555"/>
          <c:y val="0.112715294542337"/>
          <c:w val="0.706885836350748"/>
          <c:h val="0.675866315168754"/>
        </c:manualLayout>
      </c:layout>
      <c:lineChart>
        <c:grouping val="standard"/>
        <c:varyColors val="0"/>
        <c:ser>
          <c:idx val="0"/>
          <c:order val="0"/>
          <c:tx>
            <c:strRef>
              <c:f>'图4 苗期2019不覆膜'!$B$1:$B$2</c:f>
              <c:strCache>
                <c:ptCount val="1"/>
                <c:pt idx="0">
                  <c:v>2018年不覆膜</c:v>
                </c:pt>
              </c:strCache>
            </c:strRef>
          </c:tx>
          <c:spPr>
            <a:ln w="7620" cap="rnd">
              <a:solidFill>
                <a:srgbClr val="00FF00"/>
              </a:solidFill>
              <a:round/>
            </a:ln>
            <a:effectLst/>
          </c:spPr>
          <c:marker>
            <c:symbol val="triangle"/>
            <c:size val="4"/>
            <c:spPr>
              <a:noFill/>
              <a:ln w="7620">
                <a:solidFill>
                  <a:srgbClr val="00FF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苗期2019不覆膜'!$B$3:$B$27</c:f>
              <c:numCache>
                <c:formatCode>General</c:formatCode>
                <c:ptCount val="25"/>
                <c:pt idx="0">
                  <c:v>0</c:v>
                </c:pt>
              </c:numCache>
            </c:numRef>
          </c:val>
          <c:smooth val="0"/>
        </c:ser>
        <c:ser>
          <c:idx val="1"/>
          <c:order val="1"/>
          <c:tx>
            <c:strRef>
              <c:f>'图4 苗期2019不覆膜'!$C$1:$C$2</c:f>
              <c:strCache>
                <c:ptCount val="1"/>
                <c:pt idx="0">
                  <c:v>2018年覆膜</c:v>
                </c:pt>
              </c:strCache>
            </c:strRef>
          </c:tx>
          <c:spPr>
            <a:ln w="7620" cap="rnd">
              <a:solidFill>
                <a:srgbClr val="C00000"/>
              </a:solidFill>
              <a:round/>
            </a:ln>
            <a:effectLst/>
          </c:spPr>
          <c:marker>
            <c:symbol val="square"/>
            <c:size val="4"/>
            <c:spPr>
              <a:no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苗期2019不覆膜'!$C$3:$C$27</c:f>
              <c:numCache>
                <c:formatCode>General</c:formatCode>
                <c:ptCount val="25"/>
                <c:pt idx="0">
                  <c:v>0</c:v>
                </c:pt>
              </c:numCache>
            </c:numRef>
          </c:val>
          <c:smooth val="0"/>
        </c:ser>
        <c:dLbls>
          <c:showLegendKey val="0"/>
          <c:showVal val="0"/>
          <c:showCatName val="0"/>
          <c:showSerName val="0"/>
          <c:showPercent val="0"/>
          <c:showBubbleSize val="0"/>
        </c:dLbls>
        <c:marker val="1"/>
        <c:smooth val="0"/>
        <c:axId val="188892480"/>
        <c:axId val="188888320"/>
      </c:lineChart>
      <c:lineChart>
        <c:grouping val="standard"/>
        <c:varyColors val="0"/>
        <c:ser>
          <c:idx val="2"/>
          <c:order val="2"/>
          <c:tx>
            <c:strRef>
              <c:f>'图4 苗期2019不覆膜'!$D$1:$D$2</c:f>
              <c:strCache>
                <c:ptCount val="1"/>
                <c:pt idx="0">
                  <c:v>2020年不覆膜</c:v>
                </c:pt>
              </c:strCache>
            </c:strRef>
          </c:tx>
          <c:spPr>
            <a:ln w="6350" cap="rnd">
              <a:solidFill>
                <a:srgbClr val="0000FF"/>
              </a:solidFill>
              <a:round/>
            </a:ln>
            <a:effectLst/>
          </c:spPr>
          <c:marker>
            <c:symbol val="circle"/>
            <c:size val="3"/>
            <c:spPr>
              <a:noFill/>
              <a:ln w="7620">
                <a:solidFill>
                  <a:srgbClr val="0000FF"/>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苗期2019不覆膜'!$D$3:$D$27</c:f>
              <c:numCache>
                <c:formatCode>General</c:formatCode>
                <c:ptCount val="25"/>
                <c:pt idx="0">
                  <c:v>0</c:v>
                </c:pt>
                <c:pt idx="1" c:formatCode="0.00">
                  <c:v>-0.03185</c:v>
                </c:pt>
                <c:pt idx="2" c:formatCode="0.00">
                  <c:v>-0.07871</c:v>
                </c:pt>
                <c:pt idx="3" c:formatCode="0.00">
                  <c:v>-0.14105</c:v>
                </c:pt>
                <c:pt idx="4" c:formatCode="0.00">
                  <c:v>-0.17083</c:v>
                </c:pt>
                <c:pt idx="5" c:formatCode="0.00">
                  <c:v>-0.17042</c:v>
                </c:pt>
                <c:pt idx="6" c:formatCode="0.00">
                  <c:v>-0.17608</c:v>
                </c:pt>
                <c:pt idx="7" c:formatCode="0.00">
                  <c:v>-0.16574</c:v>
                </c:pt>
                <c:pt idx="8" c:formatCode="0.00">
                  <c:v>-0.15114</c:v>
                </c:pt>
                <c:pt idx="9" c:formatCode="0.00">
                  <c:v>-0.10357</c:v>
                </c:pt>
                <c:pt idx="10" c:formatCode="0.00">
                  <c:v>-0.14522</c:v>
                </c:pt>
                <c:pt idx="11" c:formatCode="0.00">
                  <c:v>-0.05786</c:v>
                </c:pt>
                <c:pt idx="12" c:formatCode="0.00">
                  <c:v>-0.04054</c:v>
                </c:pt>
                <c:pt idx="13" c:formatCode="0.00">
                  <c:v>-0.01741</c:v>
                </c:pt>
                <c:pt idx="14" c:formatCode="0.00">
                  <c:v>-0.00422</c:v>
                </c:pt>
                <c:pt idx="15" c:formatCode="0.00">
                  <c:v>0.02271</c:v>
                </c:pt>
                <c:pt idx="16" c:formatCode="0.00">
                  <c:v>0.01753</c:v>
                </c:pt>
                <c:pt idx="17" c:formatCode="0.00">
                  <c:v>0.02776</c:v>
                </c:pt>
                <c:pt idx="18" c:formatCode="0.00">
                  <c:v>0.01073</c:v>
                </c:pt>
                <c:pt idx="19" c:formatCode="0.00">
                  <c:v>0.05331</c:v>
                </c:pt>
                <c:pt idx="20" c:formatCode="0.00">
                  <c:v>0.04136</c:v>
                </c:pt>
                <c:pt idx="21" c:formatCode="0.00">
                  <c:v>0.02867</c:v>
                </c:pt>
                <c:pt idx="22" c:formatCode="0.00">
                  <c:v>-0.000194959</c:v>
                </c:pt>
                <c:pt idx="23" c:formatCode="0.00">
                  <c:v>-0.00216</c:v>
                </c:pt>
                <c:pt idx="24" c:formatCode="0.00">
                  <c:v>-0.01601</c:v>
                </c:pt>
              </c:numCache>
            </c:numRef>
          </c:val>
          <c:smooth val="0"/>
        </c:ser>
        <c:dLbls>
          <c:showLegendKey val="0"/>
          <c:showVal val="0"/>
          <c:showCatName val="0"/>
          <c:showSerName val="0"/>
          <c:showPercent val="0"/>
          <c:showBubbleSize val="0"/>
        </c:dLbls>
        <c:marker val="1"/>
        <c:smooth val="0"/>
        <c:axId val="804323280"/>
        <c:axId val="804327856"/>
      </c:lineChart>
      <c:catAx>
        <c:axId val="188892480"/>
        <c:scaling>
          <c:orientation val="minMax"/>
        </c:scaling>
        <c:delete val="0"/>
        <c:axPos val="b"/>
        <c:title>
          <c:tx>
            <c:rich>
              <a:bodyPr rot="0" spcFirstLastPara="1" vertOverflow="ellipsis" vert="horz" wrap="square" anchor="ctr" anchorCtr="1"/>
              <a:lstStyle/>
              <a:p>
                <a:pPr>
                  <a:defRPr lang="zh-CN" sz="450" b="0" i="0" u="none" strike="noStrike" kern="1200" baseline="0">
                    <a:solidFill>
                      <a:schemeClr val="tx1">
                        <a:lumMod val="65000"/>
                        <a:lumOff val="35000"/>
                      </a:schemeClr>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时间</a:t>
                </a:r>
                <a:endParaRPr lang="zh-CN" altLang="en-US" sz="450">
                  <a:solidFill>
                    <a:sysClr val="windowText" lastClr="000000"/>
                  </a:solidFill>
                  <a:latin typeface="宋体" panose="02010600030101010101" charset="-122"/>
                  <a:ea typeface="宋体" panose="02010600030101010101" charset="-122"/>
                </a:endParaRPr>
              </a:p>
            </c:rich>
          </c:tx>
          <c:layout>
            <c:manualLayout>
              <c:xMode val="edge"/>
              <c:yMode val="edge"/>
              <c:x val="0.507300579925191"/>
              <c:y val="0.894969041260679"/>
            </c:manualLayout>
          </c:layout>
          <c:overlay val="0"/>
          <c:spPr>
            <a:noFill/>
            <a:ln>
              <a:noFill/>
            </a:ln>
            <a:effectLst/>
          </c:spPr>
        </c:title>
        <c:numFmt formatCode="h:mm" sourceLinked="1"/>
        <c:majorTickMark val="in"/>
        <c:minorTickMark val="none"/>
        <c:tickLblPos val="low"/>
        <c:spPr>
          <a:noFill/>
          <a:ln w="5080" cap="flat" cmpd="sng" algn="ctr">
            <a:solidFill>
              <a:schemeClr val="tx1"/>
            </a:solidFill>
            <a:round/>
          </a:ln>
          <a:effectLst/>
        </c:spPr>
        <c:txPr>
          <a:bodyPr rot="0" spcFirstLastPara="1" vertOverflow="ellipsis" vert="horz" wrap="square" anchor="ctr" anchorCtr="0"/>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88320"/>
        <c:crossesAt val="-0.7"/>
        <c:auto val="0"/>
        <c:lblAlgn val="ctr"/>
        <c:lblOffset val="150"/>
        <c:tickMarkSkip val="4"/>
        <c:noMultiLvlLbl val="0"/>
      </c:catAx>
      <c:valAx>
        <c:axId val="188888320"/>
        <c:scaling>
          <c:orientation val="minMax"/>
          <c:max val="0.2"/>
          <c:min val="-0.7"/>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lang="zh-CN" sz="450" b="0" i="0" u="none" strike="noStrike" kern="1200" baseline="0">
                    <a:solidFill>
                      <a:sysClr val="windowText" lastClr="000000"/>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凝结水量</a:t>
                </a:r>
                <a:r>
                  <a:rPr lang="en-US" altLang="zh-CN" sz="450">
                    <a:solidFill>
                      <a:sysClr val="windowText" lastClr="000000"/>
                    </a:solidFill>
                    <a:latin typeface="宋体" panose="02010600030101010101" charset="-122"/>
                    <a:ea typeface="宋体" panose="02010600030101010101" charset="-122"/>
                  </a:rPr>
                  <a:t>/</a:t>
                </a:r>
                <a:r>
                  <a:rPr lang="en-US" altLang="zh-CN" sz="4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450">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0421168284197034"/>
              <c:y val="0.30894845468105"/>
            </c:manualLayout>
          </c:layout>
          <c:overlay val="0"/>
          <c:spPr>
            <a:noFill/>
            <a:ln>
              <a:noFill/>
            </a:ln>
            <a:effectLst/>
          </c:spPr>
        </c:title>
        <c:numFmt formatCode="General" sourceLinked="0"/>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92480"/>
        <c:crosses val="autoZero"/>
        <c:crossBetween val="midCat"/>
        <c:majorUnit val="0.1"/>
        <c:minorUnit val="0.1"/>
      </c:valAx>
      <c:catAx>
        <c:axId val="804323280"/>
        <c:scaling>
          <c:orientation val="minMax"/>
        </c:scaling>
        <c:delete val="1"/>
        <c:axPos val="b"/>
        <c:numFmt formatCode="h:mm"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7856"/>
        <c:crossesAt val="0"/>
        <c:auto val="1"/>
        <c:lblAlgn val="ctr"/>
        <c:lblOffset val="100"/>
        <c:noMultiLvlLbl val="0"/>
      </c:catAx>
      <c:valAx>
        <c:axId val="804327856"/>
        <c:scaling>
          <c:orientation val="minMax"/>
        </c:scaling>
        <c:delete val="0"/>
        <c:axPos val="l"/>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3280"/>
        <c:crossesAt val="1"/>
        <c:crossBetween val="midCat"/>
      </c:valAx>
      <c:spPr>
        <a:noFill/>
        <a:ln w="5080">
          <a:noFill/>
        </a:ln>
        <a:effectLst/>
      </c:spPr>
    </c:plotArea>
    <c:legend>
      <c:legendPos val="b"/>
      <c:legendEntry>
        <c:idx val="0"/>
        <c:delete val="1"/>
      </c:legendEntry>
      <c:legendEntry>
        <c:idx val="1"/>
        <c:delete val="1"/>
      </c:legendEntry>
      <c:layout>
        <c:manualLayout>
          <c:xMode val="edge"/>
          <c:yMode val="edge"/>
          <c:x val="0.454778627124164"/>
          <c:y val="0.652354734420704"/>
          <c:w val="0.509016226986225"/>
          <c:h val="0.0984176534366007"/>
        </c:manualLayout>
      </c:layout>
      <c:overlay val="0"/>
      <c:spPr>
        <a:noFill/>
        <a:ln>
          <a:noFill/>
        </a:ln>
        <a:effectLst/>
      </c:spPr>
      <c:txPr>
        <a:bodyPr rot="0" spcFirstLastPara="1" vertOverflow="ellipsis" vert="horz" wrap="square" anchor="ctr" anchorCtr="1"/>
        <a:lstStyle/>
        <a:p>
          <a:pPr>
            <a:defRPr lang="zh-CN" sz="4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0489a8dd-e819-49a4-8e59-c6061d91de0c}"/>
      </c:ext>
    </c:extLst>
  </c:chart>
  <c:spPr>
    <a:solidFill>
      <a:schemeClr val="bg1"/>
    </a:solidFill>
    <a:ln w="5080" cap="flat" cmpd="sng" algn="ctr">
      <a:noFill/>
      <a:round/>
    </a:ln>
    <a:effectLst/>
  </c:spPr>
  <c:txPr>
    <a:bodyPr/>
    <a:lstStyle/>
    <a:p>
      <a:pPr>
        <a:defRPr lang="zh-CN"/>
      </a:pPr>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5790848724555"/>
          <c:y val="0.112715294542337"/>
          <c:w val="0.706885836350748"/>
          <c:h val="0.675866315168754"/>
        </c:manualLayout>
      </c:layout>
      <c:lineChart>
        <c:grouping val="standard"/>
        <c:varyColors val="0"/>
        <c:ser>
          <c:idx val="0"/>
          <c:order val="0"/>
          <c:tx>
            <c:strRef>
              <c:f>'图4 苗期2019不覆膜'!$B$1:$B$2</c:f>
              <c:strCache>
                <c:ptCount val="1"/>
                <c:pt idx="0">
                  <c:v>2018年不覆膜</c:v>
                </c:pt>
              </c:strCache>
            </c:strRef>
          </c:tx>
          <c:spPr>
            <a:ln w="7620" cap="rnd">
              <a:solidFill>
                <a:srgbClr val="00FF00"/>
              </a:solidFill>
              <a:round/>
            </a:ln>
            <a:effectLst/>
          </c:spPr>
          <c:marker>
            <c:symbol val="triangle"/>
            <c:size val="4"/>
            <c:spPr>
              <a:noFill/>
              <a:ln w="7620">
                <a:solidFill>
                  <a:srgbClr val="00FF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苗期2019不覆膜'!$B$3:$B$27</c:f>
              <c:numCache>
                <c:formatCode>General</c:formatCode>
                <c:ptCount val="25"/>
                <c:pt idx="0">
                  <c:v>0</c:v>
                </c:pt>
              </c:numCache>
            </c:numRef>
          </c:val>
          <c:smooth val="0"/>
        </c:ser>
        <c:ser>
          <c:idx val="1"/>
          <c:order val="1"/>
          <c:tx>
            <c:strRef>
              <c:f>'图4 苗期2019不覆膜'!$C$1:$C$2</c:f>
              <c:strCache>
                <c:ptCount val="1"/>
                <c:pt idx="0">
                  <c:v>2018年覆膜</c:v>
                </c:pt>
              </c:strCache>
            </c:strRef>
          </c:tx>
          <c:spPr>
            <a:ln w="7620" cap="rnd">
              <a:solidFill>
                <a:srgbClr val="C00000"/>
              </a:solidFill>
              <a:round/>
            </a:ln>
            <a:effectLst/>
          </c:spPr>
          <c:marker>
            <c:symbol val="square"/>
            <c:size val="4"/>
            <c:spPr>
              <a:no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苗期2019不覆膜'!$C$3:$C$27</c:f>
              <c:numCache>
                <c:formatCode>General</c:formatCode>
                <c:ptCount val="25"/>
                <c:pt idx="0">
                  <c:v>0</c:v>
                </c:pt>
              </c:numCache>
            </c:numRef>
          </c:val>
          <c:smooth val="0"/>
        </c:ser>
        <c:dLbls>
          <c:showLegendKey val="0"/>
          <c:showVal val="0"/>
          <c:showCatName val="0"/>
          <c:showSerName val="0"/>
          <c:showPercent val="0"/>
          <c:showBubbleSize val="0"/>
        </c:dLbls>
        <c:marker val="1"/>
        <c:smooth val="0"/>
        <c:axId val="188892480"/>
        <c:axId val="188888320"/>
      </c:lineChart>
      <c:lineChart>
        <c:grouping val="standard"/>
        <c:varyColors val="0"/>
        <c:ser>
          <c:idx val="2"/>
          <c:order val="2"/>
          <c:tx>
            <c:strRef>
              <c:f>'图4 苗期2019不覆膜'!$D$1:$D$2</c:f>
              <c:strCache>
                <c:ptCount val="1"/>
                <c:pt idx="0">
                  <c:v>2020年覆膜</c:v>
                </c:pt>
              </c:strCache>
            </c:strRef>
          </c:tx>
          <c:spPr>
            <a:ln w="6350" cap="rnd">
              <a:solidFill>
                <a:srgbClr val="0000FF"/>
              </a:solidFill>
              <a:round/>
            </a:ln>
            <a:effectLst/>
          </c:spPr>
          <c:marker>
            <c:symbol val="circle"/>
            <c:size val="3"/>
            <c:spPr>
              <a:solidFill>
                <a:srgbClr val="0000FF"/>
              </a:solidFill>
              <a:ln w="7620">
                <a:solidFill>
                  <a:srgbClr val="0000FF"/>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苗期2019不覆膜'!$D$3:$D$27</c:f>
              <c:numCache>
                <c:formatCode>General</c:formatCode>
                <c:ptCount val="25"/>
                <c:pt idx="0">
                  <c:v>0</c:v>
                </c:pt>
                <c:pt idx="1" c:formatCode="0.00">
                  <c:v>-0.00368</c:v>
                </c:pt>
                <c:pt idx="2" c:formatCode="0.00">
                  <c:v>-0.00967</c:v>
                </c:pt>
                <c:pt idx="3" c:formatCode="0.00">
                  <c:v>-0.07113</c:v>
                </c:pt>
                <c:pt idx="4" c:formatCode="0.00">
                  <c:v>-0.0928</c:v>
                </c:pt>
                <c:pt idx="5" c:formatCode="0.00">
                  <c:v>-0.09743</c:v>
                </c:pt>
                <c:pt idx="6" c:formatCode="0.00">
                  <c:v>-0.133</c:v>
                </c:pt>
                <c:pt idx="7" c:formatCode="0.00">
                  <c:v>-0.12855</c:v>
                </c:pt>
                <c:pt idx="8" c:formatCode="0.00">
                  <c:v>-0.10162</c:v>
                </c:pt>
                <c:pt idx="9" c:formatCode="0.00">
                  <c:v>-0.08059</c:v>
                </c:pt>
                <c:pt idx="10" c:formatCode="0.00">
                  <c:v>-0.07795</c:v>
                </c:pt>
                <c:pt idx="11" c:formatCode="0.00">
                  <c:v>-0.07357</c:v>
                </c:pt>
                <c:pt idx="12" c:formatCode="0.00">
                  <c:v>-0.02225</c:v>
                </c:pt>
                <c:pt idx="13" c:formatCode="0.00">
                  <c:v>-0.01576</c:v>
                </c:pt>
                <c:pt idx="14" c:formatCode="0.00">
                  <c:v>-0.00906</c:v>
                </c:pt>
                <c:pt idx="15" c:formatCode="0.00">
                  <c:v>0.01388</c:v>
                </c:pt>
                <c:pt idx="16" c:formatCode="0.00">
                  <c:v>0.01844</c:v>
                </c:pt>
                <c:pt idx="17" c:formatCode="0.00">
                  <c:v>0.01989</c:v>
                </c:pt>
                <c:pt idx="18" c:formatCode="0.00">
                  <c:v>0.01019</c:v>
                </c:pt>
                <c:pt idx="19" c:formatCode="0.00">
                  <c:v>0.03511</c:v>
                </c:pt>
                <c:pt idx="20" c:formatCode="0.00">
                  <c:v>0.03177</c:v>
                </c:pt>
                <c:pt idx="21" c:formatCode="0.00">
                  <c:v>0.02127</c:v>
                </c:pt>
                <c:pt idx="22" c:formatCode="0.00">
                  <c:v>-0.000248272</c:v>
                </c:pt>
                <c:pt idx="23" c:formatCode="0.00">
                  <c:v>0.000867229</c:v>
                </c:pt>
                <c:pt idx="24" c:formatCode="0.00">
                  <c:v>-0.00566</c:v>
                </c:pt>
              </c:numCache>
            </c:numRef>
          </c:val>
          <c:smooth val="0"/>
        </c:ser>
        <c:dLbls>
          <c:showLegendKey val="0"/>
          <c:showVal val="0"/>
          <c:showCatName val="0"/>
          <c:showSerName val="0"/>
          <c:showPercent val="0"/>
          <c:showBubbleSize val="0"/>
        </c:dLbls>
        <c:marker val="1"/>
        <c:smooth val="0"/>
        <c:axId val="804323280"/>
        <c:axId val="804327856"/>
      </c:lineChart>
      <c:catAx>
        <c:axId val="188892480"/>
        <c:scaling>
          <c:orientation val="minMax"/>
        </c:scaling>
        <c:delete val="0"/>
        <c:axPos val="b"/>
        <c:title>
          <c:tx>
            <c:rich>
              <a:bodyPr rot="0" spcFirstLastPara="1" vertOverflow="ellipsis" vert="horz" wrap="square" anchor="ctr" anchorCtr="1"/>
              <a:lstStyle/>
              <a:p>
                <a:pPr>
                  <a:defRPr lang="zh-CN" sz="450" b="0" i="0" u="none" strike="noStrike" kern="1200" baseline="0">
                    <a:solidFill>
                      <a:schemeClr val="tx1">
                        <a:lumMod val="65000"/>
                        <a:lumOff val="35000"/>
                      </a:schemeClr>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时间</a:t>
                </a:r>
                <a:endParaRPr lang="zh-CN" altLang="en-US" sz="450">
                  <a:solidFill>
                    <a:sysClr val="windowText" lastClr="000000"/>
                  </a:solidFill>
                  <a:latin typeface="宋体" panose="02010600030101010101" charset="-122"/>
                  <a:ea typeface="宋体" panose="02010600030101010101" charset="-122"/>
                </a:endParaRPr>
              </a:p>
            </c:rich>
          </c:tx>
          <c:layout>
            <c:manualLayout>
              <c:xMode val="edge"/>
              <c:yMode val="edge"/>
              <c:x val="0.507300579925191"/>
              <c:y val="0.894969041260679"/>
            </c:manualLayout>
          </c:layout>
          <c:overlay val="0"/>
          <c:spPr>
            <a:noFill/>
            <a:ln>
              <a:noFill/>
            </a:ln>
            <a:effectLst/>
          </c:spPr>
        </c:title>
        <c:numFmt formatCode="h:mm" sourceLinked="1"/>
        <c:majorTickMark val="in"/>
        <c:minorTickMark val="none"/>
        <c:tickLblPos val="low"/>
        <c:spPr>
          <a:noFill/>
          <a:ln w="5080" cap="flat" cmpd="sng" algn="ctr">
            <a:solidFill>
              <a:schemeClr val="tx1"/>
            </a:solidFill>
            <a:round/>
          </a:ln>
          <a:effectLst/>
        </c:spPr>
        <c:txPr>
          <a:bodyPr rot="0" spcFirstLastPara="1" vertOverflow="ellipsis" vert="horz" wrap="square" anchor="ctr" anchorCtr="0"/>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88320"/>
        <c:crossesAt val="-0.7"/>
        <c:auto val="0"/>
        <c:lblAlgn val="ctr"/>
        <c:lblOffset val="150"/>
        <c:tickMarkSkip val="2"/>
        <c:noMultiLvlLbl val="0"/>
      </c:catAx>
      <c:valAx>
        <c:axId val="188888320"/>
        <c:scaling>
          <c:orientation val="minMax"/>
          <c:max val="0.2"/>
          <c:min val="-0.7"/>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lang="zh-CN" sz="450" b="0" i="0" u="none" strike="noStrike" kern="1200" baseline="0">
                    <a:solidFill>
                      <a:sysClr val="windowText" lastClr="000000"/>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凝结水量</a:t>
                </a:r>
                <a:r>
                  <a:rPr lang="en-US" altLang="zh-CN" sz="450">
                    <a:solidFill>
                      <a:sysClr val="windowText" lastClr="000000"/>
                    </a:solidFill>
                    <a:latin typeface="宋体" panose="02010600030101010101" charset="-122"/>
                    <a:ea typeface="宋体" panose="02010600030101010101" charset="-122"/>
                  </a:rPr>
                  <a:t>/</a:t>
                </a:r>
                <a:r>
                  <a:rPr lang="en-US" altLang="zh-CN" sz="4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450">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0421168284197034"/>
              <c:y val="0.30894845468105"/>
            </c:manualLayout>
          </c:layout>
          <c:overlay val="0"/>
          <c:spPr>
            <a:noFill/>
            <a:ln>
              <a:noFill/>
            </a:ln>
            <a:effectLst/>
          </c:spPr>
        </c:title>
        <c:numFmt formatCode="General" sourceLinked="0"/>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92480"/>
        <c:crosses val="autoZero"/>
        <c:crossBetween val="midCat"/>
        <c:majorUnit val="0.1"/>
        <c:minorUnit val="0.1"/>
      </c:valAx>
      <c:catAx>
        <c:axId val="804323280"/>
        <c:scaling>
          <c:orientation val="minMax"/>
        </c:scaling>
        <c:delete val="1"/>
        <c:axPos val="b"/>
        <c:numFmt formatCode="h:mm"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7856"/>
        <c:crossesAt val="0"/>
        <c:auto val="1"/>
        <c:lblAlgn val="ctr"/>
        <c:lblOffset val="100"/>
        <c:noMultiLvlLbl val="0"/>
      </c:catAx>
      <c:valAx>
        <c:axId val="804327856"/>
        <c:scaling>
          <c:orientation val="minMax"/>
        </c:scaling>
        <c:delete val="0"/>
        <c:axPos val="l"/>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3280"/>
        <c:crossesAt val="1"/>
        <c:crossBetween val="midCat"/>
      </c:valAx>
      <c:spPr>
        <a:noFill/>
        <a:ln w="5080">
          <a:noFill/>
        </a:ln>
        <a:effectLst/>
      </c:spPr>
    </c:plotArea>
    <c:legend>
      <c:legendPos val="b"/>
      <c:legendEntry>
        <c:idx val="0"/>
        <c:delete val="1"/>
      </c:legendEntry>
      <c:legendEntry>
        <c:idx val="1"/>
        <c:delete val="1"/>
      </c:legendEntry>
      <c:layout>
        <c:manualLayout>
          <c:xMode val="edge"/>
          <c:yMode val="edge"/>
          <c:x val="0.386652106442899"/>
          <c:y val="0.652354734420704"/>
          <c:w val="0.528480947180872"/>
          <c:h val="0.0984176534366007"/>
        </c:manualLayout>
      </c:layout>
      <c:overlay val="0"/>
      <c:spPr>
        <a:noFill/>
        <a:ln>
          <a:noFill/>
        </a:ln>
        <a:effectLst/>
      </c:spPr>
      <c:txPr>
        <a:bodyPr rot="0" spcFirstLastPara="1" vertOverflow="ellipsis" vert="horz" wrap="square" anchor="ctr" anchorCtr="1"/>
        <a:lstStyle/>
        <a:p>
          <a:pPr>
            <a:defRPr lang="zh-CN" sz="4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4cee9be6-a832-4855-a5d3-b0a2ccbc53b0}"/>
      </c:ext>
    </c:extLst>
  </c:chart>
  <c:spPr>
    <a:solidFill>
      <a:schemeClr val="bg1"/>
    </a:solidFill>
    <a:ln w="5080" cap="flat" cmpd="sng" algn="ctr">
      <a:noFill/>
      <a:round/>
    </a:ln>
    <a:effectLst/>
  </c:spPr>
  <c:txPr>
    <a:bodyPr/>
    <a:lstStyle/>
    <a:p>
      <a:pPr>
        <a:defRPr lang="zh-CN"/>
      </a:pPr>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77794114802"/>
          <c:y val="0.0464569749890647"/>
          <c:w val="0.835629631062702"/>
          <c:h val="0.775132306547442"/>
        </c:manualLayout>
      </c:layout>
      <c:barChart>
        <c:barDir val="col"/>
        <c:grouping val="clustered"/>
        <c:varyColors val="0"/>
        <c:ser>
          <c:idx val="0"/>
          <c:order val="0"/>
          <c:tx>
            <c:strRef>
              <c:f>'图12（a）'!$B$1</c:f>
              <c:strCache>
                <c:ptCount val="1"/>
                <c:pt idx="0">
                  <c:v>2019年</c:v>
                </c:pt>
              </c:strCache>
            </c:strRef>
          </c:tx>
          <c:spPr>
            <a:solidFill>
              <a:srgbClr val="0099FF"/>
            </a:solidFill>
            <a:ln>
              <a:noFill/>
            </a:ln>
            <a:effectLst/>
          </c:spPr>
          <c:invertIfNegative val="0"/>
          <c:dLbls>
            <c:delete val="1"/>
          </c:dLbls>
          <c:cat>
            <c:numRef>
              <c:f>'图12（a）'!$A$2:$A$12</c:f>
              <c:numCache>
                <c:formatCode>h:mm</c:formatCode>
                <c:ptCount val="11"/>
                <c:pt idx="0" c:formatCode="h:mm">
                  <c:v>0.958333333333333</c:v>
                </c:pt>
                <c:pt idx="1" c:formatCode="h:mm">
                  <c:v>0</c:v>
                </c:pt>
                <c:pt idx="2" c:formatCode="h:mm">
                  <c:v>0.0416666666666667</c:v>
                </c:pt>
                <c:pt idx="3" c:formatCode="h:mm">
                  <c:v>0.0833333333333333</c:v>
                </c:pt>
                <c:pt idx="4" c:formatCode="h:mm">
                  <c:v>0.125</c:v>
                </c:pt>
                <c:pt idx="5" c:formatCode="h:mm">
                  <c:v>0.166666666666667</c:v>
                </c:pt>
                <c:pt idx="6" c:formatCode="h:mm">
                  <c:v>0.208333333333333</c:v>
                </c:pt>
                <c:pt idx="7" c:formatCode="h:mm">
                  <c:v>0.25</c:v>
                </c:pt>
                <c:pt idx="8" c:formatCode="h:mm">
                  <c:v>0.291666666666667</c:v>
                </c:pt>
                <c:pt idx="9" c:formatCode="h:mm">
                  <c:v>0.333333333333333</c:v>
                </c:pt>
                <c:pt idx="10" c:formatCode="h:mm">
                  <c:v>0.375</c:v>
                </c:pt>
              </c:numCache>
            </c:numRef>
          </c:cat>
          <c:val>
            <c:numRef>
              <c:f>'图12（a）'!$B$2:$B$12</c:f>
              <c:numCache>
                <c:formatCode>General</c:formatCode>
                <c:ptCount val="11"/>
                <c:pt idx="0">
                  <c:v>0</c:v>
                </c:pt>
                <c:pt idx="1">
                  <c:v>0</c:v>
                </c:pt>
                <c:pt idx="2">
                  <c:v>0</c:v>
                </c:pt>
                <c:pt idx="3">
                  <c:v>0</c:v>
                </c:pt>
                <c:pt idx="4">
                  <c:v>0.04024</c:v>
                </c:pt>
                <c:pt idx="5">
                  <c:v>0.03841</c:v>
                </c:pt>
                <c:pt idx="6">
                  <c:v>0.03165</c:v>
                </c:pt>
                <c:pt idx="7">
                  <c:v>0.06353</c:v>
                </c:pt>
                <c:pt idx="8">
                  <c:v>0.04333</c:v>
                </c:pt>
                <c:pt idx="9">
                  <c:v>0.05013</c:v>
                </c:pt>
                <c:pt idx="10">
                  <c:v>0</c:v>
                </c:pt>
              </c:numCache>
            </c:numRef>
          </c:val>
        </c:ser>
        <c:ser>
          <c:idx val="1"/>
          <c:order val="1"/>
          <c:tx>
            <c:strRef>
              <c:f>'图12（a）'!$C$1</c:f>
              <c:strCache>
                <c:ptCount val="1"/>
                <c:pt idx="0">
                  <c:v>2020年</c:v>
                </c:pt>
              </c:strCache>
            </c:strRef>
          </c:tx>
          <c:spPr>
            <a:solidFill>
              <a:srgbClr val="FF6600"/>
            </a:solidFill>
            <a:ln w="6350">
              <a:noFill/>
            </a:ln>
            <a:effectLst/>
          </c:spPr>
          <c:invertIfNegative val="0"/>
          <c:dLbls>
            <c:delete val="1"/>
          </c:dLbls>
          <c:cat>
            <c:numRef>
              <c:f>'图12（a）'!$A$2:$A$12</c:f>
              <c:numCache>
                <c:formatCode>h:mm</c:formatCode>
                <c:ptCount val="11"/>
                <c:pt idx="0" c:formatCode="h:mm">
                  <c:v>0.958333333333333</c:v>
                </c:pt>
                <c:pt idx="1" c:formatCode="h:mm">
                  <c:v>0</c:v>
                </c:pt>
                <c:pt idx="2" c:formatCode="h:mm">
                  <c:v>0.0416666666666667</c:v>
                </c:pt>
                <c:pt idx="3" c:formatCode="h:mm">
                  <c:v>0.0833333333333333</c:v>
                </c:pt>
                <c:pt idx="4" c:formatCode="h:mm">
                  <c:v>0.125</c:v>
                </c:pt>
                <c:pt idx="5" c:formatCode="h:mm">
                  <c:v>0.166666666666667</c:v>
                </c:pt>
                <c:pt idx="6" c:formatCode="h:mm">
                  <c:v>0.208333333333333</c:v>
                </c:pt>
                <c:pt idx="7" c:formatCode="h:mm">
                  <c:v>0.25</c:v>
                </c:pt>
                <c:pt idx="8" c:formatCode="h:mm">
                  <c:v>0.291666666666667</c:v>
                </c:pt>
                <c:pt idx="9" c:formatCode="h:mm">
                  <c:v>0.333333333333333</c:v>
                </c:pt>
                <c:pt idx="10" c:formatCode="h:mm">
                  <c:v>0.375</c:v>
                </c:pt>
              </c:numCache>
            </c:numRef>
          </c:cat>
          <c:val>
            <c:numRef>
              <c:f>'图12（a）'!$C$2:$C$12</c:f>
              <c:numCache>
                <c:formatCode>General</c:formatCode>
                <c:ptCount val="11"/>
                <c:pt idx="0">
                  <c:v>0</c:v>
                </c:pt>
                <c:pt idx="1">
                  <c:v>0.75537</c:v>
                </c:pt>
                <c:pt idx="2">
                  <c:v>0.8001</c:v>
                </c:pt>
                <c:pt idx="3">
                  <c:v>1.37259</c:v>
                </c:pt>
                <c:pt idx="4">
                  <c:v>1.01916</c:v>
                </c:pt>
                <c:pt idx="5">
                  <c:v>1.06888</c:v>
                </c:pt>
                <c:pt idx="6">
                  <c:v>0.89283</c:v>
                </c:pt>
                <c:pt idx="7">
                  <c:v>1.27449</c:v>
                </c:pt>
                <c:pt idx="8">
                  <c:v>1.00437</c:v>
                </c:pt>
                <c:pt idx="9">
                  <c:v>1.05544</c:v>
                </c:pt>
                <c:pt idx="10">
                  <c:v>0</c:v>
                </c:pt>
              </c:numCache>
            </c:numRef>
          </c:val>
        </c:ser>
        <c:ser>
          <c:idx val="2"/>
          <c:order val="2"/>
          <c:tx>
            <c:strRef>
              <c:f>'图12（a）'!$D$1</c:f>
              <c:strCache>
                <c:ptCount val="1"/>
                <c:pt idx="0">
                  <c:v/>
                </c:pt>
              </c:strCache>
            </c:strRef>
          </c:tx>
          <c:spPr>
            <a:pattFill prst="pct25">
              <a:fgClr>
                <a:srgbClr val="3333FF"/>
              </a:fgClr>
              <a:bgClr>
                <a:schemeClr val="bg1"/>
              </a:bgClr>
            </a:pattFill>
            <a:ln w="6350">
              <a:solidFill>
                <a:schemeClr val="tx1"/>
              </a:solidFill>
            </a:ln>
            <a:effectLst/>
          </c:spPr>
          <c:invertIfNegative val="0"/>
          <c:dLbls>
            <c:delete val="1"/>
          </c:dLbls>
          <c:cat>
            <c:numRef>
              <c:f>'图12（a）'!$A$2:$A$12</c:f>
              <c:numCache>
                <c:formatCode>h:mm</c:formatCode>
                <c:ptCount val="11"/>
                <c:pt idx="0" c:formatCode="h:mm">
                  <c:v>0.958333333333333</c:v>
                </c:pt>
                <c:pt idx="1" c:formatCode="h:mm">
                  <c:v>0</c:v>
                </c:pt>
                <c:pt idx="2" c:formatCode="h:mm">
                  <c:v>0.0416666666666667</c:v>
                </c:pt>
                <c:pt idx="3" c:formatCode="h:mm">
                  <c:v>0.0833333333333333</c:v>
                </c:pt>
                <c:pt idx="4" c:formatCode="h:mm">
                  <c:v>0.125</c:v>
                </c:pt>
                <c:pt idx="5" c:formatCode="h:mm">
                  <c:v>0.166666666666667</c:v>
                </c:pt>
                <c:pt idx="6" c:formatCode="h:mm">
                  <c:v>0.208333333333333</c:v>
                </c:pt>
                <c:pt idx="7" c:formatCode="h:mm">
                  <c:v>0.25</c:v>
                </c:pt>
                <c:pt idx="8" c:formatCode="h:mm">
                  <c:v>0.291666666666667</c:v>
                </c:pt>
                <c:pt idx="9" c:formatCode="h:mm">
                  <c:v>0.333333333333333</c:v>
                </c:pt>
                <c:pt idx="10" c:formatCode="h:mm">
                  <c:v>0.375</c:v>
                </c:pt>
              </c:numCache>
            </c:numRef>
          </c:cat>
          <c:val>
            <c:numRef>
              <c:f>'图12（a）'!$D$2:$D$12</c:f>
              <c:numCache>
                <c:formatCode>General</c:formatCode>
                <c:ptCount val="11"/>
              </c:numCache>
            </c:numRef>
          </c:val>
        </c:ser>
        <c:ser>
          <c:idx val="3"/>
          <c:order val="3"/>
          <c:tx>
            <c:strRef>
              <c:f>'图12（a）'!$E$1</c:f>
              <c:strCache>
                <c:ptCount val="1"/>
                <c:pt idx="0">
                  <c:v/>
                </c:pt>
              </c:strCache>
            </c:strRef>
          </c:tx>
          <c:spPr>
            <a:pattFill prst="lgCheck">
              <a:fgClr>
                <a:srgbClr val="00B050"/>
              </a:fgClr>
              <a:bgClr>
                <a:schemeClr val="bg1"/>
              </a:bgClr>
            </a:pattFill>
            <a:ln w="6350">
              <a:solidFill>
                <a:schemeClr val="tx1"/>
              </a:solidFill>
            </a:ln>
            <a:effectLst/>
          </c:spPr>
          <c:invertIfNegative val="0"/>
          <c:dLbls>
            <c:delete val="1"/>
          </c:dLbls>
          <c:cat>
            <c:numRef>
              <c:f>'图12（a）'!$A$2:$A$12</c:f>
              <c:numCache>
                <c:formatCode>h:mm</c:formatCode>
                <c:ptCount val="11"/>
                <c:pt idx="0" c:formatCode="h:mm">
                  <c:v>0.958333333333333</c:v>
                </c:pt>
                <c:pt idx="1" c:formatCode="h:mm">
                  <c:v>0</c:v>
                </c:pt>
                <c:pt idx="2" c:formatCode="h:mm">
                  <c:v>0.0416666666666667</c:v>
                </c:pt>
                <c:pt idx="3" c:formatCode="h:mm">
                  <c:v>0.0833333333333333</c:v>
                </c:pt>
                <c:pt idx="4" c:formatCode="h:mm">
                  <c:v>0.125</c:v>
                </c:pt>
                <c:pt idx="5" c:formatCode="h:mm">
                  <c:v>0.166666666666667</c:v>
                </c:pt>
                <c:pt idx="6" c:formatCode="h:mm">
                  <c:v>0.208333333333333</c:v>
                </c:pt>
                <c:pt idx="7" c:formatCode="h:mm">
                  <c:v>0.25</c:v>
                </c:pt>
                <c:pt idx="8" c:formatCode="h:mm">
                  <c:v>0.291666666666667</c:v>
                </c:pt>
                <c:pt idx="9" c:formatCode="h:mm">
                  <c:v>0.333333333333333</c:v>
                </c:pt>
                <c:pt idx="10" c:formatCode="h:mm">
                  <c:v>0.375</c:v>
                </c:pt>
              </c:numCache>
            </c:numRef>
          </c:cat>
          <c:val>
            <c:numRef>
              <c:f>'图12（a）'!$E$2:$E$12</c:f>
              <c:numCache>
                <c:formatCode>General</c:formatCode>
                <c:ptCount val="11"/>
              </c:numCache>
            </c:numRef>
          </c:val>
        </c:ser>
        <c:dLbls>
          <c:showLegendKey val="0"/>
          <c:showVal val="0"/>
          <c:showCatName val="0"/>
          <c:showSerName val="0"/>
          <c:showPercent val="0"/>
          <c:showBubbleSize val="0"/>
        </c:dLbls>
        <c:gapWidth val="219"/>
        <c:overlap val="-27"/>
        <c:axId val="1276573904"/>
        <c:axId val="1276569328"/>
      </c:barChart>
      <c:catAx>
        <c:axId val="1276573904"/>
        <c:scaling>
          <c:orientation val="minMax"/>
        </c:scaling>
        <c:delete val="0"/>
        <c:axPos val="b"/>
        <c:title>
          <c:tx>
            <c:rich>
              <a:bodyPr rot="0" spcFirstLastPara="1" vertOverflow="ellipsis"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r>
                  <a:rPr lang="zh-CN" altLang="en-US" sz="750">
                    <a:solidFill>
                      <a:sysClr val="windowText" lastClr="000000"/>
                    </a:solidFill>
                    <a:latin typeface="宋体" panose="02010600030101010101" charset="-122"/>
                    <a:ea typeface="宋体" panose="02010600030101010101" charset="-122"/>
                  </a:rPr>
                  <a:t>时间</a:t>
                </a:r>
                <a:endParaRPr lang="zh-CN" altLang="en-US" sz="750">
                  <a:solidFill>
                    <a:sysClr val="windowText" lastClr="000000"/>
                  </a:solidFill>
                  <a:latin typeface="宋体" panose="02010600030101010101" charset="-122"/>
                  <a:ea typeface="宋体" panose="02010600030101010101" charset="-122"/>
                </a:endParaRPr>
              </a:p>
            </c:rich>
          </c:tx>
          <c:layout/>
          <c:overlay val="0"/>
          <c:spPr>
            <a:noFill/>
            <a:ln>
              <a:noFill/>
            </a:ln>
            <a:effectLst/>
          </c:spPr>
        </c:title>
        <c:numFmt formatCode="h:mm" sourceLinked="1"/>
        <c:majorTickMark val="in"/>
        <c:minorTickMark val="none"/>
        <c:tickLblPos val="nextTo"/>
        <c:spPr>
          <a:noFill/>
          <a:ln w="5080" cap="flat" cmpd="sng" algn="ctr">
            <a:solidFill>
              <a:schemeClr val="tx1"/>
            </a:solidFill>
            <a:round/>
          </a:ln>
          <a:effectLst/>
        </c:spPr>
        <c:txPr>
          <a:bodyPr rot="-60000000" spcFirstLastPara="1" vertOverflow="ellipsis" vert="horz" wrap="square" anchor="ctr" anchorCtr="1"/>
          <a:lstStyle/>
          <a:p>
            <a:pPr>
              <a:defRPr lang="zh-CN" sz="6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276569328"/>
        <c:crosses val="autoZero"/>
        <c:auto val="1"/>
        <c:lblAlgn val="ctr"/>
        <c:lblOffset val="100"/>
        <c:noMultiLvlLbl val="0"/>
      </c:catAx>
      <c:valAx>
        <c:axId val="1276569328"/>
        <c:scaling>
          <c:orientation val="minMax"/>
          <c:max val="6"/>
        </c:scaling>
        <c:delete val="0"/>
        <c:axPos val="l"/>
        <c:title>
          <c:tx>
            <c:rich>
              <a:bodyPr rot="-5400000" spcFirstLastPara="1" vertOverflow="ellipsis" vert="horz" wrap="square" anchor="ctr" anchorCtr="1"/>
              <a:lstStyle/>
              <a:p>
                <a:pPr>
                  <a:defRPr lang="zh-CN" sz="750" b="0" i="0" u="none" strike="noStrike" kern="1200" baseline="0">
                    <a:solidFill>
                      <a:sysClr val="windowText" lastClr="000000"/>
                    </a:solidFill>
                    <a:latin typeface="+mn-lt"/>
                    <a:ea typeface="+mn-ea"/>
                    <a:cs typeface="+mn-cs"/>
                  </a:defRPr>
                </a:pPr>
                <a:r>
                  <a:rPr lang="zh-CN" altLang="en-US" sz="750">
                    <a:solidFill>
                      <a:sysClr val="windowText" lastClr="000000"/>
                    </a:solidFill>
                    <a:latin typeface="宋体" panose="02010600030101010101" charset="-122"/>
                    <a:ea typeface="宋体" panose="02010600030101010101" charset="-122"/>
                  </a:rPr>
                  <a:t>凝结水量</a:t>
                </a:r>
                <a:r>
                  <a:rPr lang="en-US" altLang="zh-CN" sz="750" baseline="0">
                    <a:solidFill>
                      <a:sysClr val="windowText" lastClr="000000"/>
                    </a:solidFill>
                    <a:latin typeface="宋体" panose="02010600030101010101" charset="-122"/>
                    <a:ea typeface="宋体" panose="02010600030101010101" charset="-122"/>
                  </a:rPr>
                  <a:t>/</a:t>
                </a:r>
                <a:r>
                  <a:rPr lang="en-US" altLang="zh-CN" sz="7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750">
                  <a:solidFill>
                    <a:sysClr val="windowText" lastClr="000000"/>
                  </a:solidFill>
                  <a:latin typeface="宋体" panose="02010600030101010101" charset="-122"/>
                  <a:ea typeface="宋体" panose="02010600030101010101" charset="-122"/>
                </a:endParaRPr>
              </a:p>
            </c:rich>
          </c:tx>
          <c:layout/>
          <c:overlay val="0"/>
          <c:spPr>
            <a:noFill/>
            <a:ln>
              <a:noFill/>
            </a:ln>
            <a:effectLst/>
          </c:spPr>
        </c:title>
        <c:numFmt formatCode="General" sourceLinked="1"/>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7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276573904"/>
        <c:crosses val="autoZero"/>
        <c:crossBetween val="between"/>
        <c:majorUnit val="0.5"/>
      </c:valAx>
      <c:spPr>
        <a:noFill/>
        <a:ln>
          <a:noFill/>
        </a:ln>
        <a:effectLst/>
      </c:spPr>
    </c:plotArea>
    <c:legend>
      <c:legendPos val="t"/>
      <c:legendEntry>
        <c:idx val="2"/>
        <c:delete val="1"/>
      </c:legendEntry>
      <c:legendEntry>
        <c:idx val="3"/>
        <c:delete val="1"/>
      </c:legendEntry>
      <c:layout>
        <c:manualLayout>
          <c:xMode val="edge"/>
          <c:yMode val="edge"/>
          <c:x val="0.6026914817466"/>
          <c:y val="0.0366217218160896"/>
          <c:w val="0.364855191626845"/>
          <c:h val="0.132046684802289"/>
        </c:manualLayout>
      </c:layout>
      <c:overlay val="0"/>
      <c:spPr>
        <a:noFill/>
        <a:ln>
          <a:noFill/>
        </a:ln>
        <a:effectLst/>
      </c:spPr>
      <c:txPr>
        <a:bodyPr rot="0" spcFirstLastPara="1" vertOverflow="ellipsis" vert="horz" wrap="square" anchor="ctr" anchorCtr="1"/>
        <a:lstStyle/>
        <a:p>
          <a:pPr>
            <a:defRPr lang="zh-CN" sz="75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7491d282-87d9-4663-84ee-12fdbb52b114}"/>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77794114802"/>
          <c:y val="0.0464569749890647"/>
          <c:w val="0.835629631062702"/>
          <c:h val="0.775132306547442"/>
        </c:manualLayout>
      </c:layout>
      <c:barChart>
        <c:barDir val="col"/>
        <c:grouping val="clustered"/>
        <c:varyColors val="0"/>
        <c:ser>
          <c:idx val="0"/>
          <c:order val="0"/>
          <c:tx>
            <c:strRef>
              <c:f>'图12（a）'!$B$1</c:f>
              <c:strCache>
                <c:ptCount val="1"/>
                <c:pt idx="0">
                  <c:v>2019年</c:v>
                </c:pt>
              </c:strCache>
            </c:strRef>
          </c:tx>
          <c:spPr>
            <a:solidFill>
              <a:srgbClr val="0099FF"/>
            </a:solidFill>
            <a:ln>
              <a:noFill/>
            </a:ln>
            <a:effectLst/>
          </c:spPr>
          <c:invertIfNegative val="0"/>
          <c:dLbls>
            <c:delete val="1"/>
          </c:dLbls>
          <c:cat>
            <c:numRef>
              <c:f>'图12（a）'!$A$2:$A$12</c:f>
              <c:numCache>
                <c:formatCode>h:mm</c:formatCode>
                <c:ptCount val="11"/>
                <c:pt idx="0" c:formatCode="h:mm">
                  <c:v>0.958333333333333</c:v>
                </c:pt>
                <c:pt idx="1" c:formatCode="h:mm">
                  <c:v>0</c:v>
                </c:pt>
                <c:pt idx="2" c:formatCode="h:mm">
                  <c:v>0.0416666666666667</c:v>
                </c:pt>
                <c:pt idx="3" c:formatCode="h:mm">
                  <c:v>0.0833333333333333</c:v>
                </c:pt>
                <c:pt idx="4" c:formatCode="h:mm">
                  <c:v>0.125</c:v>
                </c:pt>
                <c:pt idx="5" c:formatCode="h:mm">
                  <c:v>0.166666666666667</c:v>
                </c:pt>
                <c:pt idx="6" c:formatCode="h:mm">
                  <c:v>0.208333333333333</c:v>
                </c:pt>
                <c:pt idx="7" c:formatCode="h:mm">
                  <c:v>0.25</c:v>
                </c:pt>
                <c:pt idx="8" c:formatCode="h:mm">
                  <c:v>0.291666666666667</c:v>
                </c:pt>
                <c:pt idx="9" c:formatCode="h:mm">
                  <c:v>0.333333333333333</c:v>
                </c:pt>
                <c:pt idx="10" c:formatCode="h:mm">
                  <c:v>0.375</c:v>
                </c:pt>
              </c:numCache>
            </c:numRef>
          </c:cat>
          <c:val>
            <c:numRef>
              <c:f>'图12（a）'!$B$2:$B$12</c:f>
              <c:numCache>
                <c:formatCode>General</c:formatCode>
                <c:ptCount val="11"/>
                <c:pt idx="0">
                  <c:v>0</c:v>
                </c:pt>
                <c:pt idx="1">
                  <c:v>1.43552</c:v>
                </c:pt>
                <c:pt idx="2">
                  <c:v>2.60274</c:v>
                </c:pt>
                <c:pt idx="3">
                  <c:v>3.12591</c:v>
                </c:pt>
                <c:pt idx="4">
                  <c:v>1.13083</c:v>
                </c:pt>
                <c:pt idx="5">
                  <c:v>1.46239</c:v>
                </c:pt>
                <c:pt idx="6">
                  <c:v>1.47276</c:v>
                </c:pt>
                <c:pt idx="7">
                  <c:v>1.74308</c:v>
                </c:pt>
                <c:pt idx="8">
                  <c:v>1.15827</c:v>
                </c:pt>
                <c:pt idx="9">
                  <c:v>0.36671</c:v>
                </c:pt>
                <c:pt idx="10">
                  <c:v>0</c:v>
                </c:pt>
              </c:numCache>
            </c:numRef>
          </c:val>
        </c:ser>
        <c:ser>
          <c:idx val="1"/>
          <c:order val="1"/>
          <c:tx>
            <c:strRef>
              <c:f>'图12（a）'!$C$1</c:f>
              <c:strCache>
                <c:ptCount val="1"/>
                <c:pt idx="0">
                  <c:v>2020年</c:v>
                </c:pt>
              </c:strCache>
            </c:strRef>
          </c:tx>
          <c:spPr>
            <a:solidFill>
              <a:srgbClr val="FF6600"/>
            </a:solidFill>
            <a:ln w="6350">
              <a:noFill/>
            </a:ln>
            <a:effectLst/>
          </c:spPr>
          <c:invertIfNegative val="0"/>
          <c:dLbls>
            <c:delete val="1"/>
          </c:dLbls>
          <c:cat>
            <c:numRef>
              <c:f>'图12（a）'!$A$2:$A$12</c:f>
              <c:numCache>
                <c:formatCode>h:mm</c:formatCode>
                <c:ptCount val="11"/>
                <c:pt idx="0" c:formatCode="h:mm">
                  <c:v>0.958333333333333</c:v>
                </c:pt>
                <c:pt idx="1" c:formatCode="h:mm">
                  <c:v>0</c:v>
                </c:pt>
                <c:pt idx="2" c:formatCode="h:mm">
                  <c:v>0.0416666666666667</c:v>
                </c:pt>
                <c:pt idx="3" c:formatCode="h:mm">
                  <c:v>0.0833333333333333</c:v>
                </c:pt>
                <c:pt idx="4" c:formatCode="h:mm">
                  <c:v>0.125</c:v>
                </c:pt>
                <c:pt idx="5" c:formatCode="h:mm">
                  <c:v>0.166666666666667</c:v>
                </c:pt>
                <c:pt idx="6" c:formatCode="h:mm">
                  <c:v>0.208333333333333</c:v>
                </c:pt>
                <c:pt idx="7" c:formatCode="h:mm">
                  <c:v>0.25</c:v>
                </c:pt>
                <c:pt idx="8" c:formatCode="h:mm">
                  <c:v>0.291666666666667</c:v>
                </c:pt>
                <c:pt idx="9" c:formatCode="h:mm">
                  <c:v>0.333333333333333</c:v>
                </c:pt>
                <c:pt idx="10" c:formatCode="h:mm">
                  <c:v>0.375</c:v>
                </c:pt>
              </c:numCache>
            </c:numRef>
          </c:cat>
          <c:val>
            <c:numRef>
              <c:f>'图12（a）'!$C$2:$C$12</c:f>
              <c:numCache>
                <c:formatCode>General</c:formatCode>
                <c:ptCount val="11"/>
                <c:pt idx="0">
                  <c:v>0</c:v>
                </c:pt>
                <c:pt idx="1">
                  <c:v>2.74215</c:v>
                </c:pt>
                <c:pt idx="2">
                  <c:v>1.09053</c:v>
                </c:pt>
                <c:pt idx="3">
                  <c:v>0.42536</c:v>
                </c:pt>
                <c:pt idx="4">
                  <c:v>1.21282</c:v>
                </c:pt>
                <c:pt idx="5">
                  <c:v>0.03559</c:v>
                </c:pt>
                <c:pt idx="6">
                  <c:v>1.65227</c:v>
                </c:pt>
                <c:pt idx="7">
                  <c:v>1.29966</c:v>
                </c:pt>
                <c:pt idx="8">
                  <c:v>0.89701</c:v>
                </c:pt>
                <c:pt idx="9">
                  <c:v>0.12568</c:v>
                </c:pt>
                <c:pt idx="10">
                  <c:v>0.23179</c:v>
                </c:pt>
              </c:numCache>
            </c:numRef>
          </c:val>
        </c:ser>
        <c:ser>
          <c:idx val="2"/>
          <c:order val="2"/>
          <c:tx>
            <c:strRef>
              <c:f>'图12（a）'!$D$1</c:f>
              <c:strCache>
                <c:ptCount val="1"/>
                <c:pt idx="0">
                  <c:v/>
                </c:pt>
              </c:strCache>
            </c:strRef>
          </c:tx>
          <c:spPr>
            <a:pattFill prst="pct25">
              <a:fgClr>
                <a:srgbClr val="3333FF"/>
              </a:fgClr>
              <a:bgClr>
                <a:schemeClr val="bg1"/>
              </a:bgClr>
            </a:pattFill>
            <a:ln w="6350">
              <a:solidFill>
                <a:schemeClr val="tx1"/>
              </a:solidFill>
            </a:ln>
            <a:effectLst/>
          </c:spPr>
          <c:invertIfNegative val="0"/>
          <c:dLbls>
            <c:delete val="1"/>
          </c:dLbls>
          <c:cat>
            <c:numRef>
              <c:f>'图12（a）'!$A$2:$A$12</c:f>
              <c:numCache>
                <c:formatCode>h:mm</c:formatCode>
                <c:ptCount val="11"/>
                <c:pt idx="0" c:formatCode="h:mm">
                  <c:v>0.958333333333333</c:v>
                </c:pt>
                <c:pt idx="1" c:formatCode="h:mm">
                  <c:v>0</c:v>
                </c:pt>
                <c:pt idx="2" c:formatCode="h:mm">
                  <c:v>0.0416666666666667</c:v>
                </c:pt>
                <c:pt idx="3" c:formatCode="h:mm">
                  <c:v>0.0833333333333333</c:v>
                </c:pt>
                <c:pt idx="4" c:formatCode="h:mm">
                  <c:v>0.125</c:v>
                </c:pt>
                <c:pt idx="5" c:formatCode="h:mm">
                  <c:v>0.166666666666667</c:v>
                </c:pt>
                <c:pt idx="6" c:formatCode="h:mm">
                  <c:v>0.208333333333333</c:v>
                </c:pt>
                <c:pt idx="7" c:formatCode="h:mm">
                  <c:v>0.25</c:v>
                </c:pt>
                <c:pt idx="8" c:formatCode="h:mm">
                  <c:v>0.291666666666667</c:v>
                </c:pt>
                <c:pt idx="9" c:formatCode="h:mm">
                  <c:v>0.333333333333333</c:v>
                </c:pt>
                <c:pt idx="10" c:formatCode="h:mm">
                  <c:v>0.375</c:v>
                </c:pt>
              </c:numCache>
            </c:numRef>
          </c:cat>
          <c:val>
            <c:numRef>
              <c:f>'图12（a）'!$D$2:$D$12</c:f>
              <c:numCache>
                <c:formatCode>General</c:formatCode>
                <c:ptCount val="11"/>
              </c:numCache>
            </c:numRef>
          </c:val>
        </c:ser>
        <c:ser>
          <c:idx val="3"/>
          <c:order val="3"/>
          <c:tx>
            <c:strRef>
              <c:f>'图12（a）'!$E$1</c:f>
              <c:strCache>
                <c:ptCount val="1"/>
                <c:pt idx="0">
                  <c:v/>
                </c:pt>
              </c:strCache>
            </c:strRef>
          </c:tx>
          <c:spPr>
            <a:pattFill prst="lgCheck">
              <a:fgClr>
                <a:srgbClr val="00B050"/>
              </a:fgClr>
              <a:bgClr>
                <a:schemeClr val="bg1"/>
              </a:bgClr>
            </a:pattFill>
            <a:ln w="6350">
              <a:solidFill>
                <a:schemeClr val="tx1"/>
              </a:solidFill>
            </a:ln>
            <a:effectLst/>
          </c:spPr>
          <c:invertIfNegative val="0"/>
          <c:dLbls>
            <c:delete val="1"/>
          </c:dLbls>
          <c:cat>
            <c:numRef>
              <c:f>'图12（a）'!$A$2:$A$12</c:f>
              <c:numCache>
                <c:formatCode>h:mm</c:formatCode>
                <c:ptCount val="11"/>
                <c:pt idx="0" c:formatCode="h:mm">
                  <c:v>0.958333333333333</c:v>
                </c:pt>
                <c:pt idx="1" c:formatCode="h:mm">
                  <c:v>0</c:v>
                </c:pt>
                <c:pt idx="2" c:formatCode="h:mm">
                  <c:v>0.0416666666666667</c:v>
                </c:pt>
                <c:pt idx="3" c:formatCode="h:mm">
                  <c:v>0.0833333333333333</c:v>
                </c:pt>
                <c:pt idx="4" c:formatCode="h:mm">
                  <c:v>0.125</c:v>
                </c:pt>
                <c:pt idx="5" c:formatCode="h:mm">
                  <c:v>0.166666666666667</c:v>
                </c:pt>
                <c:pt idx="6" c:formatCode="h:mm">
                  <c:v>0.208333333333333</c:v>
                </c:pt>
                <c:pt idx="7" c:formatCode="h:mm">
                  <c:v>0.25</c:v>
                </c:pt>
                <c:pt idx="8" c:formatCode="h:mm">
                  <c:v>0.291666666666667</c:v>
                </c:pt>
                <c:pt idx="9" c:formatCode="h:mm">
                  <c:v>0.333333333333333</c:v>
                </c:pt>
                <c:pt idx="10" c:formatCode="h:mm">
                  <c:v>0.375</c:v>
                </c:pt>
              </c:numCache>
            </c:numRef>
          </c:cat>
          <c:val>
            <c:numRef>
              <c:f>'图12（a）'!$E$2:$E$12</c:f>
              <c:numCache>
                <c:formatCode>General</c:formatCode>
                <c:ptCount val="11"/>
              </c:numCache>
            </c:numRef>
          </c:val>
        </c:ser>
        <c:dLbls>
          <c:showLegendKey val="0"/>
          <c:showVal val="0"/>
          <c:showCatName val="0"/>
          <c:showSerName val="0"/>
          <c:showPercent val="0"/>
          <c:showBubbleSize val="0"/>
        </c:dLbls>
        <c:gapWidth val="219"/>
        <c:overlap val="-27"/>
        <c:axId val="1276573904"/>
        <c:axId val="1276569328"/>
      </c:barChart>
      <c:catAx>
        <c:axId val="1276573904"/>
        <c:scaling>
          <c:orientation val="minMax"/>
        </c:scaling>
        <c:delete val="0"/>
        <c:axPos val="b"/>
        <c:title>
          <c:tx>
            <c:rich>
              <a:bodyPr rot="0" spcFirstLastPara="1" vertOverflow="ellipsis"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r>
                  <a:rPr lang="zh-CN" altLang="en-US" sz="750">
                    <a:solidFill>
                      <a:sysClr val="windowText" lastClr="000000"/>
                    </a:solidFill>
                    <a:latin typeface="宋体" panose="02010600030101010101" charset="-122"/>
                    <a:ea typeface="宋体" panose="02010600030101010101" charset="-122"/>
                  </a:rPr>
                  <a:t>时间</a:t>
                </a:r>
                <a:endParaRPr lang="zh-CN" altLang="en-US" sz="750">
                  <a:solidFill>
                    <a:sysClr val="windowText" lastClr="000000"/>
                  </a:solidFill>
                  <a:latin typeface="宋体" panose="02010600030101010101" charset="-122"/>
                  <a:ea typeface="宋体" panose="02010600030101010101" charset="-122"/>
                </a:endParaRPr>
              </a:p>
            </c:rich>
          </c:tx>
          <c:layout/>
          <c:overlay val="0"/>
          <c:spPr>
            <a:noFill/>
            <a:ln>
              <a:noFill/>
            </a:ln>
            <a:effectLst/>
          </c:spPr>
        </c:title>
        <c:numFmt formatCode="h:mm" sourceLinked="1"/>
        <c:majorTickMark val="in"/>
        <c:minorTickMark val="none"/>
        <c:tickLblPos val="nextTo"/>
        <c:spPr>
          <a:noFill/>
          <a:ln w="5080" cap="flat" cmpd="sng" algn="ctr">
            <a:solidFill>
              <a:schemeClr val="tx1"/>
            </a:solidFill>
            <a:round/>
          </a:ln>
          <a:effectLst/>
        </c:spPr>
        <c:txPr>
          <a:bodyPr rot="-60000000" spcFirstLastPara="1" vertOverflow="ellipsis" vert="horz" wrap="square" anchor="ctr" anchorCtr="1"/>
          <a:lstStyle/>
          <a:p>
            <a:pPr>
              <a:defRPr lang="zh-CN" sz="6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276569328"/>
        <c:crosses val="autoZero"/>
        <c:auto val="1"/>
        <c:lblAlgn val="ctr"/>
        <c:lblOffset val="100"/>
        <c:noMultiLvlLbl val="0"/>
      </c:catAx>
      <c:valAx>
        <c:axId val="1276569328"/>
        <c:scaling>
          <c:orientation val="minMax"/>
          <c:max val="6"/>
        </c:scaling>
        <c:delete val="0"/>
        <c:axPos val="l"/>
        <c:title>
          <c:tx>
            <c:rich>
              <a:bodyPr rot="-5400000" spcFirstLastPara="1" vertOverflow="ellipsis" vert="horz" wrap="square" anchor="ctr" anchorCtr="1"/>
              <a:lstStyle/>
              <a:p>
                <a:pPr>
                  <a:defRPr lang="zh-CN" sz="750" b="0" i="0" u="none" strike="noStrike" kern="1200" baseline="0">
                    <a:solidFill>
                      <a:sysClr val="windowText" lastClr="000000"/>
                    </a:solidFill>
                    <a:latin typeface="+mn-lt"/>
                    <a:ea typeface="+mn-ea"/>
                    <a:cs typeface="+mn-cs"/>
                  </a:defRPr>
                </a:pPr>
                <a:r>
                  <a:rPr lang="zh-CN" altLang="en-US" sz="750">
                    <a:solidFill>
                      <a:sysClr val="windowText" lastClr="000000"/>
                    </a:solidFill>
                    <a:latin typeface="宋体" panose="02010600030101010101" charset="-122"/>
                    <a:ea typeface="宋体" panose="02010600030101010101" charset="-122"/>
                  </a:rPr>
                  <a:t>凝结水量</a:t>
                </a:r>
                <a:r>
                  <a:rPr lang="en-US" altLang="zh-CN" sz="750" baseline="0">
                    <a:solidFill>
                      <a:sysClr val="windowText" lastClr="000000"/>
                    </a:solidFill>
                    <a:latin typeface="宋体" panose="02010600030101010101" charset="-122"/>
                    <a:ea typeface="宋体" panose="02010600030101010101" charset="-122"/>
                  </a:rPr>
                  <a:t>/</a:t>
                </a:r>
                <a:r>
                  <a:rPr lang="en-US" altLang="zh-CN" sz="7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750">
                  <a:solidFill>
                    <a:sysClr val="windowText" lastClr="000000"/>
                  </a:solidFill>
                  <a:latin typeface="宋体" panose="02010600030101010101" charset="-122"/>
                  <a:ea typeface="宋体" panose="02010600030101010101" charset="-122"/>
                </a:endParaRPr>
              </a:p>
            </c:rich>
          </c:tx>
          <c:layout/>
          <c:overlay val="0"/>
          <c:spPr>
            <a:noFill/>
            <a:ln>
              <a:noFill/>
            </a:ln>
            <a:effectLst/>
          </c:spPr>
        </c:title>
        <c:numFmt formatCode="General" sourceLinked="1"/>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7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276573904"/>
        <c:crosses val="autoZero"/>
        <c:crossBetween val="between"/>
        <c:majorUnit val="0.5"/>
      </c:valAx>
      <c:spPr>
        <a:noFill/>
        <a:ln>
          <a:noFill/>
        </a:ln>
        <a:effectLst/>
      </c:spPr>
    </c:plotArea>
    <c:legend>
      <c:legendPos val="t"/>
      <c:legendEntry>
        <c:idx val="2"/>
        <c:delete val="1"/>
      </c:legendEntry>
      <c:legendEntry>
        <c:idx val="3"/>
        <c:delete val="1"/>
      </c:legendEntry>
      <c:layout>
        <c:manualLayout>
          <c:xMode val="edge"/>
          <c:yMode val="edge"/>
          <c:x val="0.6026914817466"/>
          <c:y val="0.0366217218160896"/>
          <c:w val="0.364855191626845"/>
          <c:h val="0.132046684802289"/>
        </c:manualLayout>
      </c:layout>
      <c:overlay val="0"/>
      <c:spPr>
        <a:noFill/>
        <a:ln>
          <a:noFill/>
        </a:ln>
        <a:effectLst/>
      </c:spPr>
      <c:txPr>
        <a:bodyPr rot="0" spcFirstLastPara="1" vertOverflow="ellipsis" vert="horz" wrap="square" anchor="ctr" anchorCtr="1"/>
        <a:lstStyle/>
        <a:p>
          <a:pPr>
            <a:defRPr lang="zh-CN" sz="75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c82bf36e-d4b5-4ad9-8fad-e5337a1d7711}"/>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77794114802"/>
          <c:y val="0.0464569749890647"/>
          <c:w val="0.835629631062702"/>
          <c:h val="0.775132306547442"/>
        </c:manualLayout>
      </c:layout>
      <c:barChart>
        <c:barDir val="col"/>
        <c:grouping val="clustered"/>
        <c:varyColors val="0"/>
        <c:ser>
          <c:idx val="0"/>
          <c:order val="0"/>
          <c:tx>
            <c:strRef>
              <c:f>'图12（a）'!$B$1</c:f>
              <c:strCache>
                <c:ptCount val="1"/>
                <c:pt idx="0">
                  <c:v>2019年</c:v>
                </c:pt>
              </c:strCache>
            </c:strRef>
          </c:tx>
          <c:spPr>
            <a:solidFill>
              <a:srgbClr val="0099FF"/>
            </a:solidFill>
            <a:ln>
              <a:noFill/>
            </a:ln>
            <a:effectLst/>
          </c:spPr>
          <c:invertIfNegative val="0"/>
          <c:dLbls>
            <c:delete val="1"/>
          </c:dLbls>
          <c:cat>
            <c:numRef>
              <c:f>'图12（a）'!$A$2:$A$12</c:f>
              <c:numCache>
                <c:formatCode>h:mm</c:formatCode>
                <c:ptCount val="11"/>
                <c:pt idx="0" c:formatCode="h:mm">
                  <c:v>0.958333333333333</c:v>
                </c:pt>
                <c:pt idx="1" c:formatCode="h:mm">
                  <c:v>0</c:v>
                </c:pt>
                <c:pt idx="2" c:formatCode="h:mm">
                  <c:v>0.0416666666666667</c:v>
                </c:pt>
                <c:pt idx="3" c:formatCode="h:mm">
                  <c:v>0.0833333333333333</c:v>
                </c:pt>
                <c:pt idx="4" c:formatCode="h:mm">
                  <c:v>0.125</c:v>
                </c:pt>
                <c:pt idx="5" c:formatCode="h:mm">
                  <c:v>0.166666666666667</c:v>
                </c:pt>
                <c:pt idx="6" c:formatCode="h:mm">
                  <c:v>0.208333333333333</c:v>
                </c:pt>
                <c:pt idx="7" c:formatCode="h:mm">
                  <c:v>0.25</c:v>
                </c:pt>
                <c:pt idx="8" c:formatCode="h:mm">
                  <c:v>0.291666666666667</c:v>
                </c:pt>
                <c:pt idx="9" c:formatCode="h:mm">
                  <c:v>0.333333333333333</c:v>
                </c:pt>
                <c:pt idx="10" c:formatCode="h:mm">
                  <c:v>0.375</c:v>
                </c:pt>
              </c:numCache>
            </c:numRef>
          </c:cat>
          <c:val>
            <c:numRef>
              <c:f>'图12（a）'!$B$2:$B$12</c:f>
              <c:numCache>
                <c:formatCode>General</c:formatCode>
                <c:ptCount val="11"/>
                <c:pt idx="0">
                  <c:v>0</c:v>
                </c:pt>
                <c:pt idx="1">
                  <c:v>5.10777</c:v>
                </c:pt>
                <c:pt idx="2">
                  <c:v>5.57072</c:v>
                </c:pt>
                <c:pt idx="3">
                  <c:v>4.9454</c:v>
                </c:pt>
                <c:pt idx="4">
                  <c:v>5.5004</c:v>
                </c:pt>
                <c:pt idx="5">
                  <c:v>3.86866</c:v>
                </c:pt>
                <c:pt idx="6">
                  <c:v>3.36301</c:v>
                </c:pt>
                <c:pt idx="7">
                  <c:v>3.92301</c:v>
                </c:pt>
                <c:pt idx="8">
                  <c:v>1.29106</c:v>
                </c:pt>
                <c:pt idx="9">
                  <c:v>2.33825</c:v>
                </c:pt>
                <c:pt idx="10">
                  <c:v>0.62015</c:v>
                </c:pt>
              </c:numCache>
            </c:numRef>
          </c:val>
        </c:ser>
        <c:ser>
          <c:idx val="1"/>
          <c:order val="1"/>
          <c:tx>
            <c:strRef>
              <c:f>'图12（a）'!$C$1</c:f>
              <c:strCache>
                <c:ptCount val="1"/>
                <c:pt idx="0">
                  <c:v>2020年</c:v>
                </c:pt>
              </c:strCache>
            </c:strRef>
          </c:tx>
          <c:spPr>
            <a:solidFill>
              <a:srgbClr val="FF6600"/>
            </a:solidFill>
            <a:ln w="6350">
              <a:noFill/>
            </a:ln>
            <a:effectLst/>
          </c:spPr>
          <c:invertIfNegative val="0"/>
          <c:dLbls>
            <c:delete val="1"/>
          </c:dLbls>
          <c:cat>
            <c:numRef>
              <c:f>'图12（a）'!$A$2:$A$12</c:f>
              <c:numCache>
                <c:formatCode>h:mm</c:formatCode>
                <c:ptCount val="11"/>
                <c:pt idx="0" c:formatCode="h:mm">
                  <c:v>0.958333333333333</c:v>
                </c:pt>
                <c:pt idx="1" c:formatCode="h:mm">
                  <c:v>0</c:v>
                </c:pt>
                <c:pt idx="2" c:formatCode="h:mm">
                  <c:v>0.0416666666666667</c:v>
                </c:pt>
                <c:pt idx="3" c:formatCode="h:mm">
                  <c:v>0.0833333333333333</c:v>
                </c:pt>
                <c:pt idx="4" c:formatCode="h:mm">
                  <c:v>0.125</c:v>
                </c:pt>
                <c:pt idx="5" c:formatCode="h:mm">
                  <c:v>0.166666666666667</c:v>
                </c:pt>
                <c:pt idx="6" c:formatCode="h:mm">
                  <c:v>0.208333333333333</c:v>
                </c:pt>
                <c:pt idx="7" c:formatCode="h:mm">
                  <c:v>0.25</c:v>
                </c:pt>
                <c:pt idx="8" c:formatCode="h:mm">
                  <c:v>0.291666666666667</c:v>
                </c:pt>
                <c:pt idx="9" c:formatCode="h:mm">
                  <c:v>0.333333333333333</c:v>
                </c:pt>
                <c:pt idx="10" c:formatCode="h:mm">
                  <c:v>0.375</c:v>
                </c:pt>
              </c:numCache>
            </c:numRef>
          </c:cat>
          <c:val>
            <c:numRef>
              <c:f>'图12（a）'!$C$2:$C$12</c:f>
              <c:numCache>
                <c:formatCode>General</c:formatCode>
                <c:ptCount val="11"/>
                <c:pt idx="0">
                  <c:v>0</c:v>
                </c:pt>
                <c:pt idx="1">
                  <c:v>2.83955</c:v>
                </c:pt>
                <c:pt idx="2">
                  <c:v>1.75044</c:v>
                </c:pt>
                <c:pt idx="3">
                  <c:v>3.01637</c:v>
                </c:pt>
                <c:pt idx="4">
                  <c:v>2.15188</c:v>
                </c:pt>
                <c:pt idx="5">
                  <c:v>2.13345</c:v>
                </c:pt>
                <c:pt idx="6">
                  <c:v>1.52602</c:v>
                </c:pt>
                <c:pt idx="7">
                  <c:v>1.3661</c:v>
                </c:pt>
                <c:pt idx="8">
                  <c:v>0.19917</c:v>
                </c:pt>
                <c:pt idx="9">
                  <c:v>1.44901</c:v>
                </c:pt>
                <c:pt idx="10">
                  <c:v>0.34282</c:v>
                </c:pt>
              </c:numCache>
            </c:numRef>
          </c:val>
        </c:ser>
        <c:ser>
          <c:idx val="2"/>
          <c:order val="2"/>
          <c:tx>
            <c:strRef>
              <c:f>'图12（a）'!$D$1</c:f>
              <c:strCache>
                <c:ptCount val="1"/>
                <c:pt idx="0">
                  <c:v/>
                </c:pt>
              </c:strCache>
            </c:strRef>
          </c:tx>
          <c:spPr>
            <a:pattFill prst="pct25">
              <a:fgClr>
                <a:srgbClr val="3333FF"/>
              </a:fgClr>
              <a:bgClr>
                <a:schemeClr val="bg1"/>
              </a:bgClr>
            </a:pattFill>
            <a:ln w="6350">
              <a:solidFill>
                <a:schemeClr val="tx1"/>
              </a:solidFill>
            </a:ln>
            <a:effectLst/>
          </c:spPr>
          <c:invertIfNegative val="0"/>
          <c:dLbls>
            <c:delete val="1"/>
          </c:dLbls>
          <c:cat>
            <c:numRef>
              <c:f>'图12（a）'!$A$2:$A$12</c:f>
              <c:numCache>
                <c:formatCode>h:mm</c:formatCode>
                <c:ptCount val="11"/>
                <c:pt idx="0" c:formatCode="h:mm">
                  <c:v>0.958333333333333</c:v>
                </c:pt>
                <c:pt idx="1" c:formatCode="h:mm">
                  <c:v>0</c:v>
                </c:pt>
                <c:pt idx="2" c:formatCode="h:mm">
                  <c:v>0.0416666666666667</c:v>
                </c:pt>
                <c:pt idx="3" c:formatCode="h:mm">
                  <c:v>0.0833333333333333</c:v>
                </c:pt>
                <c:pt idx="4" c:formatCode="h:mm">
                  <c:v>0.125</c:v>
                </c:pt>
                <c:pt idx="5" c:formatCode="h:mm">
                  <c:v>0.166666666666667</c:v>
                </c:pt>
                <c:pt idx="6" c:formatCode="h:mm">
                  <c:v>0.208333333333333</c:v>
                </c:pt>
                <c:pt idx="7" c:formatCode="h:mm">
                  <c:v>0.25</c:v>
                </c:pt>
                <c:pt idx="8" c:formatCode="h:mm">
                  <c:v>0.291666666666667</c:v>
                </c:pt>
                <c:pt idx="9" c:formatCode="h:mm">
                  <c:v>0.333333333333333</c:v>
                </c:pt>
                <c:pt idx="10" c:formatCode="h:mm">
                  <c:v>0.375</c:v>
                </c:pt>
              </c:numCache>
            </c:numRef>
          </c:cat>
          <c:val>
            <c:numRef>
              <c:f>'图12（a）'!$D$2:$D$12</c:f>
              <c:numCache>
                <c:formatCode>General</c:formatCode>
                <c:ptCount val="11"/>
              </c:numCache>
            </c:numRef>
          </c:val>
        </c:ser>
        <c:ser>
          <c:idx val="3"/>
          <c:order val="3"/>
          <c:tx>
            <c:strRef>
              <c:f>'图12（a）'!$E$1</c:f>
              <c:strCache>
                <c:ptCount val="1"/>
                <c:pt idx="0">
                  <c:v/>
                </c:pt>
              </c:strCache>
            </c:strRef>
          </c:tx>
          <c:spPr>
            <a:pattFill prst="lgCheck">
              <a:fgClr>
                <a:srgbClr val="00B050"/>
              </a:fgClr>
              <a:bgClr>
                <a:schemeClr val="bg1"/>
              </a:bgClr>
            </a:pattFill>
            <a:ln w="6350">
              <a:solidFill>
                <a:schemeClr val="tx1"/>
              </a:solidFill>
            </a:ln>
            <a:effectLst/>
          </c:spPr>
          <c:invertIfNegative val="0"/>
          <c:dLbls>
            <c:delete val="1"/>
          </c:dLbls>
          <c:cat>
            <c:numRef>
              <c:f>'图12（a）'!$A$2:$A$12</c:f>
              <c:numCache>
                <c:formatCode>h:mm</c:formatCode>
                <c:ptCount val="11"/>
                <c:pt idx="0" c:formatCode="h:mm">
                  <c:v>0.958333333333333</c:v>
                </c:pt>
                <c:pt idx="1" c:formatCode="h:mm">
                  <c:v>0</c:v>
                </c:pt>
                <c:pt idx="2" c:formatCode="h:mm">
                  <c:v>0.0416666666666667</c:v>
                </c:pt>
                <c:pt idx="3" c:formatCode="h:mm">
                  <c:v>0.0833333333333333</c:v>
                </c:pt>
                <c:pt idx="4" c:formatCode="h:mm">
                  <c:v>0.125</c:v>
                </c:pt>
                <c:pt idx="5" c:formatCode="h:mm">
                  <c:v>0.166666666666667</c:v>
                </c:pt>
                <c:pt idx="6" c:formatCode="h:mm">
                  <c:v>0.208333333333333</c:v>
                </c:pt>
                <c:pt idx="7" c:formatCode="h:mm">
                  <c:v>0.25</c:v>
                </c:pt>
                <c:pt idx="8" c:formatCode="h:mm">
                  <c:v>0.291666666666667</c:v>
                </c:pt>
                <c:pt idx="9" c:formatCode="h:mm">
                  <c:v>0.333333333333333</c:v>
                </c:pt>
                <c:pt idx="10" c:formatCode="h:mm">
                  <c:v>0.375</c:v>
                </c:pt>
              </c:numCache>
            </c:numRef>
          </c:cat>
          <c:val>
            <c:numRef>
              <c:f>'图12（a）'!$E$2:$E$12</c:f>
              <c:numCache>
                <c:formatCode>General</c:formatCode>
                <c:ptCount val="11"/>
              </c:numCache>
            </c:numRef>
          </c:val>
        </c:ser>
        <c:dLbls>
          <c:showLegendKey val="0"/>
          <c:showVal val="0"/>
          <c:showCatName val="0"/>
          <c:showSerName val="0"/>
          <c:showPercent val="0"/>
          <c:showBubbleSize val="0"/>
        </c:dLbls>
        <c:gapWidth val="219"/>
        <c:overlap val="-27"/>
        <c:axId val="1276573904"/>
        <c:axId val="1276569328"/>
      </c:barChart>
      <c:catAx>
        <c:axId val="1276573904"/>
        <c:scaling>
          <c:orientation val="minMax"/>
        </c:scaling>
        <c:delete val="0"/>
        <c:axPos val="b"/>
        <c:title>
          <c:tx>
            <c:rich>
              <a:bodyPr rot="0" spcFirstLastPara="1" vertOverflow="ellipsis"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r>
                  <a:rPr lang="zh-CN" altLang="en-US" sz="750">
                    <a:solidFill>
                      <a:sysClr val="windowText" lastClr="000000"/>
                    </a:solidFill>
                    <a:latin typeface="宋体" panose="02010600030101010101" charset="-122"/>
                    <a:ea typeface="宋体" panose="02010600030101010101" charset="-122"/>
                  </a:rPr>
                  <a:t>时间</a:t>
                </a:r>
                <a:endParaRPr lang="zh-CN" altLang="en-US" sz="750">
                  <a:solidFill>
                    <a:sysClr val="windowText" lastClr="000000"/>
                  </a:solidFill>
                  <a:latin typeface="宋体" panose="02010600030101010101" charset="-122"/>
                  <a:ea typeface="宋体" panose="02010600030101010101" charset="-122"/>
                </a:endParaRPr>
              </a:p>
            </c:rich>
          </c:tx>
          <c:layout/>
          <c:overlay val="0"/>
          <c:spPr>
            <a:noFill/>
            <a:ln>
              <a:noFill/>
            </a:ln>
            <a:effectLst/>
          </c:spPr>
        </c:title>
        <c:numFmt formatCode="h:mm" sourceLinked="1"/>
        <c:majorTickMark val="in"/>
        <c:minorTickMark val="none"/>
        <c:tickLblPos val="nextTo"/>
        <c:spPr>
          <a:noFill/>
          <a:ln w="5080" cap="flat" cmpd="sng" algn="ctr">
            <a:solidFill>
              <a:schemeClr val="tx1"/>
            </a:solidFill>
            <a:round/>
          </a:ln>
          <a:effectLst/>
        </c:spPr>
        <c:txPr>
          <a:bodyPr rot="-60000000" spcFirstLastPara="1" vertOverflow="ellipsis" vert="horz" wrap="square" anchor="ctr" anchorCtr="1"/>
          <a:lstStyle/>
          <a:p>
            <a:pPr>
              <a:defRPr lang="zh-CN" sz="6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276569328"/>
        <c:crosses val="autoZero"/>
        <c:auto val="1"/>
        <c:lblAlgn val="ctr"/>
        <c:lblOffset val="100"/>
        <c:noMultiLvlLbl val="0"/>
      </c:catAx>
      <c:valAx>
        <c:axId val="1276569328"/>
        <c:scaling>
          <c:orientation val="minMax"/>
          <c:max val="6"/>
        </c:scaling>
        <c:delete val="0"/>
        <c:axPos val="l"/>
        <c:title>
          <c:tx>
            <c:rich>
              <a:bodyPr rot="-5400000" spcFirstLastPara="1" vertOverflow="ellipsis" vert="horz" wrap="square" anchor="ctr" anchorCtr="1"/>
              <a:lstStyle/>
              <a:p>
                <a:pPr>
                  <a:defRPr lang="zh-CN" sz="750" b="0" i="0" u="none" strike="noStrike" kern="1200" baseline="0">
                    <a:solidFill>
                      <a:sysClr val="windowText" lastClr="000000"/>
                    </a:solidFill>
                    <a:latin typeface="+mn-lt"/>
                    <a:ea typeface="+mn-ea"/>
                    <a:cs typeface="+mn-cs"/>
                  </a:defRPr>
                </a:pPr>
                <a:r>
                  <a:rPr lang="zh-CN" altLang="en-US" sz="750">
                    <a:solidFill>
                      <a:sysClr val="windowText" lastClr="000000"/>
                    </a:solidFill>
                    <a:latin typeface="宋体" panose="02010600030101010101" charset="-122"/>
                    <a:ea typeface="宋体" panose="02010600030101010101" charset="-122"/>
                  </a:rPr>
                  <a:t>凝结水量</a:t>
                </a:r>
                <a:r>
                  <a:rPr lang="en-US" altLang="zh-CN" sz="750" baseline="0">
                    <a:solidFill>
                      <a:sysClr val="windowText" lastClr="000000"/>
                    </a:solidFill>
                    <a:latin typeface="宋体" panose="02010600030101010101" charset="-122"/>
                    <a:ea typeface="宋体" panose="02010600030101010101" charset="-122"/>
                  </a:rPr>
                  <a:t>/</a:t>
                </a:r>
                <a:r>
                  <a:rPr lang="en-US" altLang="zh-CN" sz="7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750">
                  <a:solidFill>
                    <a:sysClr val="windowText" lastClr="000000"/>
                  </a:solidFill>
                  <a:latin typeface="宋体" panose="02010600030101010101" charset="-122"/>
                  <a:ea typeface="宋体" panose="02010600030101010101" charset="-122"/>
                </a:endParaRPr>
              </a:p>
            </c:rich>
          </c:tx>
          <c:layout/>
          <c:overlay val="0"/>
          <c:spPr>
            <a:noFill/>
            <a:ln>
              <a:noFill/>
            </a:ln>
            <a:effectLst/>
          </c:spPr>
        </c:title>
        <c:numFmt formatCode="General" sourceLinked="1"/>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7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276573904"/>
        <c:crosses val="autoZero"/>
        <c:crossBetween val="between"/>
        <c:majorUnit val="0.5"/>
      </c:valAx>
      <c:spPr>
        <a:noFill/>
        <a:ln>
          <a:noFill/>
        </a:ln>
        <a:effectLst/>
      </c:spPr>
    </c:plotArea>
    <c:legend>
      <c:legendPos val="t"/>
      <c:legendEntry>
        <c:idx val="2"/>
        <c:delete val="1"/>
      </c:legendEntry>
      <c:legendEntry>
        <c:idx val="3"/>
        <c:delete val="1"/>
      </c:legendEntry>
      <c:layout>
        <c:manualLayout>
          <c:xMode val="edge"/>
          <c:yMode val="edge"/>
          <c:x val="0.6026914817466"/>
          <c:y val="0.0366217218160896"/>
          <c:w val="0.364855191626845"/>
          <c:h val="0.132046684802289"/>
        </c:manualLayout>
      </c:layout>
      <c:overlay val="0"/>
      <c:spPr>
        <a:noFill/>
        <a:ln>
          <a:noFill/>
        </a:ln>
        <a:effectLst/>
      </c:spPr>
      <c:txPr>
        <a:bodyPr rot="0" spcFirstLastPara="1" vertOverflow="ellipsis" vert="horz" wrap="square" anchor="ctr" anchorCtr="1"/>
        <a:lstStyle/>
        <a:p>
          <a:pPr>
            <a:defRPr lang="zh-CN" sz="75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6c024b85-caa8-4b3f-8c4b-d44a6395ad76}"/>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77794114802"/>
          <c:y val="0.0464569749890647"/>
          <c:w val="0.835629631062702"/>
          <c:h val="0.775132306547442"/>
        </c:manualLayout>
      </c:layout>
      <c:barChart>
        <c:barDir val="col"/>
        <c:grouping val="clustered"/>
        <c:varyColors val="0"/>
        <c:ser>
          <c:idx val="0"/>
          <c:order val="0"/>
          <c:tx>
            <c:strRef>
              <c:f>'图12（a）'!$B$1</c:f>
              <c:strCache>
                <c:ptCount val="1"/>
                <c:pt idx="0">
                  <c:v>2019年</c:v>
                </c:pt>
              </c:strCache>
            </c:strRef>
          </c:tx>
          <c:spPr>
            <a:solidFill>
              <a:srgbClr val="0099FF"/>
            </a:solidFill>
            <a:ln>
              <a:noFill/>
            </a:ln>
            <a:effectLst/>
          </c:spPr>
          <c:invertIfNegative val="0"/>
          <c:dLbls>
            <c:delete val="1"/>
          </c:dLbls>
          <c:cat>
            <c:numRef>
              <c:f>'图12（a）'!$A$2:$A$12</c:f>
              <c:numCache>
                <c:formatCode>h:mm</c:formatCode>
                <c:ptCount val="11"/>
                <c:pt idx="0" c:formatCode="h:mm">
                  <c:v>0.958333333333333</c:v>
                </c:pt>
                <c:pt idx="1" c:formatCode="h:mm">
                  <c:v>0</c:v>
                </c:pt>
                <c:pt idx="2" c:formatCode="h:mm">
                  <c:v>0.0416666666666667</c:v>
                </c:pt>
                <c:pt idx="3" c:formatCode="h:mm">
                  <c:v>0.0833333333333333</c:v>
                </c:pt>
                <c:pt idx="4" c:formatCode="h:mm">
                  <c:v>0.125</c:v>
                </c:pt>
                <c:pt idx="5" c:formatCode="h:mm">
                  <c:v>0.166666666666667</c:v>
                </c:pt>
                <c:pt idx="6" c:formatCode="h:mm">
                  <c:v>0.208333333333333</c:v>
                </c:pt>
                <c:pt idx="7" c:formatCode="h:mm">
                  <c:v>0.25</c:v>
                </c:pt>
                <c:pt idx="8" c:formatCode="h:mm">
                  <c:v>0.291666666666667</c:v>
                </c:pt>
                <c:pt idx="9" c:formatCode="h:mm">
                  <c:v>0.333333333333333</c:v>
                </c:pt>
                <c:pt idx="10" c:formatCode="h:mm">
                  <c:v>0.375</c:v>
                </c:pt>
              </c:numCache>
            </c:numRef>
          </c:cat>
          <c:val>
            <c:numRef>
              <c:f>'图12（a）'!$B$2:$B$12</c:f>
              <c:numCache>
                <c:formatCode>General</c:formatCode>
                <c:ptCount val="11"/>
                <c:pt idx="0">
                  <c:v>0</c:v>
                </c:pt>
                <c:pt idx="1">
                  <c:v>1.45221</c:v>
                </c:pt>
                <c:pt idx="2">
                  <c:v>1.49119</c:v>
                </c:pt>
                <c:pt idx="3">
                  <c:v>0.93561</c:v>
                </c:pt>
                <c:pt idx="4">
                  <c:v>0.67356</c:v>
                </c:pt>
                <c:pt idx="5">
                  <c:v>0.65531</c:v>
                </c:pt>
                <c:pt idx="6">
                  <c:v>0.8448</c:v>
                </c:pt>
                <c:pt idx="7">
                  <c:v>0.73902</c:v>
                </c:pt>
                <c:pt idx="8">
                  <c:v>0.07489</c:v>
                </c:pt>
                <c:pt idx="9">
                  <c:v>0.42654</c:v>
                </c:pt>
                <c:pt idx="10">
                  <c:v>0.2398</c:v>
                </c:pt>
              </c:numCache>
            </c:numRef>
          </c:val>
        </c:ser>
        <c:ser>
          <c:idx val="1"/>
          <c:order val="1"/>
          <c:tx>
            <c:strRef>
              <c:f>'图12（a）'!$C$1</c:f>
              <c:strCache>
                <c:ptCount val="1"/>
                <c:pt idx="0">
                  <c:v>2020年</c:v>
                </c:pt>
              </c:strCache>
            </c:strRef>
          </c:tx>
          <c:spPr>
            <a:solidFill>
              <a:srgbClr val="FF6600"/>
            </a:solidFill>
            <a:ln w="6350">
              <a:noFill/>
            </a:ln>
            <a:effectLst/>
          </c:spPr>
          <c:invertIfNegative val="0"/>
          <c:dLbls>
            <c:delete val="1"/>
          </c:dLbls>
          <c:cat>
            <c:numRef>
              <c:f>'图12（a）'!$A$2:$A$12</c:f>
              <c:numCache>
                <c:formatCode>h:mm</c:formatCode>
                <c:ptCount val="11"/>
                <c:pt idx="0" c:formatCode="h:mm">
                  <c:v>0.958333333333333</c:v>
                </c:pt>
                <c:pt idx="1" c:formatCode="h:mm">
                  <c:v>0</c:v>
                </c:pt>
                <c:pt idx="2" c:formatCode="h:mm">
                  <c:v>0.0416666666666667</c:v>
                </c:pt>
                <c:pt idx="3" c:formatCode="h:mm">
                  <c:v>0.0833333333333333</c:v>
                </c:pt>
                <c:pt idx="4" c:formatCode="h:mm">
                  <c:v>0.125</c:v>
                </c:pt>
                <c:pt idx="5" c:formatCode="h:mm">
                  <c:v>0.166666666666667</c:v>
                </c:pt>
                <c:pt idx="6" c:formatCode="h:mm">
                  <c:v>0.208333333333333</c:v>
                </c:pt>
                <c:pt idx="7" c:formatCode="h:mm">
                  <c:v>0.25</c:v>
                </c:pt>
                <c:pt idx="8" c:formatCode="h:mm">
                  <c:v>0.291666666666667</c:v>
                </c:pt>
                <c:pt idx="9" c:formatCode="h:mm">
                  <c:v>0.333333333333333</c:v>
                </c:pt>
                <c:pt idx="10" c:formatCode="h:mm">
                  <c:v>0.375</c:v>
                </c:pt>
              </c:numCache>
            </c:numRef>
          </c:cat>
          <c:val>
            <c:numRef>
              <c:f>'图12（a）'!$C$2:$C$12</c:f>
              <c:numCache>
                <c:formatCode>General</c:formatCode>
                <c:ptCount val="11"/>
                <c:pt idx="0">
                  <c:v>0</c:v>
                </c:pt>
                <c:pt idx="1">
                  <c:v>0.51362</c:v>
                </c:pt>
                <c:pt idx="2">
                  <c:v>0.68221</c:v>
                </c:pt>
                <c:pt idx="3">
                  <c:v>0.73597</c:v>
                </c:pt>
                <c:pt idx="4">
                  <c:v>0.37715</c:v>
                </c:pt>
                <c:pt idx="5">
                  <c:v>1.29905</c:v>
                </c:pt>
                <c:pt idx="6">
                  <c:v>1.17541</c:v>
                </c:pt>
                <c:pt idx="7">
                  <c:v>0.78703</c:v>
                </c:pt>
                <c:pt idx="8">
                  <c:v>0</c:v>
                </c:pt>
                <c:pt idx="9">
                  <c:v>0</c:v>
                </c:pt>
                <c:pt idx="10">
                  <c:v>0</c:v>
                </c:pt>
              </c:numCache>
            </c:numRef>
          </c:val>
        </c:ser>
        <c:ser>
          <c:idx val="2"/>
          <c:order val="2"/>
          <c:tx>
            <c:strRef>
              <c:f>'图12（a）'!$D$1</c:f>
              <c:strCache>
                <c:ptCount val="1"/>
                <c:pt idx="0">
                  <c:v/>
                </c:pt>
              </c:strCache>
            </c:strRef>
          </c:tx>
          <c:spPr>
            <a:pattFill prst="pct25">
              <a:fgClr>
                <a:srgbClr val="3333FF"/>
              </a:fgClr>
              <a:bgClr>
                <a:schemeClr val="bg1"/>
              </a:bgClr>
            </a:pattFill>
            <a:ln w="6350">
              <a:solidFill>
                <a:schemeClr val="tx1"/>
              </a:solidFill>
            </a:ln>
            <a:effectLst/>
          </c:spPr>
          <c:invertIfNegative val="0"/>
          <c:dLbls>
            <c:delete val="1"/>
          </c:dLbls>
          <c:cat>
            <c:numRef>
              <c:f>'图12（a）'!$A$2:$A$12</c:f>
              <c:numCache>
                <c:formatCode>h:mm</c:formatCode>
                <c:ptCount val="11"/>
                <c:pt idx="0" c:formatCode="h:mm">
                  <c:v>0.958333333333333</c:v>
                </c:pt>
                <c:pt idx="1" c:formatCode="h:mm">
                  <c:v>0</c:v>
                </c:pt>
                <c:pt idx="2" c:formatCode="h:mm">
                  <c:v>0.0416666666666667</c:v>
                </c:pt>
                <c:pt idx="3" c:formatCode="h:mm">
                  <c:v>0.0833333333333333</c:v>
                </c:pt>
                <c:pt idx="4" c:formatCode="h:mm">
                  <c:v>0.125</c:v>
                </c:pt>
                <c:pt idx="5" c:formatCode="h:mm">
                  <c:v>0.166666666666667</c:v>
                </c:pt>
                <c:pt idx="6" c:formatCode="h:mm">
                  <c:v>0.208333333333333</c:v>
                </c:pt>
                <c:pt idx="7" c:formatCode="h:mm">
                  <c:v>0.25</c:v>
                </c:pt>
                <c:pt idx="8" c:formatCode="h:mm">
                  <c:v>0.291666666666667</c:v>
                </c:pt>
                <c:pt idx="9" c:formatCode="h:mm">
                  <c:v>0.333333333333333</c:v>
                </c:pt>
                <c:pt idx="10" c:formatCode="h:mm">
                  <c:v>0.375</c:v>
                </c:pt>
              </c:numCache>
            </c:numRef>
          </c:cat>
          <c:val>
            <c:numRef>
              <c:f>'图12（a）'!$D$2:$D$12</c:f>
              <c:numCache>
                <c:formatCode>General</c:formatCode>
                <c:ptCount val="11"/>
              </c:numCache>
            </c:numRef>
          </c:val>
        </c:ser>
        <c:ser>
          <c:idx val="3"/>
          <c:order val="3"/>
          <c:tx>
            <c:strRef>
              <c:f>'图12（a）'!$E$1</c:f>
              <c:strCache>
                <c:ptCount val="1"/>
                <c:pt idx="0">
                  <c:v/>
                </c:pt>
              </c:strCache>
            </c:strRef>
          </c:tx>
          <c:spPr>
            <a:pattFill prst="lgCheck">
              <a:fgClr>
                <a:srgbClr val="00B050"/>
              </a:fgClr>
              <a:bgClr>
                <a:schemeClr val="bg1"/>
              </a:bgClr>
            </a:pattFill>
            <a:ln w="6350">
              <a:solidFill>
                <a:schemeClr val="tx1"/>
              </a:solidFill>
            </a:ln>
            <a:effectLst/>
          </c:spPr>
          <c:invertIfNegative val="0"/>
          <c:dLbls>
            <c:delete val="1"/>
          </c:dLbls>
          <c:cat>
            <c:numRef>
              <c:f>'图12（a）'!$A$2:$A$12</c:f>
              <c:numCache>
                <c:formatCode>h:mm</c:formatCode>
                <c:ptCount val="11"/>
                <c:pt idx="0" c:formatCode="h:mm">
                  <c:v>0.958333333333333</c:v>
                </c:pt>
                <c:pt idx="1" c:formatCode="h:mm">
                  <c:v>0</c:v>
                </c:pt>
                <c:pt idx="2" c:formatCode="h:mm">
                  <c:v>0.0416666666666667</c:v>
                </c:pt>
                <c:pt idx="3" c:formatCode="h:mm">
                  <c:v>0.0833333333333333</c:v>
                </c:pt>
                <c:pt idx="4" c:formatCode="h:mm">
                  <c:v>0.125</c:v>
                </c:pt>
                <c:pt idx="5" c:formatCode="h:mm">
                  <c:v>0.166666666666667</c:v>
                </c:pt>
                <c:pt idx="6" c:formatCode="h:mm">
                  <c:v>0.208333333333333</c:v>
                </c:pt>
                <c:pt idx="7" c:formatCode="h:mm">
                  <c:v>0.25</c:v>
                </c:pt>
                <c:pt idx="8" c:formatCode="h:mm">
                  <c:v>0.291666666666667</c:v>
                </c:pt>
                <c:pt idx="9" c:formatCode="h:mm">
                  <c:v>0.333333333333333</c:v>
                </c:pt>
                <c:pt idx="10" c:formatCode="h:mm">
                  <c:v>0.375</c:v>
                </c:pt>
              </c:numCache>
            </c:numRef>
          </c:cat>
          <c:val>
            <c:numRef>
              <c:f>'图12（a）'!$E$2:$E$12</c:f>
              <c:numCache>
                <c:formatCode>General</c:formatCode>
                <c:ptCount val="11"/>
              </c:numCache>
            </c:numRef>
          </c:val>
        </c:ser>
        <c:dLbls>
          <c:showLegendKey val="0"/>
          <c:showVal val="0"/>
          <c:showCatName val="0"/>
          <c:showSerName val="0"/>
          <c:showPercent val="0"/>
          <c:showBubbleSize val="0"/>
        </c:dLbls>
        <c:gapWidth val="219"/>
        <c:overlap val="-27"/>
        <c:axId val="1276573904"/>
        <c:axId val="1276569328"/>
      </c:barChart>
      <c:catAx>
        <c:axId val="1276573904"/>
        <c:scaling>
          <c:orientation val="minMax"/>
        </c:scaling>
        <c:delete val="0"/>
        <c:axPos val="b"/>
        <c:title>
          <c:tx>
            <c:rich>
              <a:bodyPr rot="0" spcFirstLastPara="1" vertOverflow="ellipsis"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r>
                  <a:rPr lang="zh-CN" altLang="en-US" sz="750">
                    <a:solidFill>
                      <a:sysClr val="windowText" lastClr="000000"/>
                    </a:solidFill>
                    <a:latin typeface="宋体" panose="02010600030101010101" charset="-122"/>
                    <a:ea typeface="宋体" panose="02010600030101010101" charset="-122"/>
                  </a:rPr>
                  <a:t>时间</a:t>
                </a:r>
                <a:endParaRPr lang="zh-CN" altLang="en-US" sz="750">
                  <a:solidFill>
                    <a:sysClr val="windowText" lastClr="000000"/>
                  </a:solidFill>
                  <a:latin typeface="宋体" panose="02010600030101010101" charset="-122"/>
                  <a:ea typeface="宋体" panose="02010600030101010101" charset="-122"/>
                </a:endParaRPr>
              </a:p>
            </c:rich>
          </c:tx>
          <c:layout/>
          <c:overlay val="0"/>
          <c:spPr>
            <a:noFill/>
            <a:ln>
              <a:noFill/>
            </a:ln>
            <a:effectLst/>
          </c:spPr>
        </c:title>
        <c:numFmt formatCode="h:mm" sourceLinked="1"/>
        <c:majorTickMark val="in"/>
        <c:minorTickMark val="none"/>
        <c:tickLblPos val="nextTo"/>
        <c:spPr>
          <a:noFill/>
          <a:ln w="5080" cap="flat" cmpd="sng" algn="ctr">
            <a:solidFill>
              <a:schemeClr val="tx1"/>
            </a:solidFill>
            <a:round/>
          </a:ln>
          <a:effectLst/>
        </c:spPr>
        <c:txPr>
          <a:bodyPr rot="-60000000" spcFirstLastPara="1" vertOverflow="ellipsis" vert="horz" wrap="square" anchor="ctr" anchorCtr="1"/>
          <a:lstStyle/>
          <a:p>
            <a:pPr>
              <a:defRPr lang="zh-CN" sz="6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276569328"/>
        <c:crosses val="autoZero"/>
        <c:auto val="1"/>
        <c:lblAlgn val="ctr"/>
        <c:lblOffset val="100"/>
        <c:noMultiLvlLbl val="0"/>
      </c:catAx>
      <c:valAx>
        <c:axId val="1276569328"/>
        <c:scaling>
          <c:orientation val="minMax"/>
          <c:max val="6"/>
        </c:scaling>
        <c:delete val="0"/>
        <c:axPos val="l"/>
        <c:title>
          <c:tx>
            <c:rich>
              <a:bodyPr rot="-5400000" spcFirstLastPara="1" vertOverflow="ellipsis" vert="horz" wrap="square" anchor="ctr" anchorCtr="1"/>
              <a:lstStyle/>
              <a:p>
                <a:pPr>
                  <a:defRPr lang="zh-CN" sz="750" b="0" i="0" u="none" strike="noStrike" kern="1200" baseline="0">
                    <a:solidFill>
                      <a:sysClr val="windowText" lastClr="000000"/>
                    </a:solidFill>
                    <a:latin typeface="+mn-lt"/>
                    <a:ea typeface="+mn-ea"/>
                    <a:cs typeface="+mn-cs"/>
                  </a:defRPr>
                </a:pPr>
                <a:r>
                  <a:rPr lang="zh-CN" altLang="en-US" sz="750">
                    <a:solidFill>
                      <a:sysClr val="windowText" lastClr="000000"/>
                    </a:solidFill>
                    <a:latin typeface="宋体" panose="02010600030101010101" charset="-122"/>
                    <a:ea typeface="宋体" panose="02010600030101010101" charset="-122"/>
                  </a:rPr>
                  <a:t>凝结水量</a:t>
                </a:r>
                <a:r>
                  <a:rPr lang="en-US" altLang="zh-CN" sz="750" baseline="0">
                    <a:solidFill>
                      <a:sysClr val="windowText" lastClr="000000"/>
                    </a:solidFill>
                    <a:latin typeface="宋体" panose="02010600030101010101" charset="-122"/>
                    <a:ea typeface="宋体" panose="02010600030101010101" charset="-122"/>
                  </a:rPr>
                  <a:t>/</a:t>
                </a:r>
                <a:r>
                  <a:rPr lang="en-US" altLang="zh-CN" sz="7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750">
                  <a:solidFill>
                    <a:sysClr val="windowText" lastClr="000000"/>
                  </a:solidFill>
                  <a:latin typeface="宋体" panose="02010600030101010101" charset="-122"/>
                  <a:ea typeface="宋体" panose="02010600030101010101" charset="-122"/>
                </a:endParaRPr>
              </a:p>
            </c:rich>
          </c:tx>
          <c:layout/>
          <c:overlay val="0"/>
          <c:spPr>
            <a:noFill/>
            <a:ln>
              <a:noFill/>
            </a:ln>
            <a:effectLst/>
          </c:spPr>
        </c:title>
        <c:numFmt formatCode="General" sourceLinked="1"/>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70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276573904"/>
        <c:crosses val="autoZero"/>
        <c:crossBetween val="between"/>
        <c:majorUnit val="0.5"/>
      </c:valAx>
      <c:spPr>
        <a:noFill/>
        <a:ln>
          <a:noFill/>
        </a:ln>
        <a:effectLst/>
      </c:spPr>
    </c:plotArea>
    <c:legend>
      <c:legendPos val="t"/>
      <c:legendEntry>
        <c:idx val="2"/>
        <c:delete val="1"/>
      </c:legendEntry>
      <c:legendEntry>
        <c:idx val="3"/>
        <c:delete val="1"/>
      </c:legendEntry>
      <c:layout>
        <c:manualLayout>
          <c:xMode val="edge"/>
          <c:yMode val="edge"/>
          <c:x val="0.6026914817466"/>
          <c:y val="0.0366217218160896"/>
          <c:w val="0.364855191626845"/>
          <c:h val="0.132046684802289"/>
        </c:manualLayout>
      </c:layout>
      <c:overlay val="0"/>
      <c:spPr>
        <a:noFill/>
        <a:ln>
          <a:noFill/>
        </a:ln>
        <a:effectLst/>
      </c:spPr>
      <c:txPr>
        <a:bodyPr rot="0" spcFirstLastPara="1" vertOverflow="ellipsis" vert="horz" wrap="square" anchor="ctr" anchorCtr="1"/>
        <a:lstStyle/>
        <a:p>
          <a:pPr>
            <a:defRPr lang="zh-CN" sz="750" b="0" i="0" u="none" strike="noStrike" kern="1200" baseline="0">
              <a:solidFill>
                <a:schemeClr val="tx1">
                  <a:lumMod val="65000"/>
                  <a:lumOff val="35000"/>
                </a:schemeClr>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5e9e4cf9-ebd9-465a-8ddb-096e2c4bbb50}"/>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0967828492649"/>
          <c:y val="0.0705634484083264"/>
          <c:w val="0.739490548405304"/>
          <c:h val="0.720607240671003"/>
        </c:manualLayout>
      </c:layout>
      <c:lineChart>
        <c:grouping val="standard"/>
        <c:varyColors val="0"/>
        <c:ser>
          <c:idx val="0"/>
          <c:order val="0"/>
          <c:tx>
            <c:strRef>
              <c:f>图3!$B$1:$B$2</c:f>
              <c:strCache>
                <c:ptCount val="1"/>
                <c:pt idx="0">
                  <c:v>2019年不覆膜</c:v>
                </c:pt>
              </c:strCache>
            </c:strRef>
          </c:tx>
          <c:spPr>
            <a:ln w="7620" cap="rnd">
              <a:solidFill>
                <a:srgbClr val="0000FF"/>
              </a:solidFill>
              <a:round/>
            </a:ln>
            <a:effectLst/>
          </c:spPr>
          <c:marker>
            <c:symbol val="circle"/>
            <c:size val="3"/>
            <c:spPr>
              <a:noFill/>
              <a:ln w="7620">
                <a:solidFill>
                  <a:srgbClr val="0000FF"/>
                </a:solidFill>
              </a:ln>
              <a:effectLst/>
            </c:spPr>
          </c:marker>
          <c:dLbls>
            <c:delete val="1"/>
          </c:dLbls>
          <c:cat>
            <c:numRef>
              <c:f>图3!$A$3:$A$27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图3!$B$3:$B$27</c:f>
              <c:numCache>
                <c:formatCode>General</c:formatCode>
                <c:ptCount val="25"/>
                <c:pt idx="0">
                  <c:v>0</c:v>
                </c:pt>
                <c:pt idx="1" c:formatCode="0.00">
                  <c:v>-0.17518</c:v>
                </c:pt>
                <c:pt idx="2" c:formatCode="0.00">
                  <c:v>-0.26727</c:v>
                </c:pt>
                <c:pt idx="3" c:formatCode="0.00">
                  <c:v>-0.45157</c:v>
                </c:pt>
                <c:pt idx="4" c:formatCode="0.00">
                  <c:v>-0.40934</c:v>
                </c:pt>
                <c:pt idx="5" c:formatCode="0.00">
                  <c:v>-0.40455</c:v>
                </c:pt>
                <c:pt idx="6" c:formatCode="0.00">
                  <c:v>-0.37016</c:v>
                </c:pt>
                <c:pt idx="7" c:formatCode="0.00">
                  <c:v>-0.42454</c:v>
                </c:pt>
                <c:pt idx="8" c:formatCode="0.00">
                  <c:v>-0.37689</c:v>
                </c:pt>
                <c:pt idx="9" c:formatCode="0.00">
                  <c:v>-0.23</c:v>
                </c:pt>
                <c:pt idx="10" c:formatCode="0.00">
                  <c:v>-0.22082</c:v>
                </c:pt>
                <c:pt idx="11" c:formatCode="0.00">
                  <c:v>-0.24157</c:v>
                </c:pt>
                <c:pt idx="12" c:formatCode="0.00">
                  <c:v>-0.20905</c:v>
                </c:pt>
                <c:pt idx="13" c:formatCode="0.00">
                  <c:v>-0.22176</c:v>
                </c:pt>
                <c:pt idx="14" c:formatCode="0.00">
                  <c:v>-0.19605</c:v>
                </c:pt>
                <c:pt idx="15" c:formatCode="0.00">
                  <c:v>-0.00154</c:v>
                </c:pt>
                <c:pt idx="16" c:formatCode="0.00">
                  <c:v>0.05606</c:v>
                </c:pt>
                <c:pt idx="17" c:formatCode="0.00">
                  <c:v>0.04507</c:v>
                </c:pt>
                <c:pt idx="18" c:formatCode="0.00">
                  <c:v>0.04366</c:v>
                </c:pt>
                <c:pt idx="19" c:formatCode="0.00">
                  <c:v>0.05217</c:v>
                </c:pt>
                <c:pt idx="20" c:formatCode="0.00">
                  <c:v>0.03913</c:v>
                </c:pt>
                <c:pt idx="21" c:formatCode="0.00">
                  <c:v>0.062</c:v>
                </c:pt>
                <c:pt idx="22" c:formatCode="0.00">
                  <c:v>0.03591</c:v>
                </c:pt>
                <c:pt idx="23" c:formatCode="0.00">
                  <c:v>0.00552</c:v>
                </c:pt>
                <c:pt idx="24" c:formatCode="0.00">
                  <c:v>-0.06202</c:v>
                </c:pt>
              </c:numCache>
            </c:numRef>
          </c:val>
          <c:smooth val="0"/>
        </c:ser>
        <c:dLbls>
          <c:showLegendKey val="0"/>
          <c:showVal val="0"/>
          <c:showCatName val="0"/>
          <c:showSerName val="0"/>
          <c:showPercent val="0"/>
          <c:showBubbleSize val="0"/>
        </c:dLbls>
        <c:marker val="1"/>
        <c:smooth val="0"/>
        <c:axId val="188892480"/>
        <c:axId val="188888320"/>
      </c:lineChart>
      <c:catAx>
        <c:axId val="188892480"/>
        <c:scaling>
          <c:orientation val="minMax"/>
        </c:scaling>
        <c:delete val="0"/>
        <c:axPos val="b"/>
        <c:title>
          <c:tx>
            <c:rich>
              <a:bodyPr rot="0" spcFirstLastPara="1" vertOverflow="ellipsis"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r>
                  <a:rPr lang="zh-CN" altLang="en-US" sz="750">
                    <a:solidFill>
                      <a:sysClr val="windowText" lastClr="000000"/>
                    </a:solidFill>
                    <a:latin typeface="宋体" panose="02010600030101010101" charset="-122"/>
                    <a:ea typeface="宋体" panose="02010600030101010101" charset="-122"/>
                  </a:rPr>
                  <a:t>时间</a:t>
                </a:r>
                <a:endParaRPr lang="zh-CN" altLang="en-US" sz="750">
                  <a:solidFill>
                    <a:sysClr val="windowText" lastClr="000000"/>
                  </a:solidFill>
                  <a:latin typeface="宋体" panose="02010600030101010101" charset="-122"/>
                  <a:ea typeface="宋体" panose="02010600030101010101" charset="-122"/>
                </a:endParaRPr>
              </a:p>
            </c:rich>
          </c:tx>
          <c:layout>
            <c:manualLayout>
              <c:xMode val="edge"/>
              <c:yMode val="edge"/>
              <c:x val="0.519779522355338"/>
              <c:y val="0.931224442248203"/>
            </c:manualLayout>
          </c:layout>
          <c:overlay val="0"/>
          <c:spPr>
            <a:noFill/>
            <a:ln>
              <a:noFill/>
            </a:ln>
            <a:effectLst/>
          </c:spPr>
        </c:title>
        <c:numFmt formatCode="h:mm" sourceLinked="1"/>
        <c:majorTickMark val="in"/>
        <c:minorTickMark val="none"/>
        <c:tickLblPos val="low"/>
        <c:spPr>
          <a:noFill/>
          <a:ln w="5080" cap="flat" cmpd="sng" algn="ctr">
            <a:solidFill>
              <a:schemeClr val="tx1"/>
            </a:solidFill>
            <a:round/>
          </a:ln>
          <a:effectLst/>
        </c:spPr>
        <c:txPr>
          <a:bodyPr rot="0" spcFirstLastPara="1" vertOverflow="ellipsis" vert="horz" wrap="square" anchor="ctr" anchorCtr="0"/>
          <a:lstStyle/>
          <a:p>
            <a:pPr>
              <a:defRPr lang="zh-CN" sz="7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88320"/>
        <c:crossesAt val="-0.7"/>
        <c:auto val="0"/>
        <c:lblAlgn val="ctr"/>
        <c:lblOffset val="150"/>
        <c:tickMarkSkip val="3"/>
        <c:noMultiLvlLbl val="0"/>
      </c:catAx>
      <c:valAx>
        <c:axId val="188888320"/>
        <c:scaling>
          <c:orientation val="minMax"/>
          <c:max val="0.2"/>
          <c:min val="-0.7"/>
        </c:scaling>
        <c:delete val="0"/>
        <c:axPos val="l"/>
        <c:title>
          <c:tx>
            <c:rich>
              <a:bodyPr rot="-5400000" spcFirstLastPara="1" vertOverflow="ellipsis" vert="horz" wrap="square" anchor="ctr" anchorCtr="1"/>
              <a:lstStyle/>
              <a:p>
                <a:pPr>
                  <a:defRPr lang="zh-CN" sz="750" b="0" i="0" u="none" strike="noStrike" kern="1200" baseline="0">
                    <a:solidFill>
                      <a:sysClr val="windowText" lastClr="000000"/>
                    </a:solidFill>
                    <a:latin typeface="+mn-lt"/>
                    <a:ea typeface="+mn-ea"/>
                    <a:cs typeface="+mn-cs"/>
                  </a:defRPr>
                </a:pPr>
                <a:r>
                  <a:rPr lang="zh-CN" altLang="en-US" sz="750">
                    <a:solidFill>
                      <a:sysClr val="windowText" lastClr="000000"/>
                    </a:solidFill>
                    <a:latin typeface="宋体" panose="02010600030101010101" charset="-122"/>
                    <a:ea typeface="宋体" panose="02010600030101010101" charset="-122"/>
                  </a:rPr>
                  <a:t>凝结水量</a:t>
                </a:r>
                <a:r>
                  <a:rPr lang="en-US" altLang="zh-CN" sz="750">
                    <a:solidFill>
                      <a:sysClr val="windowText" lastClr="000000"/>
                    </a:solidFill>
                    <a:latin typeface="宋体" panose="02010600030101010101" charset="-122"/>
                    <a:ea typeface="宋体" panose="02010600030101010101" charset="-122"/>
                  </a:rPr>
                  <a:t>/</a:t>
                </a:r>
                <a:r>
                  <a:rPr lang="en-US" altLang="zh-CN" sz="7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750">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364894501582058"/>
              <c:y val="0.258588341924885"/>
            </c:manualLayout>
          </c:layout>
          <c:overlay val="0"/>
          <c:spPr>
            <a:noFill/>
            <a:ln>
              <a:noFill/>
            </a:ln>
            <a:effectLst/>
          </c:spPr>
        </c:title>
        <c:numFmt formatCode="General" sourceLinked="0"/>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7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92480"/>
        <c:crosses val="autoZero"/>
        <c:crossBetween val="midCat"/>
        <c:majorUnit val="0.1"/>
        <c:minorUnit val="0.1"/>
      </c:valAx>
      <c:spPr>
        <a:noFill/>
        <a:ln w="5080">
          <a:noFill/>
        </a:ln>
        <a:effectLst/>
      </c:spPr>
    </c:plotArea>
    <c:legend>
      <c:legendPos val="b"/>
      <c:layout>
        <c:manualLayout>
          <c:xMode val="edge"/>
          <c:yMode val="edge"/>
          <c:x val="0.196240458191845"/>
          <c:y val="0.0696657822663471"/>
          <c:w val="0.374461676371496"/>
          <c:h val="0.078076857240671"/>
        </c:manualLayout>
      </c:layout>
      <c:overlay val="0"/>
      <c:spPr>
        <a:noFill/>
        <a:ln>
          <a:noFill/>
        </a:ln>
        <a:effectLst/>
      </c:spPr>
      <c:txPr>
        <a:bodyPr rot="0" spcFirstLastPara="1" vertOverflow="ellipsis" vert="horz" wrap="square" anchor="ctr" anchorCtr="1"/>
        <a:lstStyle/>
        <a:p>
          <a:pPr algn="ctr">
            <a:defRPr lang="zh-CN" sz="75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b85b1afb-5ffc-4c7f-9bb4-4593a669ab53}"/>
      </c:ext>
    </c:extLst>
  </c:chart>
  <c:spPr>
    <a:noFill/>
    <a:ln w="5080" cap="flat" cmpd="sng" algn="ctr">
      <a:noFill/>
      <a:round/>
    </a:ln>
    <a:effectLst/>
  </c:spPr>
  <c:txPr>
    <a:bodyPr/>
    <a:lstStyle/>
    <a:p>
      <a:pPr algn="ct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0967828492649"/>
          <c:y val="0.0705634484083264"/>
          <c:w val="0.739490548405304"/>
          <c:h val="0.720607240671003"/>
        </c:manualLayout>
      </c:layout>
      <c:lineChart>
        <c:grouping val="standard"/>
        <c:varyColors val="0"/>
        <c:ser>
          <c:idx val="0"/>
          <c:order val="0"/>
          <c:tx>
            <c:strRef>
              <c:f>图3!$B$1:$B$2</c:f>
              <c:strCache>
                <c:ptCount val="1"/>
                <c:pt idx="0">
                  <c:v>2019年覆膜</c:v>
                </c:pt>
              </c:strCache>
            </c:strRef>
          </c:tx>
          <c:spPr>
            <a:ln w="7620" cap="rnd">
              <a:solidFill>
                <a:srgbClr val="0000FF"/>
              </a:solidFill>
              <a:round/>
            </a:ln>
            <a:effectLst/>
          </c:spPr>
          <c:marker>
            <c:symbol val="triangle"/>
            <c:size val="3"/>
            <c:spPr>
              <a:noFill/>
              <a:ln w="7620">
                <a:solidFill>
                  <a:srgbClr val="0000FF"/>
                </a:solidFill>
              </a:ln>
              <a:effectLst/>
            </c:spPr>
          </c:marker>
          <c:dLbls>
            <c:delete val="1"/>
          </c:dLbls>
          <c:cat>
            <c:numRef>
              <c:f>图3!$A$3:$A$27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图3!$B$3:$B$27</c:f>
              <c:numCache>
                <c:formatCode>General</c:formatCode>
                <c:ptCount val="25"/>
                <c:pt idx="0">
                  <c:v>0</c:v>
                </c:pt>
                <c:pt idx="1" c:formatCode="0.00">
                  <c:v>-0.19147</c:v>
                </c:pt>
                <c:pt idx="2" c:formatCode="0.00">
                  <c:v>-0.23036</c:v>
                </c:pt>
                <c:pt idx="3" c:formatCode="0.00">
                  <c:v>-0.43551</c:v>
                </c:pt>
                <c:pt idx="4" c:formatCode="0.00">
                  <c:v>-0.45312</c:v>
                </c:pt>
                <c:pt idx="5" c:formatCode="0.00">
                  <c:v>-0.45727</c:v>
                </c:pt>
                <c:pt idx="6" c:formatCode="0.00">
                  <c:v>-0.40793</c:v>
                </c:pt>
                <c:pt idx="7" c:formatCode="0.00">
                  <c:v>-0.48715</c:v>
                </c:pt>
                <c:pt idx="8" c:formatCode="0.00">
                  <c:v>-0.38562</c:v>
                </c:pt>
                <c:pt idx="9" c:formatCode="0.00">
                  <c:v>-0.33234</c:v>
                </c:pt>
                <c:pt idx="10" c:formatCode="0.00">
                  <c:v>-0.19946</c:v>
                </c:pt>
                <c:pt idx="11" c:formatCode="0.00">
                  <c:v>-0.16198</c:v>
                </c:pt>
                <c:pt idx="12" c:formatCode="0.00">
                  <c:v>-0.12205</c:v>
                </c:pt>
                <c:pt idx="13" c:formatCode="0.00">
                  <c:v>-0.10017</c:v>
                </c:pt>
                <c:pt idx="14" c:formatCode="0.00">
                  <c:v>-0.01121</c:v>
                </c:pt>
                <c:pt idx="15" c:formatCode="0.00">
                  <c:v>-0.01568</c:v>
                </c:pt>
                <c:pt idx="16" c:formatCode="0.00">
                  <c:v>-0.03907</c:v>
                </c:pt>
                <c:pt idx="17" c:formatCode="0.00">
                  <c:v>0.00857</c:v>
                </c:pt>
                <c:pt idx="18" c:formatCode="0.00">
                  <c:v>0.04561</c:v>
                </c:pt>
                <c:pt idx="19" c:formatCode="0.00">
                  <c:v>0.04123</c:v>
                </c:pt>
                <c:pt idx="20" c:formatCode="0.00">
                  <c:v>0.03664</c:v>
                </c:pt>
                <c:pt idx="21" c:formatCode="0.00">
                  <c:v>0.04901</c:v>
                </c:pt>
                <c:pt idx="22" c:formatCode="0.00">
                  <c:v>0.01769</c:v>
                </c:pt>
                <c:pt idx="23" c:formatCode="0.00">
                  <c:v>-0.02477</c:v>
                </c:pt>
                <c:pt idx="24" c:formatCode="0.00">
                  <c:v>-0.06813</c:v>
                </c:pt>
              </c:numCache>
            </c:numRef>
          </c:val>
          <c:smooth val="0"/>
        </c:ser>
        <c:dLbls>
          <c:showLegendKey val="0"/>
          <c:showVal val="0"/>
          <c:showCatName val="0"/>
          <c:showSerName val="0"/>
          <c:showPercent val="0"/>
          <c:showBubbleSize val="0"/>
        </c:dLbls>
        <c:marker val="1"/>
        <c:smooth val="0"/>
        <c:axId val="188892480"/>
        <c:axId val="188888320"/>
      </c:lineChart>
      <c:catAx>
        <c:axId val="188892480"/>
        <c:scaling>
          <c:orientation val="minMax"/>
        </c:scaling>
        <c:delete val="0"/>
        <c:axPos val="b"/>
        <c:title>
          <c:tx>
            <c:rich>
              <a:bodyPr rot="0" spcFirstLastPara="1" vertOverflow="ellipsis"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r>
                  <a:rPr lang="zh-CN" altLang="en-US" sz="750">
                    <a:solidFill>
                      <a:sysClr val="windowText" lastClr="000000"/>
                    </a:solidFill>
                    <a:latin typeface="宋体" panose="02010600030101010101" charset="-122"/>
                    <a:ea typeface="宋体" panose="02010600030101010101" charset="-122"/>
                  </a:rPr>
                  <a:t>时间</a:t>
                </a:r>
                <a:endParaRPr lang="zh-CN" altLang="en-US" sz="750">
                  <a:solidFill>
                    <a:sysClr val="windowText" lastClr="000000"/>
                  </a:solidFill>
                  <a:latin typeface="宋体" panose="02010600030101010101" charset="-122"/>
                  <a:ea typeface="宋体" panose="02010600030101010101" charset="-122"/>
                </a:endParaRPr>
              </a:p>
            </c:rich>
          </c:tx>
          <c:layout>
            <c:manualLayout>
              <c:xMode val="edge"/>
              <c:yMode val="edge"/>
              <c:x val="0.519779522355338"/>
              <c:y val="0.931224442248203"/>
            </c:manualLayout>
          </c:layout>
          <c:overlay val="0"/>
          <c:spPr>
            <a:noFill/>
            <a:ln>
              <a:noFill/>
            </a:ln>
            <a:effectLst/>
          </c:spPr>
        </c:title>
        <c:numFmt formatCode="h:mm" sourceLinked="1"/>
        <c:majorTickMark val="in"/>
        <c:minorTickMark val="none"/>
        <c:tickLblPos val="low"/>
        <c:spPr>
          <a:noFill/>
          <a:ln w="5080" cap="flat" cmpd="sng" algn="ctr">
            <a:solidFill>
              <a:schemeClr val="tx1"/>
            </a:solidFill>
            <a:round/>
          </a:ln>
          <a:effectLst/>
        </c:spPr>
        <c:txPr>
          <a:bodyPr rot="0" spcFirstLastPara="1" vertOverflow="ellipsis" vert="horz" wrap="square" anchor="ctr" anchorCtr="0"/>
          <a:lstStyle/>
          <a:p>
            <a:pPr>
              <a:defRPr lang="zh-CN" sz="7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88320"/>
        <c:crossesAt val="-0.7"/>
        <c:auto val="0"/>
        <c:lblAlgn val="ctr"/>
        <c:lblOffset val="150"/>
        <c:tickMarkSkip val="3"/>
        <c:noMultiLvlLbl val="0"/>
      </c:catAx>
      <c:valAx>
        <c:axId val="188888320"/>
        <c:scaling>
          <c:orientation val="minMax"/>
          <c:max val="0.2"/>
          <c:min val="-0.7"/>
        </c:scaling>
        <c:delete val="0"/>
        <c:axPos val="l"/>
        <c:title>
          <c:tx>
            <c:rich>
              <a:bodyPr rot="-5400000" spcFirstLastPara="1" vertOverflow="ellipsis" vert="horz" wrap="square" anchor="ctr" anchorCtr="1"/>
              <a:lstStyle/>
              <a:p>
                <a:pPr>
                  <a:defRPr lang="zh-CN" sz="750" b="0" i="0" u="none" strike="noStrike" kern="1200" baseline="0">
                    <a:solidFill>
                      <a:sysClr val="windowText" lastClr="000000"/>
                    </a:solidFill>
                    <a:latin typeface="+mn-lt"/>
                    <a:ea typeface="+mn-ea"/>
                    <a:cs typeface="+mn-cs"/>
                  </a:defRPr>
                </a:pPr>
                <a:r>
                  <a:rPr lang="zh-CN" altLang="en-US" sz="750">
                    <a:solidFill>
                      <a:sysClr val="windowText" lastClr="000000"/>
                    </a:solidFill>
                    <a:latin typeface="宋体" panose="02010600030101010101" charset="-122"/>
                    <a:ea typeface="宋体" panose="02010600030101010101" charset="-122"/>
                  </a:rPr>
                  <a:t>凝结水量</a:t>
                </a:r>
                <a:r>
                  <a:rPr lang="en-US" altLang="zh-CN" sz="750">
                    <a:solidFill>
                      <a:sysClr val="windowText" lastClr="000000"/>
                    </a:solidFill>
                    <a:latin typeface="宋体" panose="02010600030101010101" charset="-122"/>
                    <a:ea typeface="宋体" panose="02010600030101010101" charset="-122"/>
                  </a:rPr>
                  <a:t>/</a:t>
                </a:r>
                <a:r>
                  <a:rPr lang="en-US" altLang="zh-CN" sz="7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750">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364894501582058"/>
              <c:y val="0.258588341924885"/>
            </c:manualLayout>
          </c:layout>
          <c:overlay val="0"/>
          <c:spPr>
            <a:noFill/>
            <a:ln>
              <a:noFill/>
            </a:ln>
            <a:effectLst/>
          </c:spPr>
        </c:title>
        <c:numFmt formatCode="General" sourceLinked="0"/>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7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92480"/>
        <c:crosses val="autoZero"/>
        <c:crossBetween val="midCat"/>
        <c:majorUnit val="0.1"/>
        <c:minorUnit val="0.1"/>
      </c:valAx>
      <c:spPr>
        <a:noFill/>
        <a:ln w="5080">
          <a:noFill/>
        </a:ln>
        <a:effectLst/>
      </c:spPr>
    </c:plotArea>
    <c:legend>
      <c:legendPos val="b"/>
      <c:layout>
        <c:manualLayout>
          <c:xMode val="edge"/>
          <c:yMode val="edge"/>
          <c:x val="0.196240458191845"/>
          <c:y val="0.0696657822663471"/>
          <c:w val="0.374461676371496"/>
          <c:h val="0.078076857240671"/>
        </c:manualLayout>
      </c:layout>
      <c:overlay val="0"/>
      <c:spPr>
        <a:noFill/>
        <a:ln>
          <a:noFill/>
        </a:ln>
        <a:effectLst/>
      </c:spPr>
      <c:txPr>
        <a:bodyPr rot="0" spcFirstLastPara="1" vertOverflow="ellipsis" vert="horz" wrap="square" anchor="ctr" anchorCtr="1"/>
        <a:lstStyle/>
        <a:p>
          <a:pPr algn="ctr">
            <a:defRPr lang="zh-CN" sz="75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fa1ec54a-8d09-4028-98c3-eeb423ec0a02}"/>
      </c:ext>
    </c:extLst>
  </c:chart>
  <c:spPr>
    <a:noFill/>
    <a:ln w="5080" cap="flat" cmpd="sng" algn="ctr">
      <a:noFill/>
      <a:round/>
    </a:ln>
    <a:effectLst/>
  </c:spPr>
  <c:txPr>
    <a:bodyPr/>
    <a:lstStyle/>
    <a:p>
      <a:pPr algn="ct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0967828492649"/>
          <c:y val="0.0705634484083264"/>
          <c:w val="0.739490548405304"/>
          <c:h val="0.720607240671003"/>
        </c:manualLayout>
      </c:layout>
      <c:lineChart>
        <c:grouping val="standard"/>
        <c:varyColors val="0"/>
        <c:ser>
          <c:idx val="0"/>
          <c:order val="0"/>
          <c:tx>
            <c:strRef>
              <c:f>图3!$B$1:$B$2</c:f>
              <c:strCache>
                <c:ptCount val="1"/>
                <c:pt idx="0">
                  <c:v>2020年不覆膜</c:v>
                </c:pt>
              </c:strCache>
            </c:strRef>
          </c:tx>
          <c:spPr>
            <a:ln w="7620" cap="rnd">
              <a:solidFill>
                <a:srgbClr val="FF9900"/>
              </a:solidFill>
              <a:round/>
            </a:ln>
            <a:effectLst/>
          </c:spPr>
          <c:marker>
            <c:symbol val="circle"/>
            <c:size val="3"/>
            <c:spPr>
              <a:noFill/>
              <a:ln w="7620">
                <a:solidFill>
                  <a:srgbClr val="FF9900"/>
                </a:solidFill>
              </a:ln>
              <a:effectLst/>
            </c:spPr>
          </c:marker>
          <c:dLbls>
            <c:delete val="1"/>
          </c:dLbls>
          <c:cat>
            <c:numRef>
              <c:f>图3!$A$3:$A$27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图3!$B$3:$B$27</c:f>
              <c:numCache>
                <c:formatCode>General</c:formatCode>
                <c:ptCount val="25"/>
                <c:pt idx="0">
                  <c:v>0</c:v>
                </c:pt>
                <c:pt idx="1" c:formatCode="0.00">
                  <c:v>-0.04605</c:v>
                </c:pt>
                <c:pt idx="2" c:formatCode="0.00">
                  <c:v>-0.15012</c:v>
                </c:pt>
                <c:pt idx="3" c:formatCode="0.00">
                  <c:v>-0.16928</c:v>
                </c:pt>
                <c:pt idx="4" c:formatCode="0.00">
                  <c:v>-0.26392</c:v>
                </c:pt>
                <c:pt idx="5" c:formatCode="0.00">
                  <c:v>-0.27654</c:v>
                </c:pt>
                <c:pt idx="6" c:formatCode="0.00">
                  <c:v>-0.2096</c:v>
                </c:pt>
                <c:pt idx="7" c:formatCode="0.00">
                  <c:v>-0.26974</c:v>
                </c:pt>
                <c:pt idx="8" c:formatCode="0.00">
                  <c:v>-0.35303</c:v>
                </c:pt>
                <c:pt idx="9" c:formatCode="0.00">
                  <c:v>-0.05542</c:v>
                </c:pt>
                <c:pt idx="10" c:formatCode="0.00">
                  <c:v>-0.2047</c:v>
                </c:pt>
                <c:pt idx="11" c:formatCode="0.00">
                  <c:v>-0.05587</c:v>
                </c:pt>
                <c:pt idx="12" c:formatCode="0.00">
                  <c:v>-0.06564</c:v>
                </c:pt>
                <c:pt idx="13" c:formatCode="0.00">
                  <c:v>-0.09215</c:v>
                </c:pt>
                <c:pt idx="14" c:formatCode="0.00">
                  <c:v>-0.06684</c:v>
                </c:pt>
                <c:pt idx="15" c:formatCode="0.00">
                  <c:v>0.00441</c:v>
                </c:pt>
                <c:pt idx="16" c:formatCode="0.00">
                  <c:v>0.02095</c:v>
                </c:pt>
                <c:pt idx="17" c:formatCode="0.00">
                  <c:v>0.02363</c:v>
                </c:pt>
                <c:pt idx="18" c:formatCode="0.00">
                  <c:v>0.02893</c:v>
                </c:pt>
                <c:pt idx="19" c:formatCode="0.00">
                  <c:v>0.02908</c:v>
                </c:pt>
                <c:pt idx="20" c:formatCode="0.00">
                  <c:v>0.04721</c:v>
                </c:pt>
                <c:pt idx="21" c:formatCode="0.00">
                  <c:v>0.04628</c:v>
                </c:pt>
                <c:pt idx="22" c:formatCode="0.00">
                  <c:v>0.0047</c:v>
                </c:pt>
                <c:pt idx="23" c:formatCode="0.00">
                  <c:v>-0.00536</c:v>
                </c:pt>
                <c:pt idx="24" c:formatCode="0.00">
                  <c:v>-0.02094</c:v>
                </c:pt>
              </c:numCache>
            </c:numRef>
          </c:val>
          <c:smooth val="0"/>
        </c:ser>
        <c:dLbls>
          <c:showLegendKey val="0"/>
          <c:showVal val="0"/>
          <c:showCatName val="0"/>
          <c:showSerName val="0"/>
          <c:showPercent val="0"/>
          <c:showBubbleSize val="0"/>
        </c:dLbls>
        <c:marker val="1"/>
        <c:smooth val="0"/>
        <c:axId val="188892480"/>
        <c:axId val="188888320"/>
      </c:lineChart>
      <c:catAx>
        <c:axId val="188892480"/>
        <c:scaling>
          <c:orientation val="minMax"/>
        </c:scaling>
        <c:delete val="0"/>
        <c:axPos val="b"/>
        <c:title>
          <c:tx>
            <c:rich>
              <a:bodyPr rot="0" spcFirstLastPara="1" vertOverflow="ellipsis"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r>
                  <a:rPr lang="zh-CN" altLang="en-US" sz="750">
                    <a:solidFill>
                      <a:sysClr val="windowText" lastClr="000000"/>
                    </a:solidFill>
                    <a:latin typeface="宋体" panose="02010600030101010101" charset="-122"/>
                    <a:ea typeface="宋体" panose="02010600030101010101" charset="-122"/>
                  </a:rPr>
                  <a:t>时间</a:t>
                </a:r>
                <a:endParaRPr lang="zh-CN" altLang="en-US" sz="750">
                  <a:solidFill>
                    <a:sysClr val="windowText" lastClr="000000"/>
                  </a:solidFill>
                  <a:latin typeface="宋体" panose="02010600030101010101" charset="-122"/>
                  <a:ea typeface="宋体" panose="02010600030101010101" charset="-122"/>
                </a:endParaRPr>
              </a:p>
            </c:rich>
          </c:tx>
          <c:layout>
            <c:manualLayout>
              <c:xMode val="edge"/>
              <c:yMode val="edge"/>
              <c:x val="0.519779522355338"/>
              <c:y val="0.931224442248203"/>
            </c:manualLayout>
          </c:layout>
          <c:overlay val="0"/>
          <c:spPr>
            <a:noFill/>
            <a:ln>
              <a:noFill/>
            </a:ln>
            <a:effectLst/>
          </c:spPr>
        </c:title>
        <c:numFmt formatCode="h:mm" sourceLinked="1"/>
        <c:majorTickMark val="in"/>
        <c:minorTickMark val="none"/>
        <c:tickLblPos val="low"/>
        <c:spPr>
          <a:noFill/>
          <a:ln w="5080" cap="flat" cmpd="sng" algn="ctr">
            <a:solidFill>
              <a:schemeClr val="tx1"/>
            </a:solidFill>
            <a:round/>
          </a:ln>
          <a:effectLst/>
        </c:spPr>
        <c:txPr>
          <a:bodyPr rot="0" spcFirstLastPara="1" vertOverflow="ellipsis" vert="horz" wrap="square" anchor="ctr" anchorCtr="0"/>
          <a:lstStyle/>
          <a:p>
            <a:pPr>
              <a:defRPr lang="zh-CN" sz="7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88320"/>
        <c:crossesAt val="-0.7"/>
        <c:auto val="0"/>
        <c:lblAlgn val="ctr"/>
        <c:lblOffset val="150"/>
        <c:tickMarkSkip val="3"/>
        <c:noMultiLvlLbl val="0"/>
      </c:catAx>
      <c:valAx>
        <c:axId val="188888320"/>
        <c:scaling>
          <c:orientation val="minMax"/>
          <c:max val="0.2"/>
          <c:min val="-0.7"/>
        </c:scaling>
        <c:delete val="0"/>
        <c:axPos val="l"/>
        <c:title>
          <c:tx>
            <c:rich>
              <a:bodyPr rot="-5400000" spcFirstLastPara="1" vertOverflow="ellipsis" vert="horz" wrap="square" anchor="ctr" anchorCtr="1"/>
              <a:lstStyle/>
              <a:p>
                <a:pPr>
                  <a:defRPr lang="zh-CN" sz="750" b="0" i="0" u="none" strike="noStrike" kern="1200" baseline="0">
                    <a:solidFill>
                      <a:sysClr val="windowText" lastClr="000000"/>
                    </a:solidFill>
                    <a:latin typeface="+mn-lt"/>
                    <a:ea typeface="+mn-ea"/>
                    <a:cs typeface="+mn-cs"/>
                  </a:defRPr>
                </a:pPr>
                <a:r>
                  <a:rPr lang="zh-CN" altLang="en-US" sz="750">
                    <a:solidFill>
                      <a:sysClr val="windowText" lastClr="000000"/>
                    </a:solidFill>
                    <a:latin typeface="宋体" panose="02010600030101010101" charset="-122"/>
                    <a:ea typeface="宋体" panose="02010600030101010101" charset="-122"/>
                  </a:rPr>
                  <a:t>凝结水量</a:t>
                </a:r>
                <a:r>
                  <a:rPr lang="en-US" altLang="zh-CN" sz="750">
                    <a:solidFill>
                      <a:sysClr val="windowText" lastClr="000000"/>
                    </a:solidFill>
                    <a:latin typeface="宋体" panose="02010600030101010101" charset="-122"/>
                    <a:ea typeface="宋体" panose="02010600030101010101" charset="-122"/>
                  </a:rPr>
                  <a:t>/</a:t>
                </a:r>
                <a:r>
                  <a:rPr lang="en-US" altLang="zh-CN" sz="7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750">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364894501582058"/>
              <c:y val="0.258588341924885"/>
            </c:manualLayout>
          </c:layout>
          <c:overlay val="0"/>
          <c:spPr>
            <a:noFill/>
            <a:ln>
              <a:noFill/>
            </a:ln>
            <a:effectLst/>
          </c:spPr>
        </c:title>
        <c:numFmt formatCode="General" sourceLinked="0"/>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7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92480"/>
        <c:crosses val="autoZero"/>
        <c:crossBetween val="midCat"/>
        <c:majorUnit val="0.1"/>
        <c:minorUnit val="0.1"/>
      </c:valAx>
      <c:spPr>
        <a:noFill/>
        <a:ln w="5080">
          <a:noFill/>
        </a:ln>
        <a:effectLst/>
      </c:spPr>
    </c:plotArea>
    <c:legend>
      <c:legendPos val="b"/>
      <c:layout>
        <c:manualLayout>
          <c:xMode val="edge"/>
          <c:yMode val="edge"/>
          <c:x val="0.196240458191845"/>
          <c:y val="0.0696657822663471"/>
          <c:w val="0.374461676371496"/>
          <c:h val="0.078076857240671"/>
        </c:manualLayout>
      </c:layout>
      <c:overlay val="0"/>
      <c:spPr>
        <a:noFill/>
        <a:ln>
          <a:noFill/>
        </a:ln>
        <a:effectLst/>
      </c:spPr>
      <c:txPr>
        <a:bodyPr rot="0" spcFirstLastPara="1" vertOverflow="ellipsis" vert="horz" wrap="square" anchor="ctr" anchorCtr="1"/>
        <a:lstStyle/>
        <a:p>
          <a:pPr algn="ctr">
            <a:defRPr lang="zh-CN" sz="75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a6fe66aa-c65d-4c58-ba6e-0e99303d8784}"/>
      </c:ext>
    </c:extLst>
  </c:chart>
  <c:spPr>
    <a:noFill/>
    <a:ln w="5080" cap="flat" cmpd="sng" algn="ctr">
      <a:noFill/>
      <a:round/>
    </a:ln>
    <a:effectLst/>
  </c:spPr>
  <c:txPr>
    <a:bodyPr/>
    <a:lstStyle/>
    <a:p>
      <a:pPr algn="ct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0967828492649"/>
          <c:y val="0.0705634484083264"/>
          <c:w val="0.739490548405304"/>
          <c:h val="0.720607240671003"/>
        </c:manualLayout>
      </c:layout>
      <c:lineChart>
        <c:grouping val="standard"/>
        <c:varyColors val="0"/>
        <c:ser>
          <c:idx val="0"/>
          <c:order val="0"/>
          <c:tx>
            <c:strRef>
              <c:f>图3!$B$1:$B$2</c:f>
              <c:strCache>
                <c:ptCount val="1"/>
                <c:pt idx="0">
                  <c:v>2020年覆膜</c:v>
                </c:pt>
              </c:strCache>
            </c:strRef>
          </c:tx>
          <c:spPr>
            <a:ln w="7620" cap="rnd">
              <a:solidFill>
                <a:srgbClr val="FF9900"/>
              </a:solidFill>
              <a:round/>
            </a:ln>
            <a:effectLst/>
          </c:spPr>
          <c:marker>
            <c:symbol val="triangle"/>
            <c:size val="3"/>
            <c:spPr>
              <a:noFill/>
              <a:ln w="7620">
                <a:solidFill>
                  <a:srgbClr val="FF9900"/>
                </a:solidFill>
              </a:ln>
              <a:effectLst/>
            </c:spPr>
          </c:marker>
          <c:dLbls>
            <c:delete val="1"/>
          </c:dLbls>
          <c:cat>
            <c:numRef>
              <c:f>图3!$A$3:$A$27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图3!$B$3:$B$27</c:f>
              <c:numCache>
                <c:formatCode>General</c:formatCode>
                <c:ptCount val="25"/>
                <c:pt idx="0">
                  <c:v>0</c:v>
                </c:pt>
                <c:pt idx="1" c:formatCode="0.00">
                  <c:v>-0.08665</c:v>
                </c:pt>
                <c:pt idx="2" c:formatCode="0.00">
                  <c:v>-0.08765</c:v>
                </c:pt>
                <c:pt idx="3" c:formatCode="0.00">
                  <c:v>-0.14064</c:v>
                </c:pt>
                <c:pt idx="4" c:formatCode="0.00">
                  <c:v>-0.16041</c:v>
                </c:pt>
                <c:pt idx="5" c:formatCode="0.00">
                  <c:v>-0.12027</c:v>
                </c:pt>
                <c:pt idx="6" c:formatCode="0.00">
                  <c:v>-0.18957</c:v>
                </c:pt>
                <c:pt idx="7" c:formatCode="0.00">
                  <c:v>-0.20898</c:v>
                </c:pt>
                <c:pt idx="8" c:formatCode="0.00">
                  <c:v>-0.28486</c:v>
                </c:pt>
                <c:pt idx="9" c:formatCode="0.00">
                  <c:v>-0.08954</c:v>
                </c:pt>
                <c:pt idx="10" c:formatCode="0.00">
                  <c:v>-0.17298</c:v>
                </c:pt>
                <c:pt idx="11" c:formatCode="0.00">
                  <c:v>-0.20117</c:v>
                </c:pt>
                <c:pt idx="12" c:formatCode="0.00">
                  <c:v>-0.06482</c:v>
                </c:pt>
                <c:pt idx="13" c:formatCode="0.00">
                  <c:v>-0.03069</c:v>
                </c:pt>
                <c:pt idx="14" c:formatCode="0.00">
                  <c:v>-0.00572</c:v>
                </c:pt>
                <c:pt idx="15" c:formatCode="0.00">
                  <c:v>0.0464</c:v>
                </c:pt>
                <c:pt idx="16" c:formatCode="0.00">
                  <c:v>0.02746</c:v>
                </c:pt>
                <c:pt idx="17" c:formatCode="0.00">
                  <c:v>0.02298</c:v>
                </c:pt>
                <c:pt idx="18" c:formatCode="0.00">
                  <c:v>0.02967</c:v>
                </c:pt>
                <c:pt idx="19" c:formatCode="0.00">
                  <c:v>0.0252</c:v>
                </c:pt>
                <c:pt idx="20" c:formatCode="0.00">
                  <c:v>0.0355</c:v>
                </c:pt>
                <c:pt idx="21" c:formatCode="0.00">
                  <c:v>0.00702</c:v>
                </c:pt>
                <c:pt idx="22" c:formatCode="0.00">
                  <c:v>0.01501</c:v>
                </c:pt>
                <c:pt idx="23" c:formatCode="0.00">
                  <c:v>0.0119</c:v>
                </c:pt>
                <c:pt idx="24" c:formatCode="0.00">
                  <c:v>0.09444</c:v>
                </c:pt>
              </c:numCache>
            </c:numRef>
          </c:val>
          <c:smooth val="0"/>
        </c:ser>
        <c:dLbls>
          <c:showLegendKey val="0"/>
          <c:showVal val="0"/>
          <c:showCatName val="0"/>
          <c:showSerName val="0"/>
          <c:showPercent val="0"/>
          <c:showBubbleSize val="0"/>
        </c:dLbls>
        <c:marker val="1"/>
        <c:smooth val="0"/>
        <c:axId val="188892480"/>
        <c:axId val="188888320"/>
      </c:lineChart>
      <c:catAx>
        <c:axId val="188892480"/>
        <c:scaling>
          <c:orientation val="minMax"/>
        </c:scaling>
        <c:delete val="0"/>
        <c:axPos val="b"/>
        <c:title>
          <c:tx>
            <c:rich>
              <a:bodyPr rot="0" spcFirstLastPara="1" vertOverflow="ellipsis" vert="horz" wrap="square" anchor="ctr" anchorCtr="1"/>
              <a:lstStyle/>
              <a:p>
                <a:pPr>
                  <a:defRPr lang="zh-CN" sz="750" b="0" i="0" u="none" strike="noStrike" kern="1200" baseline="0">
                    <a:solidFill>
                      <a:schemeClr val="tx1">
                        <a:lumMod val="65000"/>
                        <a:lumOff val="35000"/>
                      </a:schemeClr>
                    </a:solidFill>
                    <a:latin typeface="+mn-lt"/>
                    <a:ea typeface="+mn-ea"/>
                    <a:cs typeface="+mn-cs"/>
                  </a:defRPr>
                </a:pPr>
                <a:r>
                  <a:rPr lang="zh-CN" altLang="en-US" sz="750">
                    <a:solidFill>
                      <a:sysClr val="windowText" lastClr="000000"/>
                    </a:solidFill>
                    <a:latin typeface="宋体" panose="02010600030101010101" charset="-122"/>
                    <a:ea typeface="宋体" panose="02010600030101010101" charset="-122"/>
                  </a:rPr>
                  <a:t>时间</a:t>
                </a:r>
                <a:endParaRPr lang="zh-CN" altLang="en-US" sz="750">
                  <a:solidFill>
                    <a:sysClr val="windowText" lastClr="000000"/>
                  </a:solidFill>
                  <a:latin typeface="宋体" panose="02010600030101010101" charset="-122"/>
                  <a:ea typeface="宋体" panose="02010600030101010101" charset="-122"/>
                </a:endParaRPr>
              </a:p>
            </c:rich>
          </c:tx>
          <c:layout>
            <c:manualLayout>
              <c:xMode val="edge"/>
              <c:yMode val="edge"/>
              <c:x val="0.519779522355338"/>
              <c:y val="0.931224442248203"/>
            </c:manualLayout>
          </c:layout>
          <c:overlay val="0"/>
          <c:spPr>
            <a:noFill/>
            <a:ln>
              <a:noFill/>
            </a:ln>
            <a:effectLst/>
          </c:spPr>
        </c:title>
        <c:numFmt formatCode="h:mm" sourceLinked="1"/>
        <c:majorTickMark val="in"/>
        <c:minorTickMark val="none"/>
        <c:tickLblPos val="low"/>
        <c:spPr>
          <a:noFill/>
          <a:ln w="5080" cap="flat" cmpd="sng" algn="ctr">
            <a:solidFill>
              <a:schemeClr val="tx1"/>
            </a:solidFill>
            <a:round/>
          </a:ln>
          <a:effectLst/>
        </c:spPr>
        <c:txPr>
          <a:bodyPr rot="0" spcFirstLastPara="1" vertOverflow="ellipsis" vert="horz" wrap="square" anchor="ctr" anchorCtr="0"/>
          <a:lstStyle/>
          <a:p>
            <a:pPr>
              <a:defRPr lang="zh-CN" sz="7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88320"/>
        <c:crossesAt val="-0.7"/>
        <c:auto val="0"/>
        <c:lblAlgn val="ctr"/>
        <c:lblOffset val="150"/>
        <c:tickMarkSkip val="3"/>
        <c:noMultiLvlLbl val="0"/>
      </c:catAx>
      <c:valAx>
        <c:axId val="188888320"/>
        <c:scaling>
          <c:orientation val="minMax"/>
          <c:max val="0.2"/>
          <c:min val="-0.7"/>
        </c:scaling>
        <c:delete val="0"/>
        <c:axPos val="l"/>
        <c:title>
          <c:tx>
            <c:rich>
              <a:bodyPr rot="-5400000" spcFirstLastPara="1" vertOverflow="ellipsis" vert="horz" wrap="square" anchor="ctr" anchorCtr="1"/>
              <a:lstStyle/>
              <a:p>
                <a:pPr>
                  <a:defRPr lang="zh-CN" sz="750" b="0" i="0" u="none" strike="noStrike" kern="1200" baseline="0">
                    <a:solidFill>
                      <a:sysClr val="windowText" lastClr="000000"/>
                    </a:solidFill>
                    <a:latin typeface="+mn-lt"/>
                    <a:ea typeface="+mn-ea"/>
                    <a:cs typeface="+mn-cs"/>
                  </a:defRPr>
                </a:pPr>
                <a:r>
                  <a:rPr lang="zh-CN" altLang="en-US" sz="750">
                    <a:solidFill>
                      <a:sysClr val="windowText" lastClr="000000"/>
                    </a:solidFill>
                    <a:latin typeface="宋体" panose="02010600030101010101" charset="-122"/>
                    <a:ea typeface="宋体" panose="02010600030101010101" charset="-122"/>
                  </a:rPr>
                  <a:t>凝结水量</a:t>
                </a:r>
                <a:r>
                  <a:rPr lang="en-US" altLang="zh-CN" sz="750">
                    <a:solidFill>
                      <a:sysClr val="windowText" lastClr="000000"/>
                    </a:solidFill>
                    <a:latin typeface="宋体" panose="02010600030101010101" charset="-122"/>
                    <a:ea typeface="宋体" panose="02010600030101010101" charset="-122"/>
                  </a:rPr>
                  <a:t>/</a:t>
                </a:r>
                <a:r>
                  <a:rPr lang="en-US" altLang="zh-CN" sz="7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750">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364894501582058"/>
              <c:y val="0.258588341924885"/>
            </c:manualLayout>
          </c:layout>
          <c:overlay val="0"/>
          <c:spPr>
            <a:noFill/>
            <a:ln>
              <a:noFill/>
            </a:ln>
            <a:effectLst/>
          </c:spPr>
        </c:title>
        <c:numFmt formatCode="General" sourceLinked="0"/>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7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92480"/>
        <c:crosses val="autoZero"/>
        <c:crossBetween val="midCat"/>
        <c:majorUnit val="0.1"/>
        <c:minorUnit val="0.1"/>
      </c:valAx>
      <c:spPr>
        <a:noFill/>
        <a:ln w="5080">
          <a:noFill/>
        </a:ln>
        <a:effectLst/>
      </c:spPr>
    </c:plotArea>
    <c:legend>
      <c:legendPos val="b"/>
      <c:layout>
        <c:manualLayout>
          <c:xMode val="edge"/>
          <c:yMode val="edge"/>
          <c:x val="0.196240458191845"/>
          <c:y val="0.0696657822663471"/>
          <c:w val="0.374461676371496"/>
          <c:h val="0.078076857240671"/>
        </c:manualLayout>
      </c:layout>
      <c:overlay val="0"/>
      <c:spPr>
        <a:noFill/>
        <a:ln>
          <a:noFill/>
        </a:ln>
        <a:effectLst/>
      </c:spPr>
      <c:txPr>
        <a:bodyPr rot="0" spcFirstLastPara="1" vertOverflow="ellipsis" vert="horz" wrap="square" anchor="ctr" anchorCtr="1"/>
        <a:lstStyle/>
        <a:p>
          <a:pPr algn="ctr">
            <a:defRPr lang="zh-CN" sz="75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c10f4b12-d658-4d97-8ac9-700ad80ed1dc}"/>
      </c:ext>
    </c:extLst>
  </c:chart>
  <c:spPr>
    <a:noFill/>
    <a:ln w="5080" cap="flat" cmpd="sng" algn="ctr">
      <a:noFill/>
      <a:round/>
    </a:ln>
    <a:effectLst/>
  </c:spPr>
  <c:txPr>
    <a:bodyPr/>
    <a:lstStyle/>
    <a:p>
      <a:pPr algn="ct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5790848724555"/>
          <c:y val="0.112715294542337"/>
          <c:w val="0.706885836350748"/>
          <c:h val="0.675866315168754"/>
        </c:manualLayout>
      </c:layout>
      <c:lineChart>
        <c:grouping val="standard"/>
        <c:varyColors val="0"/>
        <c:ser>
          <c:idx val="0"/>
          <c:order val="0"/>
          <c:tx>
            <c:strRef>
              <c:f>'图4 苗期2019不覆膜'!$B$1:$B$2</c:f>
              <c:strCache>
                <c:ptCount val="1"/>
                <c:pt idx="0">
                  <c:v>2018年不覆膜</c:v>
                </c:pt>
              </c:strCache>
            </c:strRef>
          </c:tx>
          <c:spPr>
            <a:ln w="7620" cap="rnd">
              <a:solidFill>
                <a:srgbClr val="00FF00"/>
              </a:solidFill>
              <a:round/>
            </a:ln>
            <a:effectLst/>
          </c:spPr>
          <c:marker>
            <c:symbol val="triangle"/>
            <c:size val="4"/>
            <c:spPr>
              <a:noFill/>
              <a:ln w="7620">
                <a:solidFill>
                  <a:srgbClr val="00FF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苗期2019不覆膜'!$B$3:$B$27</c:f>
              <c:numCache>
                <c:formatCode>General</c:formatCode>
                <c:ptCount val="25"/>
                <c:pt idx="0">
                  <c:v>0</c:v>
                </c:pt>
              </c:numCache>
            </c:numRef>
          </c:val>
          <c:smooth val="0"/>
        </c:ser>
        <c:ser>
          <c:idx val="1"/>
          <c:order val="1"/>
          <c:tx>
            <c:strRef>
              <c:f>'图4 苗期2019不覆膜'!$C$1:$C$2</c:f>
              <c:strCache>
                <c:ptCount val="1"/>
                <c:pt idx="0">
                  <c:v>2018年覆膜</c:v>
                </c:pt>
              </c:strCache>
            </c:strRef>
          </c:tx>
          <c:spPr>
            <a:ln w="7620" cap="rnd">
              <a:solidFill>
                <a:srgbClr val="C00000"/>
              </a:solidFill>
              <a:round/>
            </a:ln>
            <a:effectLst/>
          </c:spPr>
          <c:marker>
            <c:symbol val="square"/>
            <c:size val="4"/>
            <c:spPr>
              <a:no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苗期2019不覆膜'!$C$3:$C$27</c:f>
              <c:numCache>
                <c:formatCode>General</c:formatCode>
                <c:ptCount val="25"/>
                <c:pt idx="0">
                  <c:v>0</c:v>
                </c:pt>
              </c:numCache>
            </c:numRef>
          </c:val>
          <c:smooth val="0"/>
        </c:ser>
        <c:dLbls>
          <c:showLegendKey val="0"/>
          <c:showVal val="0"/>
          <c:showCatName val="0"/>
          <c:showSerName val="0"/>
          <c:showPercent val="0"/>
          <c:showBubbleSize val="0"/>
        </c:dLbls>
        <c:marker val="1"/>
        <c:smooth val="0"/>
        <c:axId val="188892480"/>
        <c:axId val="188888320"/>
      </c:lineChart>
      <c:lineChart>
        <c:grouping val="standard"/>
        <c:varyColors val="0"/>
        <c:ser>
          <c:idx val="2"/>
          <c:order val="2"/>
          <c:tx>
            <c:strRef>
              <c:f>'图4 苗期2019不覆膜'!$D$1:$D$2</c:f>
              <c:strCache>
                <c:ptCount val="1"/>
                <c:pt idx="0">
                  <c:v>2019年不覆膜</c:v>
                </c:pt>
              </c:strCache>
            </c:strRef>
          </c:tx>
          <c:spPr>
            <a:ln w="6350" cap="rnd">
              <a:solidFill>
                <a:srgbClr val="C00000"/>
              </a:solidFill>
              <a:round/>
            </a:ln>
            <a:effectLst/>
          </c:spPr>
          <c:marker>
            <c:symbol val="circle"/>
            <c:size val="3"/>
            <c:spPr>
              <a:no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苗期2019不覆膜'!$D$3:$D$27</c:f>
              <c:numCache>
                <c:formatCode>General</c:formatCode>
                <c:ptCount val="25"/>
                <c:pt idx="0">
                  <c:v>0</c:v>
                </c:pt>
                <c:pt idx="1" c:formatCode="0.00">
                  <c:v>-0.08543</c:v>
                </c:pt>
                <c:pt idx="2" c:formatCode="0.00">
                  <c:v>-0.24585</c:v>
                </c:pt>
                <c:pt idx="3" c:formatCode="0.00">
                  <c:v>-0.43631</c:v>
                </c:pt>
                <c:pt idx="4" c:formatCode="0.00">
                  <c:v>-0.18586</c:v>
                </c:pt>
                <c:pt idx="5" c:formatCode="0.00">
                  <c:v>-0.20559</c:v>
                </c:pt>
                <c:pt idx="6" c:formatCode="0.00">
                  <c:v>-0.17619</c:v>
                </c:pt>
                <c:pt idx="7" c:formatCode="0.00">
                  <c:v>-0.14061</c:v>
                </c:pt>
                <c:pt idx="8" c:formatCode="0.00">
                  <c:v>-0.48696</c:v>
                </c:pt>
                <c:pt idx="9" c:formatCode="0.00">
                  <c:v>-0.10589</c:v>
                </c:pt>
                <c:pt idx="10" c:formatCode="0.00">
                  <c:v>-0.07892</c:v>
                </c:pt>
                <c:pt idx="11" c:formatCode="0.00">
                  <c:v>-0.2289</c:v>
                </c:pt>
                <c:pt idx="12" c:formatCode="0.00">
                  <c:v>-0.55968</c:v>
                </c:pt>
                <c:pt idx="13" c:formatCode="0.00">
                  <c:v>-0.04075</c:v>
                </c:pt>
                <c:pt idx="14" c:formatCode="0.00">
                  <c:v>-0.00479</c:v>
                </c:pt>
                <c:pt idx="15" c:formatCode="0.00">
                  <c:v>-0.01288</c:v>
                </c:pt>
                <c:pt idx="16" c:formatCode="0.00">
                  <c:v>0.09796</c:v>
                </c:pt>
                <c:pt idx="17" c:formatCode="0.00">
                  <c:v>0.05389</c:v>
                </c:pt>
                <c:pt idx="18" c:formatCode="0.00">
                  <c:v>0.01417</c:v>
                </c:pt>
                <c:pt idx="19" c:formatCode="0.00">
                  <c:v>0.05112</c:v>
                </c:pt>
                <c:pt idx="20" c:formatCode="0.00">
                  <c:v>0.04894</c:v>
                </c:pt>
                <c:pt idx="21" c:formatCode="0.00">
                  <c:v>0.04895</c:v>
                </c:pt>
                <c:pt idx="22" c:formatCode="0.00">
                  <c:v>0.06311</c:v>
                </c:pt>
                <c:pt idx="23" c:formatCode="0.00">
                  <c:v>0.0627</c:v>
                </c:pt>
                <c:pt idx="24" c:formatCode="0.00">
                  <c:v>-0.01323</c:v>
                </c:pt>
              </c:numCache>
            </c:numRef>
          </c:val>
          <c:smooth val="0"/>
        </c:ser>
        <c:dLbls>
          <c:showLegendKey val="0"/>
          <c:showVal val="0"/>
          <c:showCatName val="0"/>
          <c:showSerName val="0"/>
          <c:showPercent val="0"/>
          <c:showBubbleSize val="0"/>
        </c:dLbls>
        <c:marker val="1"/>
        <c:smooth val="0"/>
        <c:axId val="804323280"/>
        <c:axId val="804327856"/>
      </c:lineChart>
      <c:catAx>
        <c:axId val="188892480"/>
        <c:scaling>
          <c:orientation val="minMax"/>
        </c:scaling>
        <c:delete val="0"/>
        <c:axPos val="b"/>
        <c:title>
          <c:tx>
            <c:rich>
              <a:bodyPr rot="0" spcFirstLastPara="1" vertOverflow="ellipsis" vert="horz" wrap="square" anchor="ctr" anchorCtr="1"/>
              <a:lstStyle/>
              <a:p>
                <a:pPr>
                  <a:defRPr lang="zh-CN" sz="450" b="0" i="0" u="none" strike="noStrike" kern="1200" baseline="0">
                    <a:solidFill>
                      <a:schemeClr val="tx1">
                        <a:lumMod val="65000"/>
                        <a:lumOff val="35000"/>
                      </a:schemeClr>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时间</a:t>
                </a:r>
                <a:endParaRPr lang="zh-CN" altLang="en-US" sz="450">
                  <a:solidFill>
                    <a:sysClr val="windowText" lastClr="000000"/>
                  </a:solidFill>
                  <a:latin typeface="宋体" panose="02010600030101010101" charset="-122"/>
                  <a:ea typeface="宋体" panose="02010600030101010101" charset="-122"/>
                </a:endParaRPr>
              </a:p>
            </c:rich>
          </c:tx>
          <c:layout>
            <c:manualLayout>
              <c:xMode val="edge"/>
              <c:yMode val="edge"/>
              <c:x val="0.507300579925191"/>
              <c:y val="0.894969041260679"/>
            </c:manualLayout>
          </c:layout>
          <c:overlay val="0"/>
          <c:spPr>
            <a:noFill/>
            <a:ln>
              <a:noFill/>
            </a:ln>
            <a:effectLst/>
          </c:spPr>
        </c:title>
        <c:numFmt formatCode="h:mm" sourceLinked="1"/>
        <c:majorTickMark val="in"/>
        <c:minorTickMark val="none"/>
        <c:tickLblPos val="low"/>
        <c:spPr>
          <a:noFill/>
          <a:ln w="5080" cap="flat" cmpd="sng" algn="ctr">
            <a:solidFill>
              <a:schemeClr val="tx1"/>
            </a:solidFill>
            <a:round/>
          </a:ln>
          <a:effectLst/>
        </c:spPr>
        <c:txPr>
          <a:bodyPr rot="0" spcFirstLastPara="1" vertOverflow="ellipsis" vert="horz" wrap="square" anchor="ctr" anchorCtr="0"/>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88320"/>
        <c:crossesAt val="-0.7"/>
        <c:auto val="0"/>
        <c:lblAlgn val="ctr"/>
        <c:lblOffset val="150"/>
        <c:tickMarkSkip val="4"/>
        <c:noMultiLvlLbl val="0"/>
      </c:catAx>
      <c:valAx>
        <c:axId val="188888320"/>
        <c:scaling>
          <c:orientation val="minMax"/>
          <c:max val="0.2"/>
          <c:min val="-0.7"/>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lang="zh-CN" sz="450" b="0" i="0" u="none" strike="noStrike" kern="1200" baseline="0">
                    <a:solidFill>
                      <a:sysClr val="windowText" lastClr="000000"/>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凝结水量</a:t>
                </a:r>
                <a:r>
                  <a:rPr lang="en-US" altLang="zh-CN" sz="450">
                    <a:solidFill>
                      <a:sysClr val="windowText" lastClr="000000"/>
                    </a:solidFill>
                    <a:latin typeface="宋体" panose="02010600030101010101" charset="-122"/>
                    <a:ea typeface="宋体" panose="02010600030101010101" charset="-122"/>
                  </a:rPr>
                  <a:t>/</a:t>
                </a:r>
                <a:r>
                  <a:rPr lang="en-US" altLang="zh-CN" sz="4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450">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0421168284197034"/>
              <c:y val="0.30894845468105"/>
            </c:manualLayout>
          </c:layout>
          <c:overlay val="0"/>
          <c:spPr>
            <a:noFill/>
            <a:ln>
              <a:noFill/>
            </a:ln>
            <a:effectLst/>
          </c:spPr>
        </c:title>
        <c:numFmt formatCode="General" sourceLinked="0"/>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92480"/>
        <c:crosses val="autoZero"/>
        <c:crossBetween val="midCat"/>
        <c:majorUnit val="0.1"/>
        <c:minorUnit val="0.1"/>
      </c:valAx>
      <c:catAx>
        <c:axId val="804323280"/>
        <c:scaling>
          <c:orientation val="minMax"/>
        </c:scaling>
        <c:delete val="1"/>
        <c:axPos val="b"/>
        <c:numFmt formatCode="h:mm"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7856"/>
        <c:crossesAt val="0"/>
        <c:auto val="1"/>
        <c:lblAlgn val="ctr"/>
        <c:lblOffset val="100"/>
        <c:noMultiLvlLbl val="0"/>
      </c:catAx>
      <c:valAx>
        <c:axId val="804327856"/>
        <c:scaling>
          <c:orientation val="minMax"/>
        </c:scaling>
        <c:delete val="0"/>
        <c:axPos val="l"/>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3280"/>
        <c:crossesAt val="1"/>
        <c:crossBetween val="midCat"/>
      </c:valAx>
      <c:spPr>
        <a:noFill/>
        <a:ln w="5080">
          <a:noFill/>
        </a:ln>
        <a:effectLst/>
      </c:spPr>
    </c:plotArea>
    <c:legend>
      <c:legendPos val="b"/>
      <c:legendEntry>
        <c:idx val="0"/>
        <c:delete val="1"/>
      </c:legendEntry>
      <c:legendEntry>
        <c:idx val="1"/>
        <c:delete val="1"/>
      </c:legendEntry>
      <c:layout>
        <c:manualLayout>
          <c:xMode val="edge"/>
          <c:yMode val="edge"/>
          <c:x val="0.357455026150928"/>
          <c:y val="0.652354734420704"/>
          <c:w val="0.557678027472843"/>
          <c:h val="0.0984176534366007"/>
        </c:manualLayout>
      </c:layout>
      <c:overlay val="0"/>
      <c:spPr>
        <a:noFill/>
        <a:ln>
          <a:noFill/>
        </a:ln>
        <a:effectLst/>
      </c:spPr>
      <c:txPr>
        <a:bodyPr rot="0" spcFirstLastPara="1" vertOverflow="ellipsis" vert="horz" wrap="square" anchor="ctr" anchorCtr="1"/>
        <a:lstStyle/>
        <a:p>
          <a:pPr>
            <a:defRPr lang="zh-CN" sz="4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f51015d0-e5d4-48c6-92cf-74fb80836e5a}"/>
      </c:ext>
    </c:extLst>
  </c:chart>
  <c:spPr>
    <a:solidFill>
      <a:schemeClr val="bg1"/>
    </a:solidFill>
    <a:ln w="5080" cap="flat" cmpd="sng" algn="ctr">
      <a:no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5790848724555"/>
          <c:y val="0.112715294542337"/>
          <c:w val="0.706885836350748"/>
          <c:h val="0.675866315168754"/>
        </c:manualLayout>
      </c:layout>
      <c:lineChart>
        <c:grouping val="standard"/>
        <c:varyColors val="0"/>
        <c:ser>
          <c:idx val="0"/>
          <c:order val="0"/>
          <c:tx>
            <c:strRef>
              <c:f>'图4 苗期2019不覆膜'!$B$1:$B$2</c:f>
              <c:strCache>
                <c:ptCount val="1"/>
                <c:pt idx="0">
                  <c:v>2018年不覆膜</c:v>
                </c:pt>
              </c:strCache>
            </c:strRef>
          </c:tx>
          <c:spPr>
            <a:ln w="7620" cap="rnd">
              <a:solidFill>
                <a:srgbClr val="00FF00"/>
              </a:solidFill>
              <a:round/>
            </a:ln>
            <a:effectLst/>
          </c:spPr>
          <c:marker>
            <c:symbol val="triangle"/>
            <c:size val="4"/>
            <c:spPr>
              <a:noFill/>
              <a:ln w="7620">
                <a:solidFill>
                  <a:srgbClr val="00FF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苗期2019不覆膜'!$B$3:$B$27</c:f>
              <c:numCache>
                <c:formatCode>General</c:formatCode>
                <c:ptCount val="25"/>
                <c:pt idx="0">
                  <c:v>0</c:v>
                </c:pt>
              </c:numCache>
            </c:numRef>
          </c:val>
          <c:smooth val="0"/>
        </c:ser>
        <c:ser>
          <c:idx val="1"/>
          <c:order val="1"/>
          <c:tx>
            <c:strRef>
              <c:f>'图4 苗期2019不覆膜'!$C$1:$C$2</c:f>
              <c:strCache>
                <c:ptCount val="1"/>
                <c:pt idx="0">
                  <c:v>2018年覆膜</c:v>
                </c:pt>
              </c:strCache>
            </c:strRef>
          </c:tx>
          <c:spPr>
            <a:ln w="7620" cap="rnd">
              <a:solidFill>
                <a:srgbClr val="C00000"/>
              </a:solidFill>
              <a:round/>
            </a:ln>
            <a:effectLst/>
          </c:spPr>
          <c:marker>
            <c:symbol val="square"/>
            <c:size val="4"/>
            <c:spPr>
              <a:no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苗期2019不覆膜'!$C$3:$C$27</c:f>
              <c:numCache>
                <c:formatCode>General</c:formatCode>
                <c:ptCount val="25"/>
                <c:pt idx="0">
                  <c:v>0</c:v>
                </c:pt>
              </c:numCache>
            </c:numRef>
          </c:val>
          <c:smooth val="0"/>
        </c:ser>
        <c:dLbls>
          <c:showLegendKey val="0"/>
          <c:showVal val="0"/>
          <c:showCatName val="0"/>
          <c:showSerName val="0"/>
          <c:showPercent val="0"/>
          <c:showBubbleSize val="0"/>
        </c:dLbls>
        <c:marker val="1"/>
        <c:smooth val="0"/>
        <c:axId val="188892480"/>
        <c:axId val="188888320"/>
      </c:lineChart>
      <c:lineChart>
        <c:grouping val="standard"/>
        <c:varyColors val="0"/>
        <c:ser>
          <c:idx val="2"/>
          <c:order val="2"/>
          <c:tx>
            <c:strRef>
              <c:f>'图4 苗期2019不覆膜'!$D$1:$D$2</c:f>
              <c:strCache>
                <c:ptCount val="1"/>
                <c:pt idx="0">
                  <c:v>2019年覆膜</c:v>
                </c:pt>
              </c:strCache>
            </c:strRef>
          </c:tx>
          <c:spPr>
            <a:ln w="6350" cap="rnd">
              <a:solidFill>
                <a:srgbClr val="C00000"/>
              </a:solidFill>
              <a:round/>
            </a:ln>
            <a:effectLst/>
          </c:spPr>
          <c:marker>
            <c:symbol val="circle"/>
            <c:size val="3"/>
            <c:spPr>
              <a:solidFill>
                <a:srgbClr val="C00000"/>
              </a:solid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苗期2019不覆膜'!$D$3:$D$27</c:f>
              <c:numCache>
                <c:formatCode>General</c:formatCode>
                <c:ptCount val="25"/>
                <c:pt idx="0">
                  <c:v>0</c:v>
                </c:pt>
                <c:pt idx="1" c:formatCode="0.00">
                  <c:v>-0.05824</c:v>
                </c:pt>
                <c:pt idx="2" c:formatCode="0.00">
                  <c:v>-0.09366</c:v>
                </c:pt>
                <c:pt idx="3" c:formatCode="0.00">
                  <c:v>-0.1146</c:v>
                </c:pt>
                <c:pt idx="4" c:formatCode="0.00">
                  <c:v>-0.1212</c:v>
                </c:pt>
                <c:pt idx="5" c:formatCode="0.00">
                  <c:v>-0.13674</c:v>
                </c:pt>
                <c:pt idx="6" c:formatCode="0.00">
                  <c:v>-0.1308</c:v>
                </c:pt>
                <c:pt idx="7" c:formatCode="0.00">
                  <c:v>-0.53783</c:v>
                </c:pt>
                <c:pt idx="8" c:formatCode="0.00">
                  <c:v>-0.48074</c:v>
                </c:pt>
                <c:pt idx="9" c:formatCode="0.00">
                  <c:v>-0.45774</c:v>
                </c:pt>
                <c:pt idx="10" c:formatCode="0.00">
                  <c:v>-0.21474</c:v>
                </c:pt>
                <c:pt idx="11" c:formatCode="0.00">
                  <c:v>-0.14661</c:v>
                </c:pt>
                <c:pt idx="12" c:formatCode="0.00">
                  <c:v>-0.22482</c:v>
                </c:pt>
                <c:pt idx="13" c:formatCode="0.00">
                  <c:v>-0.034</c:v>
                </c:pt>
                <c:pt idx="14" c:formatCode="0.00">
                  <c:v>-0.00445</c:v>
                </c:pt>
                <c:pt idx="15" c:formatCode="0.00">
                  <c:v>-0.14862</c:v>
                </c:pt>
                <c:pt idx="16" c:formatCode="0.00">
                  <c:v>-0.33089</c:v>
                </c:pt>
                <c:pt idx="17" c:formatCode="0.00">
                  <c:v>-0.16627</c:v>
                </c:pt>
                <c:pt idx="18" c:formatCode="0.00">
                  <c:v>0.03941</c:v>
                </c:pt>
                <c:pt idx="19" c:formatCode="0.00">
                  <c:v>0.03663</c:v>
                </c:pt>
                <c:pt idx="20" c:formatCode="0.00">
                  <c:v>0.03012</c:v>
                </c:pt>
                <c:pt idx="21" c:formatCode="0.00">
                  <c:v>0.06192</c:v>
                </c:pt>
                <c:pt idx="22" c:formatCode="0.00">
                  <c:v>0.04217</c:v>
                </c:pt>
                <c:pt idx="23" c:formatCode="0.00">
                  <c:v>0.0496</c:v>
                </c:pt>
                <c:pt idx="24" c:formatCode="0.00">
                  <c:v>-0.00484</c:v>
                </c:pt>
              </c:numCache>
            </c:numRef>
          </c:val>
          <c:smooth val="0"/>
        </c:ser>
        <c:dLbls>
          <c:showLegendKey val="0"/>
          <c:showVal val="0"/>
          <c:showCatName val="0"/>
          <c:showSerName val="0"/>
          <c:showPercent val="0"/>
          <c:showBubbleSize val="0"/>
        </c:dLbls>
        <c:marker val="1"/>
        <c:smooth val="0"/>
        <c:axId val="804323280"/>
        <c:axId val="804327856"/>
      </c:lineChart>
      <c:catAx>
        <c:axId val="188892480"/>
        <c:scaling>
          <c:orientation val="minMax"/>
        </c:scaling>
        <c:delete val="0"/>
        <c:axPos val="b"/>
        <c:title>
          <c:tx>
            <c:rich>
              <a:bodyPr rot="0" spcFirstLastPara="1" vertOverflow="ellipsis" vert="horz" wrap="square" anchor="ctr" anchorCtr="1"/>
              <a:lstStyle/>
              <a:p>
                <a:pPr>
                  <a:defRPr lang="zh-CN" sz="450" b="0" i="0" u="none" strike="noStrike" kern="1200" baseline="0">
                    <a:solidFill>
                      <a:schemeClr val="tx1">
                        <a:lumMod val="65000"/>
                        <a:lumOff val="35000"/>
                      </a:schemeClr>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时间</a:t>
                </a:r>
                <a:endParaRPr lang="zh-CN" altLang="en-US" sz="450">
                  <a:solidFill>
                    <a:sysClr val="windowText" lastClr="000000"/>
                  </a:solidFill>
                  <a:latin typeface="宋体" panose="02010600030101010101" charset="-122"/>
                  <a:ea typeface="宋体" panose="02010600030101010101" charset="-122"/>
                </a:endParaRPr>
              </a:p>
            </c:rich>
          </c:tx>
          <c:layout>
            <c:manualLayout>
              <c:xMode val="edge"/>
              <c:yMode val="edge"/>
              <c:x val="0.507300579925191"/>
              <c:y val="0.894969041260679"/>
            </c:manualLayout>
          </c:layout>
          <c:overlay val="0"/>
          <c:spPr>
            <a:noFill/>
            <a:ln>
              <a:noFill/>
            </a:ln>
            <a:effectLst/>
          </c:spPr>
        </c:title>
        <c:numFmt formatCode="h:mm" sourceLinked="1"/>
        <c:majorTickMark val="in"/>
        <c:minorTickMark val="none"/>
        <c:tickLblPos val="low"/>
        <c:spPr>
          <a:noFill/>
          <a:ln w="5080" cap="flat" cmpd="sng" algn="ctr">
            <a:solidFill>
              <a:schemeClr val="tx1"/>
            </a:solidFill>
            <a:round/>
          </a:ln>
          <a:effectLst/>
        </c:spPr>
        <c:txPr>
          <a:bodyPr rot="0" spcFirstLastPara="1" vertOverflow="ellipsis" vert="horz" wrap="square" anchor="ctr" anchorCtr="0"/>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88320"/>
        <c:crossesAt val="-0.7"/>
        <c:auto val="0"/>
        <c:lblAlgn val="ctr"/>
        <c:lblOffset val="150"/>
        <c:tickMarkSkip val="4"/>
        <c:noMultiLvlLbl val="0"/>
      </c:catAx>
      <c:valAx>
        <c:axId val="188888320"/>
        <c:scaling>
          <c:orientation val="minMax"/>
          <c:max val="0.2"/>
          <c:min val="-0.7"/>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lang="zh-CN" sz="450" b="0" i="0" u="none" strike="noStrike" kern="1200" baseline="0">
                    <a:solidFill>
                      <a:sysClr val="windowText" lastClr="000000"/>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凝结水量</a:t>
                </a:r>
                <a:r>
                  <a:rPr lang="en-US" altLang="zh-CN" sz="450">
                    <a:solidFill>
                      <a:sysClr val="windowText" lastClr="000000"/>
                    </a:solidFill>
                    <a:latin typeface="宋体" panose="02010600030101010101" charset="-122"/>
                    <a:ea typeface="宋体" panose="02010600030101010101" charset="-122"/>
                  </a:rPr>
                  <a:t>/</a:t>
                </a:r>
                <a:r>
                  <a:rPr lang="en-US" altLang="zh-CN" sz="4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450">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0421168284197034"/>
              <c:y val="0.30894845468105"/>
            </c:manualLayout>
          </c:layout>
          <c:overlay val="0"/>
          <c:spPr>
            <a:noFill/>
            <a:ln>
              <a:noFill/>
            </a:ln>
            <a:effectLst/>
          </c:spPr>
        </c:title>
        <c:numFmt formatCode="General" sourceLinked="0"/>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92480"/>
        <c:crosses val="autoZero"/>
        <c:crossBetween val="midCat"/>
        <c:majorUnit val="0.1"/>
        <c:minorUnit val="0.1"/>
      </c:valAx>
      <c:catAx>
        <c:axId val="804323280"/>
        <c:scaling>
          <c:orientation val="minMax"/>
        </c:scaling>
        <c:delete val="1"/>
        <c:axPos val="b"/>
        <c:numFmt formatCode="h:mm"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7856"/>
        <c:crossesAt val="0"/>
        <c:auto val="1"/>
        <c:lblAlgn val="ctr"/>
        <c:lblOffset val="100"/>
        <c:noMultiLvlLbl val="0"/>
      </c:catAx>
      <c:valAx>
        <c:axId val="804327856"/>
        <c:scaling>
          <c:orientation val="minMax"/>
        </c:scaling>
        <c:delete val="0"/>
        <c:axPos val="l"/>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3280"/>
        <c:crossesAt val="1"/>
        <c:crossBetween val="midCat"/>
      </c:valAx>
      <c:spPr>
        <a:noFill/>
        <a:ln w="25400">
          <a:noFill/>
        </a:ln>
        <a:effectLst/>
      </c:spPr>
    </c:plotArea>
    <c:legend>
      <c:legendPos val="b"/>
      <c:legendEntry>
        <c:idx val="0"/>
        <c:delete val="1"/>
      </c:legendEntry>
      <c:legendEntry>
        <c:idx val="1"/>
        <c:delete val="1"/>
      </c:legendEntry>
      <c:layout>
        <c:manualLayout>
          <c:xMode val="edge"/>
          <c:yMode val="edge"/>
          <c:x val="0.396384466540223"/>
          <c:y val="0.652354734420704"/>
          <c:w val="0.518748587083549"/>
          <c:h val="0.0984176534366007"/>
        </c:manualLayout>
      </c:layout>
      <c:overlay val="0"/>
      <c:spPr>
        <a:noFill/>
        <a:ln>
          <a:noFill/>
        </a:ln>
        <a:effectLst/>
      </c:spPr>
      <c:txPr>
        <a:bodyPr rot="0" spcFirstLastPara="1" vertOverflow="ellipsis" vert="horz" wrap="square" anchor="ctr" anchorCtr="1"/>
        <a:lstStyle/>
        <a:p>
          <a:pPr>
            <a:defRPr lang="zh-CN" sz="4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41481846-26d9-4c06-ba1a-f2ede057ee23}"/>
      </c:ext>
    </c:extLst>
  </c:chart>
  <c:spPr>
    <a:solidFill>
      <a:schemeClr val="bg1"/>
    </a:solidFill>
    <a:ln w="5080" cap="flat" cmpd="sng" algn="ctr">
      <a:noFill/>
      <a:round/>
    </a:ln>
    <a:effectLst/>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5790848724555"/>
          <c:y val="0.112715294542337"/>
          <c:w val="0.706885836350748"/>
          <c:h val="0.675866315168754"/>
        </c:manualLayout>
      </c:layout>
      <c:lineChart>
        <c:grouping val="standard"/>
        <c:varyColors val="0"/>
        <c:ser>
          <c:idx val="0"/>
          <c:order val="0"/>
          <c:tx>
            <c:strRef>
              <c:f>'图4 苗期2019不覆膜'!$B$1:$B$2</c:f>
              <c:strCache>
                <c:ptCount val="1"/>
                <c:pt idx="0">
                  <c:v>2018年不覆膜</c:v>
                </c:pt>
              </c:strCache>
            </c:strRef>
          </c:tx>
          <c:spPr>
            <a:ln w="7620" cap="rnd">
              <a:solidFill>
                <a:srgbClr val="00FF00"/>
              </a:solidFill>
              <a:round/>
            </a:ln>
            <a:effectLst/>
          </c:spPr>
          <c:marker>
            <c:symbol val="triangle"/>
            <c:size val="4"/>
            <c:spPr>
              <a:noFill/>
              <a:ln w="7620">
                <a:solidFill>
                  <a:srgbClr val="00FF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苗期2019不覆膜'!$B$3:$B$27</c:f>
              <c:numCache>
                <c:formatCode>General</c:formatCode>
                <c:ptCount val="25"/>
                <c:pt idx="0">
                  <c:v>0</c:v>
                </c:pt>
              </c:numCache>
            </c:numRef>
          </c:val>
          <c:smooth val="0"/>
        </c:ser>
        <c:ser>
          <c:idx val="1"/>
          <c:order val="1"/>
          <c:tx>
            <c:strRef>
              <c:f>'图4 苗期2019不覆膜'!$C$1:$C$2</c:f>
              <c:strCache>
                <c:ptCount val="1"/>
                <c:pt idx="0">
                  <c:v>2018年覆膜</c:v>
                </c:pt>
              </c:strCache>
            </c:strRef>
          </c:tx>
          <c:spPr>
            <a:ln w="7620" cap="rnd">
              <a:solidFill>
                <a:srgbClr val="C00000"/>
              </a:solidFill>
              <a:round/>
            </a:ln>
            <a:effectLst/>
          </c:spPr>
          <c:marker>
            <c:symbol val="square"/>
            <c:size val="4"/>
            <c:spPr>
              <a:noFill/>
              <a:ln w="7620">
                <a:solidFill>
                  <a:srgbClr val="C00000"/>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苗期2019不覆膜'!$C$3:$C$27</c:f>
              <c:numCache>
                <c:formatCode>General</c:formatCode>
                <c:ptCount val="25"/>
                <c:pt idx="0">
                  <c:v>0</c:v>
                </c:pt>
              </c:numCache>
            </c:numRef>
          </c:val>
          <c:smooth val="0"/>
        </c:ser>
        <c:dLbls>
          <c:showLegendKey val="0"/>
          <c:showVal val="0"/>
          <c:showCatName val="0"/>
          <c:showSerName val="0"/>
          <c:showPercent val="0"/>
          <c:showBubbleSize val="0"/>
        </c:dLbls>
        <c:marker val="1"/>
        <c:smooth val="0"/>
        <c:axId val="188892480"/>
        <c:axId val="188888320"/>
      </c:lineChart>
      <c:lineChart>
        <c:grouping val="standard"/>
        <c:varyColors val="0"/>
        <c:ser>
          <c:idx val="2"/>
          <c:order val="2"/>
          <c:tx>
            <c:strRef>
              <c:f>'图4 苗期2019不覆膜'!$D$1:$D$2</c:f>
              <c:strCache>
                <c:ptCount val="1"/>
                <c:pt idx="0">
                  <c:v>2020年不覆膜</c:v>
                </c:pt>
              </c:strCache>
            </c:strRef>
          </c:tx>
          <c:spPr>
            <a:ln w="6350" cap="rnd">
              <a:solidFill>
                <a:srgbClr val="0000FF"/>
              </a:solidFill>
              <a:round/>
            </a:ln>
            <a:effectLst/>
          </c:spPr>
          <c:marker>
            <c:symbol val="circle"/>
            <c:size val="3"/>
            <c:spPr>
              <a:noFill/>
              <a:ln w="7620">
                <a:solidFill>
                  <a:srgbClr val="0000FF"/>
                </a:solidFill>
              </a:ln>
              <a:effectLst/>
            </c:spPr>
          </c:marker>
          <c:dLbls>
            <c:delete val="1"/>
          </c:dLbls>
          <c:cat>
            <c:numRef>
              <c:f>'图4 苗期2019不覆膜'!$A$3:$A$27</c:f>
              <c:numCache>
                <c:formatCode>General</c:formatCode>
                <c:ptCount val="25"/>
                <c:pt idx="1" c:formatCode="h:mm">
                  <c:v>0.416666666666667</c:v>
                </c:pt>
                <c:pt idx="2" c:formatCode="h:mm">
                  <c:v>0.458333333333333</c:v>
                </c:pt>
                <c:pt idx="3" c:formatCode="h:mm">
                  <c:v>0.5</c:v>
                </c:pt>
                <c:pt idx="4" c:formatCode="h:mm">
                  <c:v>0.541666666666667</c:v>
                </c:pt>
                <c:pt idx="5" c:formatCode="h:mm">
                  <c:v>0.583333333333333</c:v>
                </c:pt>
                <c:pt idx="6" c:formatCode="h:mm">
                  <c:v>0.625</c:v>
                </c:pt>
                <c:pt idx="7" c:formatCode="h:mm">
                  <c:v>0.666666666666667</c:v>
                </c:pt>
                <c:pt idx="8" c:formatCode="h:mm">
                  <c:v>0.708333333333333</c:v>
                </c:pt>
                <c:pt idx="9" c:formatCode="h:mm">
                  <c:v>0.75</c:v>
                </c:pt>
                <c:pt idx="10" c:formatCode="h:mm">
                  <c:v>0.791666666666667</c:v>
                </c:pt>
                <c:pt idx="11" c:formatCode="h:mm">
                  <c:v>0.833333333333333</c:v>
                </c:pt>
                <c:pt idx="12" c:formatCode="h:mm">
                  <c:v>0.875</c:v>
                </c:pt>
                <c:pt idx="13" c:formatCode="h:mm">
                  <c:v>0.916666666666667</c:v>
                </c:pt>
                <c:pt idx="14" c:formatCode="h:mm">
                  <c:v>0.958333333333333</c:v>
                </c:pt>
                <c:pt idx="15" c:formatCode="h:mm">
                  <c:v>0</c:v>
                </c:pt>
                <c:pt idx="16" c:formatCode="h:mm">
                  <c:v>0.0416666666666667</c:v>
                </c:pt>
                <c:pt idx="17" c:formatCode="h:mm">
                  <c:v>0.0833333333333333</c:v>
                </c:pt>
                <c:pt idx="18" c:formatCode="h:mm">
                  <c:v>0.125</c:v>
                </c:pt>
                <c:pt idx="19" c:formatCode="h:mm">
                  <c:v>0.166666666666667</c:v>
                </c:pt>
                <c:pt idx="20" c:formatCode="h:mm">
                  <c:v>0.208333333333333</c:v>
                </c:pt>
                <c:pt idx="21" c:formatCode="h:mm">
                  <c:v>0.25</c:v>
                </c:pt>
                <c:pt idx="22" c:formatCode="h:mm">
                  <c:v>0.291666666666667</c:v>
                </c:pt>
                <c:pt idx="23" c:formatCode="h:mm">
                  <c:v>0.333333333333333</c:v>
                </c:pt>
                <c:pt idx="24" c:formatCode="h:mm">
                  <c:v>0.375</c:v>
                </c:pt>
              </c:numCache>
            </c:numRef>
          </c:cat>
          <c:val>
            <c:numRef>
              <c:f>'图4 苗期2019不覆膜'!$D$3:$D$27</c:f>
              <c:numCache>
                <c:formatCode>General</c:formatCode>
                <c:ptCount val="25"/>
                <c:pt idx="0">
                  <c:v>0</c:v>
                </c:pt>
                <c:pt idx="1" c:formatCode="0.00">
                  <c:v>-0.06984</c:v>
                </c:pt>
                <c:pt idx="2" c:formatCode="0.00">
                  <c:v>-0.11255</c:v>
                </c:pt>
                <c:pt idx="3" c:formatCode="0.00">
                  <c:v>-0.12131</c:v>
                </c:pt>
                <c:pt idx="4" c:formatCode="0.00">
                  <c:v>-0.1186</c:v>
                </c:pt>
                <c:pt idx="5" c:formatCode="0.00">
                  <c:v>-0.11575</c:v>
                </c:pt>
                <c:pt idx="6" c:formatCode="0.00">
                  <c:v>-0.08903</c:v>
                </c:pt>
                <c:pt idx="7" c:formatCode="0.00">
                  <c:v>-0.08881</c:v>
                </c:pt>
                <c:pt idx="8" c:formatCode="0.00">
                  <c:v>-0.08573</c:v>
                </c:pt>
                <c:pt idx="9" c:formatCode="0.00">
                  <c:v>-0.0504</c:v>
                </c:pt>
                <c:pt idx="10" c:formatCode="0.00">
                  <c:v>-0.06043</c:v>
                </c:pt>
                <c:pt idx="11" c:formatCode="0.00">
                  <c:v>-0.04855</c:v>
                </c:pt>
                <c:pt idx="12" c:formatCode="0.00">
                  <c:v>-0.02191</c:v>
                </c:pt>
                <c:pt idx="13" c:formatCode="0.00">
                  <c:v>-0.01877</c:v>
                </c:pt>
                <c:pt idx="14" c:formatCode="0.00">
                  <c:v>0.02056</c:v>
                </c:pt>
                <c:pt idx="15" c:formatCode="0.00">
                  <c:v>-0.07</c:v>
                </c:pt>
                <c:pt idx="16" c:formatCode="0.00">
                  <c:v>0.01143</c:v>
                </c:pt>
                <c:pt idx="17" c:formatCode="0.00">
                  <c:v>0.01428</c:v>
                </c:pt>
                <c:pt idx="18" c:formatCode="0.00">
                  <c:v>0.01964</c:v>
                </c:pt>
                <c:pt idx="19" c:formatCode="0.00">
                  <c:v>0.02314</c:v>
                </c:pt>
                <c:pt idx="20" c:formatCode="0.00">
                  <c:v>0.02714</c:v>
                </c:pt>
                <c:pt idx="21" c:formatCode="0.00">
                  <c:v>0.02424</c:v>
                </c:pt>
                <c:pt idx="22" c:formatCode="0.00">
                  <c:v>0.01611</c:v>
                </c:pt>
                <c:pt idx="23" c:formatCode="0.00">
                  <c:v>0.00452</c:v>
                </c:pt>
                <c:pt idx="24" c:formatCode="0.00">
                  <c:v>0.0328</c:v>
                </c:pt>
              </c:numCache>
            </c:numRef>
          </c:val>
          <c:smooth val="0"/>
        </c:ser>
        <c:dLbls>
          <c:showLegendKey val="0"/>
          <c:showVal val="0"/>
          <c:showCatName val="0"/>
          <c:showSerName val="0"/>
          <c:showPercent val="0"/>
          <c:showBubbleSize val="0"/>
        </c:dLbls>
        <c:marker val="1"/>
        <c:smooth val="0"/>
        <c:axId val="804323280"/>
        <c:axId val="804327856"/>
      </c:lineChart>
      <c:catAx>
        <c:axId val="188892480"/>
        <c:scaling>
          <c:orientation val="minMax"/>
        </c:scaling>
        <c:delete val="0"/>
        <c:axPos val="b"/>
        <c:title>
          <c:tx>
            <c:rich>
              <a:bodyPr rot="0" spcFirstLastPara="1" vertOverflow="ellipsis" vert="horz" wrap="square" anchor="ctr" anchorCtr="1"/>
              <a:lstStyle/>
              <a:p>
                <a:pPr>
                  <a:defRPr lang="zh-CN" sz="450" b="0" i="0" u="none" strike="noStrike" kern="1200" baseline="0">
                    <a:solidFill>
                      <a:schemeClr val="tx1">
                        <a:lumMod val="65000"/>
                        <a:lumOff val="35000"/>
                      </a:schemeClr>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时间</a:t>
                </a:r>
                <a:endParaRPr lang="zh-CN" altLang="en-US" sz="450">
                  <a:solidFill>
                    <a:sysClr val="windowText" lastClr="000000"/>
                  </a:solidFill>
                  <a:latin typeface="宋体" panose="02010600030101010101" charset="-122"/>
                  <a:ea typeface="宋体" panose="02010600030101010101" charset="-122"/>
                </a:endParaRPr>
              </a:p>
            </c:rich>
          </c:tx>
          <c:layout>
            <c:manualLayout>
              <c:xMode val="edge"/>
              <c:yMode val="edge"/>
              <c:x val="0.507300579925191"/>
              <c:y val="0.894969041260679"/>
            </c:manualLayout>
          </c:layout>
          <c:overlay val="0"/>
          <c:spPr>
            <a:noFill/>
            <a:ln>
              <a:noFill/>
            </a:ln>
            <a:effectLst/>
          </c:spPr>
        </c:title>
        <c:numFmt formatCode="h:mm" sourceLinked="1"/>
        <c:majorTickMark val="in"/>
        <c:minorTickMark val="none"/>
        <c:tickLblPos val="low"/>
        <c:spPr>
          <a:noFill/>
          <a:ln w="5080" cap="flat" cmpd="sng" algn="ctr">
            <a:solidFill>
              <a:schemeClr val="tx1"/>
            </a:solidFill>
            <a:round/>
          </a:ln>
          <a:effectLst/>
        </c:spPr>
        <c:txPr>
          <a:bodyPr rot="0" spcFirstLastPara="1" vertOverflow="ellipsis" vert="horz" wrap="square" anchor="ctr" anchorCtr="0"/>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88320"/>
        <c:crossesAt val="-0.7"/>
        <c:auto val="0"/>
        <c:lblAlgn val="ctr"/>
        <c:lblOffset val="150"/>
        <c:tickMarkSkip val="4"/>
        <c:noMultiLvlLbl val="0"/>
      </c:catAx>
      <c:valAx>
        <c:axId val="188888320"/>
        <c:scaling>
          <c:orientation val="minMax"/>
          <c:max val="0.2"/>
          <c:min val="-0.7"/>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lang="zh-CN" sz="450" b="0" i="0" u="none" strike="noStrike" kern="1200" baseline="0">
                    <a:solidFill>
                      <a:sysClr val="windowText" lastClr="000000"/>
                    </a:solidFill>
                    <a:latin typeface="+mn-lt"/>
                    <a:ea typeface="+mn-ea"/>
                    <a:cs typeface="+mn-cs"/>
                  </a:defRPr>
                </a:pPr>
                <a:r>
                  <a:rPr lang="zh-CN" altLang="en-US" sz="450">
                    <a:solidFill>
                      <a:sysClr val="windowText" lastClr="000000"/>
                    </a:solidFill>
                    <a:latin typeface="宋体" panose="02010600030101010101" charset="-122"/>
                    <a:ea typeface="宋体" panose="02010600030101010101" charset="-122"/>
                  </a:rPr>
                  <a:t>凝结水量</a:t>
                </a:r>
                <a:r>
                  <a:rPr lang="en-US" altLang="zh-CN" sz="450">
                    <a:solidFill>
                      <a:sysClr val="windowText" lastClr="000000"/>
                    </a:solidFill>
                    <a:latin typeface="宋体" panose="02010600030101010101" charset="-122"/>
                    <a:ea typeface="宋体" panose="02010600030101010101" charset="-122"/>
                  </a:rPr>
                  <a:t>/</a:t>
                </a:r>
                <a:r>
                  <a:rPr lang="en-US" altLang="zh-CN" sz="450">
                    <a:solidFill>
                      <a:sysClr val="windowText" lastClr="000000"/>
                    </a:solidFill>
                    <a:latin typeface="Times New Roman" panose="02020603050405020304" charset="0"/>
                    <a:ea typeface="宋体" panose="02010600030101010101" charset="-122"/>
                    <a:cs typeface="Times New Roman" panose="02020603050405020304" charset="0"/>
                  </a:rPr>
                  <a:t>mm</a:t>
                </a:r>
                <a:endParaRPr lang="zh-CN" altLang="en-US" sz="450">
                  <a:solidFill>
                    <a:sysClr val="windowText" lastClr="000000"/>
                  </a:solidFill>
                  <a:latin typeface="Times New Roman" panose="02020603050405020304" charset="0"/>
                  <a:ea typeface="宋体" panose="02010600030101010101" charset="-122"/>
                  <a:cs typeface="Times New Roman" panose="02020603050405020304" charset="0"/>
                </a:endParaRPr>
              </a:p>
            </c:rich>
          </c:tx>
          <c:layout>
            <c:manualLayout>
              <c:xMode val="edge"/>
              <c:yMode val="edge"/>
              <c:x val="0.00421168284197034"/>
              <c:y val="0.30894845468105"/>
            </c:manualLayout>
          </c:layout>
          <c:overlay val="0"/>
          <c:spPr>
            <a:noFill/>
            <a:ln>
              <a:noFill/>
            </a:ln>
            <a:effectLst/>
          </c:spPr>
        </c:title>
        <c:numFmt formatCode="General" sourceLinked="0"/>
        <c:majorTickMark val="in"/>
        <c:minorTickMark val="none"/>
        <c:tickLblPos val="nextTo"/>
        <c:spPr>
          <a:noFill/>
          <a:ln w="5080">
            <a:solidFill>
              <a:schemeClr val="tx1"/>
            </a:solidFill>
          </a:ln>
          <a:effectLst/>
        </c:spPr>
        <c:txPr>
          <a:bodyPr rot="-60000000" spcFirstLastPara="1" vertOverflow="ellipsis" vert="horz" wrap="square" anchor="ctr" anchorCtr="1"/>
          <a:lstStyle/>
          <a:p>
            <a:pPr>
              <a:defRPr lang="zh-CN" sz="450" b="0" i="0" u="none" strike="noStrike" kern="1200" baseline="0">
                <a:solidFill>
                  <a:sysClr val="windowText" lastClr="000000"/>
                </a:solidFill>
                <a:latin typeface="Times New Roman" panose="02020603050405020304" charset="0"/>
                <a:ea typeface="+mn-ea"/>
                <a:cs typeface="Times New Roman" panose="02020603050405020304" charset="0"/>
              </a:defRPr>
            </a:pPr>
          </a:p>
        </c:txPr>
        <c:crossAx val="188892480"/>
        <c:crosses val="autoZero"/>
        <c:crossBetween val="midCat"/>
        <c:majorUnit val="0.1"/>
        <c:minorUnit val="0.1"/>
      </c:valAx>
      <c:catAx>
        <c:axId val="804323280"/>
        <c:scaling>
          <c:orientation val="minMax"/>
        </c:scaling>
        <c:delete val="1"/>
        <c:axPos val="b"/>
        <c:numFmt formatCode="h:mm"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7856"/>
        <c:crossesAt val="0"/>
        <c:auto val="1"/>
        <c:lblAlgn val="ctr"/>
        <c:lblOffset val="100"/>
        <c:noMultiLvlLbl val="0"/>
      </c:catAx>
      <c:valAx>
        <c:axId val="804327856"/>
        <c:scaling>
          <c:orientation val="minMax"/>
        </c:scaling>
        <c:delete val="0"/>
        <c:axPos val="l"/>
        <c:numFmt formatCode="General" sourceLinked="1"/>
        <c:majorTickMark val="out"/>
        <c:minorTickMark val="none"/>
        <c:tickLblPos val="none"/>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4323280"/>
        <c:crossesAt val="1"/>
        <c:crossBetween val="midCat"/>
      </c:valAx>
      <c:spPr>
        <a:noFill/>
        <a:ln w="5080">
          <a:noFill/>
        </a:ln>
        <a:effectLst/>
      </c:spPr>
    </c:plotArea>
    <c:legend>
      <c:legendPos val="b"/>
      <c:legendEntry>
        <c:idx val="0"/>
        <c:delete val="1"/>
      </c:legendEntry>
      <c:legendEntry>
        <c:idx val="1"/>
        <c:delete val="1"/>
      </c:legendEntry>
      <c:layout>
        <c:manualLayout>
          <c:xMode val="edge"/>
          <c:yMode val="edge"/>
          <c:x val="0.406116826637546"/>
          <c:y val="0.652354467252287"/>
          <c:w val="0.54794566737552"/>
          <c:h val="0.0984176534366007"/>
        </c:manualLayout>
      </c:layout>
      <c:overlay val="0"/>
      <c:spPr>
        <a:noFill/>
        <a:ln>
          <a:noFill/>
        </a:ln>
        <a:effectLst/>
      </c:spPr>
      <c:txPr>
        <a:bodyPr rot="0" spcFirstLastPara="1" vertOverflow="ellipsis" vert="horz" wrap="square" anchor="ctr" anchorCtr="1"/>
        <a:lstStyle/>
        <a:p>
          <a:pPr>
            <a:defRPr lang="zh-CN" sz="400" b="0" i="0" u="none" strike="noStrike" kern="1200" baseline="0">
              <a:solidFill>
                <a:sysClr val="windowText" lastClr="000000"/>
              </a:solidFill>
              <a:latin typeface="Times New Roman" panose="02020603050405020304" charset="0"/>
              <a:ea typeface="宋体" panose="02010600030101010101" charset="-122"/>
              <a:cs typeface="Times New Roman" panose="02020603050405020304" charset="0"/>
            </a:defRPr>
          </a:pPr>
        </a:p>
      </c:txPr>
    </c:legend>
    <c:plotVisOnly val="1"/>
    <c:dispBlanksAs val="gap"/>
    <c:showDLblsOverMax val="0"/>
    <c:extLst>
      <c:ext uri="{0b15fc19-7d7d-44ad-8c2d-2c3a37ce22c3}">
        <chartProps xmlns="https://web.wps.cn/et/2018/main" chartId="{6a53d970-5549-4801-bb41-94ff64850056}"/>
      </c:ext>
    </c:extLst>
  </c:chart>
  <c:spPr>
    <a:solidFill>
      <a:schemeClr val="bg1"/>
    </a:solidFill>
    <a:ln w="5080" cap="flat" cmpd="sng" algn="ctr">
      <a:no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0.17996</cdr:x>
      <cdr:y>0.03404</cdr:y>
    </cdr:from>
    <cdr:to>
      <cdr:x>0.58288</cdr:x>
      <cdr:y>0.2745</cdr:y>
    </cdr:to>
    <cdr:sp>
      <cdr:nvSpPr>
        <cdr:cNvPr id="2" name="矩形 1"/>
        <cdr:cNvSpPr/>
      </cdr:nvSpPr>
      <cdr:spPr xmlns:a="http://schemas.openxmlformats.org/drawingml/2006/main">
        <a:xfrm xmlns:a="http://schemas.openxmlformats.org/drawingml/2006/main">
          <a:off x="234834" y="37392"/>
          <a:ext cx="525780" cy="264157"/>
        </a:xfrm>
        <a:prstGeom xmlns:a="http://schemas.openxmlformats.org/drawingml/2006/main" prst="rect">
          <a:avLst/>
        </a:prstGeom>
        <a:noFill/>
        <a:ln w="9525" cmpd="sng">
          <a:noFill/>
        </a:ln>
        <a:effectLst/>
      </cdr:spPr>
      <cdr:txBody xmlns:a="http://schemas.openxmlformats.org/drawingml/2006/main">
        <a:bodyPr vert="horz" wrap="square" lIns="45720" tIns="45720" rIns="45720" bIns="45720" rtlCol="0" anchor="ctr" anchorCtr="0">
          <a:noAutofit/>
        </a:bodyPr>
        <a:lstStyle/>
        <a:p>
          <a:pPr algn="ctr">
            <a:buNone/>
          </a:pPr>
          <a:endParaRPr lang="zh-CN" sz="750" kern="100">
            <a:effectLst/>
            <a:latin typeface="等线" panose="02010600030101010101" charset="-122"/>
            <a:ea typeface="等线" panose="02010600030101010101" charset="-122"/>
            <a:cs typeface="Times New Roman" panose="02020603050405020304" charset="0"/>
          </a:endParaRPr>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19ACAA-D71F-4C10-9FB3-33580E8C6A86}">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5547</Words>
  <Characters>9381</Characters>
  <Lines>636</Lines>
  <Paragraphs>510</Paragraphs>
  <TotalTime>1075</TotalTime>
  <ScaleCrop>false</ScaleCrop>
  <LinksUpToDate>false</LinksUpToDate>
  <CharactersWithSpaces>10075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2026-07-09T06:15:00Z</dcterms:created>
  <dc:creator>Maruisha</dc:creator>
  <cp:lastModifiedBy>aaa</cp:lastModifiedBy>
  <cp:lastPrinted>2026-05-07T03:59:00Z</cp:lastPrinted>
  <dcterms:modified xsi:type="dcterms:W3CDTF">2026-07-27T01:14:30Z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eyJoZGlkIjoiZGE2Mjg2YTZkZTMyMTYwY2M1OTQ5YzJlN2MyYmRjOGEiLCJ1c2VySWQiOiIyNjUyMTM2ODcifQ==</vt:lpwstr>
  </property>
  <property fmtid="{D5CDD505-2E9C-101B-9397-08002B2CF9AE}" pid="3" name="KSOProductBuildVer">
    <vt:lpwstr>2052-12.1.0.23542</vt:lpwstr>
  </property>
  <property fmtid="{D5CDD505-2E9C-101B-9397-08002B2CF9AE}" pid="4" name="ICV">
    <vt:lpwstr>2459E88D0BEA486F9111CC845AE7AF79_12</vt:lpwstr>
  </property>
</Properties>
</file>