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B9BE1C">
      <w:pPr>
        <w:ind w:firstLine="0" w:firstLineChars="0"/>
        <w:jc w:val="center"/>
        <w:outlineLvl w:val="0"/>
        <w:rPr>
          <w:b/>
          <w:sz w:val="48"/>
          <w:szCs w:val="48"/>
        </w:rPr>
      </w:pPr>
      <w:bookmarkStart w:id="0" w:name="_Hlk179634585"/>
      <w:bookmarkEnd w:id="0"/>
      <w:r>
        <w:rPr>
          <w:rFonts w:hint="eastAsia"/>
          <w:b/>
          <w:sz w:val="48"/>
          <w:szCs w:val="48"/>
        </w:rPr>
        <w:t>圆形地连墙接头对墙体受力变形影响的试验研究</w:t>
      </w:r>
    </w:p>
    <w:p w14:paraId="53BF1C80">
      <w:pPr>
        <w:ind w:firstLine="0" w:firstLineChars="0"/>
        <w:jc w:val="center"/>
        <w:rPr>
          <w:rFonts w:eastAsia="楷体"/>
          <w:sz w:val="28"/>
          <w:szCs w:val="32"/>
          <w:vertAlign w:val="superscript"/>
        </w:rPr>
      </w:pPr>
      <w:r>
        <w:rPr>
          <w:rFonts w:eastAsia="楷体"/>
          <w:sz w:val="28"/>
          <w:szCs w:val="32"/>
        </w:rPr>
        <w:t>张</w:t>
      </w:r>
      <w:r>
        <w:rPr>
          <w:rFonts w:hint="eastAsia" w:eastAsia="楷体"/>
          <w:sz w:val="28"/>
          <w:szCs w:val="32"/>
        </w:rPr>
        <w:t xml:space="preserve"> </w:t>
      </w:r>
      <w:r>
        <w:rPr>
          <w:rFonts w:eastAsia="楷体"/>
          <w:sz w:val="28"/>
          <w:szCs w:val="32"/>
        </w:rPr>
        <w:t>军</w:t>
      </w:r>
      <w:r>
        <w:rPr>
          <w:rFonts w:eastAsia="楷体"/>
          <w:sz w:val="28"/>
          <w:szCs w:val="32"/>
          <w:vertAlign w:val="superscript"/>
        </w:rPr>
        <w:t>1</w:t>
      </w:r>
      <w:r>
        <w:rPr>
          <w:rFonts w:eastAsia="楷体"/>
          <w:sz w:val="28"/>
          <w:szCs w:val="32"/>
        </w:rPr>
        <w:t>，杨玉琳</w:t>
      </w:r>
      <w:r>
        <w:rPr>
          <w:rFonts w:eastAsia="楷体"/>
          <w:sz w:val="28"/>
          <w:szCs w:val="32"/>
          <w:vertAlign w:val="superscript"/>
        </w:rPr>
        <w:t>1</w:t>
      </w:r>
      <w:r>
        <w:rPr>
          <w:rFonts w:eastAsia="楷体"/>
          <w:sz w:val="28"/>
          <w:szCs w:val="32"/>
        </w:rPr>
        <w:t>，吴仁辉</w:t>
      </w:r>
      <w:r>
        <w:rPr>
          <w:rFonts w:eastAsia="楷体"/>
          <w:sz w:val="28"/>
          <w:szCs w:val="32"/>
          <w:vertAlign w:val="superscript"/>
        </w:rPr>
        <w:t>2</w:t>
      </w:r>
    </w:p>
    <w:p w14:paraId="65B53CA7">
      <w:pPr>
        <w:ind w:firstLine="420"/>
        <w:jc w:val="center"/>
        <w:rPr>
          <w:rFonts w:eastAsia="仿宋"/>
          <w:szCs w:val="18"/>
          <w:vertAlign w:val="superscript"/>
        </w:rPr>
      </w:pPr>
      <w:r>
        <w:rPr>
          <w:rFonts w:eastAsia="仿宋"/>
          <w:szCs w:val="18"/>
        </w:rPr>
        <w:t>（</w:t>
      </w:r>
      <w:r>
        <w:rPr>
          <w:rFonts w:eastAsia="仿宋"/>
          <w:szCs w:val="20"/>
        </w:rPr>
        <w:t>1.</w:t>
      </w:r>
      <w:r>
        <w:rPr>
          <w:rFonts w:eastAsia="仿宋"/>
          <w:szCs w:val="18"/>
        </w:rPr>
        <w:t>长沙理工大学 土木工程学院，湖南 长沙 410114；</w:t>
      </w:r>
      <w:r>
        <w:rPr>
          <w:rFonts w:eastAsia="仿宋"/>
          <w:szCs w:val="20"/>
        </w:rPr>
        <w:t>2.</w:t>
      </w:r>
      <w:r>
        <w:rPr>
          <w:rFonts w:hint="eastAsia" w:eastAsia="仿宋"/>
          <w:szCs w:val="18"/>
        </w:rPr>
        <w:t>江西交工装配制造有限公司</w:t>
      </w:r>
      <w:r>
        <w:rPr>
          <w:rFonts w:hint="eastAsia" w:eastAsia="仿宋"/>
          <w:szCs w:val="18"/>
          <w:lang w:eastAsia="zh-CN"/>
        </w:rPr>
        <w:t>，</w:t>
      </w:r>
      <w:r>
        <w:rPr>
          <w:rFonts w:hint="eastAsia" w:eastAsia="仿宋"/>
          <w:szCs w:val="18"/>
        </w:rPr>
        <w:t>江西  九江  332020</w:t>
      </w:r>
      <w:r>
        <w:rPr>
          <w:rFonts w:eastAsia="仿宋"/>
          <w:szCs w:val="18"/>
        </w:rPr>
        <w:t>）</w:t>
      </w:r>
    </w:p>
    <w:p w14:paraId="74E4D0EB">
      <w:pPr>
        <w:ind w:firstLine="0" w:firstLineChars="0"/>
        <w:rPr>
          <w:szCs w:val="21"/>
        </w:rPr>
      </w:pPr>
      <w:r>
        <w:rPr>
          <w:rFonts w:hint="eastAsia" w:eastAsia="黑体"/>
          <w:b/>
          <w:szCs w:val="21"/>
        </w:rPr>
        <w:t>摘 要：</w:t>
      </w:r>
      <w:r>
        <w:rPr>
          <w:rFonts w:hint="eastAsia" w:eastAsia="楷体" w:cs="宋体"/>
          <w:szCs w:val="21"/>
        </w:rPr>
        <w:t>圆形地连墙因其拱效应力学性能表现为结构稳定性强、径向变形小，广泛应用于基坑工程中。然而，墙体的分段浇筑施工导致接头处与墙体刚度存在差异，墙体整体刚度水平下降，因此接头的存在可能会削弱拱效应，这是影响墙体整体稳定性的一个重要因素。结合室内模型试验和数值模拟，研究了接头形式和接缝数量的变化对圆形地连墙内力与变形的影响规律，运用Midas GTS/NX建立三维数值模型，对比分析计算结果和实测结果。</w:t>
      </w:r>
      <w:r>
        <w:rPr>
          <w:rFonts w:hint="eastAsia" w:eastAsia="楷体"/>
          <w:szCs w:val="21"/>
        </w:rPr>
        <w:t>结果表明：有无接缝以及接头形式对墙体应力影响显著，其中，接头形式的影响较大，接缝数量的影响较小。随着接头刚度的增大，竖向应力增大，环向应力减小；随接缝数量的增加，竖向应力减小，环向应力</w:t>
      </w:r>
      <w:r>
        <w:rPr>
          <w:rFonts w:eastAsia="楷体"/>
          <w:szCs w:val="21"/>
        </w:rPr>
        <w:t>增大。墙体径向位移</w:t>
      </w:r>
      <w:r>
        <w:rPr>
          <w:rFonts w:hint="eastAsia" w:eastAsia="楷体"/>
          <w:szCs w:val="21"/>
        </w:rPr>
        <w:t>与环向应力的变化规律一致，但总体位移量较小。</w:t>
      </w:r>
    </w:p>
    <w:p w14:paraId="092FCA0D">
      <w:pPr>
        <w:ind w:firstLine="0" w:firstLineChars="0"/>
        <w:rPr>
          <w:rFonts w:ascii="楷体" w:hAnsi="楷体" w:eastAsia="楷体"/>
          <w:bCs/>
          <w:szCs w:val="21"/>
        </w:rPr>
      </w:pPr>
      <w:bookmarkStart w:id="1" w:name="_Hlk178080432"/>
      <w:r>
        <w:rPr>
          <w:rFonts w:hint="eastAsia" w:eastAsia="黑体"/>
          <w:b/>
          <w:szCs w:val="21"/>
        </w:rPr>
        <w:t>关键词：</w:t>
      </w:r>
      <w:bookmarkEnd w:id="1"/>
      <w:r>
        <w:rPr>
          <w:rFonts w:hint="eastAsia" w:ascii="楷体" w:hAnsi="楷体" w:eastAsia="楷体"/>
          <w:bCs/>
          <w:szCs w:val="21"/>
        </w:rPr>
        <w:t>圆形地连墙；接头形式；接缝数量；模型试验；数值模拟</w:t>
      </w:r>
    </w:p>
    <w:p w14:paraId="0465322E">
      <w:pPr>
        <w:ind w:firstLine="0" w:firstLineChars="0"/>
        <w:rPr>
          <w:rFonts w:cs="宋体"/>
          <w:sz w:val="18"/>
          <w:szCs w:val="21"/>
        </w:rPr>
      </w:pPr>
      <w:r>
        <w:rPr>
          <w:rFonts w:eastAsia="黑体" w:cs="宋体"/>
          <w:b/>
          <w:bCs/>
          <w:sz w:val="18"/>
          <w:szCs w:val="21"/>
        </w:rPr>
        <w:t>中图分类号</w:t>
      </w:r>
      <w:r>
        <w:rPr>
          <w:rFonts w:eastAsia="黑体" w:cs="宋体"/>
          <w:sz w:val="18"/>
          <w:szCs w:val="21"/>
        </w:rPr>
        <w:t>：</w:t>
      </w:r>
      <w:r>
        <w:rPr>
          <w:rFonts w:hint="eastAsia" w:cs="宋体"/>
          <w:sz w:val="18"/>
          <w:szCs w:val="21"/>
        </w:rPr>
        <w:t>TU476+.3</w:t>
      </w:r>
      <w:r>
        <w:rPr>
          <w:rFonts w:cs="宋体"/>
          <w:sz w:val="18"/>
          <w:szCs w:val="21"/>
        </w:rPr>
        <w:t xml:space="preserve">  </w:t>
      </w:r>
      <w:r>
        <w:rPr>
          <w:rFonts w:eastAsia="楷体" w:cs="宋体"/>
          <w:sz w:val="18"/>
          <w:szCs w:val="21"/>
        </w:rPr>
        <w:t xml:space="preserve">          </w:t>
      </w:r>
      <w:r>
        <w:rPr>
          <w:rFonts w:eastAsia="黑体" w:cs="宋体"/>
          <w:b/>
          <w:sz w:val="18"/>
          <w:szCs w:val="21"/>
        </w:rPr>
        <w:t>文献标识码：</w:t>
      </w:r>
      <w:r>
        <w:rPr>
          <w:rFonts w:cs="宋体"/>
          <w:sz w:val="18"/>
          <w:szCs w:val="21"/>
        </w:rPr>
        <w:t xml:space="preserve">A       </w:t>
      </w:r>
      <w:r>
        <w:rPr>
          <w:rFonts w:eastAsia="黑体" w:cs="宋体"/>
          <w:b/>
          <w:sz w:val="18"/>
          <w:szCs w:val="21"/>
        </w:rPr>
        <w:t>文章编号：</w:t>
      </w:r>
    </w:p>
    <w:p w14:paraId="06669DF8">
      <w:pPr>
        <w:ind w:firstLine="0" w:firstLineChars="0"/>
        <w:rPr>
          <w:sz w:val="24"/>
        </w:rPr>
      </w:pPr>
      <w:bookmarkStart w:id="2" w:name="_Hlk178080586"/>
    </w:p>
    <w:bookmarkEnd w:id="2"/>
    <w:p w14:paraId="4F706CAF">
      <w:pPr>
        <w:ind w:firstLine="0" w:firstLineChars="0"/>
        <w:jc w:val="center"/>
        <w:outlineLvl w:val="0"/>
        <w:rPr>
          <w:b/>
          <w:bCs/>
          <w:sz w:val="28"/>
          <w:szCs w:val="32"/>
        </w:rPr>
      </w:pPr>
      <w:r>
        <w:rPr>
          <w:b/>
          <w:bCs/>
          <w:sz w:val="28"/>
          <w:szCs w:val="32"/>
        </w:rPr>
        <w:t xml:space="preserve">Experimental </w:t>
      </w:r>
      <w:r>
        <w:rPr>
          <w:rFonts w:hint="eastAsia"/>
          <w:b/>
          <w:bCs/>
          <w:sz w:val="28"/>
          <w:szCs w:val="32"/>
        </w:rPr>
        <w:t>s</w:t>
      </w:r>
      <w:r>
        <w:rPr>
          <w:b/>
          <w:bCs/>
          <w:sz w:val="28"/>
          <w:szCs w:val="32"/>
        </w:rPr>
        <w:t xml:space="preserve">tudy on the </w:t>
      </w:r>
      <w:r>
        <w:rPr>
          <w:rFonts w:hint="eastAsia"/>
          <w:b/>
          <w:bCs/>
          <w:sz w:val="28"/>
          <w:szCs w:val="32"/>
        </w:rPr>
        <w:t>e</w:t>
      </w:r>
      <w:r>
        <w:rPr>
          <w:b/>
          <w:bCs/>
          <w:sz w:val="28"/>
          <w:szCs w:val="32"/>
        </w:rPr>
        <w:t xml:space="preserve">ffect of </w:t>
      </w:r>
      <w:r>
        <w:rPr>
          <w:rFonts w:hint="eastAsia"/>
          <w:b/>
          <w:bCs/>
          <w:sz w:val="28"/>
          <w:szCs w:val="32"/>
        </w:rPr>
        <w:t>c</w:t>
      </w:r>
      <w:r>
        <w:rPr>
          <w:b/>
          <w:bCs/>
          <w:sz w:val="28"/>
          <w:szCs w:val="32"/>
        </w:rPr>
        <w:t xml:space="preserve">ircular </w:t>
      </w:r>
      <w:r>
        <w:rPr>
          <w:rFonts w:hint="eastAsia"/>
          <w:b/>
          <w:bCs/>
          <w:sz w:val="28"/>
          <w:szCs w:val="32"/>
        </w:rPr>
        <w:t>g</w:t>
      </w:r>
      <w:r>
        <w:rPr>
          <w:b/>
          <w:bCs/>
          <w:sz w:val="28"/>
          <w:szCs w:val="32"/>
        </w:rPr>
        <w:t>round-</w:t>
      </w:r>
      <w:r>
        <w:rPr>
          <w:rFonts w:hint="eastAsia"/>
          <w:b/>
          <w:bCs/>
          <w:sz w:val="28"/>
          <w:szCs w:val="32"/>
        </w:rPr>
        <w:t>c</w:t>
      </w:r>
      <w:r>
        <w:rPr>
          <w:b/>
          <w:bCs/>
          <w:sz w:val="28"/>
          <w:szCs w:val="32"/>
        </w:rPr>
        <w:t xml:space="preserve">onnected </w:t>
      </w:r>
      <w:r>
        <w:rPr>
          <w:rFonts w:hint="eastAsia"/>
          <w:b/>
          <w:bCs/>
          <w:sz w:val="28"/>
          <w:szCs w:val="32"/>
        </w:rPr>
        <w:t>w</w:t>
      </w:r>
      <w:r>
        <w:rPr>
          <w:b/>
          <w:bCs/>
          <w:sz w:val="28"/>
          <w:szCs w:val="32"/>
        </w:rPr>
        <w:t xml:space="preserve">all </w:t>
      </w:r>
      <w:r>
        <w:rPr>
          <w:rFonts w:hint="eastAsia"/>
          <w:b/>
          <w:bCs/>
          <w:sz w:val="28"/>
          <w:szCs w:val="32"/>
        </w:rPr>
        <w:t>j</w:t>
      </w:r>
      <w:r>
        <w:rPr>
          <w:b/>
          <w:bCs/>
          <w:sz w:val="28"/>
          <w:szCs w:val="32"/>
        </w:rPr>
        <w:t xml:space="preserve">oints on </w:t>
      </w:r>
      <w:r>
        <w:rPr>
          <w:rFonts w:hint="eastAsia"/>
          <w:b/>
          <w:bCs/>
          <w:sz w:val="28"/>
          <w:szCs w:val="32"/>
        </w:rPr>
        <w:t>w</w:t>
      </w:r>
      <w:r>
        <w:rPr>
          <w:b/>
          <w:bCs/>
          <w:sz w:val="28"/>
          <w:szCs w:val="32"/>
        </w:rPr>
        <w:t xml:space="preserve">all </w:t>
      </w:r>
      <w:r>
        <w:rPr>
          <w:rFonts w:hint="eastAsia"/>
          <w:b/>
          <w:bCs/>
          <w:sz w:val="28"/>
          <w:szCs w:val="32"/>
        </w:rPr>
        <w:t>f</w:t>
      </w:r>
      <w:r>
        <w:rPr>
          <w:b/>
          <w:bCs/>
          <w:sz w:val="28"/>
          <w:szCs w:val="32"/>
        </w:rPr>
        <w:t xml:space="preserve">orce </w:t>
      </w:r>
      <w:r>
        <w:rPr>
          <w:rFonts w:hint="eastAsia"/>
          <w:b/>
          <w:bCs/>
          <w:sz w:val="28"/>
          <w:szCs w:val="32"/>
        </w:rPr>
        <w:t>d</w:t>
      </w:r>
      <w:r>
        <w:rPr>
          <w:b/>
          <w:bCs/>
          <w:sz w:val="28"/>
          <w:szCs w:val="32"/>
        </w:rPr>
        <w:t>eformation</w:t>
      </w:r>
    </w:p>
    <w:p w14:paraId="2706502A">
      <w:pPr>
        <w:widowControl/>
        <w:ind w:firstLine="420"/>
        <w:jc w:val="center"/>
        <w:rPr>
          <w:rFonts w:eastAsia="楷体"/>
          <w:kern w:val="0"/>
          <w:szCs w:val="21"/>
        </w:rPr>
      </w:pPr>
      <w:r>
        <w:rPr>
          <w:rFonts w:eastAsia="楷体"/>
          <w:kern w:val="0"/>
          <w:szCs w:val="21"/>
        </w:rPr>
        <w:t>ZHANG Jun</w:t>
      </w:r>
      <w:r>
        <w:rPr>
          <w:rFonts w:eastAsia="楷体"/>
          <w:szCs w:val="21"/>
          <w:vertAlign w:val="superscript"/>
        </w:rPr>
        <w:t>1</w:t>
      </w:r>
      <w:r>
        <w:rPr>
          <w:rFonts w:hint="eastAsia" w:eastAsia="楷体" w:cs="宋体"/>
          <w:kern w:val="0"/>
          <w:szCs w:val="21"/>
        </w:rPr>
        <w:t>，</w:t>
      </w:r>
      <w:r>
        <w:rPr>
          <w:rFonts w:eastAsia="楷体"/>
          <w:kern w:val="0"/>
          <w:szCs w:val="21"/>
        </w:rPr>
        <w:t>YANG Yulin</w:t>
      </w:r>
      <w:r>
        <w:rPr>
          <w:rFonts w:eastAsia="楷体"/>
          <w:szCs w:val="21"/>
          <w:vertAlign w:val="superscript"/>
        </w:rPr>
        <w:t>1</w:t>
      </w:r>
      <w:r>
        <w:rPr>
          <w:rFonts w:hint="eastAsia" w:eastAsia="楷体" w:cs="宋体"/>
          <w:kern w:val="0"/>
          <w:szCs w:val="21"/>
        </w:rPr>
        <w:t>，</w:t>
      </w:r>
      <w:r>
        <w:rPr>
          <w:rFonts w:eastAsia="楷体"/>
          <w:kern w:val="0"/>
          <w:szCs w:val="21"/>
        </w:rPr>
        <w:t>Wu Renhui</w:t>
      </w:r>
      <w:r>
        <w:rPr>
          <w:rFonts w:eastAsia="楷体"/>
          <w:szCs w:val="21"/>
          <w:vertAlign w:val="superscript"/>
        </w:rPr>
        <w:t>2</w:t>
      </w:r>
    </w:p>
    <w:p w14:paraId="383E25E3">
      <w:pPr>
        <w:pStyle w:val="24"/>
        <w:numPr>
          <w:ilvl w:val="0"/>
          <w:numId w:val="1"/>
        </w:numPr>
        <w:spacing w:before="0" w:after="0"/>
        <w:jc w:val="center"/>
        <w:outlineLvl w:val="9"/>
        <w:rPr>
          <w:rFonts w:eastAsia="仿宋"/>
          <w:sz w:val="18"/>
        </w:rPr>
      </w:pPr>
      <w:r>
        <w:rPr>
          <w:rFonts w:hint="eastAsia" w:eastAsia="仿宋"/>
          <w:sz w:val="18"/>
        </w:rPr>
        <w:t>School</w:t>
      </w:r>
      <w:r>
        <w:rPr>
          <w:rFonts w:eastAsia="仿宋"/>
          <w:sz w:val="18"/>
        </w:rPr>
        <w:t xml:space="preserve"> of </w:t>
      </w:r>
      <w:r>
        <w:rPr>
          <w:rFonts w:hint="eastAsia" w:eastAsia="仿宋"/>
          <w:sz w:val="18"/>
        </w:rPr>
        <w:t>Civil</w:t>
      </w:r>
      <w:r>
        <w:rPr>
          <w:rFonts w:eastAsia="仿宋"/>
          <w:sz w:val="18"/>
        </w:rPr>
        <w:t xml:space="preserve"> Engineering, </w:t>
      </w:r>
      <w:r>
        <w:rPr>
          <w:rStyle w:val="34"/>
          <w:rFonts w:eastAsia="仿宋"/>
          <w:sz w:val="18"/>
        </w:rPr>
        <w:t>Changsha University of Science &amp; Technology</w:t>
      </w:r>
      <w:r>
        <w:rPr>
          <w:rFonts w:eastAsia="仿宋"/>
          <w:sz w:val="18"/>
        </w:rPr>
        <w:t>, Changsha</w:t>
      </w:r>
      <w:r>
        <w:rPr>
          <w:rFonts w:hint="eastAsia" w:eastAsia="仿宋"/>
          <w:sz w:val="18"/>
        </w:rPr>
        <w:t xml:space="preserve"> </w:t>
      </w:r>
      <w:r>
        <w:rPr>
          <w:rFonts w:hint="eastAsia" w:eastAsia="仿宋"/>
          <w:sz w:val="18"/>
          <w:lang w:val="en-US" w:eastAsia="zh-CN"/>
        </w:rPr>
        <w:t xml:space="preserve"> </w:t>
      </w:r>
      <w:r>
        <w:rPr>
          <w:rFonts w:hint="eastAsia" w:eastAsia="仿宋"/>
          <w:sz w:val="18"/>
        </w:rPr>
        <w:t>410114,</w:t>
      </w:r>
      <w:r>
        <w:rPr>
          <w:rFonts w:eastAsia="仿宋"/>
          <w:sz w:val="18"/>
        </w:rPr>
        <w:t xml:space="preserve"> </w:t>
      </w:r>
      <w:r>
        <w:rPr>
          <w:rFonts w:hint="eastAsia" w:eastAsia="仿宋"/>
          <w:sz w:val="18"/>
          <w:lang w:val="en-US" w:eastAsia="zh-CN"/>
        </w:rPr>
        <w:t xml:space="preserve">Hunan, </w:t>
      </w:r>
      <w:r>
        <w:rPr>
          <w:rFonts w:eastAsia="仿宋"/>
          <w:sz w:val="18"/>
        </w:rPr>
        <w:t>China</w:t>
      </w:r>
      <w:r>
        <w:rPr>
          <w:rFonts w:hint="eastAsia" w:eastAsia="仿宋"/>
          <w:sz w:val="18"/>
        </w:rPr>
        <w:t>;2.</w:t>
      </w:r>
      <w:r>
        <w:rPr>
          <w:rFonts w:eastAsia="仿宋"/>
          <w:sz w:val="18"/>
        </w:rPr>
        <w:t xml:space="preserve"> </w:t>
      </w:r>
      <w:r>
        <w:rPr>
          <w:rFonts w:hint="eastAsia" w:eastAsia="仿宋"/>
          <w:sz w:val="18"/>
          <w:lang w:val="en"/>
        </w:rPr>
        <w:t>Jiangxi Jiaogong Assembly Manufacturing Company Limited，Jiujiang  332020，Jiangxi</w:t>
      </w:r>
      <w:r>
        <w:rPr>
          <w:rFonts w:hint="eastAsia" w:eastAsia="仿宋"/>
          <w:sz w:val="18"/>
          <w:lang w:val="en-US" w:eastAsia="zh-CN"/>
        </w:rPr>
        <w:t>, China</w:t>
      </w:r>
      <w:r>
        <w:rPr>
          <w:rFonts w:eastAsia="仿宋"/>
          <w:sz w:val="18"/>
        </w:rPr>
        <w:t>)</w:t>
      </w:r>
    </w:p>
    <w:p w14:paraId="58DF39E8">
      <w:pPr>
        <w:ind w:firstLine="420"/>
        <w:jc w:val="center"/>
      </w:pPr>
    </w:p>
    <w:p w14:paraId="2F406D8B">
      <w:pPr>
        <w:widowControl/>
        <w:ind w:firstLine="0" w:firstLineChars="0"/>
        <w:rPr>
          <w:rFonts w:ascii="Calibri" w:hAnsi="Calibri"/>
          <w:szCs w:val="21"/>
        </w:rPr>
      </w:pPr>
      <w:bookmarkStart w:id="3" w:name="_Hlk178080790"/>
      <w:r>
        <w:rPr>
          <w:rFonts w:hint="eastAsia"/>
          <w:b/>
          <w:szCs w:val="21"/>
        </w:rPr>
        <w:t>Abstract:</w:t>
      </w:r>
      <w:bookmarkEnd w:id="3"/>
      <w:r>
        <w:rPr>
          <w:szCs w:val="21"/>
        </w:rPr>
        <w:t xml:space="preserve"> Circular ground-connected walls are a widely favored choice for foundation pit projects due to their </w:t>
      </w:r>
      <w:r>
        <w:rPr>
          <w:rFonts w:hint="eastAsia"/>
          <w:szCs w:val="21"/>
        </w:rPr>
        <w:t xml:space="preserve">strong </w:t>
      </w:r>
      <w:r>
        <w:rPr>
          <w:szCs w:val="21"/>
        </w:rPr>
        <w:t>structural stability and minimal radial deformation. However, the stiffness variation between the joints and the wall in segmental casting construction can potentially compromise the overall stiffness of the wall, thus undermining its arch effect and jeopardizing its stability. To address this issue, this paper uses indoor model testing and numerical simulation to investigate how changes in joint form and quantity impact the internal forces and deformation of circular ground-connected walls. A 3D numerical model with Midas GTS/NX is used to compare and analyze the calculated results with the measured outcomes. The findings show that the presence or absence of joints and the form of joints significantly influence wall stresses, with joint form having a greater impact than joint quantity. The study also reveals that vertical stress increases with joint stiffness, while circumferential stress decreases with increased joint stiffness. Additionally, vertical stress decreases with an increased number of joints, while circumferential stress rises with greater joint quantity. The radial displacement of the wall mirrors the change in annular stress, with minimal overall displacement. This research provides valuable insights into the factors influencing the stability of circular ground-connected walls, paving the way for improved construction practices and structural integrity.</w:t>
      </w:r>
    </w:p>
    <w:p w14:paraId="19A37CAC">
      <w:pPr>
        <w:ind w:firstLine="0" w:firstLineChars="0"/>
        <w:rPr>
          <w:szCs w:val="21"/>
          <w:lang w:val="en"/>
        </w:rPr>
        <w:sectPr>
          <w:headerReference r:id="rId7" w:type="first"/>
          <w:footerReference r:id="rId10" w:type="first"/>
          <w:headerReference r:id="rId5" w:type="default"/>
          <w:footerReference r:id="rId8" w:type="default"/>
          <w:headerReference r:id="rId6" w:type="even"/>
          <w:footerReference r:id="rId9" w:type="even"/>
          <w:pgSz w:w="11906" w:h="16838"/>
          <w:pgMar w:top="1440" w:right="1797" w:bottom="1440" w:left="1797" w:header="851" w:footer="992" w:gutter="0"/>
          <w:cols w:space="425" w:num="1"/>
          <w:titlePg/>
          <w:docGrid w:type="lines" w:linePitch="312" w:charSpace="640"/>
        </w:sectPr>
      </w:pPr>
      <w:bookmarkStart w:id="4" w:name="_Hlk178080830"/>
      <w:r>
        <w:rPr>
          <w:rFonts w:hint="eastAsia"/>
          <w:b/>
          <w:szCs w:val="21"/>
        </w:rPr>
        <w:t>Keywords:</w:t>
      </w:r>
      <w:bookmarkEnd w:id="4"/>
      <w:r>
        <w:rPr>
          <w:szCs w:val="21"/>
          <w:lang w:val="en"/>
        </w:rPr>
        <w:t>circular ground-connected wall; joint form; number of joints; indoor modeling tests; numerical simulation</w:t>
      </w:r>
    </w:p>
    <w:p w14:paraId="14B0BAB3">
      <w:pPr>
        <w:pStyle w:val="32"/>
        <w:numPr>
          <w:ilvl w:val="0"/>
          <w:numId w:val="2"/>
        </w:numPr>
        <w:ind w:firstLineChars="0"/>
        <w:outlineLvl w:val="0"/>
        <w:rPr>
          <w:bCs/>
          <w:sz w:val="28"/>
        </w:rPr>
      </w:pPr>
      <w:r>
        <w:rPr>
          <w:rFonts w:hint="eastAsia"/>
          <w:bCs/>
          <w:sz w:val="28"/>
        </w:rPr>
        <w:t xml:space="preserve"> 引  言</w:t>
      </w:r>
    </w:p>
    <w:p w14:paraId="588FEF33">
      <w:pPr>
        <w:ind w:firstLine="420"/>
      </w:pPr>
      <w:r>
        <w:t>圆形地连墙因其良好的拱效应，具有良好的稳定性、径向变形小、大深度开挖支持能力等特点，使得圆形地连墙在各种大型基坑开挖支护中得到广泛应用</w:t>
      </w:r>
      <w:r>
        <w:rPr>
          <w:vertAlign w:val="superscript"/>
        </w:rPr>
        <w:fldChar w:fldCharType="begin"/>
      </w:r>
      <w:r>
        <w:rPr>
          <w:vertAlign w:val="superscript"/>
        </w:rPr>
        <w:instrText xml:space="preserve"> REF _Ref179649259 \r \h</w:instrText>
      </w:r>
      <w:r>
        <w:rPr>
          <w:rFonts w:hint="eastAsia"/>
          <w:vertAlign w:val="superscript"/>
        </w:rPr>
        <w:instrText xml:space="preserve">\#"[0"</w:instrText>
      </w:r>
      <w:r>
        <w:rPr>
          <w:vertAlign w:val="superscript"/>
        </w:rPr>
        <w:instrText xml:space="preserve">    \* MERGEFORMAT </w:instrText>
      </w:r>
      <w:r>
        <w:rPr>
          <w:vertAlign w:val="superscript"/>
        </w:rPr>
        <w:fldChar w:fldCharType="separate"/>
      </w:r>
      <w:r>
        <w:rPr>
          <w:rFonts w:hint="eastAsia"/>
          <w:vertAlign w:val="superscript"/>
        </w:rPr>
        <w:t>[</w:t>
      </w:r>
      <w:r>
        <w:rPr>
          <w:vertAlign w:val="superscript"/>
        </w:rPr>
        <w:t>1</w:t>
      </w:r>
      <w:r>
        <w:rPr>
          <w:vertAlign w:val="superscript"/>
        </w:rPr>
        <w:fldChar w:fldCharType="end"/>
      </w:r>
      <w:r>
        <w:rPr>
          <w:rFonts w:hint="eastAsia"/>
          <w:vertAlign w:val="superscript"/>
        </w:rPr>
        <w:t>-</w:t>
      </w:r>
      <w:r>
        <w:rPr>
          <w:vertAlign w:val="superscript"/>
        </w:rPr>
        <w:fldChar w:fldCharType="begin"/>
      </w:r>
      <w:r>
        <w:rPr>
          <w:vertAlign w:val="superscript"/>
        </w:rPr>
        <w:instrText xml:space="preserve"> REF _Ref179649262 \r \h</w:instrText>
      </w:r>
      <w:bookmarkStart w:id="5" w:name="_Hlk179649553"/>
      <w:r>
        <w:rPr>
          <w:rFonts w:hint="eastAsia"/>
          <w:vertAlign w:val="superscript"/>
        </w:rPr>
        <w:instrText xml:space="preserve">\#""</w:instrText>
      </w:r>
      <w:bookmarkEnd w:id="5"/>
      <w:r>
        <w:rPr>
          <w:vertAlign w:val="superscript"/>
        </w:rPr>
        <w:instrText xml:space="preserve">  \* MERGEFORMAT </w:instrText>
      </w:r>
      <w:r>
        <w:rPr>
          <w:vertAlign w:val="superscript"/>
        </w:rPr>
        <w:fldChar w:fldCharType="end"/>
      </w:r>
      <w:r>
        <w:rPr>
          <w:vertAlign w:val="superscript"/>
        </w:rPr>
        <w:fldChar w:fldCharType="begin"/>
      </w:r>
      <w:r>
        <w:rPr>
          <w:vertAlign w:val="superscript"/>
        </w:rPr>
        <w:instrText xml:space="preserve"> REF _Ref179649263 \r \h</w:instrText>
      </w:r>
      <w:r>
        <w:rPr>
          <w:rFonts w:hint="eastAsia"/>
          <w:vertAlign w:val="superscript"/>
        </w:rPr>
        <w:instrText xml:space="preserve">\#"0]"</w:instrText>
      </w:r>
      <w:r>
        <w:rPr>
          <w:vertAlign w:val="superscript"/>
        </w:rPr>
        <w:instrText xml:space="preserve">   \* MERGEFORMAT </w:instrText>
      </w:r>
      <w:r>
        <w:rPr>
          <w:vertAlign w:val="superscript"/>
        </w:rPr>
        <w:fldChar w:fldCharType="separate"/>
      </w:r>
      <w:r>
        <w:rPr>
          <w:vertAlign w:val="superscript"/>
        </w:rPr>
        <w:t>3</w:t>
      </w:r>
      <w:r>
        <w:rPr>
          <w:rFonts w:hint="eastAsia"/>
          <w:vertAlign w:val="superscript"/>
        </w:rPr>
        <w:t>]</w:t>
      </w:r>
      <w:r>
        <w:rPr>
          <w:vertAlign w:val="superscript"/>
        </w:rPr>
        <w:fldChar w:fldCharType="end"/>
      </w:r>
      <w:r>
        <w:t>。国内外研究者们在圆形地连墙设计计算中考虑了圆形地连墙的拱效应作用</w:t>
      </w:r>
      <w:r>
        <w:rPr>
          <w:vertAlign w:val="superscript"/>
        </w:rPr>
        <w:fldChar w:fldCharType="begin"/>
      </w:r>
      <w:r>
        <w:rPr>
          <w:vertAlign w:val="superscript"/>
        </w:rPr>
        <w:instrText xml:space="preserve"> REF _Ref179649503 \r \h</w:instrText>
      </w:r>
      <w:r>
        <w:rPr>
          <w:rFonts w:hint="eastAsia"/>
          <w:vertAlign w:val="superscript"/>
        </w:rPr>
        <w:instrText xml:space="preserve">\#"[0"</w:instrText>
      </w:r>
      <w:r>
        <w:rPr>
          <w:vertAlign w:val="superscript"/>
        </w:rPr>
        <w:instrText xml:space="preserve">  \* MERGEFORMAT </w:instrText>
      </w:r>
      <w:r>
        <w:rPr>
          <w:vertAlign w:val="superscript"/>
        </w:rPr>
        <w:fldChar w:fldCharType="separate"/>
      </w:r>
      <w:r>
        <w:rPr>
          <w:rFonts w:hint="eastAsia"/>
          <w:vertAlign w:val="superscript"/>
        </w:rPr>
        <w:t>[</w:t>
      </w:r>
      <w:r>
        <w:rPr>
          <w:vertAlign w:val="superscript"/>
        </w:rPr>
        <w:t>4</w:t>
      </w:r>
      <w:r>
        <w:rPr>
          <w:vertAlign w:val="superscript"/>
        </w:rPr>
        <w:fldChar w:fldCharType="end"/>
      </w:r>
      <w:r>
        <w:rPr>
          <w:rFonts w:hint="eastAsia"/>
          <w:vertAlign w:val="superscript"/>
        </w:rPr>
        <w:t>-</w:t>
      </w:r>
      <w:r>
        <w:rPr>
          <w:vertAlign w:val="superscript"/>
        </w:rPr>
        <w:fldChar w:fldCharType="begin"/>
      </w:r>
      <w:r>
        <w:rPr>
          <w:vertAlign w:val="superscript"/>
        </w:rPr>
        <w:instrText xml:space="preserve"> REF _Ref179649504 \r \h</w:instrText>
      </w:r>
      <w:r>
        <w:rPr>
          <w:rFonts w:hint="eastAsia"/>
          <w:vertAlign w:val="superscript"/>
        </w:rPr>
        <w:instrText xml:space="preserve">\#""</w:instrText>
      </w:r>
      <w:r>
        <w:rPr>
          <w:vertAlign w:val="superscript"/>
        </w:rPr>
        <w:instrText xml:space="preserve">  \* MERGEFORMAT </w:instrText>
      </w:r>
      <w:r>
        <w:rPr>
          <w:vertAlign w:val="superscript"/>
        </w:rPr>
        <w:fldChar w:fldCharType="end"/>
      </w:r>
      <w:r>
        <w:rPr>
          <w:vertAlign w:val="superscript"/>
        </w:rPr>
        <w:fldChar w:fldCharType="begin"/>
      </w:r>
      <w:r>
        <w:rPr>
          <w:vertAlign w:val="superscript"/>
        </w:rPr>
        <w:instrText xml:space="preserve"> REF _Ref179649506 \r \h</w:instrText>
      </w:r>
      <w:r>
        <w:rPr>
          <w:rFonts w:hint="eastAsia"/>
          <w:vertAlign w:val="superscript"/>
        </w:rPr>
        <w:instrText xml:space="preserve">\#""</w:instrText>
      </w:r>
      <w:r>
        <w:rPr>
          <w:vertAlign w:val="superscript"/>
        </w:rPr>
        <w:instrText xml:space="preserve">  \* MERGEFORMAT </w:instrText>
      </w:r>
      <w:r>
        <w:rPr>
          <w:vertAlign w:val="superscript"/>
        </w:rPr>
        <w:fldChar w:fldCharType="end"/>
      </w:r>
      <w:r>
        <w:rPr>
          <w:vertAlign w:val="superscript"/>
        </w:rPr>
        <w:fldChar w:fldCharType="begin"/>
      </w:r>
      <w:r>
        <w:rPr>
          <w:vertAlign w:val="superscript"/>
        </w:rPr>
        <w:instrText xml:space="preserve"> REF _Ref179657747 \r \h</w:instrText>
      </w:r>
      <w:r>
        <w:rPr>
          <w:rFonts w:hint="eastAsia"/>
          <w:vertAlign w:val="superscript"/>
        </w:rPr>
        <w:instrText xml:space="preserve">\#"0]"</w:instrText>
      </w:r>
      <w:r>
        <w:rPr>
          <w:vertAlign w:val="superscript"/>
        </w:rPr>
        <w:instrText xml:space="preserve">  \* MERGEFORMAT </w:instrText>
      </w:r>
      <w:r>
        <w:rPr>
          <w:vertAlign w:val="superscript"/>
        </w:rPr>
        <w:fldChar w:fldCharType="separate"/>
      </w:r>
      <w:r>
        <w:rPr>
          <w:vertAlign w:val="superscript"/>
        </w:rPr>
        <w:t>7</w:t>
      </w:r>
      <w:r>
        <w:rPr>
          <w:rFonts w:hint="eastAsia"/>
          <w:vertAlign w:val="superscript"/>
        </w:rPr>
        <w:t>]</w:t>
      </w:r>
      <w:r>
        <w:rPr>
          <w:vertAlign w:val="superscript"/>
        </w:rPr>
        <w:fldChar w:fldCharType="end"/>
      </w:r>
      <w:r>
        <w:t>，探究了圆形地连墙的实际受力状态。</w:t>
      </w:r>
    </w:p>
    <w:p w14:paraId="24D86B25">
      <w:pPr>
        <w:ind w:firstLine="420"/>
      </w:pPr>
      <w:r>
        <w:t>圆形地连墙通常是分幅施工，通过接缝将分段的墙体连接成一个整体。接缝处刚度较低，往往是结构的薄弱点，可能导致应力集中和结构变形增大，从而影响墙体的整体受力性能。所以针对接缝因素对结构内力变形的影响，学者们展开了广泛的研究。在圆形地连墙槽段浇筑过程中，槽间必然存在一定厚度的接缝泥皮，根据日本经验</w:t>
      </w:r>
      <w:r>
        <w:rPr>
          <w:vertAlign w:val="superscript"/>
        </w:rPr>
        <w:fldChar w:fldCharType="begin"/>
      </w:r>
      <w:r>
        <w:rPr>
          <w:vertAlign w:val="superscript"/>
        </w:rPr>
        <w:instrText xml:space="preserve"> REF _Ref179657749 \r \h  \* MERGEFORMAT </w:instrText>
      </w:r>
      <w:r>
        <w:rPr>
          <w:vertAlign w:val="superscript"/>
        </w:rPr>
        <w:fldChar w:fldCharType="separate"/>
      </w:r>
      <w:r>
        <w:rPr>
          <w:vertAlign w:val="superscript"/>
        </w:rPr>
        <w:t>[8]</w:t>
      </w:r>
      <w:r>
        <w:rPr>
          <w:vertAlign w:val="superscript"/>
        </w:rPr>
        <w:fldChar w:fldCharType="end"/>
      </w:r>
      <w:r>
        <w:t>槽段间泥浆压缩产生的变形对连续墙整体变形影响很大；吴国诚等</w:t>
      </w:r>
      <w:r>
        <w:rPr>
          <w:vertAlign w:val="superscript"/>
        </w:rPr>
        <w:fldChar w:fldCharType="begin"/>
      </w:r>
      <w:r>
        <w:rPr>
          <w:vertAlign w:val="superscript"/>
        </w:rPr>
        <w:instrText xml:space="preserve"> REF _Ref179649775 \r \h  \* MERGEFORMAT </w:instrText>
      </w:r>
      <w:r>
        <w:rPr>
          <w:vertAlign w:val="superscript"/>
        </w:rPr>
        <w:fldChar w:fldCharType="separate"/>
      </w:r>
      <w:r>
        <w:rPr>
          <w:vertAlign w:val="superscript"/>
        </w:rPr>
        <w:t>[9]</w:t>
      </w:r>
      <w:r>
        <w:rPr>
          <w:vertAlign w:val="superscript"/>
        </w:rPr>
        <w:fldChar w:fldCharType="end"/>
      </w:r>
      <w:r>
        <w:t>探究不同接缝宽度和缝模量对竖井应力变形的影响；特别是接缝数量</w:t>
      </w:r>
      <w:r>
        <w:rPr>
          <w:vertAlign w:val="superscript"/>
        </w:rPr>
        <w:fldChar w:fldCharType="begin"/>
      </w:r>
      <w:r>
        <w:rPr>
          <w:vertAlign w:val="superscript"/>
        </w:rPr>
        <w:instrText xml:space="preserve"> REF _Ref178324103 \r \h  \* MERGEFORMAT </w:instrText>
      </w:r>
      <w:r>
        <w:rPr>
          <w:vertAlign w:val="superscript"/>
        </w:rPr>
        <w:fldChar w:fldCharType="separate"/>
      </w:r>
      <w:r>
        <w:rPr>
          <w:vertAlign w:val="superscript"/>
        </w:rPr>
        <w:t>[10]</w:t>
      </w:r>
      <w:r>
        <w:rPr>
          <w:vertAlign w:val="superscript"/>
        </w:rPr>
        <w:fldChar w:fldCharType="end"/>
      </w:r>
      <w:r>
        <w:t>和分布直接影响泥浆压缩量，从而影响墙体变形和稳定性。针对接头形式</w:t>
      </w:r>
      <w:r>
        <w:rPr>
          <w:vertAlign w:val="superscript"/>
        </w:rPr>
        <w:fldChar w:fldCharType="begin"/>
      </w:r>
      <w:r>
        <w:rPr>
          <w:vertAlign w:val="superscript"/>
        </w:rPr>
        <w:instrText xml:space="preserve"> REF _Ref178324138 \r \h</w:instrText>
      </w:r>
      <w:r>
        <w:rPr>
          <w:rFonts w:hint="eastAsia"/>
          <w:vertAlign w:val="superscript"/>
        </w:rPr>
        <w:instrText xml:space="preserve">\#"[0"</w:instrText>
      </w:r>
      <w:r>
        <w:rPr>
          <w:vertAlign w:val="superscript"/>
        </w:rPr>
        <w:instrText xml:space="preserve">  \* MERGEFORMAT </w:instrText>
      </w:r>
      <w:r>
        <w:rPr>
          <w:vertAlign w:val="superscript"/>
        </w:rPr>
        <w:fldChar w:fldCharType="separate"/>
      </w:r>
      <w:r>
        <w:rPr>
          <w:rFonts w:hint="eastAsia"/>
          <w:vertAlign w:val="superscript"/>
        </w:rPr>
        <w:t>[</w:t>
      </w:r>
      <w:r>
        <w:rPr>
          <w:vertAlign w:val="superscript"/>
        </w:rPr>
        <w:t>11</w:t>
      </w:r>
      <w:r>
        <w:rPr>
          <w:vertAlign w:val="superscript"/>
        </w:rPr>
        <w:fldChar w:fldCharType="end"/>
      </w:r>
      <w:r>
        <w:rPr>
          <w:rFonts w:hint="eastAsia"/>
          <w:vertAlign w:val="superscript"/>
        </w:rPr>
        <w:t>-</w:t>
      </w:r>
      <w:r>
        <w:rPr>
          <w:vertAlign w:val="superscript"/>
        </w:rPr>
        <w:fldChar w:fldCharType="begin"/>
      </w:r>
      <w:r>
        <w:rPr>
          <w:vertAlign w:val="superscript"/>
        </w:rPr>
        <w:instrText xml:space="preserve"> REF _Ref178324139 \r \h</w:instrText>
      </w:r>
      <w:r>
        <w:rPr>
          <w:rFonts w:hint="eastAsia"/>
          <w:vertAlign w:val="superscript"/>
        </w:rPr>
        <w:instrText xml:space="preserve">\#"0</w:instrText>
      </w:r>
      <w:r>
        <w:rPr>
          <w:vertAlign w:val="superscript"/>
        </w:rPr>
        <w:instrText xml:space="preserve">]</w:instrText>
      </w:r>
      <w:r>
        <w:rPr>
          <w:rFonts w:hint="eastAsia"/>
          <w:vertAlign w:val="superscript"/>
        </w:rPr>
        <w:instrText xml:space="preserve">"</w:instrText>
      </w:r>
      <w:r>
        <w:rPr>
          <w:vertAlign w:val="superscript"/>
        </w:rPr>
        <w:instrText xml:space="preserve">  \* MERGEFORMAT </w:instrText>
      </w:r>
      <w:r>
        <w:rPr>
          <w:vertAlign w:val="superscript"/>
        </w:rPr>
        <w:fldChar w:fldCharType="separate"/>
      </w:r>
      <w:r>
        <w:rPr>
          <w:vertAlign w:val="superscript"/>
        </w:rPr>
        <w:t>12]</w:t>
      </w:r>
      <w:r>
        <w:rPr>
          <w:vertAlign w:val="superscript"/>
        </w:rPr>
        <w:fldChar w:fldCharType="end"/>
      </w:r>
      <w:r>
        <w:t>的分类及影响，根据地连墙接头受力特性</w:t>
      </w:r>
      <w:r>
        <w:rPr>
          <w:vertAlign w:val="superscript"/>
        </w:rPr>
        <w:fldChar w:fldCharType="begin"/>
      </w:r>
      <w:r>
        <w:rPr>
          <w:vertAlign w:val="superscript"/>
        </w:rPr>
        <w:instrText xml:space="preserve"> REF _Ref178324679 \r \h  \* MERGEFORMAT </w:instrText>
      </w:r>
      <w:r>
        <w:rPr>
          <w:vertAlign w:val="superscript"/>
        </w:rPr>
        <w:fldChar w:fldCharType="separate"/>
      </w:r>
      <w:r>
        <w:rPr>
          <w:vertAlign w:val="superscript"/>
        </w:rPr>
        <w:t>[13]</w:t>
      </w:r>
      <w:r>
        <w:rPr>
          <w:vertAlign w:val="superscript"/>
        </w:rPr>
        <w:fldChar w:fldCharType="end"/>
      </w:r>
      <w:r>
        <w:t>可分为三种接头形式（柔性接头、半刚性接头以及刚性接头）。槽段接缝主要影响圆形地连墙的环向刚度，学者们</w:t>
      </w:r>
      <w:r>
        <w:rPr>
          <w:vertAlign w:val="superscript"/>
        </w:rPr>
        <w:fldChar w:fldCharType="begin"/>
      </w:r>
      <w:r>
        <w:rPr>
          <w:vertAlign w:val="superscript"/>
        </w:rPr>
        <w:instrText xml:space="preserve"> REF _Ref178324695 \r \h</w:instrText>
      </w:r>
      <w:r>
        <w:rPr>
          <w:rFonts w:hint="eastAsia"/>
          <w:vertAlign w:val="superscript"/>
        </w:rPr>
        <w:instrText xml:space="preserve">\#"[0"</w:instrText>
      </w:r>
      <w:r>
        <w:rPr>
          <w:vertAlign w:val="superscript"/>
        </w:rPr>
        <w:instrText xml:space="preserve">  \* MERGEFORMAT </w:instrText>
      </w:r>
      <w:r>
        <w:rPr>
          <w:vertAlign w:val="superscript"/>
        </w:rPr>
        <w:fldChar w:fldCharType="separate"/>
      </w:r>
      <w:r>
        <w:rPr>
          <w:rFonts w:hint="eastAsia"/>
          <w:vertAlign w:val="superscript"/>
        </w:rPr>
        <w:t>[</w:t>
      </w:r>
      <w:r>
        <w:rPr>
          <w:vertAlign w:val="superscript"/>
        </w:rPr>
        <w:t>14</w:t>
      </w:r>
      <w:r>
        <w:rPr>
          <w:vertAlign w:val="superscript"/>
        </w:rPr>
        <w:fldChar w:fldCharType="end"/>
      </w:r>
      <w:r>
        <w:rPr>
          <w:rFonts w:hint="eastAsia"/>
          <w:vertAlign w:val="superscript"/>
        </w:rPr>
        <w:t>-</w:t>
      </w:r>
      <w:r>
        <w:rPr>
          <w:vertAlign w:val="superscript"/>
        </w:rPr>
        <w:fldChar w:fldCharType="begin"/>
      </w:r>
      <w:r>
        <w:rPr>
          <w:vertAlign w:val="superscript"/>
        </w:rPr>
        <w:instrText xml:space="preserve"> REF _Ref178324696 \r \h</w:instrText>
      </w:r>
      <w:r>
        <w:rPr>
          <w:rFonts w:hint="eastAsia"/>
          <w:vertAlign w:val="superscript"/>
        </w:rPr>
        <w:instrText xml:space="preserve">\#""</w:instrText>
      </w:r>
      <w:r>
        <w:rPr>
          <w:vertAlign w:val="superscript"/>
        </w:rPr>
        <w:instrText xml:space="preserve">  \* MERGEFORMAT </w:instrText>
      </w:r>
      <w:r>
        <w:rPr>
          <w:vertAlign w:val="superscript"/>
        </w:rPr>
        <w:fldChar w:fldCharType="end"/>
      </w:r>
      <w:r>
        <w:rPr>
          <w:vertAlign w:val="superscript"/>
        </w:rPr>
        <w:fldChar w:fldCharType="begin"/>
      </w:r>
      <w:r>
        <w:rPr>
          <w:vertAlign w:val="superscript"/>
        </w:rPr>
        <w:instrText xml:space="preserve"> REF _Ref178324697 \r \h</w:instrText>
      </w:r>
      <w:r>
        <w:rPr>
          <w:rFonts w:hint="eastAsia"/>
          <w:vertAlign w:val="superscript"/>
        </w:rPr>
        <w:instrText xml:space="preserve">\#""</w:instrText>
      </w:r>
      <w:r>
        <w:rPr>
          <w:vertAlign w:val="superscript"/>
        </w:rPr>
        <w:instrText xml:space="preserve">  \* MERGEFORMAT </w:instrText>
      </w:r>
      <w:r>
        <w:rPr>
          <w:vertAlign w:val="superscript"/>
        </w:rPr>
        <w:fldChar w:fldCharType="end"/>
      </w:r>
      <w:r>
        <w:rPr>
          <w:vertAlign w:val="superscript"/>
        </w:rPr>
        <w:fldChar w:fldCharType="begin"/>
      </w:r>
      <w:r>
        <w:rPr>
          <w:vertAlign w:val="superscript"/>
        </w:rPr>
        <w:instrText xml:space="preserve"> REF _Ref178324698 \r \h</w:instrText>
      </w:r>
      <w:r>
        <w:rPr>
          <w:rFonts w:hint="eastAsia"/>
          <w:vertAlign w:val="superscript"/>
        </w:rPr>
        <w:instrText xml:space="preserve">\#"0]"</w:instrText>
      </w:r>
      <w:r>
        <w:rPr>
          <w:vertAlign w:val="superscript"/>
        </w:rPr>
        <w:instrText xml:space="preserve">  \* MERGEFORMAT </w:instrText>
      </w:r>
      <w:r>
        <w:rPr>
          <w:vertAlign w:val="superscript"/>
        </w:rPr>
        <w:fldChar w:fldCharType="separate"/>
      </w:r>
      <w:r>
        <w:rPr>
          <w:vertAlign w:val="superscript"/>
        </w:rPr>
        <w:t>17</w:t>
      </w:r>
      <w:r>
        <w:rPr>
          <w:rFonts w:hint="eastAsia"/>
          <w:vertAlign w:val="superscript"/>
        </w:rPr>
        <w:t>]</w:t>
      </w:r>
      <w:r>
        <w:rPr>
          <w:vertAlign w:val="superscript"/>
        </w:rPr>
        <w:fldChar w:fldCharType="end"/>
      </w:r>
      <w:r>
        <w:t>考虑圆形地连墙的环形效应，采用弹性地基梁法将计算模型简化为等效弹性支撑结构，并引入修正系数</w:t>
      </w:r>
      <w:r>
        <w:rPr>
          <w:i/>
          <w:iCs/>
        </w:rPr>
        <w:t>α</w:t>
      </w:r>
      <w:r>
        <w:t>以考虑接缝等因素导致的刚度折减。杨光华等</w:t>
      </w:r>
      <w:r>
        <w:rPr>
          <w:vertAlign w:val="superscript"/>
        </w:rPr>
        <w:fldChar w:fldCharType="begin"/>
      </w:r>
      <w:r>
        <w:rPr>
          <w:vertAlign w:val="superscript"/>
        </w:rPr>
        <w:instrText xml:space="preserve"> REF _Ref178324695 \r \h  \* MERGEFORMAT </w:instrText>
      </w:r>
      <w:r>
        <w:rPr>
          <w:vertAlign w:val="superscript"/>
        </w:rPr>
        <w:fldChar w:fldCharType="separate"/>
      </w:r>
      <w:r>
        <w:rPr>
          <w:vertAlign w:val="superscript"/>
        </w:rPr>
        <w:t>[14]</w:t>
      </w:r>
      <w:r>
        <w:rPr>
          <w:vertAlign w:val="superscript"/>
        </w:rPr>
        <w:fldChar w:fldCharType="end"/>
      </w:r>
      <w:r>
        <w:t>假定不同初始泥皮厚度，确定泥皮压缩变形下环向刚度折减系数的非线性变化规律。杨建喜等</w:t>
      </w:r>
      <w:r>
        <w:rPr>
          <w:vertAlign w:val="superscript"/>
        </w:rPr>
        <w:fldChar w:fldCharType="begin"/>
      </w:r>
      <w:r>
        <w:rPr>
          <w:vertAlign w:val="superscript"/>
        </w:rPr>
        <w:instrText xml:space="preserve"> REF _Ref178324696 \r \h  \* MERGEFORMAT </w:instrText>
      </w:r>
      <w:r>
        <w:rPr>
          <w:vertAlign w:val="superscript"/>
        </w:rPr>
        <w:fldChar w:fldCharType="separate"/>
      </w:r>
      <w:r>
        <w:rPr>
          <w:vertAlign w:val="superscript"/>
        </w:rPr>
        <w:t>[15]</w:t>
      </w:r>
      <w:r>
        <w:rPr>
          <w:vertAlign w:val="superscript"/>
        </w:rPr>
        <w:fldChar w:fldCharType="end"/>
      </w:r>
      <w:r>
        <w:t>研究了相邻槽段间泥皮厚度对墙体环向刚度的削弱、槽段接头的类型（刚接、铰接和柔性）的影响、等单因素变化对环向刚度的定量化影响。崔剑峰</w:t>
      </w:r>
      <w:r>
        <w:rPr>
          <w:rFonts w:hint="eastAsia"/>
        </w:rPr>
        <w:t>等</w:t>
      </w:r>
      <w:r>
        <w:rPr>
          <w:vertAlign w:val="superscript"/>
        </w:rPr>
        <w:fldChar w:fldCharType="begin"/>
      </w:r>
      <w:r>
        <w:rPr>
          <w:vertAlign w:val="superscript"/>
        </w:rPr>
        <w:instrText xml:space="preserve"> REF _Ref178324697 \r \h  \* MERGEFORMAT </w:instrText>
      </w:r>
      <w:r>
        <w:rPr>
          <w:vertAlign w:val="superscript"/>
        </w:rPr>
        <w:fldChar w:fldCharType="separate"/>
      </w:r>
      <w:r>
        <w:rPr>
          <w:vertAlign w:val="superscript"/>
        </w:rPr>
        <w:t>[16]</w:t>
      </w:r>
      <w:r>
        <w:rPr>
          <w:vertAlign w:val="superscript"/>
        </w:rPr>
        <w:fldChar w:fldCharType="end"/>
      </w:r>
      <w:r>
        <w:t>通过接缝应力应变曲线导出环向刚度修正系数表达式，得出环向刚度折减系数与接缝宽度、槽段平均长度、接缝与混凝土刚度相关。总之，合理的接缝设计和接缝数量设置，能够有效减少结构变形和应力集中，接缝形式和接头数量对圆形地连墙的整体受力性能具有重要影响。</w:t>
      </w:r>
    </w:p>
    <w:p w14:paraId="1D932856">
      <w:pPr>
        <w:ind w:firstLine="420"/>
      </w:pPr>
      <w:r>
        <w:t>现有研究在接缝形式和接头数量对圆形地连墙结构影响的研究取得了重要进展，但仍存在一些不足之处。部分研究基于常用接头提出改进新的接头形式，然而未能综合考虑实际施工工艺、接头材料特性及接头与地连墙相互作用的效果。接头作为地连墙连接的重要部分，直接影响墙体受力和变形，对接头的深入研究十分必要。本文通过室内试验和数值模拟相结合的方法，考虑接头材料、布设位置以及接缝数量等因素，利用对称性构建半圆形地连墙模型，</w:t>
      </w:r>
      <w:r>
        <w:rPr>
          <w:rFonts w:hint="eastAsia"/>
        </w:rPr>
        <w:t>分析了在</w:t>
      </w:r>
      <w:r>
        <w:t>荷载</w:t>
      </w:r>
      <w:r>
        <w:rPr>
          <w:rFonts w:hint="eastAsia"/>
        </w:rPr>
        <w:t>作用下和</w:t>
      </w:r>
      <w:r>
        <w:t>接头形式</w:t>
      </w:r>
      <w:r>
        <w:rPr>
          <w:rFonts w:hint="eastAsia"/>
        </w:rPr>
        <w:t>、</w:t>
      </w:r>
      <w:r>
        <w:t>接缝数量</w:t>
      </w:r>
      <w:r>
        <w:rPr>
          <w:rFonts w:hint="eastAsia"/>
        </w:rPr>
        <w:t>的变化情况下，</w:t>
      </w:r>
      <w:r>
        <w:t>接头</w:t>
      </w:r>
      <w:r>
        <w:rPr>
          <w:rFonts w:hint="eastAsia"/>
        </w:rPr>
        <w:t>及</w:t>
      </w:r>
      <w:r>
        <w:t>墙体</w:t>
      </w:r>
      <w:r>
        <w:rPr>
          <w:rFonts w:hint="eastAsia"/>
        </w:rPr>
        <w:t>的受力响应和变形行为。</w:t>
      </w:r>
    </w:p>
    <w:p w14:paraId="6E11CD1E">
      <w:pPr>
        <w:pStyle w:val="32"/>
        <w:numPr>
          <w:ilvl w:val="0"/>
          <w:numId w:val="2"/>
        </w:numPr>
        <w:ind w:firstLineChars="0"/>
        <w:outlineLvl w:val="0"/>
        <w:rPr>
          <w:bCs/>
          <w:sz w:val="28"/>
        </w:rPr>
      </w:pPr>
      <w:r>
        <w:rPr>
          <w:rFonts w:hint="eastAsia"/>
          <w:bCs/>
          <w:sz w:val="28"/>
        </w:rPr>
        <w:t xml:space="preserve"> 模型试验概况</w:t>
      </w:r>
    </w:p>
    <w:p w14:paraId="74FE082F">
      <w:pPr>
        <w:pStyle w:val="43"/>
        <w:numPr>
          <w:ilvl w:val="1"/>
          <w:numId w:val="2"/>
        </w:numPr>
        <w:spacing w:before="0" w:after="0"/>
        <w:jc w:val="both"/>
        <w:outlineLvl w:val="1"/>
        <w:rPr>
          <w:rFonts w:ascii="Times New Roman" w:hAnsi="Times New Roman" w:eastAsia="黑体"/>
          <w:b w:val="0"/>
        </w:rPr>
      </w:pPr>
      <w:r>
        <w:rPr>
          <w:rFonts w:hint="eastAsia" w:ascii="Times New Roman" w:hAnsi="Times New Roman" w:eastAsia="黑体"/>
          <w:b w:val="0"/>
        </w:rPr>
        <w:t xml:space="preserve"> 基本原理</w:t>
      </w:r>
    </w:p>
    <w:p w14:paraId="3635C4B6">
      <w:pPr>
        <w:ind w:firstLine="420"/>
      </w:pPr>
      <w:bookmarkStart w:id="6" w:name="_Hlk171437099"/>
      <w:r>
        <w:t>在实际工况下，圆形地连墙支护结构主要承受土压力、水压力、基坑周围建（构）筑物、地面超载及施工荷载等外部荷载的共同作用，导致墙体会产生复杂的应力和变形行为。</w:t>
      </w:r>
    </w:p>
    <w:p w14:paraId="55581781">
      <w:pPr>
        <w:ind w:firstLine="420"/>
      </w:pPr>
      <w:r>
        <w:t>竖向受力，将墙体视为弹性地基梁</w:t>
      </w:r>
      <w:r>
        <w:rPr>
          <w:vertAlign w:val="superscript"/>
        </w:rPr>
        <w:fldChar w:fldCharType="begin"/>
      </w:r>
      <w:r>
        <w:rPr>
          <w:vertAlign w:val="superscript"/>
        </w:rPr>
        <w:instrText xml:space="preserve"> REF _Ref179658857 \r \h  \* MERGEFORMAT </w:instrText>
      </w:r>
      <w:r>
        <w:rPr>
          <w:vertAlign w:val="superscript"/>
        </w:rPr>
        <w:fldChar w:fldCharType="separate"/>
      </w:r>
      <w:r>
        <w:rPr>
          <w:vertAlign w:val="superscript"/>
        </w:rPr>
        <w:t>[18]</w:t>
      </w:r>
      <w:r>
        <w:rPr>
          <w:vertAlign w:val="superscript"/>
        </w:rPr>
        <w:fldChar w:fldCharType="end"/>
      </w:r>
      <w:r>
        <w:t>，在外部荷载的共同作用下，墙体自重及上部荷载引起的竖向力通过墙体传递至墙底支座，产生竖向的轴向力。同时，在水土压力、上部竖向均布荷载产生的附加土压力等作用下，墙体内部形成弯矩和剪力，三者共同影响着竖向应力的分布。环向受力，将墙体视为圆环结构，水土压力等外部荷载均匀分布，结构主要承受轴向力，进而形成沿圆周方向环向应力。实际工程中，圆形地连墙通常采用分段浇筑施工，接缝处的不连续性容易引起应力分布不均。接头刚度对应力分布具有重要影响，刚性接头能保持墙体整体刚度，能够有效传递和分布荷载，减小局部变形和应力集中；柔性接头使得接缝处结构刚度降低，可能产生较大的变形或滑移，影响整个结构的稳定性和承载能力。</w:t>
      </w:r>
    </w:p>
    <w:bookmarkEnd w:id="6"/>
    <w:p w14:paraId="4AAE38EB">
      <w:pPr>
        <w:pStyle w:val="43"/>
        <w:numPr>
          <w:ilvl w:val="1"/>
          <w:numId w:val="2"/>
        </w:numPr>
        <w:spacing w:before="0" w:after="0"/>
        <w:jc w:val="both"/>
        <w:outlineLvl w:val="1"/>
        <w:rPr>
          <w:rFonts w:ascii="Times New Roman" w:hAnsi="Times New Roman" w:eastAsia="黑体"/>
          <w:b w:val="0"/>
        </w:rPr>
      </w:pPr>
      <w:r>
        <w:rPr>
          <w:rFonts w:hint="eastAsia" w:ascii="Times New Roman" w:hAnsi="Times New Roman" w:eastAsia="黑体"/>
          <w:b w:val="0"/>
        </w:rPr>
        <w:t xml:space="preserve"> 模型试验设计与安装</w:t>
      </w:r>
    </w:p>
    <w:p w14:paraId="3609DB6B">
      <w:pPr>
        <w:pStyle w:val="43"/>
        <w:numPr>
          <w:ilvl w:val="2"/>
          <w:numId w:val="2"/>
        </w:numPr>
        <w:spacing w:before="0" w:after="0"/>
        <w:jc w:val="both"/>
        <w:outlineLvl w:val="2"/>
        <w:rPr>
          <w:rFonts w:ascii="Times New Roman" w:hAnsi="Times New Roman" w:eastAsia="楷体"/>
          <w:b w:val="0"/>
        </w:rPr>
      </w:pPr>
      <w:r>
        <w:rPr>
          <w:rFonts w:hint="eastAsia" w:ascii="Times New Roman" w:hAnsi="Times New Roman" w:eastAsia="楷体"/>
          <w:b w:val="0"/>
        </w:rPr>
        <w:t>模型槽设计</w:t>
      </w:r>
    </w:p>
    <w:p w14:paraId="70BD825A">
      <w:pPr>
        <w:ind w:firstLine="420"/>
      </w:pPr>
      <w:r>
        <w:rPr>
          <w:rFonts w:hint="eastAsia"/>
        </w:rPr>
        <w:t>考虑</w:t>
      </w:r>
      <w:r>
        <w:t>侧向土压力和边界效应</w:t>
      </w:r>
      <w:r>
        <w:rPr>
          <w:rFonts w:hint="eastAsia"/>
        </w:rPr>
        <w:t>的影响</w:t>
      </w:r>
      <w:r>
        <w:t>，模型槽的尺寸为3.5m×1.2m×1.5m</w:t>
      </w:r>
      <w:r>
        <w:rPr>
          <w:rFonts w:hint="eastAsia"/>
        </w:rPr>
        <w:t>。</w:t>
      </w:r>
      <w:r>
        <w:t>模型槽</w:t>
      </w:r>
      <w:r>
        <w:rPr>
          <w:rFonts w:hint="eastAsia"/>
        </w:rPr>
        <w:t>底部</w:t>
      </w:r>
      <w:r>
        <w:t>为黏土，</w:t>
      </w:r>
      <w:r>
        <w:rPr>
          <w:rFonts w:hint="eastAsia"/>
        </w:rPr>
        <w:t>先</w:t>
      </w:r>
      <w:r>
        <w:t>用夯土锤夯实土层，随后将模型</w:t>
      </w:r>
      <w:r>
        <w:rPr>
          <w:rFonts w:hint="eastAsia"/>
        </w:rPr>
        <w:t>放置</w:t>
      </w:r>
      <w:r>
        <w:t>于黏土层上，</w:t>
      </w:r>
      <w:r>
        <w:rPr>
          <w:rFonts w:hint="eastAsia"/>
        </w:rPr>
        <w:t>确保</w:t>
      </w:r>
      <w:r>
        <w:t>半环形开口</w:t>
      </w:r>
      <w:r>
        <w:rPr>
          <w:rFonts w:hint="eastAsia"/>
        </w:rPr>
        <w:t>紧挨着</w:t>
      </w:r>
      <w:r>
        <w:t>右侧墙壁，</w:t>
      </w:r>
      <w:r>
        <w:rPr>
          <w:rFonts w:hint="eastAsia"/>
        </w:rPr>
        <w:t>以</w:t>
      </w:r>
      <w:r>
        <w:t>模拟位移</w:t>
      </w:r>
      <w:r>
        <w:rPr>
          <w:rFonts w:hint="eastAsia"/>
        </w:rPr>
        <w:t>限制条件</w:t>
      </w:r>
      <w:r>
        <w:t>。模型槽</w:t>
      </w:r>
      <w:r>
        <w:rPr>
          <w:rFonts w:hint="eastAsia"/>
        </w:rPr>
        <w:t>构造</w:t>
      </w:r>
      <w:r>
        <w:t>及模型</w:t>
      </w:r>
      <w:r>
        <w:rPr>
          <w:rFonts w:hint="eastAsia"/>
        </w:rPr>
        <w:t>的具体</w:t>
      </w:r>
      <w:r>
        <w:t>安置位置如图1</w:t>
      </w:r>
      <w:r>
        <w:rPr>
          <w:rFonts w:hint="eastAsia"/>
          <w:lang w:eastAsia="zh-CN"/>
        </w:rPr>
        <w:t>—</w:t>
      </w:r>
      <w:r>
        <w:t>4所示。</w:t>
      </w:r>
    </w:p>
    <w:p w14:paraId="528D0874">
      <w:pPr>
        <w:pStyle w:val="43"/>
        <w:numPr>
          <w:ilvl w:val="2"/>
          <w:numId w:val="2"/>
        </w:numPr>
        <w:spacing w:before="0" w:after="0"/>
        <w:jc w:val="both"/>
        <w:outlineLvl w:val="2"/>
        <w:rPr>
          <w:rFonts w:ascii="Times New Roman" w:hAnsi="Times New Roman" w:eastAsia="楷体"/>
          <w:b w:val="0"/>
        </w:rPr>
      </w:pPr>
      <w:r>
        <w:rPr>
          <w:rFonts w:hint="eastAsia" w:ascii="Times New Roman" w:hAnsi="Times New Roman" w:eastAsia="楷体"/>
          <w:b w:val="0"/>
        </w:rPr>
        <w:t>模型墙制作</w:t>
      </w:r>
    </w:p>
    <w:p w14:paraId="6F50C20B">
      <w:pPr>
        <w:ind w:firstLine="420"/>
      </w:pPr>
      <w:r>
        <w:t>基于圆形地连墙在均布荷载作用下表现出的对称性和均匀性，</w:t>
      </w:r>
      <w:r>
        <w:rPr>
          <w:rFonts w:hint="eastAsia"/>
        </w:rPr>
        <w:t>地连墙断面为半环形构造，外径50cm，壁厚4cm，</w:t>
      </w:r>
      <w:r>
        <w:t>墙高50cm。由于模型尺寸限制，粗骨料</w:t>
      </w:r>
      <w:r>
        <w:rPr>
          <w:rFonts w:hint="eastAsia"/>
        </w:rPr>
        <w:t>混凝土浇筑无法实施</w:t>
      </w:r>
      <w:r>
        <w:t>，</w:t>
      </w:r>
      <w:r>
        <w:rPr>
          <w:rFonts w:hint="eastAsia"/>
        </w:rPr>
        <w:t>试验</w:t>
      </w:r>
      <w:r>
        <w:t>采用水泥砂浆代替。选用砂土作为填土材料，以更好的传递荷载，并通过逐级加载模拟随深度变化的土压力效应。</w:t>
      </w:r>
      <w:r>
        <w:rPr>
          <w:rFonts w:hint="eastAsia"/>
        </w:rPr>
        <w:t>接缝设计中，一条接缝在结构</w:t>
      </w:r>
      <w:r>
        <w:t>90</w:t>
      </w:r>
      <w:r>
        <w:rPr>
          <w:rFonts w:hint="eastAsia"/>
        </w:rPr>
        <w:t>度处；两条接缝分别在结构</w:t>
      </w:r>
      <w:r>
        <w:t>45</w:t>
      </w:r>
      <w:r>
        <w:rPr>
          <w:rFonts w:hint="eastAsia"/>
        </w:rPr>
        <w:t>度和</w:t>
      </w:r>
      <w:r>
        <w:t>135</w:t>
      </w:r>
      <w:r>
        <w:rPr>
          <w:rFonts w:hint="eastAsia"/>
        </w:rPr>
        <w:t>度处，具体接缝布置如图</w:t>
      </w:r>
      <w:r>
        <w:t>5</w:t>
      </w:r>
      <w:r>
        <w:rPr>
          <w:rFonts w:hint="eastAsia"/>
        </w:rPr>
        <w:t>和图</w:t>
      </w:r>
      <w:r>
        <w:t>6</w:t>
      </w:r>
      <w:r>
        <w:rPr>
          <w:rFonts w:hint="eastAsia"/>
        </w:rPr>
        <w:t>所示。</w:t>
      </w:r>
      <w:r>
        <w:t>试验将采用表1详细列出的规格和参数，制作并浇筑出所需的半圆形试验模型。</w:t>
      </w:r>
    </w:p>
    <w:p w14:paraId="49891E23">
      <w:pPr>
        <w:ind w:firstLine="0" w:firstLineChars="0"/>
        <w:jc w:val="center"/>
      </w:pPr>
      <w:r>
        <w:drawing>
          <wp:inline distT="0" distB="0" distL="0" distR="0">
            <wp:extent cx="1799590" cy="937895"/>
            <wp:effectExtent l="0" t="0" r="0" b="0"/>
            <wp:docPr id="46761961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7619617" name="图片 1"/>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99590" cy="937895"/>
                    </a:xfrm>
                    <a:prstGeom prst="rect">
                      <a:avLst/>
                    </a:prstGeom>
                  </pic:spPr>
                </pic:pic>
              </a:graphicData>
            </a:graphic>
          </wp:inline>
        </w:drawing>
      </w:r>
    </w:p>
    <w:p w14:paraId="7FF625B6">
      <w:pPr>
        <w:ind w:firstLine="0" w:firstLineChars="0"/>
        <w:jc w:val="center"/>
        <w:rPr>
          <w:rFonts w:eastAsia="黑体"/>
          <w:sz w:val="18"/>
          <w:szCs w:val="18"/>
        </w:rPr>
      </w:pPr>
      <w:r>
        <w:rPr>
          <w:rFonts w:hint="eastAsia" w:eastAsia="黑体"/>
          <w:sz w:val="18"/>
          <w:szCs w:val="18"/>
        </w:rPr>
        <w:t>图1  模型槽尺寸</w:t>
      </w:r>
    </w:p>
    <w:p w14:paraId="2F3EDDE7">
      <w:pPr>
        <w:ind w:firstLine="0" w:firstLineChars="0"/>
        <w:jc w:val="center"/>
        <w:rPr>
          <w:rFonts w:eastAsia="黑体"/>
          <w:sz w:val="18"/>
          <w:szCs w:val="18"/>
        </w:rPr>
      </w:pPr>
      <w:r>
        <w:drawing>
          <wp:inline distT="0" distB="0" distL="0" distR="0">
            <wp:extent cx="1799590" cy="1348105"/>
            <wp:effectExtent l="0" t="2858" r="7303" b="7302"/>
            <wp:docPr id="1001726095" name="图片 7" descr="IMG_20210111_172701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726095" name="图片 7" descr="IMG_20210111_172701_1"/>
                    <pic:cNvPicPr>
                      <a:picLocks noChangeAspect="1"/>
                    </pic:cNvPicPr>
                  </pic:nvPicPr>
                  <pic:blipFill>
                    <a:blip r:embed="rId14" cstate="print">
                      <a:extLst>
                        <a:ext uri="{28A0092B-C50C-407E-A947-70E740481C1C}">
                          <a14:useLocalDpi xmlns:a14="http://schemas.microsoft.com/office/drawing/2010/main" val="0"/>
                        </a:ext>
                      </a:extLst>
                    </a:blip>
                    <a:srcRect/>
                    <a:stretch>
                      <a:fillRect/>
                    </a:stretch>
                  </pic:blipFill>
                  <pic:spPr>
                    <a:xfrm rot="16200000" flipH="1">
                      <a:off x="0" y="0"/>
                      <a:ext cx="1800000" cy="1348611"/>
                    </a:xfrm>
                    <a:prstGeom prst="rect">
                      <a:avLst/>
                    </a:prstGeom>
                    <a:noFill/>
                    <a:ln>
                      <a:noFill/>
                    </a:ln>
                    <a:effectLst/>
                  </pic:spPr>
                </pic:pic>
              </a:graphicData>
            </a:graphic>
          </wp:inline>
        </w:drawing>
      </w:r>
    </w:p>
    <w:p w14:paraId="1006090A">
      <w:pPr>
        <w:ind w:firstLine="0" w:firstLineChars="0"/>
        <w:jc w:val="center"/>
        <w:rPr>
          <w:rFonts w:eastAsia="黑体"/>
          <w:sz w:val="18"/>
          <w:szCs w:val="18"/>
        </w:rPr>
      </w:pPr>
      <w:r>
        <w:rPr>
          <w:rFonts w:hint="eastAsia" w:eastAsia="黑体"/>
          <w:sz w:val="18"/>
          <w:szCs w:val="18"/>
        </w:rPr>
        <w:t>图2  试验模型槽</w:t>
      </w:r>
    </w:p>
    <w:p w14:paraId="349BE7E2">
      <w:pPr>
        <w:pStyle w:val="43"/>
        <w:numPr>
          <w:ilvl w:val="2"/>
          <w:numId w:val="2"/>
        </w:numPr>
        <w:spacing w:before="0" w:after="0"/>
        <w:jc w:val="both"/>
        <w:outlineLvl w:val="2"/>
        <w:rPr>
          <w:rFonts w:ascii="Times New Roman" w:hAnsi="Times New Roman" w:eastAsia="楷体"/>
          <w:b w:val="0"/>
        </w:rPr>
      </w:pPr>
      <w:r>
        <w:rPr>
          <w:rFonts w:hint="eastAsia" w:ascii="Times New Roman" w:hAnsi="Times New Roman" w:eastAsia="楷体"/>
          <w:b w:val="0"/>
        </w:rPr>
        <w:t>模型试验准备工作</w:t>
      </w:r>
    </w:p>
    <w:p w14:paraId="0AB5EB38">
      <w:pPr>
        <w:ind w:firstLine="420"/>
      </w:pPr>
      <w:r>
        <w:t>试验准备工作包括砂浆性能测试和土样参数测定。其中，砂浆弹性模量根据《建筑砂浆基性能试验方法》测定</w:t>
      </w:r>
      <w:r>
        <w:rPr>
          <w:vertAlign w:val="superscript"/>
        </w:rPr>
        <w:fldChar w:fldCharType="begin"/>
      </w:r>
      <w:r>
        <w:rPr>
          <w:vertAlign w:val="superscript"/>
        </w:rPr>
        <w:instrText xml:space="preserve"> REF _Ref179658877 \r \h</w:instrText>
      </w:r>
      <w:r>
        <w:rPr>
          <w:rFonts w:hint="eastAsia"/>
          <w:vertAlign w:val="superscript"/>
        </w:rPr>
        <w:instrText xml:space="preserve">\#"[0"</w:instrText>
      </w:r>
      <w:r>
        <w:rPr>
          <w:vertAlign w:val="superscript"/>
        </w:rPr>
        <w:instrText xml:space="preserve">  \* MERGEFORMAT </w:instrText>
      </w:r>
      <w:r>
        <w:rPr>
          <w:vertAlign w:val="superscript"/>
        </w:rPr>
        <w:fldChar w:fldCharType="separate"/>
      </w:r>
      <w:r>
        <w:rPr>
          <w:rFonts w:hint="eastAsia"/>
          <w:vertAlign w:val="superscript"/>
        </w:rPr>
        <w:t>[</w:t>
      </w:r>
      <w:r>
        <w:rPr>
          <w:vertAlign w:val="superscript"/>
        </w:rPr>
        <w:t>19</w:t>
      </w:r>
      <w:r>
        <w:rPr>
          <w:vertAlign w:val="superscript"/>
        </w:rPr>
        <w:fldChar w:fldCharType="end"/>
      </w:r>
      <w:r>
        <w:rPr>
          <w:rFonts w:hint="eastAsia"/>
          <w:vertAlign w:val="superscript"/>
        </w:rPr>
        <w:t>-</w:t>
      </w:r>
      <w:r>
        <w:rPr>
          <w:vertAlign w:val="superscript"/>
        </w:rPr>
        <w:fldChar w:fldCharType="begin"/>
      </w:r>
      <w:r>
        <w:rPr>
          <w:vertAlign w:val="superscript"/>
        </w:rPr>
        <w:instrText xml:space="preserve"> REF _Ref179658878 \r \h</w:instrText>
      </w:r>
      <w:r>
        <w:rPr>
          <w:rFonts w:hint="eastAsia"/>
          <w:vertAlign w:val="superscript"/>
        </w:rPr>
        <w:instrText xml:space="preserve">\#"0]"</w:instrText>
      </w:r>
      <w:r>
        <w:rPr>
          <w:vertAlign w:val="superscript"/>
        </w:rPr>
        <w:instrText xml:space="preserve">  \* MERGEFORMAT </w:instrText>
      </w:r>
      <w:r>
        <w:rPr>
          <w:vertAlign w:val="superscript"/>
        </w:rPr>
        <w:fldChar w:fldCharType="separate"/>
      </w:r>
      <w:r>
        <w:rPr>
          <w:vertAlign w:val="superscript"/>
        </w:rPr>
        <w:t>20</w:t>
      </w:r>
      <w:r>
        <w:rPr>
          <w:rFonts w:hint="eastAsia"/>
          <w:vertAlign w:val="superscript"/>
        </w:rPr>
        <w:t>]</w:t>
      </w:r>
      <w:r>
        <w:rPr>
          <w:vertAlign w:val="superscript"/>
        </w:rPr>
        <w:fldChar w:fldCharType="end"/>
      </w:r>
      <w:r>
        <w:t>。试验中制备了六个棱柱体标准试件，按规范要求养护砂浆试块后，选取三个试件进行轴心抗压强度测试，测得砂浆承受的最大压力。试验土样由两层组成，</w:t>
      </w:r>
      <w:r>
        <w:rPr>
          <w:rFonts w:hint="eastAsia"/>
        </w:rPr>
        <w:t>上层为砂土，</w:t>
      </w:r>
      <w:r>
        <w:t>下层的黏土。对黏土和砂土分别进行物理力学参数测定，结果</w:t>
      </w:r>
      <w:r>
        <w:rPr>
          <w:rFonts w:hint="eastAsia"/>
          <w:lang w:eastAsia="zh-CN"/>
        </w:rPr>
        <w:t>如</w:t>
      </w:r>
      <w:r>
        <w:t>表2和</w:t>
      </w:r>
      <w:r>
        <w:rPr>
          <w:szCs w:val="21"/>
        </w:rPr>
        <w:t>表</w:t>
      </w:r>
      <w:r>
        <w:t>3</w:t>
      </w:r>
      <w:r>
        <w:rPr>
          <w:rFonts w:hint="eastAsia"/>
          <w:lang w:eastAsia="zh-CN"/>
        </w:rPr>
        <w:t>所列</w:t>
      </w:r>
      <w:r>
        <w:t>。</w:t>
      </w:r>
    </w:p>
    <w:p w14:paraId="6825167B">
      <w:pPr>
        <w:ind w:firstLine="0" w:firstLineChars="0"/>
        <w:jc w:val="center"/>
      </w:pPr>
      <w:r>
        <w:drawing>
          <wp:inline distT="0" distB="0" distL="0" distR="0">
            <wp:extent cx="971550" cy="1061085"/>
            <wp:effectExtent l="0" t="0" r="0" b="5715"/>
            <wp:docPr id="22985122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851225" name="图片 1"/>
                    <pic:cNvPicPr>
                      <a:picLocks noChangeAspect="1"/>
                    </pic:cNvPicPr>
                  </pic:nvPicPr>
                  <pic:blipFill>
                    <a:blip r:embed="rId15"/>
                    <a:stretch>
                      <a:fillRect/>
                    </a:stretch>
                  </pic:blipFill>
                  <pic:spPr>
                    <a:xfrm>
                      <a:off x="0" y="0"/>
                      <a:ext cx="972000" cy="1061561"/>
                    </a:xfrm>
                    <a:prstGeom prst="rect">
                      <a:avLst/>
                    </a:prstGeom>
                  </pic:spPr>
                </pic:pic>
              </a:graphicData>
            </a:graphic>
          </wp:inline>
        </w:drawing>
      </w:r>
      <w:r>
        <w:rPr>
          <w:rFonts w:hint="eastAsia"/>
        </w:rPr>
        <w:t xml:space="preserve"> </w:t>
      </w:r>
    </w:p>
    <w:p w14:paraId="1CECFE2E">
      <w:pPr>
        <w:ind w:firstLine="0" w:firstLineChars="0"/>
        <w:jc w:val="center"/>
        <w:rPr>
          <w:rFonts w:eastAsia="黑体"/>
          <w:sz w:val="18"/>
          <w:szCs w:val="18"/>
        </w:rPr>
      </w:pPr>
      <w:r>
        <w:rPr>
          <w:rFonts w:hint="eastAsia" w:eastAsia="黑体"/>
          <w:sz w:val="18"/>
          <w:szCs w:val="18"/>
        </w:rPr>
        <w:t>图3  模型槽侧视图</w:t>
      </w:r>
    </w:p>
    <w:p w14:paraId="54EEC062">
      <w:pPr>
        <w:ind w:firstLine="0" w:firstLineChars="0"/>
        <w:jc w:val="center"/>
      </w:pPr>
      <w:r>
        <w:drawing>
          <wp:inline distT="0" distB="0" distL="0" distR="0">
            <wp:extent cx="2519680" cy="1085850"/>
            <wp:effectExtent l="0" t="0" r="0" b="0"/>
            <wp:docPr id="166245742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2457423" name="图片 1"/>
                    <pic:cNvPicPr>
                      <a:picLocks noChangeAspect="1"/>
                    </pic:cNvPicPr>
                  </pic:nvPicPr>
                  <pic:blipFill>
                    <a:blip r:embed="rId16"/>
                    <a:stretch>
                      <a:fillRect/>
                    </a:stretch>
                  </pic:blipFill>
                  <pic:spPr>
                    <a:xfrm>
                      <a:off x="0" y="0"/>
                      <a:ext cx="2520000" cy="1086458"/>
                    </a:xfrm>
                    <a:prstGeom prst="rect">
                      <a:avLst/>
                    </a:prstGeom>
                  </pic:spPr>
                </pic:pic>
              </a:graphicData>
            </a:graphic>
          </wp:inline>
        </w:drawing>
      </w:r>
    </w:p>
    <w:p w14:paraId="2AEACCEA">
      <w:pPr>
        <w:ind w:firstLine="0" w:firstLineChars="0"/>
        <w:jc w:val="center"/>
        <w:rPr>
          <w:rFonts w:eastAsia="黑体"/>
          <w:sz w:val="18"/>
          <w:szCs w:val="18"/>
        </w:rPr>
      </w:pPr>
      <w:r>
        <w:rPr>
          <w:rFonts w:hint="eastAsia" w:eastAsia="黑体"/>
          <w:sz w:val="18"/>
          <w:szCs w:val="18"/>
        </w:rPr>
        <w:t>图4  模型槽俯视图</w:t>
      </w:r>
    </w:p>
    <w:p w14:paraId="3D58A818">
      <w:pPr>
        <w:ind w:firstLine="0" w:firstLineChars="0"/>
        <w:jc w:val="center"/>
      </w:pPr>
      <w:r>
        <w:drawing>
          <wp:inline distT="0" distB="0" distL="0" distR="0">
            <wp:extent cx="1439545" cy="973455"/>
            <wp:effectExtent l="0" t="0" r="8255" b="0"/>
            <wp:docPr id="132397760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3977607" name="图片 1"/>
                    <pic:cNvPicPr>
                      <a:picLocks noChangeAspect="1"/>
                    </pic:cNvPicPr>
                  </pic:nvPicPr>
                  <pic:blipFill>
                    <a:blip r:embed="rId17"/>
                    <a:stretch>
                      <a:fillRect/>
                    </a:stretch>
                  </pic:blipFill>
                  <pic:spPr>
                    <a:xfrm>
                      <a:off x="0" y="0"/>
                      <a:ext cx="1440000" cy="973639"/>
                    </a:xfrm>
                    <a:prstGeom prst="rect">
                      <a:avLst/>
                    </a:prstGeom>
                  </pic:spPr>
                </pic:pic>
              </a:graphicData>
            </a:graphic>
          </wp:inline>
        </w:drawing>
      </w:r>
    </w:p>
    <w:p w14:paraId="5F87A6AA">
      <w:pPr>
        <w:ind w:firstLine="0" w:firstLineChars="0"/>
        <w:jc w:val="center"/>
        <w:rPr>
          <w:rFonts w:eastAsia="黑体"/>
          <w:sz w:val="18"/>
          <w:szCs w:val="18"/>
        </w:rPr>
      </w:pPr>
      <w:r>
        <w:rPr>
          <w:rFonts w:hint="eastAsia" w:eastAsia="黑体"/>
          <w:sz w:val="18"/>
          <w:szCs w:val="18"/>
        </w:rPr>
        <w:t>图5  测试元件俯视图</w:t>
      </w:r>
    </w:p>
    <w:p w14:paraId="49E9A14F">
      <w:pPr>
        <w:ind w:firstLine="0" w:firstLineChars="0"/>
        <w:jc w:val="center"/>
      </w:pPr>
      <w:r>
        <w:drawing>
          <wp:inline distT="0" distB="0" distL="0" distR="0">
            <wp:extent cx="2159635" cy="1393825"/>
            <wp:effectExtent l="0" t="0" r="0" b="0"/>
            <wp:docPr id="59325517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3255176" name="图片 1"/>
                    <pic:cNvPicPr>
                      <a:picLocks noChangeAspect="1"/>
                    </pic:cNvPicPr>
                  </pic:nvPicPr>
                  <pic:blipFill>
                    <a:blip r:embed="rId18"/>
                    <a:stretch>
                      <a:fillRect/>
                    </a:stretch>
                  </pic:blipFill>
                  <pic:spPr>
                    <a:xfrm>
                      <a:off x="0" y="0"/>
                      <a:ext cx="2160000" cy="1393880"/>
                    </a:xfrm>
                    <a:prstGeom prst="rect">
                      <a:avLst/>
                    </a:prstGeom>
                  </pic:spPr>
                </pic:pic>
              </a:graphicData>
            </a:graphic>
          </wp:inline>
        </w:drawing>
      </w:r>
    </w:p>
    <w:p w14:paraId="57E28585">
      <w:pPr>
        <w:ind w:firstLine="0" w:firstLineChars="0"/>
        <w:jc w:val="center"/>
        <w:rPr>
          <w:rFonts w:eastAsia="黑体"/>
          <w:sz w:val="18"/>
          <w:szCs w:val="18"/>
        </w:rPr>
      </w:pPr>
      <w:r>
        <w:rPr>
          <w:rFonts w:hint="eastAsia" w:eastAsia="黑体"/>
          <w:sz w:val="18"/>
          <w:szCs w:val="18"/>
        </w:rPr>
        <w:t>图6  测试元件侧视图</w:t>
      </w:r>
    </w:p>
    <w:p w14:paraId="5B5548C6">
      <w:pPr>
        <w:ind w:firstLine="0" w:firstLineChars="0"/>
        <w:jc w:val="center"/>
        <w:rPr>
          <w:rFonts w:eastAsia="黑体"/>
          <w:bCs/>
          <w:sz w:val="18"/>
          <w:szCs w:val="18"/>
        </w:rPr>
      </w:pPr>
      <w:r>
        <w:rPr>
          <w:rFonts w:hint="eastAsia" w:eastAsia="黑体"/>
          <w:bCs/>
          <w:sz w:val="18"/>
          <w:szCs w:val="18"/>
        </w:rPr>
        <w:t>表1  模型浇筑情况</w:t>
      </w:r>
    </w:p>
    <w:tbl>
      <w:tblPr>
        <w:tblStyle w:val="19"/>
        <w:tblW w:w="5000" w:type="pct"/>
        <w:jc w:val="center"/>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371"/>
        <w:gridCol w:w="3076"/>
        <w:gridCol w:w="3075"/>
      </w:tblGrid>
      <w:tr w14:paraId="66ABEF9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70" w:hRule="atLeast"/>
          <w:jc w:val="center"/>
        </w:trPr>
        <w:tc>
          <w:tcPr>
            <w:tcW w:w="1391" w:type="pct"/>
            <w:tcBorders>
              <w:top w:val="single" w:color="auto" w:sz="12" w:space="0"/>
              <w:bottom w:val="single" w:color="auto" w:sz="4" w:space="0"/>
            </w:tcBorders>
            <w:vAlign w:val="center"/>
          </w:tcPr>
          <w:p w14:paraId="71D5AA8B">
            <w:pPr>
              <w:ind w:firstLine="0" w:firstLineChars="0"/>
              <w:jc w:val="center"/>
              <w:rPr>
                <w:sz w:val="15"/>
                <w:szCs w:val="15"/>
              </w:rPr>
            </w:pPr>
            <w:r>
              <w:rPr>
                <w:sz w:val="15"/>
                <w:szCs w:val="15"/>
              </w:rPr>
              <w:t>组别</w:t>
            </w:r>
          </w:p>
        </w:tc>
        <w:tc>
          <w:tcPr>
            <w:tcW w:w="1805" w:type="pct"/>
            <w:tcBorders>
              <w:top w:val="single" w:color="auto" w:sz="12" w:space="0"/>
              <w:bottom w:val="single" w:color="auto" w:sz="4" w:space="0"/>
            </w:tcBorders>
            <w:vAlign w:val="center"/>
          </w:tcPr>
          <w:p w14:paraId="2CFC95CD">
            <w:pPr>
              <w:ind w:firstLine="0" w:firstLineChars="0"/>
              <w:jc w:val="center"/>
              <w:rPr>
                <w:sz w:val="15"/>
                <w:szCs w:val="15"/>
              </w:rPr>
            </w:pPr>
            <w:r>
              <w:rPr>
                <w:sz w:val="15"/>
                <w:szCs w:val="15"/>
              </w:rPr>
              <w:t>接头形式</w:t>
            </w:r>
          </w:p>
        </w:tc>
        <w:tc>
          <w:tcPr>
            <w:tcW w:w="1805" w:type="pct"/>
            <w:tcBorders>
              <w:top w:val="single" w:color="auto" w:sz="12" w:space="0"/>
              <w:bottom w:val="single" w:color="auto" w:sz="4" w:space="0"/>
            </w:tcBorders>
            <w:vAlign w:val="center"/>
          </w:tcPr>
          <w:p w14:paraId="710BA453">
            <w:pPr>
              <w:ind w:firstLine="0" w:firstLineChars="0"/>
              <w:jc w:val="center"/>
              <w:rPr>
                <w:sz w:val="15"/>
                <w:szCs w:val="15"/>
              </w:rPr>
            </w:pPr>
            <w:r>
              <w:rPr>
                <w:sz w:val="15"/>
                <w:szCs w:val="15"/>
              </w:rPr>
              <w:t>接缝数量</w:t>
            </w:r>
          </w:p>
        </w:tc>
      </w:tr>
      <w:tr w14:paraId="43F9D0E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70" w:hRule="atLeast"/>
          <w:jc w:val="center"/>
        </w:trPr>
        <w:tc>
          <w:tcPr>
            <w:tcW w:w="1391" w:type="pct"/>
            <w:tcBorders>
              <w:top w:val="single" w:color="auto" w:sz="4" w:space="0"/>
              <w:bottom w:val="nil"/>
            </w:tcBorders>
            <w:vAlign w:val="center"/>
          </w:tcPr>
          <w:p w14:paraId="6D13ACB3">
            <w:pPr>
              <w:ind w:firstLine="0" w:firstLineChars="0"/>
              <w:jc w:val="center"/>
              <w:rPr>
                <w:sz w:val="15"/>
                <w:szCs w:val="15"/>
              </w:rPr>
            </w:pPr>
            <w:r>
              <w:rPr>
                <w:sz w:val="15"/>
                <w:szCs w:val="15"/>
              </w:rPr>
              <w:t>模型1</w:t>
            </w:r>
          </w:p>
        </w:tc>
        <w:tc>
          <w:tcPr>
            <w:tcW w:w="1805" w:type="pct"/>
            <w:tcBorders>
              <w:top w:val="single" w:color="auto" w:sz="4" w:space="0"/>
            </w:tcBorders>
            <w:vAlign w:val="center"/>
          </w:tcPr>
          <w:p w14:paraId="26D5535A">
            <w:pPr>
              <w:ind w:firstLine="0" w:firstLineChars="0"/>
              <w:jc w:val="center"/>
              <w:rPr>
                <w:sz w:val="15"/>
                <w:szCs w:val="15"/>
              </w:rPr>
            </w:pPr>
            <w:r>
              <w:rPr>
                <w:sz w:val="15"/>
                <w:szCs w:val="15"/>
              </w:rPr>
              <w:t>无接缝</w:t>
            </w:r>
          </w:p>
        </w:tc>
        <w:tc>
          <w:tcPr>
            <w:tcW w:w="1805" w:type="pct"/>
            <w:tcBorders>
              <w:top w:val="single" w:color="auto" w:sz="4" w:space="0"/>
            </w:tcBorders>
            <w:vAlign w:val="center"/>
          </w:tcPr>
          <w:p w14:paraId="60EB7524">
            <w:pPr>
              <w:ind w:firstLine="0" w:firstLineChars="0"/>
              <w:jc w:val="center"/>
              <w:rPr>
                <w:sz w:val="15"/>
                <w:szCs w:val="15"/>
              </w:rPr>
            </w:pPr>
            <w:r>
              <w:rPr>
                <w:sz w:val="15"/>
                <w:szCs w:val="15"/>
              </w:rPr>
              <w:t>0</w:t>
            </w:r>
          </w:p>
        </w:tc>
      </w:tr>
      <w:tr w14:paraId="76F0835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70" w:hRule="atLeast"/>
          <w:jc w:val="center"/>
        </w:trPr>
        <w:tc>
          <w:tcPr>
            <w:tcW w:w="1391" w:type="pct"/>
            <w:tcBorders>
              <w:top w:val="nil"/>
            </w:tcBorders>
            <w:vAlign w:val="center"/>
          </w:tcPr>
          <w:p w14:paraId="61D0EEAF">
            <w:pPr>
              <w:ind w:firstLine="0" w:firstLineChars="0"/>
              <w:jc w:val="center"/>
              <w:rPr>
                <w:sz w:val="15"/>
                <w:szCs w:val="15"/>
              </w:rPr>
            </w:pPr>
            <w:r>
              <w:rPr>
                <w:sz w:val="15"/>
                <w:szCs w:val="15"/>
              </w:rPr>
              <w:t>模型2</w:t>
            </w:r>
          </w:p>
        </w:tc>
        <w:tc>
          <w:tcPr>
            <w:tcW w:w="1805" w:type="pct"/>
            <w:vAlign w:val="center"/>
          </w:tcPr>
          <w:p w14:paraId="2761A091">
            <w:pPr>
              <w:ind w:firstLine="0" w:firstLineChars="0"/>
              <w:jc w:val="center"/>
              <w:rPr>
                <w:sz w:val="15"/>
                <w:szCs w:val="15"/>
              </w:rPr>
            </w:pPr>
            <w:r>
              <w:rPr>
                <w:sz w:val="15"/>
                <w:szCs w:val="15"/>
              </w:rPr>
              <w:t>接头管</w:t>
            </w:r>
          </w:p>
        </w:tc>
        <w:tc>
          <w:tcPr>
            <w:tcW w:w="1805" w:type="pct"/>
            <w:vAlign w:val="center"/>
          </w:tcPr>
          <w:p w14:paraId="6759B137">
            <w:pPr>
              <w:ind w:firstLine="0" w:firstLineChars="0"/>
              <w:jc w:val="center"/>
              <w:rPr>
                <w:sz w:val="15"/>
                <w:szCs w:val="15"/>
              </w:rPr>
            </w:pPr>
            <w:r>
              <w:rPr>
                <w:sz w:val="15"/>
                <w:szCs w:val="15"/>
              </w:rPr>
              <w:t>1</w:t>
            </w:r>
          </w:p>
        </w:tc>
      </w:tr>
      <w:tr w14:paraId="1E63ED3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70" w:hRule="atLeast"/>
          <w:jc w:val="center"/>
        </w:trPr>
        <w:tc>
          <w:tcPr>
            <w:tcW w:w="1391" w:type="pct"/>
            <w:vAlign w:val="center"/>
          </w:tcPr>
          <w:p w14:paraId="03EA8954">
            <w:pPr>
              <w:ind w:firstLine="0" w:firstLineChars="0"/>
              <w:jc w:val="center"/>
              <w:rPr>
                <w:sz w:val="15"/>
                <w:szCs w:val="15"/>
              </w:rPr>
            </w:pPr>
            <w:r>
              <w:rPr>
                <w:sz w:val="15"/>
                <w:szCs w:val="15"/>
              </w:rPr>
              <w:t>模型3</w:t>
            </w:r>
          </w:p>
        </w:tc>
        <w:tc>
          <w:tcPr>
            <w:tcW w:w="1805" w:type="pct"/>
            <w:vAlign w:val="center"/>
          </w:tcPr>
          <w:p w14:paraId="57A31955">
            <w:pPr>
              <w:ind w:firstLine="0" w:firstLineChars="0"/>
              <w:jc w:val="center"/>
              <w:rPr>
                <w:sz w:val="15"/>
                <w:szCs w:val="15"/>
              </w:rPr>
            </w:pPr>
            <w:r>
              <w:rPr>
                <w:sz w:val="15"/>
                <w:szCs w:val="15"/>
              </w:rPr>
              <w:t>接头管</w:t>
            </w:r>
          </w:p>
        </w:tc>
        <w:tc>
          <w:tcPr>
            <w:tcW w:w="1805" w:type="pct"/>
            <w:vAlign w:val="center"/>
          </w:tcPr>
          <w:p w14:paraId="270FA61A">
            <w:pPr>
              <w:ind w:firstLine="0" w:firstLineChars="0"/>
              <w:jc w:val="center"/>
              <w:rPr>
                <w:sz w:val="15"/>
                <w:szCs w:val="15"/>
              </w:rPr>
            </w:pPr>
            <w:r>
              <w:rPr>
                <w:sz w:val="15"/>
                <w:szCs w:val="15"/>
              </w:rPr>
              <w:t>2</w:t>
            </w:r>
          </w:p>
        </w:tc>
      </w:tr>
      <w:tr w14:paraId="4216543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70" w:hRule="atLeast"/>
          <w:jc w:val="center"/>
        </w:trPr>
        <w:tc>
          <w:tcPr>
            <w:tcW w:w="1391" w:type="pct"/>
            <w:vAlign w:val="center"/>
          </w:tcPr>
          <w:p w14:paraId="7A90328A">
            <w:pPr>
              <w:ind w:firstLine="0" w:firstLineChars="0"/>
              <w:jc w:val="center"/>
              <w:rPr>
                <w:sz w:val="15"/>
                <w:szCs w:val="15"/>
              </w:rPr>
            </w:pPr>
            <w:r>
              <w:rPr>
                <w:sz w:val="15"/>
                <w:szCs w:val="15"/>
              </w:rPr>
              <w:t>模型4</w:t>
            </w:r>
          </w:p>
        </w:tc>
        <w:tc>
          <w:tcPr>
            <w:tcW w:w="1805" w:type="pct"/>
            <w:vAlign w:val="center"/>
          </w:tcPr>
          <w:p w14:paraId="08EFD6FD">
            <w:pPr>
              <w:ind w:firstLine="0" w:firstLineChars="0"/>
              <w:jc w:val="center"/>
              <w:rPr>
                <w:sz w:val="15"/>
                <w:szCs w:val="15"/>
              </w:rPr>
            </w:pPr>
            <w:r>
              <w:rPr>
                <w:sz w:val="15"/>
                <w:szCs w:val="15"/>
              </w:rPr>
              <w:t>十字钢</w:t>
            </w:r>
          </w:p>
        </w:tc>
        <w:tc>
          <w:tcPr>
            <w:tcW w:w="1805" w:type="pct"/>
            <w:vAlign w:val="center"/>
          </w:tcPr>
          <w:p w14:paraId="74176F50">
            <w:pPr>
              <w:ind w:firstLine="0" w:firstLineChars="0"/>
              <w:jc w:val="center"/>
              <w:rPr>
                <w:sz w:val="15"/>
                <w:szCs w:val="15"/>
              </w:rPr>
            </w:pPr>
            <w:r>
              <w:rPr>
                <w:sz w:val="15"/>
                <w:szCs w:val="15"/>
              </w:rPr>
              <w:t>1</w:t>
            </w:r>
          </w:p>
        </w:tc>
      </w:tr>
      <w:tr w14:paraId="78A9888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70" w:hRule="atLeast"/>
          <w:jc w:val="center"/>
        </w:trPr>
        <w:tc>
          <w:tcPr>
            <w:tcW w:w="1391" w:type="pct"/>
            <w:vAlign w:val="center"/>
          </w:tcPr>
          <w:p w14:paraId="6DAA6B85">
            <w:pPr>
              <w:ind w:firstLine="0" w:firstLineChars="0"/>
              <w:jc w:val="center"/>
              <w:rPr>
                <w:sz w:val="15"/>
                <w:szCs w:val="15"/>
              </w:rPr>
            </w:pPr>
            <w:r>
              <w:rPr>
                <w:sz w:val="15"/>
                <w:szCs w:val="15"/>
              </w:rPr>
              <w:t>模型5</w:t>
            </w:r>
          </w:p>
        </w:tc>
        <w:tc>
          <w:tcPr>
            <w:tcW w:w="1805" w:type="pct"/>
            <w:vAlign w:val="center"/>
          </w:tcPr>
          <w:p w14:paraId="3DEBB278">
            <w:pPr>
              <w:ind w:firstLine="0" w:firstLineChars="0"/>
              <w:jc w:val="center"/>
              <w:rPr>
                <w:sz w:val="15"/>
                <w:szCs w:val="15"/>
              </w:rPr>
            </w:pPr>
            <w:r>
              <w:rPr>
                <w:sz w:val="15"/>
                <w:szCs w:val="15"/>
              </w:rPr>
              <w:t>十字钢</w:t>
            </w:r>
          </w:p>
        </w:tc>
        <w:tc>
          <w:tcPr>
            <w:tcW w:w="1805" w:type="pct"/>
            <w:vAlign w:val="center"/>
          </w:tcPr>
          <w:p w14:paraId="162A87D4">
            <w:pPr>
              <w:ind w:firstLine="0" w:firstLineChars="0"/>
              <w:jc w:val="center"/>
              <w:rPr>
                <w:sz w:val="15"/>
                <w:szCs w:val="15"/>
              </w:rPr>
            </w:pPr>
            <w:r>
              <w:rPr>
                <w:sz w:val="15"/>
                <w:szCs w:val="15"/>
              </w:rPr>
              <w:t>2</w:t>
            </w:r>
          </w:p>
        </w:tc>
      </w:tr>
      <w:tr w14:paraId="7FBF222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70" w:hRule="atLeast"/>
          <w:jc w:val="center"/>
        </w:trPr>
        <w:tc>
          <w:tcPr>
            <w:tcW w:w="1391" w:type="pct"/>
            <w:vAlign w:val="center"/>
          </w:tcPr>
          <w:p w14:paraId="1AE6E1C8">
            <w:pPr>
              <w:ind w:firstLine="0" w:firstLineChars="0"/>
              <w:jc w:val="center"/>
              <w:rPr>
                <w:sz w:val="15"/>
                <w:szCs w:val="15"/>
              </w:rPr>
            </w:pPr>
            <w:r>
              <w:rPr>
                <w:sz w:val="15"/>
                <w:szCs w:val="15"/>
              </w:rPr>
              <w:t>模型6</w:t>
            </w:r>
          </w:p>
        </w:tc>
        <w:tc>
          <w:tcPr>
            <w:tcW w:w="1805" w:type="pct"/>
            <w:vAlign w:val="center"/>
          </w:tcPr>
          <w:p w14:paraId="2670878E">
            <w:pPr>
              <w:ind w:firstLine="0" w:firstLineChars="0"/>
              <w:jc w:val="center"/>
              <w:rPr>
                <w:sz w:val="15"/>
                <w:szCs w:val="15"/>
              </w:rPr>
            </w:pPr>
            <w:r>
              <w:rPr>
                <w:sz w:val="15"/>
                <w:szCs w:val="15"/>
              </w:rPr>
              <w:t>工字钢</w:t>
            </w:r>
          </w:p>
        </w:tc>
        <w:tc>
          <w:tcPr>
            <w:tcW w:w="1805" w:type="pct"/>
            <w:vAlign w:val="center"/>
          </w:tcPr>
          <w:p w14:paraId="460D1A84">
            <w:pPr>
              <w:ind w:firstLine="0" w:firstLineChars="0"/>
              <w:jc w:val="center"/>
              <w:rPr>
                <w:sz w:val="15"/>
                <w:szCs w:val="15"/>
              </w:rPr>
            </w:pPr>
            <w:r>
              <w:rPr>
                <w:sz w:val="15"/>
                <w:szCs w:val="15"/>
              </w:rPr>
              <w:t>1</w:t>
            </w:r>
          </w:p>
        </w:tc>
      </w:tr>
      <w:tr w14:paraId="08587F0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70" w:hRule="atLeast"/>
          <w:jc w:val="center"/>
        </w:trPr>
        <w:tc>
          <w:tcPr>
            <w:tcW w:w="1391" w:type="pct"/>
            <w:vAlign w:val="center"/>
          </w:tcPr>
          <w:p w14:paraId="628F0B96">
            <w:pPr>
              <w:ind w:firstLine="0" w:firstLineChars="0"/>
              <w:jc w:val="center"/>
              <w:rPr>
                <w:sz w:val="15"/>
                <w:szCs w:val="15"/>
              </w:rPr>
            </w:pPr>
            <w:r>
              <w:rPr>
                <w:sz w:val="15"/>
                <w:szCs w:val="15"/>
              </w:rPr>
              <w:t>模型7</w:t>
            </w:r>
          </w:p>
        </w:tc>
        <w:tc>
          <w:tcPr>
            <w:tcW w:w="1805" w:type="pct"/>
            <w:vAlign w:val="center"/>
          </w:tcPr>
          <w:p w14:paraId="24BC616B">
            <w:pPr>
              <w:ind w:firstLine="0" w:firstLineChars="0"/>
              <w:jc w:val="center"/>
              <w:rPr>
                <w:sz w:val="15"/>
                <w:szCs w:val="15"/>
              </w:rPr>
            </w:pPr>
            <w:r>
              <w:rPr>
                <w:sz w:val="15"/>
                <w:szCs w:val="15"/>
              </w:rPr>
              <w:t>工字钢</w:t>
            </w:r>
          </w:p>
        </w:tc>
        <w:tc>
          <w:tcPr>
            <w:tcW w:w="1805" w:type="pct"/>
            <w:vAlign w:val="center"/>
          </w:tcPr>
          <w:p w14:paraId="69F21D3C">
            <w:pPr>
              <w:ind w:firstLine="0" w:firstLineChars="0"/>
              <w:jc w:val="center"/>
              <w:rPr>
                <w:sz w:val="15"/>
                <w:szCs w:val="15"/>
              </w:rPr>
            </w:pPr>
            <w:r>
              <w:rPr>
                <w:sz w:val="15"/>
                <w:szCs w:val="15"/>
              </w:rPr>
              <w:t>2</w:t>
            </w:r>
          </w:p>
        </w:tc>
      </w:tr>
      <w:tr w14:paraId="3052589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70" w:hRule="atLeast"/>
          <w:jc w:val="center"/>
        </w:trPr>
        <w:tc>
          <w:tcPr>
            <w:tcW w:w="1391" w:type="pct"/>
            <w:vAlign w:val="center"/>
          </w:tcPr>
          <w:p w14:paraId="460F2A61">
            <w:pPr>
              <w:ind w:firstLine="0" w:firstLineChars="0"/>
              <w:jc w:val="center"/>
              <w:rPr>
                <w:sz w:val="15"/>
                <w:szCs w:val="15"/>
              </w:rPr>
            </w:pPr>
            <w:r>
              <w:rPr>
                <w:sz w:val="15"/>
                <w:szCs w:val="15"/>
              </w:rPr>
              <w:t>模型8</w:t>
            </w:r>
          </w:p>
        </w:tc>
        <w:tc>
          <w:tcPr>
            <w:tcW w:w="1805" w:type="pct"/>
            <w:vAlign w:val="center"/>
          </w:tcPr>
          <w:p w14:paraId="4ED9B377">
            <w:pPr>
              <w:ind w:firstLine="0" w:firstLineChars="0"/>
              <w:jc w:val="center"/>
              <w:rPr>
                <w:sz w:val="15"/>
                <w:szCs w:val="15"/>
              </w:rPr>
            </w:pPr>
            <w:r>
              <w:rPr>
                <w:sz w:val="15"/>
                <w:szCs w:val="15"/>
              </w:rPr>
              <w:t>王字钢</w:t>
            </w:r>
          </w:p>
        </w:tc>
        <w:tc>
          <w:tcPr>
            <w:tcW w:w="1805" w:type="pct"/>
            <w:vAlign w:val="center"/>
          </w:tcPr>
          <w:p w14:paraId="10C6A91C">
            <w:pPr>
              <w:ind w:firstLine="0" w:firstLineChars="0"/>
              <w:jc w:val="center"/>
              <w:rPr>
                <w:sz w:val="15"/>
                <w:szCs w:val="15"/>
              </w:rPr>
            </w:pPr>
            <w:r>
              <w:rPr>
                <w:sz w:val="15"/>
                <w:szCs w:val="15"/>
              </w:rPr>
              <w:t>1</w:t>
            </w:r>
          </w:p>
        </w:tc>
      </w:tr>
      <w:tr w14:paraId="382884D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70" w:hRule="atLeast"/>
          <w:jc w:val="center"/>
        </w:trPr>
        <w:tc>
          <w:tcPr>
            <w:tcW w:w="1391" w:type="pct"/>
            <w:vAlign w:val="center"/>
          </w:tcPr>
          <w:p w14:paraId="621D3BEC">
            <w:pPr>
              <w:ind w:firstLine="0" w:firstLineChars="0"/>
              <w:jc w:val="center"/>
              <w:rPr>
                <w:sz w:val="15"/>
                <w:szCs w:val="15"/>
              </w:rPr>
            </w:pPr>
            <w:r>
              <w:rPr>
                <w:sz w:val="15"/>
                <w:szCs w:val="15"/>
              </w:rPr>
              <w:t>模型9</w:t>
            </w:r>
          </w:p>
        </w:tc>
        <w:tc>
          <w:tcPr>
            <w:tcW w:w="1805" w:type="pct"/>
            <w:vAlign w:val="center"/>
          </w:tcPr>
          <w:p w14:paraId="1690A6E0">
            <w:pPr>
              <w:ind w:firstLine="0" w:firstLineChars="0"/>
              <w:jc w:val="center"/>
              <w:rPr>
                <w:sz w:val="15"/>
                <w:szCs w:val="15"/>
              </w:rPr>
            </w:pPr>
            <w:r>
              <w:rPr>
                <w:sz w:val="15"/>
                <w:szCs w:val="15"/>
              </w:rPr>
              <w:t>王字钢</w:t>
            </w:r>
          </w:p>
        </w:tc>
        <w:tc>
          <w:tcPr>
            <w:tcW w:w="1805" w:type="pct"/>
            <w:vAlign w:val="center"/>
          </w:tcPr>
          <w:p w14:paraId="465EA68F">
            <w:pPr>
              <w:ind w:firstLine="0" w:firstLineChars="0"/>
              <w:jc w:val="center"/>
              <w:rPr>
                <w:sz w:val="15"/>
                <w:szCs w:val="15"/>
              </w:rPr>
            </w:pPr>
            <w:r>
              <w:rPr>
                <w:sz w:val="15"/>
                <w:szCs w:val="15"/>
              </w:rPr>
              <w:t>2</w:t>
            </w:r>
          </w:p>
        </w:tc>
      </w:tr>
    </w:tbl>
    <w:p w14:paraId="561EDD86">
      <w:pPr>
        <w:ind w:firstLine="0" w:firstLineChars="0"/>
        <w:jc w:val="center"/>
        <w:rPr>
          <w:rFonts w:eastAsia="黑体"/>
          <w:bCs/>
          <w:sz w:val="18"/>
          <w:szCs w:val="18"/>
        </w:rPr>
      </w:pPr>
      <w:r>
        <w:rPr>
          <w:rFonts w:hint="eastAsia" w:eastAsia="黑体"/>
          <w:bCs/>
          <w:sz w:val="18"/>
          <w:szCs w:val="18"/>
        </w:rPr>
        <w:t>表2 砂浆参数</w:t>
      </w:r>
    </w:p>
    <w:tbl>
      <w:tblPr>
        <w:tblStyle w:val="19"/>
        <w:tblW w:w="8392" w:type="dxa"/>
        <w:jc w:val="center"/>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098"/>
        <w:gridCol w:w="2098"/>
        <w:gridCol w:w="2098"/>
        <w:gridCol w:w="2098"/>
      </w:tblGrid>
      <w:tr w14:paraId="09DC281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2098" w:type="dxa"/>
            <w:tcBorders>
              <w:top w:val="single" w:color="auto" w:sz="12" w:space="0"/>
              <w:bottom w:val="single" w:color="auto" w:sz="6" w:space="0"/>
            </w:tcBorders>
            <w:vAlign w:val="center"/>
          </w:tcPr>
          <w:p w14:paraId="79253D96">
            <w:pPr>
              <w:ind w:firstLine="0" w:firstLineChars="0"/>
              <w:jc w:val="center"/>
              <w:rPr>
                <w:sz w:val="15"/>
                <w:szCs w:val="15"/>
              </w:rPr>
            </w:pPr>
            <w:r>
              <w:rPr>
                <w:rFonts w:hint="eastAsia"/>
                <w:sz w:val="15"/>
                <w:szCs w:val="15"/>
              </w:rPr>
              <w:t>材料</w:t>
            </w:r>
          </w:p>
        </w:tc>
        <w:tc>
          <w:tcPr>
            <w:tcW w:w="2098" w:type="dxa"/>
            <w:tcBorders>
              <w:top w:val="single" w:color="auto" w:sz="12" w:space="0"/>
              <w:bottom w:val="single" w:color="auto" w:sz="6" w:space="0"/>
            </w:tcBorders>
            <w:vAlign w:val="center"/>
          </w:tcPr>
          <w:p w14:paraId="578CD684">
            <w:pPr>
              <w:pStyle w:val="23"/>
              <w:widowControl w:val="0"/>
              <w:rPr>
                <w:sz w:val="15"/>
                <w:szCs w:val="15"/>
              </w:rPr>
            </w:pPr>
            <w:r>
              <w:rPr>
                <w:sz w:val="15"/>
                <w:szCs w:val="15"/>
              </w:rPr>
              <w:t>弹性模量</w:t>
            </w:r>
            <w:r>
              <w:rPr>
                <w:rFonts w:hint="eastAsia"/>
                <w:sz w:val="15"/>
                <w:szCs w:val="15"/>
              </w:rPr>
              <w:t>/</w:t>
            </w:r>
            <w:r>
              <w:rPr>
                <w:sz w:val="15"/>
                <w:szCs w:val="15"/>
              </w:rPr>
              <w:t>MPa</w:t>
            </w:r>
          </w:p>
        </w:tc>
        <w:tc>
          <w:tcPr>
            <w:tcW w:w="2098" w:type="dxa"/>
            <w:tcBorders>
              <w:top w:val="single" w:color="auto" w:sz="12" w:space="0"/>
              <w:bottom w:val="single" w:color="auto" w:sz="6" w:space="0"/>
            </w:tcBorders>
            <w:vAlign w:val="center"/>
          </w:tcPr>
          <w:p w14:paraId="510E797E">
            <w:pPr>
              <w:ind w:firstLine="0" w:firstLineChars="0"/>
              <w:jc w:val="center"/>
              <w:rPr>
                <w:sz w:val="15"/>
                <w:szCs w:val="15"/>
              </w:rPr>
            </w:pPr>
            <w:r>
              <w:rPr>
                <w:sz w:val="15"/>
                <w:szCs w:val="15"/>
              </w:rPr>
              <w:t>泊松比</w:t>
            </w:r>
          </w:p>
        </w:tc>
        <w:tc>
          <w:tcPr>
            <w:tcW w:w="2098" w:type="dxa"/>
            <w:tcBorders>
              <w:top w:val="single" w:color="auto" w:sz="12" w:space="0"/>
              <w:bottom w:val="single" w:color="auto" w:sz="6" w:space="0"/>
            </w:tcBorders>
            <w:vAlign w:val="center"/>
          </w:tcPr>
          <w:p w14:paraId="46A382C2">
            <w:pPr>
              <w:pStyle w:val="23"/>
              <w:widowControl w:val="0"/>
              <w:rPr>
                <w:sz w:val="15"/>
                <w:szCs w:val="15"/>
              </w:rPr>
            </w:pPr>
            <w:r>
              <w:rPr>
                <w:rFonts w:hint="eastAsia"/>
                <w:sz w:val="15"/>
                <w:szCs w:val="15"/>
              </w:rPr>
              <w:t>密度/</w:t>
            </w:r>
            <w:r>
              <w:rPr>
                <w:sz w:val="15"/>
                <w:szCs w:val="15"/>
              </w:rPr>
              <w:t>k</w:t>
            </w:r>
            <w:r>
              <w:rPr>
                <w:rFonts w:hint="eastAsia"/>
                <w:sz w:val="15"/>
                <w:szCs w:val="15"/>
              </w:rPr>
              <w:t>g.</w:t>
            </w:r>
            <w:r>
              <w:rPr>
                <w:sz w:val="15"/>
                <w:szCs w:val="15"/>
              </w:rPr>
              <w:t>m</w:t>
            </w:r>
            <w:r>
              <w:rPr>
                <w:rFonts w:hint="eastAsia"/>
                <w:sz w:val="15"/>
                <w:szCs w:val="15"/>
                <w:vertAlign w:val="superscript"/>
              </w:rPr>
              <w:t>-3</w:t>
            </w:r>
          </w:p>
        </w:tc>
      </w:tr>
      <w:tr w14:paraId="0FF32FC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2098" w:type="dxa"/>
            <w:tcBorders>
              <w:top w:val="single" w:color="auto" w:sz="6" w:space="0"/>
            </w:tcBorders>
            <w:vAlign w:val="center"/>
          </w:tcPr>
          <w:p w14:paraId="5DFBBFFE">
            <w:pPr>
              <w:ind w:firstLine="0" w:firstLineChars="0"/>
              <w:jc w:val="center"/>
              <w:rPr>
                <w:sz w:val="15"/>
                <w:szCs w:val="15"/>
              </w:rPr>
            </w:pPr>
            <w:r>
              <w:rPr>
                <w:rFonts w:hint="eastAsia"/>
                <w:sz w:val="15"/>
                <w:szCs w:val="15"/>
              </w:rPr>
              <w:t>砂浆</w:t>
            </w:r>
          </w:p>
        </w:tc>
        <w:tc>
          <w:tcPr>
            <w:tcW w:w="2098" w:type="dxa"/>
            <w:tcBorders>
              <w:top w:val="single" w:color="auto" w:sz="6" w:space="0"/>
            </w:tcBorders>
            <w:vAlign w:val="center"/>
          </w:tcPr>
          <w:p w14:paraId="1E015CDA">
            <w:pPr>
              <w:ind w:firstLine="0" w:firstLineChars="0"/>
              <w:jc w:val="center"/>
              <w:rPr>
                <w:sz w:val="15"/>
                <w:szCs w:val="15"/>
              </w:rPr>
            </w:pPr>
            <w:r>
              <w:rPr>
                <w:sz w:val="15"/>
                <w:szCs w:val="15"/>
              </w:rPr>
              <w:t>23000</w:t>
            </w:r>
          </w:p>
        </w:tc>
        <w:tc>
          <w:tcPr>
            <w:tcW w:w="2098" w:type="dxa"/>
            <w:tcBorders>
              <w:top w:val="single" w:color="auto" w:sz="6" w:space="0"/>
            </w:tcBorders>
            <w:vAlign w:val="center"/>
          </w:tcPr>
          <w:p w14:paraId="3553C80D">
            <w:pPr>
              <w:ind w:firstLine="0" w:firstLineChars="0"/>
              <w:jc w:val="center"/>
              <w:rPr>
                <w:sz w:val="15"/>
                <w:szCs w:val="15"/>
              </w:rPr>
            </w:pPr>
            <w:r>
              <w:rPr>
                <w:sz w:val="15"/>
                <w:szCs w:val="15"/>
              </w:rPr>
              <w:t>0.3</w:t>
            </w:r>
          </w:p>
        </w:tc>
        <w:tc>
          <w:tcPr>
            <w:tcW w:w="2098" w:type="dxa"/>
            <w:tcBorders>
              <w:top w:val="single" w:color="auto" w:sz="6" w:space="0"/>
            </w:tcBorders>
            <w:vAlign w:val="center"/>
          </w:tcPr>
          <w:p w14:paraId="6A2E5EAE">
            <w:pPr>
              <w:ind w:firstLine="0" w:firstLineChars="0"/>
              <w:jc w:val="center"/>
              <w:rPr>
                <w:sz w:val="15"/>
                <w:szCs w:val="15"/>
                <w:vertAlign w:val="superscript"/>
              </w:rPr>
            </w:pPr>
            <w:r>
              <w:rPr>
                <w:sz w:val="15"/>
                <w:szCs w:val="15"/>
              </w:rPr>
              <w:t>23</w:t>
            </w:r>
            <w:r>
              <w:rPr>
                <w:rFonts w:hint="eastAsia"/>
                <w:sz w:val="15"/>
                <w:szCs w:val="15"/>
              </w:rPr>
              <w:t>00</w:t>
            </w:r>
          </w:p>
        </w:tc>
      </w:tr>
    </w:tbl>
    <w:p w14:paraId="7F7B99DC">
      <w:pPr>
        <w:ind w:firstLine="0" w:firstLineChars="0"/>
        <w:jc w:val="center"/>
        <w:rPr>
          <w:rFonts w:eastAsia="黑体"/>
          <w:bCs/>
          <w:sz w:val="18"/>
          <w:szCs w:val="18"/>
        </w:rPr>
      </w:pPr>
      <w:r>
        <w:rPr>
          <w:rFonts w:hint="eastAsia" w:eastAsia="黑体"/>
          <w:bCs/>
          <w:sz w:val="18"/>
          <w:szCs w:val="18"/>
        </w:rPr>
        <w:t>表</w:t>
      </w:r>
      <w:r>
        <w:rPr>
          <w:rFonts w:eastAsia="黑体"/>
          <w:bCs/>
          <w:sz w:val="18"/>
          <w:szCs w:val="18"/>
        </w:rPr>
        <w:t>3</w:t>
      </w:r>
      <w:r>
        <w:rPr>
          <w:rFonts w:hint="eastAsia" w:eastAsia="黑体"/>
          <w:bCs/>
          <w:sz w:val="18"/>
          <w:szCs w:val="18"/>
        </w:rPr>
        <w:t xml:space="preserve"> 土样物理力学参数</w:t>
      </w:r>
    </w:p>
    <w:tbl>
      <w:tblPr>
        <w:tblStyle w:val="19"/>
        <w:tblW w:w="8334" w:type="dxa"/>
        <w:jc w:val="center"/>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389"/>
        <w:gridCol w:w="1389"/>
        <w:gridCol w:w="1389"/>
        <w:gridCol w:w="1389"/>
        <w:gridCol w:w="1389"/>
        <w:gridCol w:w="1389"/>
      </w:tblGrid>
      <w:tr w14:paraId="7BEBB58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 w:hRule="atLeast"/>
          <w:jc w:val="center"/>
        </w:trPr>
        <w:tc>
          <w:tcPr>
            <w:tcW w:w="1389" w:type="dxa"/>
            <w:tcBorders>
              <w:top w:val="single" w:color="auto" w:sz="12" w:space="0"/>
              <w:bottom w:val="single" w:color="auto" w:sz="6" w:space="0"/>
            </w:tcBorders>
            <w:vAlign w:val="center"/>
          </w:tcPr>
          <w:p w14:paraId="43CA8734">
            <w:pPr>
              <w:ind w:firstLine="0" w:firstLineChars="0"/>
              <w:jc w:val="center"/>
              <w:rPr>
                <w:sz w:val="15"/>
                <w:szCs w:val="15"/>
              </w:rPr>
            </w:pPr>
            <w:bookmarkStart w:id="7" w:name="_Toc24930"/>
            <w:bookmarkStart w:id="8" w:name="_Toc7037"/>
            <w:bookmarkStart w:id="9" w:name="_Toc12296"/>
            <w:bookmarkStart w:id="10" w:name="_Toc12077"/>
            <w:bookmarkStart w:id="11" w:name="_Toc17228"/>
            <w:bookmarkStart w:id="12" w:name="_Toc5319"/>
            <w:bookmarkStart w:id="13" w:name="_Toc28609"/>
            <w:bookmarkStart w:id="14" w:name="_Toc15154"/>
            <w:bookmarkStart w:id="15" w:name="_Toc19870"/>
            <w:r>
              <w:rPr>
                <w:rFonts w:hint="eastAsia"/>
                <w:sz w:val="15"/>
                <w:szCs w:val="15"/>
              </w:rPr>
              <w:t>材料</w:t>
            </w:r>
            <w:bookmarkEnd w:id="7"/>
            <w:bookmarkEnd w:id="8"/>
            <w:bookmarkEnd w:id="9"/>
            <w:bookmarkEnd w:id="10"/>
            <w:bookmarkEnd w:id="11"/>
            <w:bookmarkEnd w:id="12"/>
            <w:bookmarkEnd w:id="13"/>
            <w:bookmarkEnd w:id="14"/>
            <w:bookmarkEnd w:id="15"/>
          </w:p>
        </w:tc>
        <w:tc>
          <w:tcPr>
            <w:tcW w:w="1389" w:type="dxa"/>
            <w:tcBorders>
              <w:top w:val="single" w:color="auto" w:sz="12" w:space="0"/>
              <w:bottom w:val="single" w:color="auto" w:sz="6" w:space="0"/>
            </w:tcBorders>
            <w:vAlign w:val="center"/>
          </w:tcPr>
          <w:p w14:paraId="7D334DA2">
            <w:pPr>
              <w:pStyle w:val="23"/>
              <w:widowControl w:val="0"/>
              <w:rPr>
                <w:sz w:val="15"/>
                <w:szCs w:val="15"/>
              </w:rPr>
            </w:pPr>
            <w:bookmarkStart w:id="16" w:name="_Toc22145"/>
            <w:bookmarkStart w:id="17" w:name="_Toc4993"/>
            <w:bookmarkStart w:id="18" w:name="_Toc5596"/>
            <w:bookmarkStart w:id="19" w:name="_Toc7706"/>
            <w:bookmarkStart w:id="20" w:name="_Toc23259"/>
            <w:bookmarkStart w:id="21" w:name="_Toc17476"/>
            <w:bookmarkStart w:id="22" w:name="_Toc11132"/>
            <w:bookmarkStart w:id="23" w:name="_Toc10720"/>
            <w:bookmarkStart w:id="24" w:name="_Toc14331"/>
            <w:r>
              <w:rPr>
                <w:sz w:val="15"/>
                <w:szCs w:val="15"/>
              </w:rPr>
              <w:t>弹性模量</w:t>
            </w:r>
            <w:bookmarkEnd w:id="16"/>
            <w:bookmarkEnd w:id="17"/>
            <w:bookmarkEnd w:id="18"/>
            <w:bookmarkEnd w:id="19"/>
            <w:bookmarkEnd w:id="20"/>
            <w:bookmarkEnd w:id="21"/>
            <w:bookmarkEnd w:id="22"/>
            <w:bookmarkEnd w:id="23"/>
            <w:bookmarkEnd w:id="24"/>
            <w:bookmarkStart w:id="25" w:name="_Toc10802"/>
            <w:bookmarkStart w:id="26" w:name="_Toc17934"/>
            <w:bookmarkStart w:id="27" w:name="_Toc14497"/>
            <w:bookmarkStart w:id="28" w:name="_Toc28950"/>
            <w:bookmarkStart w:id="29" w:name="_Toc14198"/>
            <w:bookmarkStart w:id="30" w:name="_Toc11780"/>
            <w:bookmarkStart w:id="31" w:name="_Toc4046"/>
            <w:bookmarkStart w:id="32" w:name="_Toc22266"/>
            <w:bookmarkStart w:id="33" w:name="_Toc17972"/>
            <w:r>
              <w:rPr>
                <w:rFonts w:hint="eastAsia"/>
                <w:sz w:val="15"/>
                <w:szCs w:val="15"/>
              </w:rPr>
              <w:t>/</w:t>
            </w:r>
            <w:r>
              <w:rPr>
                <w:sz w:val="15"/>
                <w:szCs w:val="15"/>
              </w:rPr>
              <w:t>MPa</w:t>
            </w:r>
            <w:bookmarkEnd w:id="25"/>
            <w:bookmarkEnd w:id="26"/>
            <w:bookmarkEnd w:id="27"/>
            <w:bookmarkEnd w:id="28"/>
            <w:bookmarkEnd w:id="29"/>
            <w:bookmarkEnd w:id="30"/>
            <w:bookmarkEnd w:id="31"/>
            <w:bookmarkEnd w:id="32"/>
            <w:bookmarkEnd w:id="33"/>
          </w:p>
        </w:tc>
        <w:tc>
          <w:tcPr>
            <w:tcW w:w="1389" w:type="dxa"/>
            <w:tcBorders>
              <w:top w:val="single" w:color="auto" w:sz="12" w:space="0"/>
              <w:bottom w:val="single" w:color="auto" w:sz="6" w:space="0"/>
            </w:tcBorders>
            <w:vAlign w:val="center"/>
          </w:tcPr>
          <w:p w14:paraId="34363D35">
            <w:pPr>
              <w:ind w:firstLine="0" w:firstLineChars="0"/>
              <w:jc w:val="center"/>
              <w:rPr>
                <w:sz w:val="15"/>
                <w:szCs w:val="15"/>
              </w:rPr>
            </w:pPr>
            <w:bookmarkStart w:id="34" w:name="_Toc28620"/>
            <w:bookmarkStart w:id="35" w:name="_Toc21380"/>
            <w:bookmarkStart w:id="36" w:name="_Toc23028"/>
            <w:bookmarkStart w:id="37" w:name="_Toc13116"/>
            <w:bookmarkStart w:id="38" w:name="_Toc6093"/>
            <w:bookmarkStart w:id="39" w:name="_Toc9741"/>
            <w:bookmarkStart w:id="40" w:name="_Toc933"/>
            <w:bookmarkStart w:id="41" w:name="_Toc18286"/>
            <w:bookmarkStart w:id="42" w:name="_Toc19340"/>
            <w:r>
              <w:rPr>
                <w:sz w:val="15"/>
                <w:szCs w:val="15"/>
              </w:rPr>
              <w:t>泊松比</w:t>
            </w:r>
            <w:bookmarkEnd w:id="34"/>
            <w:bookmarkEnd w:id="35"/>
            <w:bookmarkEnd w:id="36"/>
            <w:bookmarkEnd w:id="37"/>
            <w:bookmarkEnd w:id="38"/>
            <w:bookmarkEnd w:id="39"/>
            <w:bookmarkEnd w:id="40"/>
            <w:bookmarkEnd w:id="41"/>
            <w:bookmarkEnd w:id="42"/>
          </w:p>
        </w:tc>
        <w:tc>
          <w:tcPr>
            <w:tcW w:w="1389" w:type="dxa"/>
            <w:tcBorders>
              <w:top w:val="single" w:color="auto" w:sz="12" w:space="0"/>
              <w:bottom w:val="single" w:color="auto" w:sz="6" w:space="0"/>
            </w:tcBorders>
            <w:vAlign w:val="center"/>
          </w:tcPr>
          <w:p w14:paraId="13B855E5">
            <w:pPr>
              <w:pStyle w:val="23"/>
              <w:widowControl w:val="0"/>
              <w:rPr>
                <w:sz w:val="15"/>
                <w:szCs w:val="15"/>
              </w:rPr>
            </w:pPr>
            <w:r>
              <w:rPr>
                <w:rFonts w:hint="eastAsia"/>
                <w:sz w:val="15"/>
                <w:szCs w:val="15"/>
              </w:rPr>
              <w:t>密度/</w:t>
            </w:r>
            <w:r>
              <w:rPr>
                <w:sz w:val="15"/>
                <w:szCs w:val="15"/>
              </w:rPr>
              <w:t>k</w:t>
            </w:r>
            <w:r>
              <w:rPr>
                <w:rFonts w:hint="eastAsia"/>
                <w:sz w:val="15"/>
                <w:szCs w:val="15"/>
              </w:rPr>
              <w:t>g.</w:t>
            </w:r>
            <w:r>
              <w:rPr>
                <w:sz w:val="15"/>
                <w:szCs w:val="15"/>
              </w:rPr>
              <w:t>m</w:t>
            </w:r>
            <w:r>
              <w:rPr>
                <w:rFonts w:hint="eastAsia"/>
                <w:sz w:val="15"/>
                <w:szCs w:val="15"/>
                <w:vertAlign w:val="superscript"/>
              </w:rPr>
              <w:t>-3</w:t>
            </w:r>
          </w:p>
        </w:tc>
        <w:tc>
          <w:tcPr>
            <w:tcW w:w="1389" w:type="dxa"/>
            <w:tcBorders>
              <w:top w:val="single" w:color="auto" w:sz="12" w:space="0"/>
              <w:bottom w:val="single" w:color="auto" w:sz="6" w:space="0"/>
            </w:tcBorders>
            <w:vAlign w:val="center"/>
          </w:tcPr>
          <w:p w14:paraId="7490944E">
            <w:pPr>
              <w:pStyle w:val="23"/>
              <w:widowControl w:val="0"/>
              <w:rPr>
                <w:rFonts w:hint="eastAsia" w:eastAsia="宋体"/>
                <w:sz w:val="15"/>
                <w:szCs w:val="15"/>
                <w:lang w:val="en-US" w:eastAsia="zh-CN"/>
              </w:rPr>
            </w:pPr>
            <w:bookmarkStart w:id="43" w:name="_Toc1459"/>
            <w:bookmarkStart w:id="44" w:name="_Toc10173"/>
            <w:bookmarkStart w:id="45" w:name="_Toc26128"/>
            <w:bookmarkStart w:id="46" w:name="_Toc13202"/>
            <w:bookmarkStart w:id="47" w:name="_Toc5617"/>
            <w:bookmarkStart w:id="48" w:name="_Toc21989"/>
            <w:bookmarkStart w:id="49" w:name="_Toc29745"/>
            <w:bookmarkStart w:id="50" w:name="_Toc12897"/>
            <w:bookmarkStart w:id="51" w:name="_Toc29318"/>
            <w:r>
              <w:rPr>
                <w:sz w:val="15"/>
                <w:szCs w:val="15"/>
              </w:rPr>
              <w:t>内摩擦角</w:t>
            </w:r>
            <w:bookmarkEnd w:id="43"/>
            <w:bookmarkEnd w:id="44"/>
            <w:bookmarkEnd w:id="45"/>
            <w:bookmarkEnd w:id="46"/>
            <w:bookmarkEnd w:id="47"/>
            <w:bookmarkEnd w:id="48"/>
            <w:bookmarkEnd w:id="49"/>
            <w:bookmarkEnd w:id="50"/>
            <w:bookmarkEnd w:id="51"/>
            <w:bookmarkStart w:id="52" w:name="_Toc30635"/>
            <w:bookmarkStart w:id="53" w:name="_Toc9089"/>
            <w:bookmarkStart w:id="54" w:name="_Toc3859"/>
            <w:bookmarkStart w:id="55" w:name="_Toc30914"/>
            <w:bookmarkStart w:id="56" w:name="_Toc13410"/>
            <w:bookmarkStart w:id="57" w:name="_Toc15221"/>
            <w:bookmarkStart w:id="58" w:name="_Toc27234"/>
            <w:bookmarkStart w:id="59" w:name="_Toc28879"/>
            <w:bookmarkStart w:id="60" w:name="_Toc29425"/>
            <w:r>
              <w:rPr>
                <w:rFonts w:hint="eastAsia"/>
                <w:sz w:val="15"/>
                <w:szCs w:val="15"/>
              </w:rPr>
              <w:t>/</w:t>
            </w:r>
            <w:r>
              <w:rPr>
                <w:rFonts w:hint="eastAsia"/>
                <w:sz w:val="15"/>
                <w:szCs w:val="15"/>
                <w:lang w:val="en-US" w:eastAsia="zh-CN"/>
              </w:rPr>
              <w:t>(</w:t>
            </w:r>
            <w:r>
              <w:rPr>
                <w:sz w:val="15"/>
                <w:szCs w:val="15"/>
              </w:rPr>
              <w:t>°</w:t>
            </w:r>
            <w:bookmarkEnd w:id="52"/>
            <w:bookmarkEnd w:id="53"/>
            <w:bookmarkEnd w:id="54"/>
            <w:bookmarkEnd w:id="55"/>
            <w:bookmarkEnd w:id="56"/>
            <w:bookmarkEnd w:id="57"/>
            <w:bookmarkEnd w:id="58"/>
            <w:bookmarkEnd w:id="59"/>
            <w:bookmarkEnd w:id="60"/>
            <w:r>
              <w:rPr>
                <w:rFonts w:hint="eastAsia"/>
                <w:sz w:val="15"/>
                <w:szCs w:val="15"/>
                <w:lang w:val="en-US" w:eastAsia="zh-CN"/>
              </w:rPr>
              <w:t>)</w:t>
            </w:r>
          </w:p>
        </w:tc>
        <w:tc>
          <w:tcPr>
            <w:tcW w:w="1389" w:type="dxa"/>
            <w:tcBorders>
              <w:top w:val="single" w:color="auto" w:sz="12" w:space="0"/>
              <w:bottom w:val="single" w:color="auto" w:sz="6" w:space="0"/>
            </w:tcBorders>
            <w:vAlign w:val="center"/>
          </w:tcPr>
          <w:p w14:paraId="4BC266B9">
            <w:pPr>
              <w:pStyle w:val="23"/>
              <w:widowControl w:val="0"/>
              <w:rPr>
                <w:sz w:val="15"/>
                <w:szCs w:val="15"/>
              </w:rPr>
            </w:pPr>
            <w:bookmarkStart w:id="61" w:name="_Toc10509"/>
            <w:bookmarkStart w:id="62" w:name="_Toc12879"/>
            <w:bookmarkStart w:id="63" w:name="_Toc13401"/>
            <w:bookmarkStart w:id="64" w:name="_Toc11241"/>
            <w:bookmarkStart w:id="65" w:name="_Toc21202"/>
            <w:bookmarkStart w:id="66" w:name="_Toc8365"/>
            <w:bookmarkStart w:id="67" w:name="_Toc17615"/>
            <w:bookmarkStart w:id="68" w:name="_Toc9747"/>
            <w:bookmarkStart w:id="69" w:name="_Toc14686"/>
            <w:r>
              <w:rPr>
                <w:rFonts w:hint="eastAsia"/>
                <w:sz w:val="15"/>
                <w:szCs w:val="15"/>
                <w:lang w:eastAsia="zh-CN"/>
              </w:rPr>
              <w:t>黏</w:t>
            </w:r>
            <w:r>
              <w:rPr>
                <w:sz w:val="15"/>
                <w:szCs w:val="15"/>
              </w:rPr>
              <w:t>聚力</w:t>
            </w:r>
            <w:bookmarkEnd w:id="61"/>
            <w:bookmarkEnd w:id="62"/>
            <w:bookmarkEnd w:id="63"/>
            <w:bookmarkEnd w:id="64"/>
            <w:bookmarkEnd w:id="65"/>
            <w:bookmarkEnd w:id="66"/>
            <w:bookmarkEnd w:id="67"/>
            <w:bookmarkEnd w:id="68"/>
            <w:bookmarkEnd w:id="69"/>
            <w:bookmarkStart w:id="70" w:name="_Toc16199"/>
            <w:bookmarkStart w:id="71" w:name="_Toc8083"/>
            <w:bookmarkStart w:id="72" w:name="_Toc15734"/>
            <w:bookmarkStart w:id="73" w:name="_Toc2477"/>
            <w:bookmarkStart w:id="74" w:name="_Toc7163"/>
            <w:bookmarkStart w:id="75" w:name="_Toc14464"/>
            <w:bookmarkStart w:id="76" w:name="_Toc10594"/>
            <w:bookmarkStart w:id="77" w:name="_Toc21000"/>
            <w:bookmarkStart w:id="78" w:name="_Toc26259"/>
            <w:r>
              <w:rPr>
                <w:rFonts w:hint="eastAsia"/>
                <w:sz w:val="15"/>
                <w:szCs w:val="15"/>
              </w:rPr>
              <w:t>/</w:t>
            </w:r>
            <w:r>
              <w:rPr>
                <w:sz w:val="15"/>
                <w:szCs w:val="15"/>
              </w:rPr>
              <w:t>kPa</w:t>
            </w:r>
            <w:bookmarkEnd w:id="70"/>
            <w:bookmarkEnd w:id="71"/>
            <w:bookmarkEnd w:id="72"/>
            <w:bookmarkEnd w:id="73"/>
            <w:bookmarkEnd w:id="74"/>
            <w:bookmarkEnd w:id="75"/>
            <w:bookmarkEnd w:id="76"/>
            <w:bookmarkEnd w:id="77"/>
            <w:bookmarkEnd w:id="78"/>
          </w:p>
        </w:tc>
      </w:tr>
      <w:tr w14:paraId="0114C24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 w:hRule="atLeast"/>
          <w:jc w:val="center"/>
        </w:trPr>
        <w:tc>
          <w:tcPr>
            <w:tcW w:w="1389" w:type="dxa"/>
            <w:tcBorders>
              <w:top w:val="single" w:color="auto" w:sz="6" w:space="0"/>
            </w:tcBorders>
            <w:vAlign w:val="center"/>
          </w:tcPr>
          <w:p w14:paraId="1C9ED7BA">
            <w:pPr>
              <w:ind w:firstLine="0" w:firstLineChars="0"/>
              <w:jc w:val="center"/>
              <w:rPr>
                <w:sz w:val="15"/>
                <w:szCs w:val="15"/>
              </w:rPr>
            </w:pPr>
            <w:bookmarkStart w:id="79" w:name="_Toc16604"/>
            <w:bookmarkStart w:id="80" w:name="_Toc17937"/>
            <w:bookmarkStart w:id="81" w:name="_Toc5790"/>
            <w:bookmarkStart w:id="82" w:name="_Toc10627"/>
            <w:bookmarkStart w:id="83" w:name="_Toc17411"/>
            <w:bookmarkStart w:id="84" w:name="_Toc31028"/>
            <w:bookmarkStart w:id="85" w:name="_Toc9171"/>
            <w:bookmarkStart w:id="86" w:name="_Toc13354"/>
            <w:bookmarkStart w:id="87" w:name="_Toc14108"/>
            <w:r>
              <w:rPr>
                <w:rFonts w:hint="eastAsia"/>
                <w:sz w:val="15"/>
                <w:szCs w:val="15"/>
              </w:rPr>
              <w:t>黏土</w:t>
            </w:r>
            <w:bookmarkEnd w:id="79"/>
            <w:bookmarkEnd w:id="80"/>
            <w:bookmarkEnd w:id="81"/>
            <w:bookmarkEnd w:id="82"/>
            <w:bookmarkEnd w:id="83"/>
            <w:bookmarkEnd w:id="84"/>
            <w:bookmarkEnd w:id="85"/>
            <w:bookmarkEnd w:id="86"/>
            <w:bookmarkEnd w:id="87"/>
          </w:p>
        </w:tc>
        <w:tc>
          <w:tcPr>
            <w:tcW w:w="1389" w:type="dxa"/>
            <w:tcBorders>
              <w:top w:val="single" w:color="auto" w:sz="6" w:space="0"/>
            </w:tcBorders>
            <w:vAlign w:val="center"/>
          </w:tcPr>
          <w:p w14:paraId="14C6C786">
            <w:pPr>
              <w:ind w:firstLine="0" w:firstLineChars="0"/>
              <w:jc w:val="center"/>
              <w:rPr>
                <w:sz w:val="15"/>
                <w:szCs w:val="15"/>
              </w:rPr>
            </w:pPr>
            <w:bookmarkStart w:id="88" w:name="_Toc6458"/>
            <w:bookmarkStart w:id="89" w:name="_Toc5574"/>
            <w:bookmarkStart w:id="90" w:name="_Toc5082"/>
            <w:bookmarkStart w:id="91" w:name="_Toc29678"/>
            <w:bookmarkStart w:id="92" w:name="_Toc26669"/>
            <w:bookmarkStart w:id="93" w:name="_Toc2625"/>
            <w:bookmarkStart w:id="94" w:name="_Toc12014"/>
            <w:bookmarkStart w:id="95" w:name="_Toc7979"/>
            <w:bookmarkStart w:id="96" w:name="_Toc25993"/>
            <w:r>
              <w:rPr>
                <w:rFonts w:hint="eastAsia"/>
                <w:sz w:val="15"/>
                <w:szCs w:val="15"/>
              </w:rPr>
              <w:t>3.4</w:t>
            </w:r>
            <w:bookmarkEnd w:id="88"/>
            <w:bookmarkEnd w:id="89"/>
            <w:bookmarkEnd w:id="90"/>
            <w:bookmarkEnd w:id="91"/>
            <w:bookmarkEnd w:id="92"/>
            <w:bookmarkEnd w:id="93"/>
            <w:bookmarkEnd w:id="94"/>
            <w:bookmarkEnd w:id="95"/>
            <w:bookmarkEnd w:id="96"/>
          </w:p>
        </w:tc>
        <w:tc>
          <w:tcPr>
            <w:tcW w:w="1389" w:type="dxa"/>
            <w:tcBorders>
              <w:top w:val="single" w:color="auto" w:sz="6" w:space="0"/>
            </w:tcBorders>
            <w:vAlign w:val="center"/>
          </w:tcPr>
          <w:p w14:paraId="28E12810">
            <w:pPr>
              <w:ind w:firstLine="0" w:firstLineChars="0"/>
              <w:jc w:val="center"/>
              <w:rPr>
                <w:sz w:val="15"/>
                <w:szCs w:val="15"/>
              </w:rPr>
            </w:pPr>
            <w:bookmarkStart w:id="97" w:name="_Toc16939"/>
            <w:bookmarkStart w:id="98" w:name="_Toc19832"/>
            <w:bookmarkStart w:id="99" w:name="_Toc4049"/>
            <w:bookmarkStart w:id="100" w:name="_Toc3525"/>
            <w:bookmarkStart w:id="101" w:name="_Toc15751"/>
            <w:bookmarkStart w:id="102" w:name="_Toc10762"/>
            <w:bookmarkStart w:id="103" w:name="_Toc15146"/>
            <w:bookmarkStart w:id="104" w:name="_Toc30707"/>
            <w:bookmarkStart w:id="105" w:name="_Toc19187"/>
            <w:r>
              <w:rPr>
                <w:rFonts w:hint="eastAsia"/>
                <w:sz w:val="15"/>
                <w:szCs w:val="15"/>
              </w:rPr>
              <w:t>0.36</w:t>
            </w:r>
            <w:bookmarkEnd w:id="97"/>
            <w:bookmarkEnd w:id="98"/>
            <w:bookmarkEnd w:id="99"/>
            <w:bookmarkEnd w:id="100"/>
            <w:bookmarkEnd w:id="101"/>
            <w:bookmarkEnd w:id="102"/>
            <w:bookmarkEnd w:id="103"/>
            <w:bookmarkEnd w:id="104"/>
            <w:bookmarkEnd w:id="105"/>
          </w:p>
        </w:tc>
        <w:tc>
          <w:tcPr>
            <w:tcW w:w="1389" w:type="dxa"/>
            <w:tcBorders>
              <w:top w:val="single" w:color="auto" w:sz="6" w:space="0"/>
            </w:tcBorders>
            <w:vAlign w:val="center"/>
          </w:tcPr>
          <w:p w14:paraId="60CAB31F">
            <w:pPr>
              <w:ind w:firstLine="0" w:firstLineChars="0"/>
              <w:jc w:val="center"/>
              <w:rPr>
                <w:sz w:val="15"/>
                <w:szCs w:val="15"/>
              </w:rPr>
            </w:pPr>
            <w:bookmarkStart w:id="106" w:name="_Toc13164"/>
            <w:bookmarkStart w:id="107" w:name="_Toc15425"/>
            <w:bookmarkStart w:id="108" w:name="_Toc119"/>
            <w:bookmarkStart w:id="109" w:name="_Toc8305"/>
            <w:bookmarkStart w:id="110" w:name="_Toc6859"/>
            <w:bookmarkStart w:id="111" w:name="_Toc18913"/>
            <w:bookmarkStart w:id="112" w:name="_Toc12570"/>
            <w:bookmarkStart w:id="113" w:name="_Toc8972"/>
            <w:bookmarkStart w:id="114" w:name="_Toc6935"/>
            <w:r>
              <w:rPr>
                <w:rFonts w:hint="eastAsia"/>
                <w:sz w:val="15"/>
                <w:szCs w:val="15"/>
              </w:rPr>
              <w:t>17</w:t>
            </w:r>
            <w:bookmarkEnd w:id="106"/>
            <w:bookmarkEnd w:id="107"/>
            <w:bookmarkEnd w:id="108"/>
            <w:bookmarkEnd w:id="109"/>
            <w:bookmarkEnd w:id="110"/>
            <w:bookmarkEnd w:id="111"/>
            <w:bookmarkEnd w:id="112"/>
            <w:bookmarkEnd w:id="113"/>
            <w:bookmarkEnd w:id="114"/>
            <w:r>
              <w:rPr>
                <w:rFonts w:hint="eastAsia"/>
                <w:sz w:val="15"/>
                <w:szCs w:val="15"/>
              </w:rPr>
              <w:t>40</w:t>
            </w:r>
          </w:p>
        </w:tc>
        <w:tc>
          <w:tcPr>
            <w:tcW w:w="1389" w:type="dxa"/>
            <w:tcBorders>
              <w:top w:val="single" w:color="auto" w:sz="6" w:space="0"/>
            </w:tcBorders>
            <w:vAlign w:val="center"/>
          </w:tcPr>
          <w:p w14:paraId="5B4686C6">
            <w:pPr>
              <w:ind w:firstLine="0" w:firstLineChars="0"/>
              <w:jc w:val="center"/>
              <w:rPr>
                <w:sz w:val="15"/>
                <w:szCs w:val="15"/>
              </w:rPr>
            </w:pPr>
            <w:bookmarkStart w:id="115" w:name="_Toc16802"/>
            <w:bookmarkStart w:id="116" w:name="_Toc25973"/>
            <w:bookmarkStart w:id="117" w:name="_Toc25264"/>
            <w:bookmarkStart w:id="118" w:name="_Toc19717"/>
            <w:bookmarkStart w:id="119" w:name="_Toc10734"/>
            <w:bookmarkStart w:id="120" w:name="_Toc12337"/>
            <w:bookmarkStart w:id="121" w:name="_Toc19805"/>
            <w:bookmarkStart w:id="122" w:name="_Toc1316"/>
            <w:bookmarkStart w:id="123" w:name="_Toc24640"/>
            <w:r>
              <w:rPr>
                <w:rFonts w:hint="eastAsia"/>
                <w:sz w:val="15"/>
                <w:szCs w:val="15"/>
              </w:rPr>
              <w:t>17</w:t>
            </w:r>
            <w:bookmarkEnd w:id="115"/>
            <w:bookmarkEnd w:id="116"/>
            <w:bookmarkEnd w:id="117"/>
            <w:bookmarkEnd w:id="118"/>
            <w:bookmarkEnd w:id="119"/>
            <w:bookmarkEnd w:id="120"/>
            <w:bookmarkEnd w:id="121"/>
            <w:bookmarkEnd w:id="122"/>
            <w:bookmarkEnd w:id="123"/>
          </w:p>
        </w:tc>
        <w:tc>
          <w:tcPr>
            <w:tcW w:w="1389" w:type="dxa"/>
            <w:tcBorders>
              <w:top w:val="single" w:color="auto" w:sz="6" w:space="0"/>
            </w:tcBorders>
            <w:vAlign w:val="center"/>
          </w:tcPr>
          <w:p w14:paraId="3BAD43F4">
            <w:pPr>
              <w:ind w:firstLine="0" w:firstLineChars="0"/>
              <w:jc w:val="center"/>
              <w:rPr>
                <w:sz w:val="15"/>
                <w:szCs w:val="15"/>
              </w:rPr>
            </w:pPr>
            <w:bookmarkStart w:id="124" w:name="_Toc27154"/>
            <w:bookmarkStart w:id="125" w:name="_Toc2922"/>
            <w:bookmarkStart w:id="126" w:name="_Toc6419"/>
            <w:bookmarkStart w:id="127" w:name="_Toc23054"/>
            <w:bookmarkStart w:id="128" w:name="_Toc26415"/>
            <w:bookmarkStart w:id="129" w:name="_Toc7498"/>
            <w:bookmarkStart w:id="130" w:name="_Toc17928"/>
            <w:bookmarkStart w:id="131" w:name="_Toc28561"/>
            <w:bookmarkStart w:id="132" w:name="_Toc27660"/>
            <w:r>
              <w:rPr>
                <w:rFonts w:hint="eastAsia"/>
                <w:sz w:val="15"/>
                <w:szCs w:val="15"/>
              </w:rPr>
              <w:t>25</w:t>
            </w:r>
            <w:bookmarkEnd w:id="124"/>
            <w:bookmarkEnd w:id="125"/>
            <w:bookmarkEnd w:id="126"/>
            <w:bookmarkEnd w:id="127"/>
            <w:bookmarkEnd w:id="128"/>
            <w:bookmarkEnd w:id="129"/>
            <w:bookmarkEnd w:id="130"/>
            <w:bookmarkEnd w:id="131"/>
            <w:bookmarkEnd w:id="132"/>
          </w:p>
        </w:tc>
      </w:tr>
      <w:tr w14:paraId="09757AE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 w:hRule="atLeast"/>
          <w:jc w:val="center"/>
        </w:trPr>
        <w:tc>
          <w:tcPr>
            <w:tcW w:w="1389" w:type="dxa"/>
            <w:vAlign w:val="center"/>
          </w:tcPr>
          <w:p w14:paraId="146EFBF0">
            <w:pPr>
              <w:ind w:firstLine="0" w:firstLineChars="0"/>
              <w:jc w:val="center"/>
              <w:rPr>
                <w:sz w:val="15"/>
                <w:szCs w:val="15"/>
              </w:rPr>
            </w:pPr>
            <w:bookmarkStart w:id="133" w:name="_Toc19925"/>
            <w:bookmarkStart w:id="134" w:name="_Toc16048"/>
            <w:bookmarkStart w:id="135" w:name="_Toc32235"/>
            <w:bookmarkStart w:id="136" w:name="_Toc2881"/>
            <w:bookmarkStart w:id="137" w:name="_Toc6024"/>
            <w:bookmarkStart w:id="138" w:name="_Toc5618"/>
            <w:bookmarkStart w:id="139" w:name="_Toc32383"/>
            <w:bookmarkStart w:id="140" w:name="_Toc27505"/>
            <w:bookmarkStart w:id="141" w:name="_Toc2720"/>
            <w:r>
              <w:rPr>
                <w:rFonts w:hint="eastAsia"/>
                <w:sz w:val="15"/>
                <w:szCs w:val="15"/>
              </w:rPr>
              <w:t>砂土</w:t>
            </w:r>
            <w:bookmarkEnd w:id="133"/>
            <w:bookmarkEnd w:id="134"/>
            <w:bookmarkEnd w:id="135"/>
            <w:bookmarkEnd w:id="136"/>
            <w:bookmarkEnd w:id="137"/>
            <w:bookmarkEnd w:id="138"/>
            <w:bookmarkEnd w:id="139"/>
            <w:bookmarkEnd w:id="140"/>
            <w:bookmarkEnd w:id="141"/>
          </w:p>
        </w:tc>
        <w:tc>
          <w:tcPr>
            <w:tcW w:w="1389" w:type="dxa"/>
            <w:vAlign w:val="center"/>
          </w:tcPr>
          <w:p w14:paraId="00C3D240">
            <w:pPr>
              <w:ind w:firstLine="0" w:firstLineChars="0"/>
              <w:jc w:val="center"/>
              <w:rPr>
                <w:sz w:val="15"/>
                <w:szCs w:val="15"/>
              </w:rPr>
            </w:pPr>
            <w:bookmarkStart w:id="142" w:name="_Toc27254"/>
            <w:bookmarkStart w:id="143" w:name="_Toc22723"/>
            <w:bookmarkStart w:id="144" w:name="_Toc916"/>
            <w:bookmarkStart w:id="145" w:name="_Toc21246"/>
            <w:bookmarkStart w:id="146" w:name="_Toc10205"/>
            <w:bookmarkStart w:id="147" w:name="_Toc32649"/>
            <w:bookmarkStart w:id="148" w:name="_Toc9076"/>
            <w:bookmarkStart w:id="149" w:name="_Toc19438"/>
            <w:bookmarkStart w:id="150" w:name="_Toc25054"/>
            <w:r>
              <w:rPr>
                <w:rFonts w:hint="eastAsia"/>
                <w:sz w:val="15"/>
                <w:szCs w:val="15"/>
              </w:rPr>
              <w:t>15.8</w:t>
            </w:r>
            <w:bookmarkEnd w:id="142"/>
            <w:bookmarkEnd w:id="143"/>
            <w:bookmarkEnd w:id="144"/>
            <w:bookmarkEnd w:id="145"/>
            <w:bookmarkEnd w:id="146"/>
            <w:bookmarkEnd w:id="147"/>
            <w:bookmarkEnd w:id="148"/>
            <w:bookmarkEnd w:id="149"/>
            <w:bookmarkEnd w:id="150"/>
          </w:p>
        </w:tc>
        <w:tc>
          <w:tcPr>
            <w:tcW w:w="1389" w:type="dxa"/>
            <w:vAlign w:val="center"/>
          </w:tcPr>
          <w:p w14:paraId="736598BB">
            <w:pPr>
              <w:ind w:firstLine="0" w:firstLineChars="0"/>
              <w:jc w:val="center"/>
              <w:rPr>
                <w:sz w:val="15"/>
                <w:szCs w:val="15"/>
              </w:rPr>
            </w:pPr>
            <w:bookmarkStart w:id="151" w:name="_Toc12002"/>
            <w:bookmarkStart w:id="152" w:name="_Toc18909"/>
            <w:bookmarkStart w:id="153" w:name="_Toc6309"/>
            <w:bookmarkStart w:id="154" w:name="_Toc26617"/>
            <w:bookmarkStart w:id="155" w:name="_Toc7326"/>
            <w:bookmarkStart w:id="156" w:name="_Toc6251"/>
            <w:bookmarkStart w:id="157" w:name="_Toc1424"/>
            <w:bookmarkStart w:id="158" w:name="_Toc9098"/>
            <w:bookmarkStart w:id="159" w:name="_Toc27915"/>
            <w:r>
              <w:rPr>
                <w:rFonts w:hint="eastAsia"/>
                <w:sz w:val="15"/>
                <w:szCs w:val="15"/>
              </w:rPr>
              <w:t>0.3</w:t>
            </w:r>
            <w:bookmarkEnd w:id="151"/>
            <w:bookmarkEnd w:id="152"/>
            <w:bookmarkEnd w:id="153"/>
            <w:bookmarkEnd w:id="154"/>
            <w:bookmarkEnd w:id="155"/>
            <w:bookmarkEnd w:id="156"/>
            <w:bookmarkEnd w:id="157"/>
            <w:bookmarkEnd w:id="158"/>
            <w:bookmarkEnd w:id="159"/>
          </w:p>
        </w:tc>
        <w:tc>
          <w:tcPr>
            <w:tcW w:w="1389" w:type="dxa"/>
            <w:vAlign w:val="center"/>
          </w:tcPr>
          <w:p w14:paraId="1BA13E54">
            <w:pPr>
              <w:ind w:firstLine="0" w:firstLineChars="0"/>
              <w:jc w:val="center"/>
              <w:rPr>
                <w:sz w:val="15"/>
                <w:szCs w:val="15"/>
              </w:rPr>
            </w:pPr>
            <w:bookmarkStart w:id="160" w:name="_Toc13944"/>
            <w:bookmarkStart w:id="161" w:name="_Toc8860"/>
            <w:bookmarkStart w:id="162" w:name="_Toc8936"/>
            <w:bookmarkStart w:id="163" w:name="_Toc11871"/>
            <w:bookmarkStart w:id="164" w:name="_Toc9786"/>
            <w:bookmarkStart w:id="165" w:name="_Toc16107"/>
            <w:bookmarkStart w:id="166" w:name="_Toc4843"/>
            <w:bookmarkStart w:id="167" w:name="_Toc25898"/>
            <w:bookmarkStart w:id="168" w:name="_Toc21913"/>
            <w:r>
              <w:rPr>
                <w:rFonts w:hint="eastAsia"/>
                <w:sz w:val="15"/>
                <w:szCs w:val="15"/>
              </w:rPr>
              <w:t>18</w:t>
            </w:r>
            <w:bookmarkEnd w:id="160"/>
            <w:bookmarkEnd w:id="161"/>
            <w:bookmarkEnd w:id="162"/>
            <w:bookmarkEnd w:id="163"/>
            <w:bookmarkEnd w:id="164"/>
            <w:bookmarkEnd w:id="165"/>
            <w:bookmarkEnd w:id="166"/>
            <w:bookmarkEnd w:id="167"/>
            <w:bookmarkEnd w:id="168"/>
            <w:r>
              <w:rPr>
                <w:rFonts w:hint="eastAsia"/>
                <w:sz w:val="15"/>
                <w:szCs w:val="15"/>
              </w:rPr>
              <w:t>80</w:t>
            </w:r>
          </w:p>
        </w:tc>
        <w:tc>
          <w:tcPr>
            <w:tcW w:w="1389" w:type="dxa"/>
            <w:vAlign w:val="center"/>
          </w:tcPr>
          <w:p w14:paraId="13E0D1A5">
            <w:pPr>
              <w:ind w:firstLine="0" w:firstLineChars="0"/>
              <w:jc w:val="center"/>
              <w:rPr>
                <w:sz w:val="15"/>
                <w:szCs w:val="15"/>
              </w:rPr>
            </w:pPr>
            <w:bookmarkStart w:id="169" w:name="_Toc21331"/>
            <w:bookmarkStart w:id="170" w:name="_Toc22251"/>
            <w:bookmarkStart w:id="171" w:name="_Toc2063"/>
            <w:bookmarkStart w:id="172" w:name="_Toc12682"/>
            <w:bookmarkStart w:id="173" w:name="_Toc12311"/>
            <w:bookmarkStart w:id="174" w:name="_Toc31979"/>
            <w:bookmarkStart w:id="175" w:name="_Toc5421"/>
            <w:bookmarkStart w:id="176" w:name="_Toc2819"/>
            <w:bookmarkStart w:id="177" w:name="_Toc13421"/>
            <w:r>
              <w:rPr>
                <w:rFonts w:hint="eastAsia"/>
                <w:sz w:val="15"/>
                <w:szCs w:val="15"/>
              </w:rPr>
              <w:t>30</w:t>
            </w:r>
            <w:bookmarkEnd w:id="169"/>
            <w:bookmarkEnd w:id="170"/>
            <w:bookmarkEnd w:id="171"/>
            <w:bookmarkEnd w:id="172"/>
            <w:bookmarkEnd w:id="173"/>
            <w:bookmarkEnd w:id="174"/>
            <w:bookmarkEnd w:id="175"/>
            <w:bookmarkEnd w:id="176"/>
            <w:bookmarkEnd w:id="177"/>
          </w:p>
        </w:tc>
        <w:tc>
          <w:tcPr>
            <w:tcW w:w="1389" w:type="dxa"/>
            <w:vAlign w:val="center"/>
          </w:tcPr>
          <w:p w14:paraId="32D7521A">
            <w:pPr>
              <w:ind w:firstLine="0" w:firstLineChars="0"/>
              <w:jc w:val="center"/>
              <w:rPr>
                <w:sz w:val="15"/>
                <w:szCs w:val="15"/>
              </w:rPr>
            </w:pPr>
            <w:bookmarkStart w:id="178" w:name="_Toc11572"/>
            <w:bookmarkStart w:id="179" w:name="_Toc5490"/>
            <w:bookmarkStart w:id="180" w:name="_Toc16038"/>
            <w:bookmarkStart w:id="181" w:name="_Toc5936"/>
            <w:bookmarkStart w:id="182" w:name="_Toc25382"/>
            <w:bookmarkStart w:id="183" w:name="_Toc15982"/>
            <w:bookmarkStart w:id="184" w:name="_Toc28365"/>
            <w:bookmarkStart w:id="185" w:name="_Toc31305"/>
            <w:bookmarkStart w:id="186" w:name="_Toc22039"/>
            <w:r>
              <w:rPr>
                <w:rFonts w:hint="eastAsia"/>
                <w:sz w:val="15"/>
                <w:szCs w:val="15"/>
              </w:rPr>
              <w:t>0.5</w:t>
            </w:r>
            <w:bookmarkEnd w:id="178"/>
            <w:bookmarkEnd w:id="179"/>
            <w:bookmarkEnd w:id="180"/>
            <w:bookmarkEnd w:id="181"/>
            <w:bookmarkEnd w:id="182"/>
            <w:bookmarkEnd w:id="183"/>
            <w:bookmarkEnd w:id="184"/>
            <w:bookmarkEnd w:id="185"/>
            <w:bookmarkEnd w:id="186"/>
          </w:p>
        </w:tc>
      </w:tr>
    </w:tbl>
    <w:p w14:paraId="7AF8A005">
      <w:pPr>
        <w:pStyle w:val="43"/>
        <w:numPr>
          <w:ilvl w:val="2"/>
          <w:numId w:val="2"/>
        </w:numPr>
        <w:spacing w:before="0" w:after="0"/>
        <w:jc w:val="both"/>
        <w:outlineLvl w:val="2"/>
        <w:rPr>
          <w:rFonts w:ascii="Times New Roman" w:hAnsi="Times New Roman" w:eastAsia="楷体"/>
          <w:b w:val="0"/>
        </w:rPr>
      </w:pPr>
      <w:r>
        <w:rPr>
          <w:rFonts w:hint="eastAsia" w:ascii="Times New Roman" w:hAnsi="Times New Roman" w:eastAsia="楷体"/>
          <w:b w:val="0"/>
        </w:rPr>
        <w:t>模型试验操作</w:t>
      </w:r>
    </w:p>
    <w:p w14:paraId="6A2FE570">
      <w:pPr>
        <w:ind w:firstLine="420"/>
      </w:pPr>
      <w:r>
        <w:t>首先，在墙身和接缝处</w:t>
      </w:r>
      <w:r>
        <w:rPr>
          <w:rFonts w:hint="eastAsia"/>
          <w:lang w:eastAsia="zh-CN"/>
        </w:rPr>
        <w:t>黏</w:t>
      </w:r>
      <w:r>
        <w:t>贴应变片，以监测墙体的应变和位移变化。应变片以10cm的等间距在墙身和接缝处布设，横竖布置以测量环向和竖向应变。墙体径向位移采用杠杆百分表测量，其量程为0</w:t>
      </w:r>
      <w:r>
        <w:rPr>
          <w:rFonts w:hint="eastAsia"/>
        </w:rPr>
        <w:t>~</w:t>
      </w:r>
      <w:r>
        <w:t>50mm。具体布置如图1</w:t>
      </w:r>
      <w:r>
        <w:rPr>
          <w:rFonts w:hint="eastAsia"/>
          <w:lang w:eastAsia="zh-CN"/>
        </w:rPr>
        <w:t>—</w:t>
      </w:r>
      <w:r>
        <w:t>3所示。布置完成后，</w:t>
      </w:r>
      <w:r>
        <w:rPr>
          <w:rFonts w:hint="eastAsia"/>
        </w:rPr>
        <w:t>先用透明</w:t>
      </w:r>
      <w:r>
        <w:t>胶</w:t>
      </w:r>
      <w:r>
        <w:rPr>
          <w:rFonts w:hint="eastAsia"/>
        </w:rPr>
        <w:t>带</w:t>
      </w:r>
      <w:r>
        <w:rPr>
          <w:rFonts w:hint="eastAsia"/>
          <w:lang w:eastAsia="zh-CN"/>
        </w:rPr>
        <w:t>黏</w:t>
      </w:r>
      <w:r>
        <w:rPr>
          <w:rFonts w:hint="eastAsia"/>
        </w:rPr>
        <w:t>贴</w:t>
      </w:r>
      <w:r>
        <w:t>接缝</w:t>
      </w:r>
      <w:r>
        <w:rPr>
          <w:rFonts w:hint="eastAsia"/>
        </w:rPr>
        <w:t>，</w:t>
      </w:r>
      <w:r>
        <w:t>防</w:t>
      </w:r>
      <w:r>
        <w:rPr>
          <w:rFonts w:hint="eastAsia"/>
        </w:rPr>
        <w:t>止</w:t>
      </w:r>
      <w:r>
        <w:t>砂土渗漏</w:t>
      </w:r>
      <w:r>
        <w:rPr>
          <w:rFonts w:hint="eastAsia"/>
        </w:rPr>
        <w:t>；然后</w:t>
      </w:r>
      <w:r>
        <w:t>将模型墙放入</w:t>
      </w:r>
      <w:r>
        <w:rPr>
          <w:rFonts w:hint="eastAsia"/>
        </w:rPr>
        <w:t>槽内</w:t>
      </w:r>
      <w:r>
        <w:t>，并回填砂土至标注50cm处。填土后，连接调试测试系统，确保测量元件正常工作和数据传输稳定。最后，进行分级（0kPa、3 kPa、5 kPa、7 kPa、9 kPa）加载，沿模型外围进行砝码加载，记录模型墙体的应变、位移等试验数据。</w:t>
      </w:r>
    </w:p>
    <w:p w14:paraId="4A81F2EC">
      <w:pPr>
        <w:pStyle w:val="32"/>
        <w:numPr>
          <w:ilvl w:val="0"/>
          <w:numId w:val="2"/>
        </w:numPr>
        <w:ind w:firstLineChars="0"/>
        <w:outlineLvl w:val="0"/>
        <w:rPr>
          <w:bCs/>
          <w:sz w:val="28"/>
        </w:rPr>
      </w:pPr>
      <w:r>
        <w:rPr>
          <w:rFonts w:hint="eastAsia"/>
          <w:bCs/>
          <w:sz w:val="28"/>
        </w:rPr>
        <w:t xml:space="preserve"> 试验数据分析</w:t>
      </w:r>
    </w:p>
    <w:p w14:paraId="76511D86">
      <w:pPr>
        <w:pStyle w:val="43"/>
        <w:numPr>
          <w:ilvl w:val="1"/>
          <w:numId w:val="2"/>
        </w:numPr>
        <w:spacing w:before="0" w:after="0"/>
        <w:jc w:val="both"/>
        <w:outlineLvl w:val="1"/>
        <w:rPr>
          <w:rFonts w:ascii="Times New Roman" w:hAnsi="Times New Roman" w:eastAsia="黑体"/>
          <w:b w:val="0"/>
        </w:rPr>
      </w:pPr>
      <w:r>
        <w:rPr>
          <w:rFonts w:hint="eastAsia" w:ascii="Times New Roman" w:hAnsi="Times New Roman" w:eastAsia="黑体"/>
          <w:b w:val="0"/>
        </w:rPr>
        <w:t xml:space="preserve"> 分级加载下的受力变形</w:t>
      </w:r>
    </w:p>
    <w:p w14:paraId="34DA3213">
      <w:pPr>
        <w:ind w:firstLine="420"/>
      </w:pPr>
      <w:r>
        <w:t>通过对地连墙进行逐级加载，模拟土压力随深度变化的情况。选取两条接缝、王字钢接头模型，从0</w:t>
      </w:r>
      <w:r>
        <w:rPr>
          <w:rFonts w:hint="eastAsia"/>
        </w:rPr>
        <w:t>~</w:t>
      </w:r>
      <w:r>
        <w:t>9kPa进行逐级加载，探究王字钢接头地连墙墙体在不同加载条件下的竖向应力和环向应力墙身的分布变化规律。</w:t>
      </w:r>
      <w:r>
        <w:rPr>
          <w:rFonts w:hint="eastAsia"/>
        </w:rPr>
        <w:t>在本文的论述中应力状态规定，正值为拉应力，负值为压应力。</w:t>
      </w:r>
    </w:p>
    <w:p w14:paraId="31462025">
      <w:pPr>
        <w:pStyle w:val="43"/>
        <w:numPr>
          <w:ilvl w:val="2"/>
          <w:numId w:val="2"/>
        </w:numPr>
        <w:spacing w:before="0" w:after="0"/>
        <w:jc w:val="both"/>
        <w:outlineLvl w:val="2"/>
        <w:rPr>
          <w:rFonts w:ascii="Times New Roman" w:hAnsi="Times New Roman" w:eastAsia="楷体"/>
          <w:b w:val="0"/>
        </w:rPr>
      </w:pPr>
      <w:r>
        <w:rPr>
          <w:rFonts w:hint="eastAsia" w:ascii="Times New Roman" w:hAnsi="Times New Roman" w:eastAsia="楷体"/>
          <w:b w:val="0"/>
        </w:rPr>
        <w:t>竖向应力的变化</w:t>
      </w:r>
      <w:bookmarkStart w:id="187" w:name="_Hlk162865794"/>
      <w:bookmarkStart w:id="188" w:name="_Toc28032"/>
      <w:bookmarkStart w:id="189" w:name="_Toc198"/>
    </w:p>
    <w:p w14:paraId="7526AEB7">
      <w:pPr>
        <w:ind w:firstLine="420"/>
      </w:pPr>
      <w:r>
        <w:t>从图7可知，逐级加载下的竖向应力呈直线增长，应力随荷载增加而增大。在低荷载阶段（0</w:t>
      </w:r>
      <w:r>
        <w:rPr>
          <w:rFonts w:hint="eastAsia"/>
        </w:rPr>
        <w:t>~</w:t>
      </w:r>
      <w:r>
        <w:t>3kPa），竖向应力变化较小；在中荷载阶段（3</w:t>
      </w:r>
      <w:r>
        <w:rPr>
          <w:rFonts w:hint="eastAsia"/>
        </w:rPr>
        <w:t>~</w:t>
      </w:r>
      <w:r>
        <w:t>7kPa），应力显著增长，四个测点的应力值差异增大，特别是较深位置（墙深30cm以下），应力增长加快；在高荷载阶段（9kPa），应力达到最大值，主要由于荷载传递集中在墙体底部，导致底部竖向应力显著增大。从图8可知，墙身处和接缝处的应力存在一定差异。</w:t>
      </w:r>
    </w:p>
    <w:p w14:paraId="7C44311D">
      <w:pPr>
        <w:ind w:firstLine="0" w:firstLineChars="0"/>
        <w:jc w:val="center"/>
      </w:pPr>
      <w:r>
        <w:rPr>
          <w:rFonts w:hint="eastAsia"/>
        </w:rPr>
        <w:drawing>
          <wp:inline distT="0" distB="0" distL="0" distR="0">
            <wp:extent cx="2880360" cy="2203450"/>
            <wp:effectExtent l="0" t="0" r="0" b="6350"/>
            <wp:docPr id="53899038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8990383" name="图片 13"/>
                    <pic:cNvPicPr>
                      <a:picLocks noChangeAspect="1" noChangeArrowheads="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880360" cy="2203704"/>
                    </a:xfrm>
                    <a:prstGeom prst="rect">
                      <a:avLst/>
                    </a:prstGeom>
                    <a:noFill/>
                    <a:ln>
                      <a:noFill/>
                    </a:ln>
                  </pic:spPr>
                </pic:pic>
              </a:graphicData>
            </a:graphic>
          </wp:inline>
        </w:drawing>
      </w:r>
    </w:p>
    <w:p w14:paraId="52D684D6">
      <w:pPr>
        <w:ind w:firstLine="0" w:firstLineChars="0"/>
        <w:jc w:val="center"/>
        <w:rPr>
          <w:rFonts w:eastAsia="黑体"/>
          <w:sz w:val="18"/>
          <w:szCs w:val="18"/>
        </w:rPr>
      </w:pPr>
      <w:r>
        <w:rPr>
          <w:rFonts w:hint="eastAsia" w:eastAsia="黑体"/>
          <w:sz w:val="18"/>
          <w:szCs w:val="18"/>
        </w:rPr>
        <w:t>图7  逐级加载下墙身竖向应力</w:t>
      </w:r>
    </w:p>
    <w:p w14:paraId="7500275F">
      <w:pPr>
        <w:ind w:firstLine="0" w:firstLineChars="0"/>
        <w:jc w:val="center"/>
        <w:rPr>
          <w:rFonts w:eastAsia="黑体"/>
          <w:sz w:val="18"/>
          <w:szCs w:val="18"/>
        </w:rPr>
      </w:pPr>
      <w:r>
        <w:rPr>
          <w:rFonts w:eastAsia="黑体"/>
          <w:sz w:val="18"/>
          <w:szCs w:val="18"/>
        </w:rPr>
        <w:drawing>
          <wp:inline distT="0" distB="0" distL="0" distR="0">
            <wp:extent cx="2880360" cy="2203450"/>
            <wp:effectExtent l="0" t="0" r="0" b="6350"/>
            <wp:docPr id="179967435"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67435" name="图片 11"/>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880360" cy="2203704"/>
                    </a:xfrm>
                    <a:prstGeom prst="rect">
                      <a:avLst/>
                    </a:prstGeom>
                    <a:noFill/>
                    <a:ln>
                      <a:noFill/>
                    </a:ln>
                  </pic:spPr>
                </pic:pic>
              </a:graphicData>
            </a:graphic>
          </wp:inline>
        </w:drawing>
      </w:r>
    </w:p>
    <w:p w14:paraId="1E2BC07D">
      <w:pPr>
        <w:ind w:firstLine="0" w:firstLineChars="0"/>
        <w:jc w:val="center"/>
        <w:rPr>
          <w:rFonts w:eastAsia="黑体"/>
          <w:sz w:val="18"/>
          <w:szCs w:val="18"/>
        </w:rPr>
      </w:pPr>
      <w:r>
        <w:rPr>
          <w:rFonts w:hint="eastAsia" w:eastAsia="黑体"/>
          <w:sz w:val="18"/>
          <w:szCs w:val="18"/>
        </w:rPr>
        <w:t>图8  最后一级加载下墙身处与接缝处竖向应力对比</w:t>
      </w:r>
    </w:p>
    <w:bookmarkEnd w:id="187"/>
    <w:bookmarkEnd w:id="188"/>
    <w:bookmarkEnd w:id="189"/>
    <w:p w14:paraId="69DEDFC7">
      <w:pPr>
        <w:pStyle w:val="43"/>
        <w:numPr>
          <w:ilvl w:val="2"/>
          <w:numId w:val="2"/>
        </w:numPr>
        <w:spacing w:before="0" w:after="0"/>
        <w:jc w:val="both"/>
        <w:outlineLvl w:val="2"/>
        <w:rPr>
          <w:rFonts w:ascii="Times New Roman" w:hAnsi="Times New Roman" w:eastAsia="楷体"/>
          <w:b w:val="0"/>
        </w:rPr>
      </w:pPr>
      <w:bookmarkStart w:id="190" w:name="_Toc30042"/>
      <w:bookmarkStart w:id="191" w:name="_Toc154"/>
      <w:bookmarkStart w:id="192" w:name="_Toc31644"/>
      <w:bookmarkStart w:id="193" w:name="_Toc11054"/>
      <w:bookmarkStart w:id="194" w:name="_Toc9418"/>
      <w:bookmarkStart w:id="195" w:name="_Toc10922"/>
      <w:bookmarkStart w:id="196" w:name="_Toc26901"/>
      <w:bookmarkStart w:id="197" w:name="_Toc4860"/>
      <w:r>
        <w:rPr>
          <w:rFonts w:hint="eastAsia" w:ascii="Times New Roman" w:hAnsi="Times New Roman" w:eastAsia="楷体"/>
          <w:b w:val="0"/>
        </w:rPr>
        <w:t>环向应力的变</w:t>
      </w:r>
      <w:bookmarkEnd w:id="190"/>
      <w:bookmarkEnd w:id="191"/>
      <w:bookmarkEnd w:id="192"/>
      <w:bookmarkEnd w:id="193"/>
      <w:bookmarkEnd w:id="194"/>
      <w:bookmarkEnd w:id="195"/>
      <w:bookmarkEnd w:id="196"/>
      <w:bookmarkEnd w:id="197"/>
      <w:r>
        <w:rPr>
          <w:rFonts w:hint="eastAsia" w:ascii="Times New Roman" w:hAnsi="Times New Roman" w:eastAsia="楷体"/>
          <w:b w:val="0"/>
        </w:rPr>
        <w:t>化</w:t>
      </w:r>
    </w:p>
    <w:p w14:paraId="5803E777">
      <w:pPr>
        <w:ind w:firstLine="420"/>
      </w:pPr>
      <w:bookmarkStart w:id="198" w:name="_Toc9495"/>
      <w:bookmarkStart w:id="199" w:name="_Toc19343"/>
      <w:bookmarkStart w:id="200" w:name="_Toc15472"/>
      <w:bookmarkStart w:id="201" w:name="_Toc6931"/>
      <w:bookmarkStart w:id="202" w:name="_Toc21111"/>
      <w:bookmarkStart w:id="203" w:name="_Toc25871"/>
      <w:bookmarkStart w:id="204" w:name="_Toc11989"/>
      <w:bookmarkStart w:id="205" w:name="_Toc6338"/>
      <w:bookmarkStart w:id="206" w:name="_Toc6104"/>
      <w:bookmarkStart w:id="207" w:name="_Toc31789"/>
      <w:r>
        <w:t>从图9可知，逐级加载下环向应力与竖向应力变化趋势</w:t>
      </w:r>
      <w:r>
        <w:rPr>
          <w:rFonts w:hint="eastAsia"/>
        </w:rPr>
        <w:t>一致</w:t>
      </w:r>
      <w:r>
        <w:t>，随着荷载和深度的增加，环向应力逐渐增大，且在中、高荷载阶段增幅更加显著，在最后一级加载时达到最大值，但在墙身中下部（30cm以下）应力增幅有所减缓；在相同深度和加载条件下，环向应力通常大于竖向应力。例如，在 9kPa加载下，墙深40cm处的环向压应力为2632.87kPa，是竖向应力的1.95倍。</w:t>
      </w:r>
      <w:r>
        <w:rPr>
          <w:rFonts w:hint="eastAsia"/>
        </w:rPr>
        <w:t>这是由于圆形地连墙的拱效应，环向轴力的有效分布，显著平衡了外部土压力，形成较大的环向应力</w:t>
      </w:r>
      <w:r>
        <w:t>；从图10可知，接缝处和墙身处环向应力的差异相较于竖向应力更明显。</w:t>
      </w:r>
    </w:p>
    <w:p w14:paraId="651CE58E">
      <w:pPr>
        <w:pStyle w:val="32"/>
        <w:ind w:firstLine="0" w:firstLineChars="0"/>
        <w:jc w:val="center"/>
      </w:pPr>
      <w:r>
        <w:drawing>
          <wp:inline distT="0" distB="0" distL="0" distR="0">
            <wp:extent cx="2880360" cy="2203450"/>
            <wp:effectExtent l="0" t="0" r="0" b="6350"/>
            <wp:docPr id="158326017"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326017" name="图片 12"/>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880360" cy="2203704"/>
                    </a:xfrm>
                    <a:prstGeom prst="rect">
                      <a:avLst/>
                    </a:prstGeom>
                    <a:noFill/>
                    <a:ln>
                      <a:noFill/>
                    </a:ln>
                  </pic:spPr>
                </pic:pic>
              </a:graphicData>
            </a:graphic>
          </wp:inline>
        </w:drawing>
      </w:r>
    </w:p>
    <w:p w14:paraId="54F87FB1">
      <w:pPr>
        <w:ind w:firstLine="0" w:firstLineChars="0"/>
        <w:jc w:val="center"/>
        <w:rPr>
          <w:rFonts w:eastAsia="黑体"/>
          <w:sz w:val="18"/>
          <w:szCs w:val="18"/>
        </w:rPr>
      </w:pPr>
      <w:r>
        <w:rPr>
          <w:rFonts w:hint="eastAsia" w:eastAsia="黑体"/>
          <w:sz w:val="18"/>
          <w:szCs w:val="18"/>
        </w:rPr>
        <w:t>图9  逐级加载下墙身环向应力</w:t>
      </w:r>
    </w:p>
    <w:p w14:paraId="263BD2CD">
      <w:pPr>
        <w:pStyle w:val="32"/>
        <w:ind w:firstLine="0" w:firstLineChars="0"/>
        <w:jc w:val="center"/>
      </w:pPr>
      <w:r>
        <w:drawing>
          <wp:inline distT="0" distB="0" distL="0" distR="0">
            <wp:extent cx="2880360" cy="2203450"/>
            <wp:effectExtent l="0" t="0" r="0" b="6350"/>
            <wp:docPr id="586167685"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167685" name="图片 16"/>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880360" cy="2203704"/>
                    </a:xfrm>
                    <a:prstGeom prst="rect">
                      <a:avLst/>
                    </a:prstGeom>
                    <a:noFill/>
                    <a:ln>
                      <a:noFill/>
                    </a:ln>
                  </pic:spPr>
                </pic:pic>
              </a:graphicData>
            </a:graphic>
          </wp:inline>
        </w:drawing>
      </w:r>
    </w:p>
    <w:p w14:paraId="396FB5F6">
      <w:pPr>
        <w:ind w:firstLine="0" w:firstLineChars="0"/>
        <w:jc w:val="center"/>
        <w:rPr>
          <w:rFonts w:eastAsia="黑体"/>
          <w:sz w:val="18"/>
          <w:szCs w:val="18"/>
        </w:rPr>
      </w:pPr>
      <w:r>
        <w:rPr>
          <w:rFonts w:hint="eastAsia" w:eastAsia="黑体"/>
          <w:sz w:val="18"/>
          <w:szCs w:val="18"/>
        </w:rPr>
        <w:t>图10  最后一级加载下墙身处与接缝处环向应力对比</w:t>
      </w:r>
    </w:p>
    <w:bookmarkEnd w:id="198"/>
    <w:bookmarkEnd w:id="199"/>
    <w:bookmarkEnd w:id="200"/>
    <w:bookmarkEnd w:id="201"/>
    <w:bookmarkEnd w:id="202"/>
    <w:bookmarkEnd w:id="203"/>
    <w:bookmarkEnd w:id="204"/>
    <w:bookmarkEnd w:id="205"/>
    <w:bookmarkEnd w:id="206"/>
    <w:bookmarkEnd w:id="207"/>
    <w:p w14:paraId="67E53AA5">
      <w:pPr>
        <w:pStyle w:val="43"/>
        <w:numPr>
          <w:ilvl w:val="1"/>
          <w:numId w:val="2"/>
        </w:numPr>
        <w:spacing w:before="0" w:after="0"/>
        <w:jc w:val="both"/>
        <w:outlineLvl w:val="1"/>
        <w:rPr>
          <w:rFonts w:ascii="Times New Roman" w:hAnsi="Times New Roman" w:eastAsia="黑体"/>
          <w:b w:val="0"/>
        </w:rPr>
      </w:pPr>
      <w:bookmarkStart w:id="208" w:name="_Toc16401"/>
      <w:bookmarkStart w:id="209" w:name="_Toc30210"/>
      <w:bookmarkStart w:id="210" w:name="_Toc32756"/>
      <w:bookmarkStart w:id="211" w:name="_Toc25009"/>
      <w:bookmarkStart w:id="212" w:name="_Toc20151"/>
      <w:bookmarkStart w:id="213" w:name="_Toc1830"/>
      <w:bookmarkStart w:id="214" w:name="_Toc1427"/>
      <w:bookmarkStart w:id="215" w:name="_Toc15491"/>
      <w:r>
        <w:rPr>
          <w:rFonts w:hint="eastAsia" w:ascii="Times New Roman" w:hAnsi="Times New Roman" w:eastAsia="黑体"/>
          <w:b w:val="0"/>
        </w:rPr>
        <w:t xml:space="preserve"> 接头形式</w:t>
      </w:r>
      <w:bookmarkEnd w:id="208"/>
      <w:bookmarkEnd w:id="209"/>
      <w:bookmarkEnd w:id="210"/>
      <w:bookmarkEnd w:id="211"/>
      <w:bookmarkEnd w:id="212"/>
      <w:bookmarkEnd w:id="213"/>
      <w:bookmarkEnd w:id="214"/>
      <w:bookmarkEnd w:id="215"/>
      <w:r>
        <w:rPr>
          <w:rFonts w:hint="eastAsia" w:ascii="Times New Roman" w:hAnsi="Times New Roman" w:eastAsia="黑体"/>
          <w:b w:val="0"/>
        </w:rPr>
        <w:t>的影响</w:t>
      </w:r>
    </w:p>
    <w:p w14:paraId="04980D17">
      <w:pPr>
        <w:ind w:firstLine="420"/>
      </w:pPr>
      <w:r>
        <w:rPr>
          <w:rFonts w:hint="eastAsia"/>
        </w:rPr>
        <w:t>从上一节的分级加载试验结果可知，墙身处和接缝处的应力存在差异，</w:t>
      </w:r>
      <w:r>
        <w:t>这些差异为进一步分析不同接头形式对墙体性能的影响提供了依据。不同的接头形式，如无接</w:t>
      </w:r>
      <w:r>
        <w:rPr>
          <w:rFonts w:hint="eastAsia"/>
        </w:rPr>
        <w:t>缝</w:t>
      </w:r>
      <w:r>
        <w:t>、</w:t>
      </w:r>
      <w:r>
        <w:rPr>
          <w:rFonts w:hint="eastAsia"/>
        </w:rPr>
        <w:t>十字钢、</w:t>
      </w:r>
      <w:r>
        <w:t>工字钢、王字钢接头和接头管，可能会在应力分布和传递特性上产生显著的影响。本节</w:t>
      </w:r>
      <w:r>
        <w:rPr>
          <w:rFonts w:hint="eastAsia"/>
        </w:rPr>
        <w:t>将分析在最后荷载</w:t>
      </w:r>
      <w:r>
        <w:t>一级荷载</w:t>
      </w:r>
      <w:r>
        <w:rPr>
          <w:rFonts w:hint="eastAsia"/>
        </w:rPr>
        <w:t>加载下，</w:t>
      </w:r>
      <w:bookmarkStart w:id="216" w:name="_Toc19104"/>
      <w:bookmarkStart w:id="217" w:name="_Toc18923"/>
      <w:bookmarkStart w:id="218" w:name="_Toc26493"/>
      <w:bookmarkStart w:id="219" w:name="_Toc19364"/>
      <w:bookmarkStart w:id="220" w:name="_Toc4326"/>
      <w:bookmarkStart w:id="221" w:name="_Toc21655"/>
      <w:bookmarkStart w:id="222" w:name="_Toc24544"/>
      <w:bookmarkStart w:id="223" w:name="_Toc28589"/>
      <w:r>
        <w:rPr>
          <w:rFonts w:hint="eastAsia"/>
        </w:rPr>
        <w:t>一条接缝情况下，接头形式变化对墙体应力和位移的影响。</w:t>
      </w:r>
    </w:p>
    <w:p w14:paraId="250D262D">
      <w:pPr>
        <w:pStyle w:val="43"/>
        <w:numPr>
          <w:ilvl w:val="2"/>
          <w:numId w:val="2"/>
        </w:numPr>
        <w:spacing w:before="0" w:after="0"/>
        <w:jc w:val="both"/>
        <w:outlineLvl w:val="2"/>
        <w:rPr>
          <w:rFonts w:ascii="Times New Roman" w:hAnsi="Times New Roman" w:eastAsia="楷体"/>
          <w:b w:val="0"/>
        </w:rPr>
      </w:pPr>
      <w:r>
        <w:rPr>
          <w:rFonts w:hint="eastAsia" w:ascii="Times New Roman" w:hAnsi="Times New Roman" w:eastAsia="楷体"/>
          <w:b w:val="0"/>
        </w:rPr>
        <w:t>竖向应力对比</w:t>
      </w:r>
      <w:bookmarkEnd w:id="216"/>
      <w:bookmarkEnd w:id="217"/>
      <w:bookmarkEnd w:id="218"/>
      <w:bookmarkEnd w:id="219"/>
      <w:bookmarkEnd w:id="220"/>
      <w:bookmarkEnd w:id="221"/>
      <w:bookmarkEnd w:id="222"/>
      <w:bookmarkEnd w:id="223"/>
    </w:p>
    <w:p w14:paraId="781937BB">
      <w:pPr>
        <w:ind w:firstLine="420"/>
      </w:pPr>
      <w:r>
        <w:t>从图</w:t>
      </w:r>
      <w:r>
        <w:rPr>
          <w:rFonts w:hint="eastAsia"/>
        </w:rPr>
        <w:t>11可知</w:t>
      </w:r>
      <w:r>
        <w:t>，墙体四个测点的竖向应力随深度增加而增大，在底部达到最大值，</w:t>
      </w:r>
      <w:r>
        <w:rPr>
          <w:rFonts w:hint="eastAsia"/>
        </w:rPr>
        <w:t>这</w:t>
      </w:r>
      <w:r>
        <w:t>符合</w:t>
      </w:r>
      <w:r>
        <w:rPr>
          <w:rFonts w:hint="eastAsia"/>
        </w:rPr>
        <w:t>竖向应力分布</w:t>
      </w:r>
      <w:r>
        <w:t>规律</w:t>
      </w:r>
      <w:r>
        <w:rPr>
          <w:rFonts w:hint="eastAsia"/>
        </w:rPr>
        <w:t>；</w:t>
      </w:r>
      <w:r>
        <w:t>竖向应力随着接头刚度的</w:t>
      </w:r>
      <w:r>
        <w:rPr>
          <w:rFonts w:hint="eastAsia"/>
        </w:rPr>
        <w:t>增大而增大</w:t>
      </w:r>
      <w:r>
        <w:t>，这</w:t>
      </w:r>
      <w:r>
        <w:rPr>
          <w:rFonts w:hint="eastAsia"/>
        </w:rPr>
        <w:t>一趋势</w:t>
      </w:r>
      <w:r>
        <w:t>在墙体中下部</w:t>
      </w:r>
      <w:r>
        <w:rPr>
          <w:rFonts w:hint="eastAsia"/>
        </w:rPr>
        <w:t>尤</w:t>
      </w:r>
      <w:r>
        <w:t>为明显</w:t>
      </w:r>
      <w:r>
        <w:rPr>
          <w:rFonts w:hint="eastAsia"/>
        </w:rPr>
        <w:t>。</w:t>
      </w:r>
      <w:r>
        <w:t>不同接头形式的应力</w:t>
      </w:r>
      <w:r>
        <w:rPr>
          <w:rFonts w:hint="eastAsia"/>
        </w:rPr>
        <w:t>差异随接头刚度的变化而增大，表明</w:t>
      </w:r>
      <w:r>
        <w:t>接头刚度的不同</w:t>
      </w:r>
      <w:r>
        <w:rPr>
          <w:rFonts w:hint="eastAsia"/>
        </w:rPr>
        <w:t>直接影响到竖向应力的</w:t>
      </w:r>
      <w:r>
        <w:t>分布</w:t>
      </w:r>
      <w:r>
        <w:rPr>
          <w:rFonts w:hint="eastAsia"/>
        </w:rPr>
        <w:t>和大小</w:t>
      </w:r>
      <w:r>
        <w:t>。</w:t>
      </w:r>
      <w:r>
        <w:rPr>
          <w:rFonts w:hint="eastAsia"/>
        </w:rPr>
        <w:t>刚性接头（如王字钢、工字钢、十字钢）通常</w:t>
      </w:r>
      <w:r>
        <w:t>能够较好地传递和分散荷载</w:t>
      </w:r>
      <w:r>
        <w:rPr>
          <w:rFonts w:hint="eastAsia"/>
        </w:rPr>
        <w:t>，从而减小应力集中；柔性接头（如接头管）则容易在接头处产生较大的应力集中，影响整体稳定性。例如，</w:t>
      </w:r>
      <w:r>
        <w:t>墙</w:t>
      </w:r>
      <w:r>
        <w:rPr>
          <w:rFonts w:hint="eastAsia"/>
        </w:rPr>
        <w:t>深</w:t>
      </w:r>
      <w:r>
        <w:t>40 cm处，接头管</w:t>
      </w:r>
      <w:r>
        <w:rPr>
          <w:rFonts w:hint="eastAsia"/>
        </w:rPr>
        <w:t>竖向压</w:t>
      </w:r>
      <w:r>
        <w:t>应力</w:t>
      </w:r>
      <w:r>
        <w:rPr>
          <w:rFonts w:hint="eastAsia"/>
        </w:rPr>
        <w:t>值为1010.12kPa，刚性接头的平均应力值是它的1.2倍；从图12可知，</w:t>
      </w:r>
      <w:r>
        <w:t>接缝处的竖向应力值</w:t>
      </w:r>
      <w:r>
        <w:rPr>
          <w:rFonts w:hint="eastAsia"/>
        </w:rPr>
        <w:t>普遍低于</w:t>
      </w:r>
      <w:r>
        <w:t>墙身处的应力值。</w:t>
      </w:r>
      <w:r>
        <w:rPr>
          <w:rFonts w:hint="eastAsia"/>
        </w:rPr>
        <w:t>这是由于理想化的无接缝地连墙具有最大的整体刚度，能够均匀传递和分布应力。带接缝的墙体在接缝处刚度较低，承载能力减弱，会出现应力分布不均匀现象。</w:t>
      </w:r>
    </w:p>
    <w:p w14:paraId="6999D47A">
      <w:pPr>
        <w:ind w:firstLine="0" w:firstLineChars="0"/>
        <w:jc w:val="center"/>
      </w:pPr>
      <w:r>
        <w:drawing>
          <wp:inline distT="0" distB="0" distL="0" distR="0">
            <wp:extent cx="2880360" cy="2203450"/>
            <wp:effectExtent l="0" t="0" r="0" b="6350"/>
            <wp:docPr id="1060863026"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0863026" name="图片 15"/>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880360" cy="2203704"/>
                    </a:xfrm>
                    <a:prstGeom prst="rect">
                      <a:avLst/>
                    </a:prstGeom>
                    <a:noFill/>
                    <a:ln>
                      <a:noFill/>
                    </a:ln>
                  </pic:spPr>
                </pic:pic>
              </a:graphicData>
            </a:graphic>
          </wp:inline>
        </w:drawing>
      </w:r>
    </w:p>
    <w:p w14:paraId="1F577BD8">
      <w:pPr>
        <w:ind w:firstLine="0" w:firstLineChars="0"/>
        <w:jc w:val="center"/>
        <w:rPr>
          <w:rFonts w:eastAsia="黑体"/>
          <w:sz w:val="18"/>
          <w:szCs w:val="18"/>
        </w:rPr>
      </w:pPr>
      <w:r>
        <w:rPr>
          <w:rFonts w:hint="eastAsia" w:eastAsia="黑体"/>
          <w:sz w:val="18"/>
          <w:szCs w:val="18"/>
        </w:rPr>
        <w:t>图11  不同接头形式墙身处竖向应力</w:t>
      </w:r>
    </w:p>
    <w:p w14:paraId="7FB1B1B1">
      <w:pPr>
        <w:ind w:firstLine="0" w:firstLineChars="0"/>
        <w:jc w:val="center"/>
      </w:pPr>
      <w:r>
        <w:drawing>
          <wp:inline distT="0" distB="0" distL="0" distR="0">
            <wp:extent cx="2880360" cy="2203450"/>
            <wp:effectExtent l="0" t="0" r="0" b="6350"/>
            <wp:docPr id="1349866040"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9866040" name="图片 17"/>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880360" cy="2203704"/>
                    </a:xfrm>
                    <a:prstGeom prst="rect">
                      <a:avLst/>
                    </a:prstGeom>
                    <a:noFill/>
                    <a:ln>
                      <a:noFill/>
                    </a:ln>
                  </pic:spPr>
                </pic:pic>
              </a:graphicData>
            </a:graphic>
          </wp:inline>
        </w:drawing>
      </w:r>
    </w:p>
    <w:p w14:paraId="51F01DEE">
      <w:pPr>
        <w:ind w:firstLine="0" w:firstLineChars="0"/>
        <w:jc w:val="center"/>
        <w:rPr>
          <w:rFonts w:eastAsia="黑体"/>
          <w:sz w:val="18"/>
          <w:szCs w:val="18"/>
        </w:rPr>
      </w:pPr>
      <w:r>
        <w:rPr>
          <w:rFonts w:hint="eastAsia" w:eastAsia="黑体"/>
          <w:sz w:val="18"/>
          <w:szCs w:val="18"/>
        </w:rPr>
        <w:t>图12  不同接头形式接缝处竖向应力</w:t>
      </w:r>
    </w:p>
    <w:p w14:paraId="65EEEF51">
      <w:pPr>
        <w:pStyle w:val="43"/>
        <w:numPr>
          <w:ilvl w:val="2"/>
          <w:numId w:val="2"/>
        </w:numPr>
        <w:spacing w:before="0" w:after="0"/>
        <w:jc w:val="both"/>
        <w:outlineLvl w:val="2"/>
        <w:rPr>
          <w:rFonts w:ascii="Times New Roman" w:hAnsi="Times New Roman" w:eastAsia="楷体"/>
          <w:b w:val="0"/>
        </w:rPr>
      </w:pPr>
      <w:r>
        <w:rPr>
          <w:rFonts w:hint="eastAsia" w:ascii="Times New Roman" w:hAnsi="Times New Roman" w:eastAsia="楷体"/>
          <w:b w:val="0"/>
        </w:rPr>
        <w:t>环向应力对比</w:t>
      </w:r>
    </w:p>
    <w:p w14:paraId="2DCDBA54">
      <w:pPr>
        <w:ind w:firstLine="420"/>
      </w:pPr>
      <w:r>
        <w:rPr>
          <w:rFonts w:hint="eastAsia"/>
        </w:rPr>
        <w:t>从图13可知，</w:t>
      </w:r>
      <w:r>
        <w:t>墙体四个测点的</w:t>
      </w:r>
      <w:r>
        <w:rPr>
          <w:rFonts w:hint="eastAsia"/>
        </w:rPr>
        <w:t>环向应力</w:t>
      </w:r>
      <w:r>
        <w:t>随深度增加而增大，在</w:t>
      </w:r>
      <w:r>
        <w:rPr>
          <w:rFonts w:hint="eastAsia"/>
        </w:rPr>
        <w:t>中下部增幅减缓，符合环向应力分布规律；与竖向应力相反，墙体的环向应力随接头刚度的增大而逐渐减小。刚性接头（如王字钢、工字钢、十字钢）刚度折减系数分别为0.90、0.83、0.76，这些接头形式能够在一定程度上分散环向应力，减小应力集中；接头管接头的环向应力值明显大于其他接头形式，这是因为接头管刚度趋近于零，</w:t>
      </w:r>
      <w:r>
        <w:t>几乎不抵抗环向变形</w:t>
      </w:r>
      <w:r>
        <w:rPr>
          <w:rFonts w:hint="eastAsia"/>
        </w:rPr>
        <w:t>，其环向刚度折减最大。从图14可知，接缝处环向应力值大于墙身处应力值。这是由于无接缝墙体整体刚度大，在环向方向受到均匀外荷载作用，环向应力值最小。而带接缝墙体接缝处的刚度减弱，因此在相同荷载作用下，接缝处会产生更大的局部变形。</w:t>
      </w:r>
    </w:p>
    <w:p w14:paraId="0AC8AAE9">
      <w:pPr>
        <w:pStyle w:val="32"/>
        <w:ind w:firstLine="0" w:firstLineChars="0"/>
        <w:jc w:val="center"/>
      </w:pPr>
      <w:r>
        <w:drawing>
          <wp:inline distT="0" distB="0" distL="0" distR="0">
            <wp:extent cx="2880360" cy="2203450"/>
            <wp:effectExtent l="0" t="0" r="0" b="6350"/>
            <wp:docPr id="1407339768"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7339768" name="图片 19"/>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880360" cy="2203704"/>
                    </a:xfrm>
                    <a:prstGeom prst="rect">
                      <a:avLst/>
                    </a:prstGeom>
                    <a:noFill/>
                    <a:ln>
                      <a:noFill/>
                    </a:ln>
                  </pic:spPr>
                </pic:pic>
              </a:graphicData>
            </a:graphic>
          </wp:inline>
        </w:drawing>
      </w:r>
    </w:p>
    <w:p w14:paraId="2948979E">
      <w:pPr>
        <w:ind w:firstLine="0" w:firstLineChars="0"/>
        <w:jc w:val="center"/>
        <w:rPr>
          <w:rFonts w:eastAsia="黑体"/>
          <w:sz w:val="18"/>
          <w:szCs w:val="18"/>
        </w:rPr>
      </w:pPr>
      <w:r>
        <w:rPr>
          <w:rFonts w:hint="eastAsia" w:eastAsia="黑体"/>
          <w:sz w:val="18"/>
          <w:szCs w:val="18"/>
        </w:rPr>
        <w:t>图13  不同接头形式墙身处环向应力</w:t>
      </w:r>
    </w:p>
    <w:p w14:paraId="4D6E3F5A">
      <w:pPr>
        <w:pStyle w:val="32"/>
        <w:ind w:firstLine="0" w:firstLineChars="0"/>
        <w:jc w:val="center"/>
      </w:pPr>
      <w:r>
        <w:drawing>
          <wp:inline distT="0" distB="0" distL="0" distR="0">
            <wp:extent cx="2880360" cy="2203450"/>
            <wp:effectExtent l="0" t="0" r="0" b="6350"/>
            <wp:docPr id="376906034"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906034" name="图片 20"/>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880360" cy="2203704"/>
                    </a:xfrm>
                    <a:prstGeom prst="rect">
                      <a:avLst/>
                    </a:prstGeom>
                    <a:noFill/>
                    <a:ln>
                      <a:noFill/>
                    </a:ln>
                  </pic:spPr>
                </pic:pic>
              </a:graphicData>
            </a:graphic>
          </wp:inline>
        </w:drawing>
      </w:r>
    </w:p>
    <w:p w14:paraId="7C9DF67A">
      <w:pPr>
        <w:ind w:firstLine="0" w:firstLineChars="0"/>
        <w:jc w:val="center"/>
        <w:rPr>
          <w:rFonts w:eastAsia="黑体"/>
          <w:sz w:val="18"/>
          <w:szCs w:val="18"/>
        </w:rPr>
      </w:pPr>
      <w:r>
        <w:rPr>
          <w:rFonts w:hint="eastAsia" w:eastAsia="黑体"/>
          <w:sz w:val="18"/>
          <w:szCs w:val="18"/>
        </w:rPr>
        <w:t>图14  不同接头形式接缝处环向应力</w:t>
      </w:r>
    </w:p>
    <w:p w14:paraId="3E10AB9C">
      <w:pPr>
        <w:pStyle w:val="43"/>
        <w:numPr>
          <w:ilvl w:val="2"/>
          <w:numId w:val="2"/>
        </w:numPr>
        <w:spacing w:before="0" w:after="0"/>
        <w:jc w:val="both"/>
        <w:outlineLvl w:val="2"/>
        <w:rPr>
          <w:rFonts w:ascii="Times New Roman" w:hAnsi="Times New Roman" w:eastAsia="楷体"/>
          <w:b w:val="0"/>
        </w:rPr>
      </w:pPr>
      <w:bookmarkStart w:id="224" w:name="_Toc6885"/>
      <w:bookmarkStart w:id="225" w:name="_Toc2026"/>
      <w:bookmarkStart w:id="226" w:name="_Toc8475"/>
      <w:bookmarkStart w:id="227" w:name="_Toc1455"/>
      <w:bookmarkStart w:id="228" w:name="_Toc15762"/>
      <w:bookmarkStart w:id="229" w:name="_Toc29518"/>
      <w:bookmarkStart w:id="230" w:name="_Toc14752"/>
      <w:bookmarkStart w:id="231" w:name="_Toc20169"/>
      <w:r>
        <w:rPr>
          <w:rFonts w:hint="eastAsia" w:ascii="Times New Roman" w:hAnsi="Times New Roman" w:eastAsia="楷体"/>
          <w:b w:val="0"/>
        </w:rPr>
        <w:t>墙顶径向位移对比</w:t>
      </w:r>
      <w:bookmarkEnd w:id="224"/>
      <w:bookmarkEnd w:id="225"/>
      <w:bookmarkEnd w:id="226"/>
      <w:bookmarkEnd w:id="227"/>
      <w:bookmarkEnd w:id="228"/>
      <w:bookmarkEnd w:id="229"/>
      <w:bookmarkEnd w:id="230"/>
      <w:bookmarkEnd w:id="231"/>
    </w:p>
    <w:p w14:paraId="589DAE54">
      <w:pPr>
        <w:ind w:firstLine="420"/>
      </w:pPr>
      <w:r>
        <w:rPr>
          <w:rFonts w:hint="eastAsia"/>
        </w:rPr>
        <w:t>从图15可知，随着接头刚度的减小，墙体位移值表现出明显增大的趋势。无接缝形式表现出最大的抵抗变形能力，其位移值最小；王字钢、工字钢、十字钢的接头刚度逐渐减小，墙体位移变形量增加；接头管刚度最小，位移变形最大。即使</w:t>
      </w:r>
      <w:r>
        <w:t>在接头刚度最小、</w:t>
      </w:r>
      <w:r>
        <w:rPr>
          <w:rFonts w:hint="eastAsia"/>
        </w:rPr>
        <w:t>最大变形的情况下</w:t>
      </w:r>
      <w:r>
        <w:t>，</w:t>
      </w:r>
      <w:r>
        <w:rPr>
          <w:rFonts w:hint="eastAsia"/>
        </w:rPr>
        <w:t>其位移量只有0.042mm，表明圆形地连墙的拱效应有效控制了墙体的径向位移。</w:t>
      </w:r>
    </w:p>
    <w:p w14:paraId="3B1CB526">
      <w:pPr>
        <w:ind w:firstLine="0" w:firstLineChars="0"/>
        <w:jc w:val="center"/>
      </w:pPr>
      <w:r>
        <w:drawing>
          <wp:inline distT="0" distB="0" distL="0" distR="0">
            <wp:extent cx="2880360" cy="2202180"/>
            <wp:effectExtent l="0" t="0" r="0" b="7620"/>
            <wp:docPr id="123164256"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164256" name="图片 21"/>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880360" cy="2202180"/>
                    </a:xfrm>
                    <a:prstGeom prst="rect">
                      <a:avLst/>
                    </a:prstGeom>
                    <a:noFill/>
                    <a:ln>
                      <a:noFill/>
                    </a:ln>
                  </pic:spPr>
                </pic:pic>
              </a:graphicData>
            </a:graphic>
          </wp:inline>
        </w:drawing>
      </w:r>
    </w:p>
    <w:p w14:paraId="49443158">
      <w:pPr>
        <w:ind w:firstLine="0" w:firstLineChars="0"/>
        <w:jc w:val="center"/>
        <w:rPr>
          <w:rFonts w:eastAsia="黑体"/>
          <w:sz w:val="18"/>
          <w:szCs w:val="18"/>
        </w:rPr>
      </w:pPr>
      <w:r>
        <w:rPr>
          <w:rFonts w:hint="eastAsia" w:eastAsia="黑体"/>
          <w:sz w:val="18"/>
          <w:szCs w:val="18"/>
        </w:rPr>
        <w:t>图15  最后一级加载下一条接缝墙深10cm处的径向位移</w:t>
      </w:r>
    </w:p>
    <w:p w14:paraId="6C8C5667">
      <w:pPr>
        <w:pStyle w:val="43"/>
        <w:numPr>
          <w:ilvl w:val="1"/>
          <w:numId w:val="2"/>
        </w:numPr>
        <w:spacing w:before="0" w:after="0"/>
        <w:jc w:val="both"/>
        <w:outlineLvl w:val="1"/>
        <w:rPr>
          <w:rFonts w:ascii="Times New Roman" w:hAnsi="Times New Roman" w:eastAsia="黑体"/>
          <w:b w:val="0"/>
        </w:rPr>
      </w:pPr>
      <w:bookmarkStart w:id="232" w:name="_Toc27242"/>
      <w:bookmarkStart w:id="233" w:name="_Toc17765"/>
      <w:bookmarkStart w:id="234" w:name="_Toc30547"/>
      <w:bookmarkStart w:id="235" w:name="_Toc4615"/>
      <w:bookmarkStart w:id="236" w:name="_Toc21230"/>
      <w:bookmarkStart w:id="237" w:name="_Toc25286"/>
      <w:bookmarkStart w:id="238" w:name="_Toc26433"/>
      <w:bookmarkStart w:id="239" w:name="_Toc21530"/>
      <w:r>
        <w:rPr>
          <w:rFonts w:hint="eastAsia" w:ascii="Times New Roman" w:hAnsi="Times New Roman" w:eastAsia="黑体"/>
          <w:b w:val="0"/>
        </w:rPr>
        <w:t xml:space="preserve"> 接缝数量</w:t>
      </w:r>
      <w:bookmarkEnd w:id="232"/>
      <w:bookmarkEnd w:id="233"/>
      <w:bookmarkEnd w:id="234"/>
      <w:bookmarkEnd w:id="235"/>
      <w:bookmarkEnd w:id="236"/>
      <w:bookmarkEnd w:id="237"/>
      <w:bookmarkEnd w:id="238"/>
      <w:bookmarkEnd w:id="239"/>
      <w:r>
        <w:rPr>
          <w:rFonts w:hint="eastAsia" w:ascii="Times New Roman" w:hAnsi="Times New Roman" w:eastAsia="黑体"/>
          <w:b w:val="0"/>
        </w:rPr>
        <w:t>的影响</w:t>
      </w:r>
    </w:p>
    <w:p w14:paraId="5EDB94D1">
      <w:pPr>
        <w:ind w:firstLine="420"/>
      </w:pPr>
      <w:r>
        <w:t>除了接头形式之外，接缝</w:t>
      </w:r>
      <w:r>
        <w:rPr>
          <w:rFonts w:hint="eastAsia"/>
        </w:rPr>
        <w:t>数量也</w:t>
      </w:r>
      <w:r>
        <w:t>是影响</w:t>
      </w:r>
      <w:r>
        <w:rPr>
          <w:rFonts w:hint="eastAsia"/>
        </w:rPr>
        <w:t>地连墙</w:t>
      </w:r>
      <w:r>
        <w:t>整体刚度及受力性能的关键因素。增加接缝数量可能会</w:t>
      </w:r>
      <w:r>
        <w:rPr>
          <w:rFonts w:hint="eastAsia"/>
        </w:rPr>
        <w:t>产生</w:t>
      </w:r>
      <w:r>
        <w:t>局部刚度减弱，改变应力分布和变形模式。</w:t>
      </w:r>
      <w:r>
        <w:rPr>
          <w:rFonts w:hint="eastAsia"/>
        </w:rPr>
        <w:t>本节将分析在最后一级加载下，王字钢接头情况下的接缝数量变化对墙体应力和位移的影响。</w:t>
      </w:r>
    </w:p>
    <w:p w14:paraId="28E9093E">
      <w:pPr>
        <w:pStyle w:val="43"/>
        <w:numPr>
          <w:ilvl w:val="2"/>
          <w:numId w:val="2"/>
        </w:numPr>
        <w:spacing w:before="0" w:after="0"/>
        <w:jc w:val="both"/>
        <w:outlineLvl w:val="2"/>
        <w:rPr>
          <w:rFonts w:ascii="Times New Roman" w:hAnsi="Times New Roman" w:eastAsia="楷体"/>
          <w:b w:val="0"/>
        </w:rPr>
      </w:pPr>
      <w:bookmarkStart w:id="240" w:name="_Toc29459"/>
      <w:bookmarkStart w:id="241" w:name="_Toc15192"/>
      <w:bookmarkStart w:id="242" w:name="_Toc9043"/>
      <w:bookmarkStart w:id="243" w:name="_Toc7712"/>
      <w:bookmarkStart w:id="244" w:name="_Toc13649"/>
      <w:bookmarkStart w:id="245" w:name="_Toc2005"/>
      <w:bookmarkStart w:id="246" w:name="_Toc4646"/>
      <w:bookmarkStart w:id="247" w:name="_Toc10850"/>
      <w:bookmarkStart w:id="248" w:name="_Toc18838"/>
      <w:bookmarkStart w:id="249" w:name="_Toc25909"/>
      <w:bookmarkStart w:id="250" w:name="_Toc26704"/>
      <w:bookmarkStart w:id="251" w:name="_Toc18763"/>
      <w:bookmarkStart w:id="252" w:name="_Toc430"/>
      <w:bookmarkStart w:id="253" w:name="_Toc11267"/>
      <w:bookmarkStart w:id="254" w:name="_Toc9509"/>
      <w:bookmarkStart w:id="255" w:name="_Toc20286"/>
      <w:r>
        <w:rPr>
          <w:rFonts w:hint="eastAsia" w:ascii="Times New Roman" w:hAnsi="Times New Roman" w:eastAsia="楷体"/>
          <w:b w:val="0"/>
        </w:rPr>
        <w:t>竖向应力对比</w:t>
      </w:r>
      <w:bookmarkEnd w:id="240"/>
      <w:bookmarkEnd w:id="241"/>
      <w:bookmarkEnd w:id="242"/>
      <w:bookmarkEnd w:id="243"/>
      <w:bookmarkEnd w:id="244"/>
      <w:bookmarkEnd w:id="245"/>
      <w:bookmarkEnd w:id="246"/>
      <w:bookmarkEnd w:id="247"/>
    </w:p>
    <w:p w14:paraId="117D84BD">
      <w:pPr>
        <w:ind w:firstLine="420"/>
      </w:pPr>
      <w:r>
        <w:rPr>
          <w:rFonts w:hint="eastAsia"/>
        </w:rPr>
        <w:t>从图16可知，随接缝数量的减小，</w:t>
      </w:r>
      <w:r>
        <w:t>墙身处的竖向应力呈现逐渐</w:t>
      </w:r>
      <w:r>
        <w:rPr>
          <w:rFonts w:hint="eastAsia"/>
        </w:rPr>
        <w:t>增大</w:t>
      </w:r>
      <w:r>
        <w:t>的趋势</w:t>
      </w:r>
      <w:r>
        <w:rPr>
          <w:rFonts w:hint="eastAsia"/>
        </w:rPr>
        <w:t>，这表明</w:t>
      </w:r>
      <w:r>
        <w:t>接缝数量</w:t>
      </w:r>
      <w:r>
        <w:rPr>
          <w:rFonts w:hint="eastAsia"/>
        </w:rPr>
        <w:t>的减少有效得提高了</w:t>
      </w:r>
      <w:r>
        <w:t>墙体的整体刚度</w:t>
      </w:r>
      <w:r>
        <w:rPr>
          <w:rFonts w:hint="eastAsia"/>
        </w:rPr>
        <w:t>，</w:t>
      </w:r>
      <w:r>
        <w:t>使其在承受荷载时能更好地分散应力，</w:t>
      </w:r>
      <w:r>
        <w:rPr>
          <w:rFonts w:hint="eastAsia"/>
        </w:rPr>
        <w:t>从而</w:t>
      </w:r>
      <w:r>
        <w:t>减少局部应力集中</w:t>
      </w:r>
      <w:r>
        <w:rPr>
          <w:rFonts w:hint="eastAsia"/>
        </w:rPr>
        <w:t>现象。接缝数量从两条减少一条再到无接缝状态，墙体的竖向应力水平显著上升。从图17可知，接缝处竖向应力与墙身处变化趋势一致，由于王字钢接头在接缝处具有较高的刚度，</w:t>
      </w:r>
      <w:r>
        <w:t>接缝处的竖向</w:t>
      </w:r>
      <w:r>
        <w:rPr>
          <w:rFonts w:hint="eastAsia"/>
        </w:rPr>
        <w:t>应力</w:t>
      </w:r>
      <w:r>
        <w:t>与墙身处的竖向应力差异较小</w:t>
      </w:r>
      <w:r>
        <w:rPr>
          <w:rFonts w:hint="eastAsia"/>
        </w:rPr>
        <w:t>，表现出较好的整体性。</w:t>
      </w:r>
    </w:p>
    <w:p w14:paraId="4B89F72D">
      <w:pPr>
        <w:ind w:firstLine="0" w:firstLineChars="0"/>
        <w:jc w:val="center"/>
      </w:pPr>
      <w:r>
        <w:drawing>
          <wp:inline distT="0" distB="0" distL="0" distR="0">
            <wp:extent cx="2880360" cy="2203450"/>
            <wp:effectExtent l="0" t="0" r="0" b="6350"/>
            <wp:docPr id="652039966"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2039966" name="图片 22"/>
                    <pic:cNvPicPr>
                      <a:picLocks noChangeAspect="1" noChangeArrowheads="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880360" cy="2203704"/>
                    </a:xfrm>
                    <a:prstGeom prst="rect">
                      <a:avLst/>
                    </a:prstGeom>
                    <a:noFill/>
                    <a:ln>
                      <a:noFill/>
                    </a:ln>
                  </pic:spPr>
                </pic:pic>
              </a:graphicData>
            </a:graphic>
          </wp:inline>
        </w:drawing>
      </w:r>
    </w:p>
    <w:p w14:paraId="005447AD">
      <w:pPr>
        <w:ind w:firstLine="0" w:firstLineChars="0"/>
        <w:jc w:val="center"/>
        <w:rPr>
          <w:rFonts w:eastAsia="黑体"/>
          <w:sz w:val="18"/>
          <w:szCs w:val="18"/>
        </w:rPr>
      </w:pPr>
      <w:r>
        <w:rPr>
          <w:rFonts w:hint="eastAsia" w:eastAsia="黑体"/>
          <w:sz w:val="18"/>
          <w:szCs w:val="18"/>
        </w:rPr>
        <w:t>图16  不同接缝数量墙身处竖向应力</w:t>
      </w:r>
    </w:p>
    <w:p w14:paraId="1CF61E71">
      <w:pPr>
        <w:ind w:firstLine="0" w:firstLineChars="0"/>
        <w:jc w:val="center"/>
      </w:pPr>
      <w:r>
        <w:drawing>
          <wp:inline distT="0" distB="0" distL="0" distR="0">
            <wp:extent cx="2880360" cy="2203450"/>
            <wp:effectExtent l="0" t="0" r="0" b="6350"/>
            <wp:docPr id="202363358"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363358" name="图片 23"/>
                    <pic:cNvPicPr>
                      <a:picLocks noChangeAspect="1" noChangeArrowheads="1"/>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880360" cy="2203704"/>
                    </a:xfrm>
                    <a:prstGeom prst="rect">
                      <a:avLst/>
                    </a:prstGeom>
                    <a:noFill/>
                    <a:ln>
                      <a:noFill/>
                    </a:ln>
                  </pic:spPr>
                </pic:pic>
              </a:graphicData>
            </a:graphic>
          </wp:inline>
        </w:drawing>
      </w:r>
    </w:p>
    <w:p w14:paraId="419955C9">
      <w:pPr>
        <w:ind w:firstLine="0" w:firstLineChars="0"/>
        <w:jc w:val="center"/>
        <w:rPr>
          <w:rFonts w:eastAsia="黑体"/>
          <w:sz w:val="18"/>
          <w:szCs w:val="18"/>
        </w:rPr>
      </w:pPr>
      <w:r>
        <w:rPr>
          <w:rFonts w:hint="eastAsia" w:eastAsia="黑体"/>
          <w:sz w:val="18"/>
          <w:szCs w:val="18"/>
        </w:rPr>
        <w:t>图17  不同接缝数量接缝处竖向应力</w:t>
      </w:r>
    </w:p>
    <w:p w14:paraId="25C4E6E7">
      <w:pPr>
        <w:pStyle w:val="43"/>
        <w:numPr>
          <w:ilvl w:val="2"/>
          <w:numId w:val="2"/>
        </w:numPr>
        <w:spacing w:before="0" w:after="0"/>
        <w:jc w:val="both"/>
        <w:outlineLvl w:val="2"/>
        <w:rPr>
          <w:rFonts w:ascii="Times New Roman" w:hAnsi="Times New Roman" w:eastAsia="楷体"/>
          <w:b w:val="0"/>
        </w:rPr>
      </w:pPr>
      <w:bookmarkStart w:id="256" w:name="_Toc11892"/>
      <w:bookmarkStart w:id="257" w:name="_Toc21269"/>
      <w:bookmarkStart w:id="258" w:name="_Toc10589"/>
      <w:bookmarkStart w:id="259" w:name="_Toc12416"/>
      <w:bookmarkStart w:id="260" w:name="_Toc26052"/>
      <w:bookmarkStart w:id="261" w:name="_Toc8939"/>
      <w:bookmarkStart w:id="262" w:name="_Toc11707"/>
      <w:bookmarkStart w:id="263" w:name="_Toc1583"/>
      <w:r>
        <w:rPr>
          <w:rFonts w:hint="eastAsia" w:ascii="Times New Roman" w:hAnsi="Times New Roman" w:eastAsia="楷体"/>
          <w:b w:val="0"/>
        </w:rPr>
        <w:t>环向应力对比</w:t>
      </w:r>
      <w:bookmarkEnd w:id="256"/>
      <w:bookmarkEnd w:id="257"/>
      <w:bookmarkEnd w:id="258"/>
      <w:bookmarkEnd w:id="259"/>
      <w:bookmarkEnd w:id="260"/>
      <w:bookmarkEnd w:id="261"/>
      <w:bookmarkEnd w:id="262"/>
      <w:bookmarkEnd w:id="263"/>
    </w:p>
    <w:p w14:paraId="3069AAFC">
      <w:pPr>
        <w:ind w:firstLine="420"/>
      </w:pPr>
      <w:r>
        <w:rPr>
          <w:rFonts w:hint="eastAsia"/>
        </w:rPr>
        <w:t>从图18可知，</w:t>
      </w:r>
      <w:r>
        <w:t>与竖向应力相反，随接缝数量的增加，墙身处的环向应力呈现逐渐</w:t>
      </w:r>
      <w:r>
        <w:rPr>
          <w:rFonts w:hint="eastAsia"/>
        </w:rPr>
        <w:t>增大</w:t>
      </w:r>
      <w:r>
        <w:t>的</w:t>
      </w:r>
      <w:r>
        <w:rPr>
          <w:rFonts w:hint="eastAsia"/>
        </w:rPr>
        <w:t>趋势，这表明接缝的存在削弱了墙体的连续性，导致环向刚度减弱。其中，接缝数量从无接缝状态增加到一条再到两条，墙体的环向应力水平显著上升，说明接缝数量的增加使得墙体整体刚度显著下降。从图19可知，无论接缝数量的变化，</w:t>
      </w:r>
      <w:r>
        <w:t>接缝处环向应力</w:t>
      </w:r>
      <w:r>
        <w:rPr>
          <w:rFonts w:hint="eastAsia"/>
        </w:rPr>
        <w:t>普遍高于</w:t>
      </w:r>
      <w:r>
        <w:t>墙身处环向应力</w:t>
      </w:r>
      <w:r>
        <w:rPr>
          <w:rFonts w:hint="eastAsia"/>
        </w:rPr>
        <w:t>，这是因为接缝处的刚度相对较低，无法有效的传递和分散荷载，导致接缝处更容易发生局部变形，进而产生较大的环向应力。</w:t>
      </w:r>
    </w:p>
    <w:p w14:paraId="2C9FC86F">
      <w:pPr>
        <w:ind w:firstLine="0" w:firstLineChars="0"/>
        <w:jc w:val="center"/>
      </w:pPr>
      <w:r>
        <w:drawing>
          <wp:inline distT="0" distB="0" distL="0" distR="0">
            <wp:extent cx="2880360" cy="2203450"/>
            <wp:effectExtent l="0" t="0" r="0" b="6350"/>
            <wp:docPr id="1835279076"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5279076" name="图片 24"/>
                    <pic:cNvPicPr>
                      <a:picLocks noChangeAspect="1" noChangeArrowheads="1"/>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880360" cy="2203704"/>
                    </a:xfrm>
                    <a:prstGeom prst="rect">
                      <a:avLst/>
                    </a:prstGeom>
                    <a:noFill/>
                    <a:ln>
                      <a:noFill/>
                    </a:ln>
                  </pic:spPr>
                </pic:pic>
              </a:graphicData>
            </a:graphic>
          </wp:inline>
        </w:drawing>
      </w:r>
    </w:p>
    <w:p w14:paraId="71BF278D">
      <w:pPr>
        <w:ind w:firstLine="0" w:firstLineChars="0"/>
        <w:jc w:val="center"/>
        <w:rPr>
          <w:rFonts w:eastAsia="黑体"/>
          <w:sz w:val="18"/>
          <w:szCs w:val="18"/>
        </w:rPr>
      </w:pPr>
      <w:r>
        <w:rPr>
          <w:rFonts w:hint="eastAsia" w:eastAsia="黑体"/>
          <w:sz w:val="18"/>
          <w:szCs w:val="18"/>
        </w:rPr>
        <w:t>图18  不同接缝数量墙身处环向应力</w:t>
      </w:r>
    </w:p>
    <w:p w14:paraId="39733E89">
      <w:pPr>
        <w:ind w:firstLine="0" w:firstLineChars="0"/>
        <w:jc w:val="center"/>
        <w:rPr>
          <w:b/>
          <w:sz w:val="18"/>
          <w:szCs w:val="18"/>
        </w:rPr>
      </w:pPr>
      <w:r>
        <w:rPr>
          <w:b/>
          <w:sz w:val="18"/>
          <w:szCs w:val="18"/>
        </w:rPr>
        <w:drawing>
          <wp:inline distT="0" distB="0" distL="0" distR="0">
            <wp:extent cx="2880360" cy="2203450"/>
            <wp:effectExtent l="0" t="0" r="0" b="6350"/>
            <wp:docPr id="474271659"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271659" name="图片 25"/>
                    <pic:cNvPicPr>
                      <a:picLocks noChangeAspect="1" noChangeArrowheads="1"/>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880360" cy="2203704"/>
                    </a:xfrm>
                    <a:prstGeom prst="rect">
                      <a:avLst/>
                    </a:prstGeom>
                    <a:noFill/>
                    <a:ln>
                      <a:noFill/>
                    </a:ln>
                  </pic:spPr>
                </pic:pic>
              </a:graphicData>
            </a:graphic>
          </wp:inline>
        </w:drawing>
      </w:r>
    </w:p>
    <w:p w14:paraId="5834973C">
      <w:pPr>
        <w:ind w:firstLine="0" w:firstLineChars="0"/>
        <w:jc w:val="center"/>
        <w:rPr>
          <w:rFonts w:eastAsia="黑体"/>
          <w:sz w:val="18"/>
          <w:szCs w:val="18"/>
        </w:rPr>
      </w:pPr>
      <w:r>
        <w:rPr>
          <w:rFonts w:hint="eastAsia" w:eastAsia="黑体"/>
          <w:sz w:val="18"/>
          <w:szCs w:val="18"/>
        </w:rPr>
        <w:t>图19  不同接缝数量接缝处环向应力</w:t>
      </w:r>
    </w:p>
    <w:p w14:paraId="4881C68D">
      <w:pPr>
        <w:pStyle w:val="43"/>
        <w:numPr>
          <w:ilvl w:val="2"/>
          <w:numId w:val="2"/>
        </w:numPr>
        <w:spacing w:before="0" w:after="0"/>
        <w:jc w:val="both"/>
        <w:outlineLvl w:val="2"/>
        <w:rPr>
          <w:rFonts w:ascii="Times New Roman" w:hAnsi="Times New Roman" w:eastAsia="楷体"/>
          <w:b w:val="0"/>
        </w:rPr>
      </w:pPr>
      <w:bookmarkStart w:id="264" w:name="_Hlk176530748"/>
      <w:r>
        <w:rPr>
          <w:rFonts w:hint="eastAsia" w:ascii="Times New Roman" w:hAnsi="Times New Roman" w:eastAsia="楷体"/>
          <w:b w:val="0"/>
        </w:rPr>
        <w:t>墙顶径向位移对比</w:t>
      </w:r>
      <w:bookmarkEnd w:id="248"/>
      <w:bookmarkEnd w:id="249"/>
      <w:bookmarkEnd w:id="250"/>
      <w:bookmarkEnd w:id="251"/>
      <w:bookmarkEnd w:id="252"/>
      <w:bookmarkEnd w:id="253"/>
      <w:bookmarkEnd w:id="254"/>
      <w:bookmarkEnd w:id="255"/>
    </w:p>
    <w:p w14:paraId="70130E0D">
      <w:pPr>
        <w:ind w:firstLine="420"/>
      </w:pPr>
      <w:r>
        <w:rPr>
          <w:rFonts w:hint="eastAsia"/>
        </w:rPr>
        <w:t>从图20可知，随着接缝数量的增加，墙顶处的径向位移显著增大。接缝数量从无接缝状态增加到一条接缝再到两条接缝，墙体的径向位移显著增大</w:t>
      </w:r>
      <w:r>
        <w:t>。这表明，接缝数量的增加降低了墙体的整体刚度，从而导致更大的径向位移。</w:t>
      </w:r>
    </w:p>
    <w:p w14:paraId="40CBA1BD">
      <w:pPr>
        <w:ind w:firstLine="0" w:firstLineChars="0"/>
        <w:jc w:val="center"/>
      </w:pPr>
      <w:r>
        <w:rPr>
          <w:rFonts w:hint="eastAsia"/>
        </w:rPr>
        <w:drawing>
          <wp:inline distT="0" distB="0" distL="0" distR="0">
            <wp:extent cx="2880360" cy="2203450"/>
            <wp:effectExtent l="0" t="0" r="0" b="6350"/>
            <wp:docPr id="839675269"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675269" name="图片 26"/>
                    <pic:cNvPicPr>
                      <a:picLocks noChangeAspect="1" noChangeArrowheads="1"/>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880360" cy="2203704"/>
                    </a:xfrm>
                    <a:prstGeom prst="rect">
                      <a:avLst/>
                    </a:prstGeom>
                    <a:noFill/>
                    <a:ln>
                      <a:noFill/>
                    </a:ln>
                  </pic:spPr>
                </pic:pic>
              </a:graphicData>
            </a:graphic>
          </wp:inline>
        </w:drawing>
      </w:r>
    </w:p>
    <w:p w14:paraId="1FA764BC">
      <w:pPr>
        <w:ind w:firstLine="0" w:firstLineChars="0"/>
        <w:jc w:val="center"/>
        <w:rPr>
          <w:rFonts w:eastAsia="黑体"/>
          <w:sz w:val="18"/>
          <w:szCs w:val="18"/>
        </w:rPr>
      </w:pPr>
      <w:r>
        <w:rPr>
          <w:rFonts w:hint="eastAsia" w:eastAsia="黑体"/>
          <w:sz w:val="18"/>
          <w:szCs w:val="18"/>
        </w:rPr>
        <w:t>图20  最后一级加载下墙深10cm处的径向位移（王字钢接头）</w:t>
      </w:r>
    </w:p>
    <w:bookmarkEnd w:id="264"/>
    <w:p w14:paraId="042A3587">
      <w:pPr>
        <w:pStyle w:val="32"/>
        <w:numPr>
          <w:ilvl w:val="0"/>
          <w:numId w:val="2"/>
        </w:numPr>
        <w:ind w:firstLineChars="0"/>
        <w:outlineLvl w:val="0"/>
        <w:rPr>
          <w:bCs/>
          <w:sz w:val="28"/>
        </w:rPr>
      </w:pPr>
      <w:r>
        <w:rPr>
          <w:rFonts w:hint="eastAsia"/>
          <w:bCs/>
          <w:sz w:val="28"/>
        </w:rPr>
        <w:t xml:space="preserve"> 数值模拟并验证分析</w:t>
      </w:r>
    </w:p>
    <w:p w14:paraId="62542148">
      <w:pPr>
        <w:pStyle w:val="43"/>
        <w:numPr>
          <w:ilvl w:val="1"/>
          <w:numId w:val="2"/>
        </w:numPr>
        <w:spacing w:before="0" w:after="0"/>
        <w:jc w:val="both"/>
        <w:outlineLvl w:val="1"/>
        <w:rPr>
          <w:rFonts w:ascii="Times New Roman" w:hAnsi="Times New Roman" w:eastAsia="黑体"/>
          <w:b w:val="0"/>
        </w:rPr>
      </w:pPr>
      <w:r>
        <w:rPr>
          <w:rFonts w:hint="eastAsia" w:ascii="Times New Roman" w:hAnsi="Times New Roman" w:eastAsia="黑体"/>
          <w:b w:val="0"/>
        </w:rPr>
        <w:t xml:space="preserve"> 模型的建立</w:t>
      </w:r>
    </w:p>
    <w:p w14:paraId="508DAB8F">
      <w:pPr>
        <w:ind w:firstLine="420"/>
      </w:pPr>
      <w:r>
        <w:rPr>
          <w:rFonts w:hint="eastAsia"/>
        </w:rPr>
        <w:t>采用MIDAS GTS/NX有限元软件，</w:t>
      </w:r>
      <w:r>
        <w:t>根据室内模型试验的实际尺寸</w:t>
      </w:r>
      <w:r>
        <w:rPr>
          <w:rFonts w:hint="eastAsia"/>
        </w:rPr>
        <w:t>进行数值模拟。墙体采用弹性本构模型，土体采用修正摩尔库伦本构模型，材料属性</w:t>
      </w:r>
      <w:r>
        <w:rPr>
          <w:rFonts w:hint="eastAsia"/>
          <w:lang w:eastAsia="zh-CN"/>
        </w:rPr>
        <w:t>如</w:t>
      </w:r>
      <w:r>
        <w:rPr>
          <w:rFonts w:hint="eastAsia"/>
        </w:rPr>
        <w:t>表4</w:t>
      </w:r>
      <w:r>
        <w:rPr>
          <w:rFonts w:hint="eastAsia"/>
          <w:lang w:eastAsia="zh-CN"/>
        </w:rPr>
        <w:t>所列</w:t>
      </w:r>
      <w:r>
        <w:rPr>
          <w:rFonts w:hint="eastAsia"/>
        </w:rPr>
        <w:t>。考虑不同部件的精度要求，采用混合网格生成器进行网格划分，以提高计算结果的准确性和可靠性。为确保接头部分的几何形状和力学行为，采用三维实体单元模拟土体和接头，具体设置</w:t>
      </w:r>
      <w:r>
        <w:rPr>
          <w:rFonts w:hint="eastAsia"/>
          <w:lang w:eastAsia="zh-CN"/>
        </w:rPr>
        <w:t>如</w:t>
      </w:r>
      <w:r>
        <w:rPr>
          <w:rFonts w:hint="eastAsia"/>
        </w:rPr>
        <w:t>图21和图22所示。由于接头厚度很小，保持泊松比和重度不变，并基于试验数据对接头的弹性模量进行折减，具体参数</w:t>
      </w:r>
      <w:r>
        <w:rPr>
          <w:rFonts w:hint="eastAsia"/>
          <w:lang w:eastAsia="zh-CN"/>
        </w:rPr>
        <w:t>如</w:t>
      </w:r>
      <w:r>
        <w:rPr>
          <w:rFonts w:hint="eastAsia"/>
        </w:rPr>
        <w:t>表4</w:t>
      </w:r>
      <w:r>
        <w:rPr>
          <w:rFonts w:hint="eastAsia"/>
          <w:lang w:eastAsia="zh-CN"/>
        </w:rPr>
        <w:t>所列</w:t>
      </w:r>
      <w:r>
        <w:rPr>
          <w:rFonts w:hint="eastAsia"/>
        </w:rPr>
        <w:t>。根据试验条件对土体底部和四周设置边界条件，再通过施加重力荷载模拟土体和墙体的自重，边界条件及荷载如图23所示。工况分析采用静力荷载，根据室内模型试验中最后一级荷载进行静力分析。</w:t>
      </w:r>
    </w:p>
    <w:p w14:paraId="1122E4E6">
      <w:pPr>
        <w:ind w:firstLine="0" w:firstLineChars="0"/>
        <w:jc w:val="center"/>
      </w:pPr>
      <w:r>
        <w:drawing>
          <wp:inline distT="0" distB="0" distL="0" distR="0">
            <wp:extent cx="1799590" cy="1450340"/>
            <wp:effectExtent l="0" t="0" r="0" b="0"/>
            <wp:docPr id="1721190332" name="图片 9" descr="模型尺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1190332" name="图片 9" descr="模型尺寸"/>
                    <pic:cNvPicPr>
                      <a:picLocks noChangeAspect="1"/>
                    </pic:cNvPicPr>
                  </pic:nvPicPr>
                  <pic:blipFill>
                    <a:blip r:embed="rId33" cstate="print">
                      <a:extLst>
                        <a:ext uri="{28A0092B-C50C-407E-A947-70E740481C1C}">
                          <a14:useLocalDpi xmlns:a14="http://schemas.microsoft.com/office/drawing/2010/main" val="0"/>
                        </a:ext>
                      </a:extLst>
                    </a:blip>
                    <a:srcRect/>
                    <a:stretch>
                      <a:fillRect/>
                    </a:stretch>
                  </pic:blipFill>
                  <pic:spPr>
                    <a:xfrm>
                      <a:off x="0" y="0"/>
                      <a:ext cx="1800000" cy="1450671"/>
                    </a:xfrm>
                    <a:prstGeom prst="rect">
                      <a:avLst/>
                    </a:prstGeom>
                    <a:noFill/>
                    <a:ln>
                      <a:noFill/>
                    </a:ln>
                  </pic:spPr>
                </pic:pic>
              </a:graphicData>
            </a:graphic>
          </wp:inline>
        </w:drawing>
      </w:r>
    </w:p>
    <w:p w14:paraId="0665E7EA">
      <w:pPr>
        <w:ind w:firstLine="0" w:firstLineChars="0"/>
        <w:jc w:val="center"/>
        <w:rPr>
          <w:rFonts w:eastAsia="黑体"/>
          <w:sz w:val="18"/>
          <w:szCs w:val="18"/>
        </w:rPr>
      </w:pPr>
      <w:r>
        <w:rPr>
          <w:rFonts w:hint="eastAsia" w:eastAsia="黑体"/>
          <w:sz w:val="18"/>
          <w:szCs w:val="18"/>
        </w:rPr>
        <w:t>图21  整体模型</w:t>
      </w:r>
    </w:p>
    <w:p w14:paraId="0D353F1E">
      <w:pPr>
        <w:ind w:firstLine="0" w:firstLineChars="0"/>
        <w:jc w:val="center"/>
        <w:rPr>
          <w:rFonts w:eastAsia="黑体"/>
          <w:sz w:val="18"/>
          <w:szCs w:val="18"/>
        </w:rPr>
      </w:pPr>
      <w:r>
        <w:drawing>
          <wp:inline distT="0" distB="0" distL="0" distR="0">
            <wp:extent cx="1799590" cy="1441450"/>
            <wp:effectExtent l="0" t="0" r="0" b="6350"/>
            <wp:docPr id="1838954043" name="图片 8" descr="地连墙尺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8954043" name="图片 8" descr="地连墙尺寸"/>
                    <pic:cNvPicPr>
                      <a:picLocks noChangeAspect="1"/>
                    </pic:cNvPicPr>
                  </pic:nvPicPr>
                  <pic:blipFill>
                    <a:blip r:embed="rId34">
                      <a:extLst>
                        <a:ext uri="{28A0092B-C50C-407E-A947-70E740481C1C}">
                          <a14:useLocalDpi xmlns:a14="http://schemas.microsoft.com/office/drawing/2010/main" val="0"/>
                        </a:ext>
                      </a:extLst>
                    </a:blip>
                    <a:srcRect/>
                    <a:stretch>
                      <a:fillRect/>
                    </a:stretch>
                  </pic:blipFill>
                  <pic:spPr>
                    <a:xfrm>
                      <a:off x="0" y="0"/>
                      <a:ext cx="1800000" cy="1441779"/>
                    </a:xfrm>
                    <a:prstGeom prst="rect">
                      <a:avLst/>
                    </a:prstGeom>
                    <a:noFill/>
                    <a:ln>
                      <a:noFill/>
                    </a:ln>
                  </pic:spPr>
                </pic:pic>
              </a:graphicData>
            </a:graphic>
          </wp:inline>
        </w:drawing>
      </w:r>
    </w:p>
    <w:p w14:paraId="6C083028">
      <w:pPr>
        <w:ind w:firstLine="0" w:firstLineChars="0"/>
        <w:jc w:val="center"/>
        <w:rPr>
          <w:rFonts w:eastAsia="黑体"/>
          <w:sz w:val="18"/>
          <w:szCs w:val="18"/>
        </w:rPr>
      </w:pPr>
      <w:r>
        <w:rPr>
          <w:rFonts w:hint="eastAsia" w:eastAsia="黑体"/>
          <w:sz w:val="18"/>
          <w:szCs w:val="18"/>
        </w:rPr>
        <w:t>图22  地连墙模型</w:t>
      </w:r>
    </w:p>
    <w:p w14:paraId="3A0DEC7A">
      <w:pPr>
        <w:ind w:firstLine="0" w:firstLineChars="0"/>
        <w:jc w:val="center"/>
        <w:rPr>
          <w:rFonts w:eastAsia="黑体"/>
          <w:sz w:val="18"/>
          <w:szCs w:val="18"/>
        </w:rPr>
      </w:pPr>
      <w:r>
        <w:rPr>
          <w:rFonts w:eastAsia="黑体"/>
          <w:sz w:val="18"/>
          <w:szCs w:val="18"/>
        </w:rPr>
        <w:drawing>
          <wp:inline distT="0" distB="0" distL="0" distR="0">
            <wp:extent cx="1799590" cy="1288415"/>
            <wp:effectExtent l="0" t="0" r="0" b="6985"/>
            <wp:docPr id="2026432450" name="图片 7" descr="边界条件和荷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6432450" name="图片 7" descr="边界条件和荷载"/>
                    <pic:cNvPicPr>
                      <a:picLocks noChangeAspect="1"/>
                    </pic:cNvPicPr>
                  </pic:nvPicPr>
                  <pic:blipFill>
                    <a:blip r:embed="rId35" cstate="print">
                      <a:extLst>
                        <a:ext uri="{28A0092B-C50C-407E-A947-70E740481C1C}">
                          <a14:useLocalDpi xmlns:a14="http://schemas.microsoft.com/office/drawing/2010/main" val="0"/>
                        </a:ext>
                      </a:extLst>
                    </a:blip>
                    <a:srcRect/>
                    <a:stretch>
                      <a:fillRect/>
                    </a:stretch>
                  </pic:blipFill>
                  <pic:spPr>
                    <a:xfrm>
                      <a:off x="0" y="0"/>
                      <a:ext cx="1799590" cy="1288415"/>
                    </a:xfrm>
                    <a:prstGeom prst="rect">
                      <a:avLst/>
                    </a:prstGeom>
                    <a:noFill/>
                    <a:ln>
                      <a:noFill/>
                    </a:ln>
                    <a:effectLst/>
                  </pic:spPr>
                </pic:pic>
              </a:graphicData>
            </a:graphic>
          </wp:inline>
        </w:drawing>
      </w:r>
    </w:p>
    <w:p w14:paraId="256E6CA1">
      <w:pPr>
        <w:ind w:firstLine="0" w:firstLineChars="0"/>
        <w:jc w:val="center"/>
        <w:rPr>
          <w:rFonts w:eastAsia="黑体"/>
          <w:sz w:val="18"/>
          <w:szCs w:val="18"/>
        </w:rPr>
      </w:pPr>
      <w:r>
        <w:rPr>
          <w:rFonts w:hint="eastAsia" w:eastAsia="黑体"/>
          <w:sz w:val="18"/>
          <w:szCs w:val="18"/>
        </w:rPr>
        <w:t>图23  模型自重荷载及边界条件</w:t>
      </w:r>
    </w:p>
    <w:p w14:paraId="0CBC42E3">
      <w:pPr>
        <w:ind w:firstLine="0" w:firstLineChars="0"/>
        <w:jc w:val="center"/>
        <w:rPr>
          <w:rFonts w:eastAsia="黑体"/>
          <w:bCs/>
          <w:sz w:val="18"/>
          <w:szCs w:val="18"/>
        </w:rPr>
      </w:pPr>
      <w:bookmarkStart w:id="265" w:name="_Toc24406"/>
      <w:bookmarkStart w:id="266" w:name="_Toc16200"/>
      <w:bookmarkStart w:id="267" w:name="_Toc31810"/>
      <w:bookmarkStart w:id="268" w:name="_Toc2127"/>
      <w:bookmarkStart w:id="269" w:name="_Toc32599"/>
      <w:bookmarkStart w:id="270" w:name="_Toc3843"/>
      <w:bookmarkStart w:id="271" w:name="_Toc9251"/>
      <w:bookmarkStart w:id="272" w:name="_Toc27671"/>
      <w:bookmarkStart w:id="273" w:name="_Toc5442"/>
    </w:p>
    <w:p w14:paraId="2527F8DD">
      <w:pPr>
        <w:ind w:firstLine="0" w:firstLineChars="0"/>
        <w:jc w:val="center"/>
        <w:rPr>
          <w:rFonts w:eastAsia="黑体"/>
          <w:bCs/>
          <w:sz w:val="18"/>
          <w:szCs w:val="18"/>
        </w:rPr>
      </w:pPr>
    </w:p>
    <w:p w14:paraId="65FB7612">
      <w:pPr>
        <w:ind w:firstLine="0" w:firstLineChars="0"/>
        <w:jc w:val="center"/>
        <w:rPr>
          <w:rFonts w:eastAsia="黑体"/>
          <w:bCs/>
          <w:sz w:val="18"/>
          <w:szCs w:val="18"/>
        </w:rPr>
      </w:pPr>
      <w:r>
        <w:rPr>
          <w:rFonts w:eastAsia="黑体"/>
          <w:bCs/>
          <w:sz w:val="18"/>
          <w:szCs w:val="18"/>
        </w:rPr>
        <w:t>表4</w:t>
      </w:r>
      <w:r>
        <w:rPr>
          <w:rFonts w:hint="eastAsia" w:eastAsia="黑体"/>
          <w:bCs/>
          <w:sz w:val="18"/>
          <w:szCs w:val="18"/>
        </w:rPr>
        <w:t xml:space="preserve">  </w:t>
      </w:r>
      <w:r>
        <w:rPr>
          <w:rFonts w:eastAsia="黑体"/>
          <w:bCs/>
          <w:sz w:val="18"/>
          <w:szCs w:val="18"/>
        </w:rPr>
        <w:t>材料参数</w:t>
      </w:r>
      <w:bookmarkEnd w:id="265"/>
      <w:bookmarkEnd w:id="266"/>
      <w:bookmarkEnd w:id="267"/>
      <w:bookmarkEnd w:id="268"/>
      <w:bookmarkEnd w:id="269"/>
      <w:bookmarkEnd w:id="270"/>
      <w:bookmarkEnd w:id="271"/>
      <w:bookmarkEnd w:id="272"/>
      <w:bookmarkEnd w:id="273"/>
    </w:p>
    <w:tbl>
      <w:tblPr>
        <w:tblStyle w:val="19"/>
        <w:tblW w:w="8334" w:type="dxa"/>
        <w:jc w:val="center"/>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389"/>
        <w:gridCol w:w="1389"/>
        <w:gridCol w:w="1389"/>
        <w:gridCol w:w="1389"/>
        <w:gridCol w:w="1389"/>
        <w:gridCol w:w="1389"/>
      </w:tblGrid>
      <w:tr w14:paraId="04CC18F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jc w:val="center"/>
        </w:trPr>
        <w:tc>
          <w:tcPr>
            <w:tcW w:w="1389" w:type="dxa"/>
            <w:tcBorders>
              <w:top w:val="single" w:color="auto" w:sz="12" w:space="0"/>
              <w:bottom w:val="single" w:color="auto" w:sz="6" w:space="0"/>
            </w:tcBorders>
            <w:vAlign w:val="center"/>
          </w:tcPr>
          <w:p w14:paraId="7AED8AAB">
            <w:pPr>
              <w:ind w:firstLine="0" w:firstLineChars="0"/>
              <w:jc w:val="center"/>
              <w:rPr>
                <w:rFonts w:ascii="宋体" w:hAnsi="宋体"/>
                <w:sz w:val="15"/>
                <w:szCs w:val="15"/>
              </w:rPr>
            </w:pPr>
            <w:r>
              <w:rPr>
                <w:rFonts w:ascii="宋体" w:hAnsi="宋体"/>
                <w:sz w:val="15"/>
                <w:szCs w:val="15"/>
              </w:rPr>
              <w:t>材料</w:t>
            </w:r>
          </w:p>
        </w:tc>
        <w:tc>
          <w:tcPr>
            <w:tcW w:w="1389" w:type="dxa"/>
            <w:tcBorders>
              <w:top w:val="single" w:color="auto" w:sz="12" w:space="0"/>
              <w:bottom w:val="single" w:color="auto" w:sz="6" w:space="0"/>
            </w:tcBorders>
            <w:vAlign w:val="center"/>
          </w:tcPr>
          <w:p w14:paraId="0DB1F6FD">
            <w:pPr>
              <w:pStyle w:val="23"/>
              <w:widowControl w:val="0"/>
              <w:outlineLvl w:val="9"/>
              <w:rPr>
                <w:rFonts w:ascii="宋体" w:hAnsi="宋体"/>
                <w:sz w:val="15"/>
                <w:szCs w:val="15"/>
              </w:rPr>
            </w:pPr>
            <w:r>
              <w:rPr>
                <w:rFonts w:ascii="宋体" w:hAnsi="宋体"/>
                <w:sz w:val="15"/>
                <w:szCs w:val="15"/>
              </w:rPr>
              <w:t>弹性模量</w:t>
            </w:r>
            <w:r>
              <w:rPr>
                <w:rFonts w:hint="eastAsia" w:ascii="宋体" w:hAnsi="宋体"/>
                <w:sz w:val="15"/>
                <w:szCs w:val="15"/>
              </w:rPr>
              <w:t>/</w:t>
            </w:r>
            <w:r>
              <w:rPr>
                <w:rFonts w:ascii="宋体" w:hAnsi="宋体"/>
                <w:sz w:val="15"/>
                <w:szCs w:val="15"/>
              </w:rPr>
              <w:t>MPa</w:t>
            </w:r>
          </w:p>
        </w:tc>
        <w:tc>
          <w:tcPr>
            <w:tcW w:w="1389" w:type="dxa"/>
            <w:tcBorders>
              <w:top w:val="single" w:color="auto" w:sz="12" w:space="0"/>
              <w:bottom w:val="single" w:color="auto" w:sz="6" w:space="0"/>
            </w:tcBorders>
            <w:vAlign w:val="center"/>
          </w:tcPr>
          <w:p w14:paraId="7F5CFEC1">
            <w:pPr>
              <w:ind w:firstLine="0" w:firstLineChars="0"/>
              <w:jc w:val="center"/>
              <w:rPr>
                <w:rFonts w:ascii="宋体" w:hAnsi="宋体"/>
                <w:sz w:val="15"/>
                <w:szCs w:val="15"/>
              </w:rPr>
            </w:pPr>
            <w:r>
              <w:rPr>
                <w:rFonts w:ascii="宋体" w:hAnsi="宋体"/>
                <w:sz w:val="15"/>
                <w:szCs w:val="15"/>
              </w:rPr>
              <w:t>泊松比</w:t>
            </w:r>
          </w:p>
        </w:tc>
        <w:tc>
          <w:tcPr>
            <w:tcW w:w="1389" w:type="dxa"/>
            <w:tcBorders>
              <w:top w:val="single" w:color="auto" w:sz="12" w:space="0"/>
              <w:bottom w:val="single" w:color="auto" w:sz="6" w:space="0"/>
            </w:tcBorders>
            <w:vAlign w:val="center"/>
          </w:tcPr>
          <w:p w14:paraId="5BABA1C2">
            <w:pPr>
              <w:ind w:firstLine="0" w:firstLineChars="0"/>
              <w:jc w:val="center"/>
              <w:rPr>
                <w:rFonts w:ascii="宋体" w:hAnsi="宋体"/>
                <w:sz w:val="15"/>
                <w:szCs w:val="15"/>
              </w:rPr>
            </w:pPr>
            <w:r>
              <w:rPr>
                <w:rFonts w:hint="eastAsia"/>
                <w:sz w:val="15"/>
                <w:szCs w:val="15"/>
              </w:rPr>
              <w:t>密度/</w:t>
            </w:r>
            <w:r>
              <w:rPr>
                <w:sz w:val="15"/>
                <w:szCs w:val="15"/>
              </w:rPr>
              <w:t>k</w:t>
            </w:r>
            <w:r>
              <w:rPr>
                <w:rFonts w:hint="eastAsia"/>
                <w:sz w:val="15"/>
                <w:szCs w:val="15"/>
              </w:rPr>
              <w:t>g.</w:t>
            </w:r>
            <w:r>
              <w:rPr>
                <w:sz w:val="15"/>
                <w:szCs w:val="15"/>
              </w:rPr>
              <w:t>m</w:t>
            </w:r>
            <w:r>
              <w:rPr>
                <w:rFonts w:hint="eastAsia"/>
                <w:sz w:val="15"/>
                <w:szCs w:val="15"/>
                <w:vertAlign w:val="superscript"/>
              </w:rPr>
              <w:t>-3</w:t>
            </w:r>
          </w:p>
        </w:tc>
        <w:tc>
          <w:tcPr>
            <w:tcW w:w="1389" w:type="dxa"/>
            <w:tcBorders>
              <w:top w:val="single" w:color="auto" w:sz="12" w:space="0"/>
              <w:bottom w:val="single" w:color="auto" w:sz="6" w:space="0"/>
            </w:tcBorders>
            <w:vAlign w:val="center"/>
          </w:tcPr>
          <w:p w14:paraId="02CEA506">
            <w:pPr>
              <w:pStyle w:val="23"/>
              <w:widowControl w:val="0"/>
              <w:outlineLvl w:val="9"/>
              <w:rPr>
                <w:rFonts w:hint="eastAsia" w:ascii="宋体" w:hAnsi="宋体" w:eastAsia="宋体"/>
                <w:sz w:val="15"/>
                <w:szCs w:val="15"/>
                <w:lang w:val="en-US" w:eastAsia="zh-CN"/>
              </w:rPr>
            </w:pPr>
            <w:r>
              <w:rPr>
                <w:rFonts w:ascii="宋体" w:hAnsi="宋体"/>
                <w:sz w:val="15"/>
                <w:szCs w:val="15"/>
              </w:rPr>
              <w:t>内摩擦角</w:t>
            </w:r>
            <w:r>
              <w:rPr>
                <w:rFonts w:hint="eastAsia" w:ascii="宋体" w:hAnsi="宋体"/>
                <w:sz w:val="15"/>
                <w:szCs w:val="15"/>
              </w:rPr>
              <w:t>/</w:t>
            </w:r>
            <w:r>
              <w:rPr>
                <w:rFonts w:hint="eastAsia" w:ascii="宋体" w:hAnsi="宋体"/>
                <w:sz w:val="15"/>
                <w:szCs w:val="15"/>
                <w:lang w:val="en-US" w:eastAsia="zh-CN"/>
              </w:rPr>
              <w:t>(</w:t>
            </w:r>
            <w:r>
              <w:rPr>
                <w:rFonts w:hint="eastAsia" w:ascii="宋体" w:hAnsi="宋体"/>
                <w:sz w:val="15"/>
                <w:szCs w:val="15"/>
              </w:rPr>
              <w:t>°</w:t>
            </w:r>
            <w:r>
              <w:rPr>
                <w:rFonts w:hint="eastAsia" w:ascii="宋体" w:hAnsi="宋体"/>
                <w:sz w:val="15"/>
                <w:szCs w:val="15"/>
                <w:lang w:val="en-US" w:eastAsia="zh-CN"/>
              </w:rPr>
              <w:t>)</w:t>
            </w:r>
          </w:p>
        </w:tc>
        <w:tc>
          <w:tcPr>
            <w:tcW w:w="1389" w:type="dxa"/>
            <w:tcBorders>
              <w:top w:val="single" w:color="auto" w:sz="12" w:space="0"/>
              <w:bottom w:val="single" w:color="auto" w:sz="6" w:space="0"/>
            </w:tcBorders>
            <w:vAlign w:val="center"/>
          </w:tcPr>
          <w:p w14:paraId="4FDDA33C">
            <w:pPr>
              <w:pStyle w:val="23"/>
              <w:widowControl w:val="0"/>
              <w:outlineLvl w:val="9"/>
              <w:rPr>
                <w:rFonts w:ascii="宋体" w:hAnsi="宋体"/>
                <w:sz w:val="15"/>
                <w:szCs w:val="15"/>
              </w:rPr>
            </w:pPr>
            <w:r>
              <w:rPr>
                <w:rFonts w:hint="eastAsia" w:ascii="宋体" w:hAnsi="宋体"/>
                <w:sz w:val="15"/>
                <w:szCs w:val="15"/>
                <w:lang w:eastAsia="zh-CN"/>
              </w:rPr>
              <w:t>黏</w:t>
            </w:r>
            <w:r>
              <w:rPr>
                <w:rFonts w:ascii="宋体" w:hAnsi="宋体"/>
                <w:sz w:val="15"/>
                <w:szCs w:val="15"/>
              </w:rPr>
              <w:t>聚力</w:t>
            </w:r>
            <w:r>
              <w:rPr>
                <w:rFonts w:hint="eastAsia" w:ascii="宋体" w:hAnsi="宋体"/>
                <w:sz w:val="15"/>
                <w:szCs w:val="15"/>
              </w:rPr>
              <w:t>/</w:t>
            </w:r>
            <w:r>
              <w:rPr>
                <w:rFonts w:ascii="宋体" w:hAnsi="宋体"/>
                <w:sz w:val="15"/>
                <w:szCs w:val="15"/>
              </w:rPr>
              <w:t>kP</w:t>
            </w:r>
            <w:r>
              <w:rPr>
                <w:rFonts w:hint="eastAsia" w:ascii="宋体" w:hAnsi="宋体"/>
                <w:sz w:val="15"/>
                <w:szCs w:val="15"/>
              </w:rPr>
              <w:t>a</w:t>
            </w:r>
          </w:p>
        </w:tc>
      </w:tr>
      <w:tr w14:paraId="1A24E52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jc w:val="center"/>
        </w:trPr>
        <w:tc>
          <w:tcPr>
            <w:tcW w:w="1389" w:type="dxa"/>
            <w:tcBorders>
              <w:top w:val="single" w:color="auto" w:sz="6" w:space="0"/>
            </w:tcBorders>
            <w:vAlign w:val="center"/>
          </w:tcPr>
          <w:p w14:paraId="24E7030B">
            <w:pPr>
              <w:ind w:firstLine="0" w:firstLineChars="0"/>
              <w:jc w:val="center"/>
              <w:rPr>
                <w:rFonts w:ascii="宋体" w:hAnsi="宋体"/>
                <w:sz w:val="15"/>
                <w:szCs w:val="15"/>
              </w:rPr>
            </w:pPr>
            <w:r>
              <w:rPr>
                <w:rFonts w:ascii="宋体" w:hAnsi="宋体"/>
                <w:sz w:val="15"/>
                <w:szCs w:val="15"/>
              </w:rPr>
              <w:t>黏土</w:t>
            </w:r>
          </w:p>
        </w:tc>
        <w:tc>
          <w:tcPr>
            <w:tcW w:w="1389" w:type="dxa"/>
            <w:tcBorders>
              <w:top w:val="single" w:color="auto" w:sz="6" w:space="0"/>
            </w:tcBorders>
            <w:vAlign w:val="center"/>
          </w:tcPr>
          <w:p w14:paraId="4D6C76C4">
            <w:pPr>
              <w:ind w:firstLine="0" w:firstLineChars="0"/>
              <w:jc w:val="center"/>
              <w:rPr>
                <w:rFonts w:ascii="宋体" w:hAnsi="宋体"/>
                <w:sz w:val="15"/>
                <w:szCs w:val="15"/>
              </w:rPr>
            </w:pPr>
            <w:r>
              <w:rPr>
                <w:rFonts w:ascii="宋体" w:hAnsi="宋体"/>
                <w:sz w:val="15"/>
                <w:szCs w:val="15"/>
              </w:rPr>
              <w:t>3.4</w:t>
            </w:r>
          </w:p>
        </w:tc>
        <w:tc>
          <w:tcPr>
            <w:tcW w:w="1389" w:type="dxa"/>
            <w:tcBorders>
              <w:top w:val="single" w:color="auto" w:sz="6" w:space="0"/>
            </w:tcBorders>
            <w:vAlign w:val="center"/>
          </w:tcPr>
          <w:p w14:paraId="551518C4">
            <w:pPr>
              <w:ind w:firstLine="0" w:firstLineChars="0"/>
              <w:jc w:val="center"/>
              <w:rPr>
                <w:rFonts w:ascii="宋体" w:hAnsi="宋体"/>
                <w:sz w:val="15"/>
                <w:szCs w:val="15"/>
              </w:rPr>
            </w:pPr>
            <w:r>
              <w:rPr>
                <w:rFonts w:ascii="宋体" w:hAnsi="宋体"/>
                <w:sz w:val="15"/>
                <w:szCs w:val="15"/>
              </w:rPr>
              <w:t>0.36</w:t>
            </w:r>
          </w:p>
        </w:tc>
        <w:tc>
          <w:tcPr>
            <w:tcW w:w="1389" w:type="dxa"/>
            <w:tcBorders>
              <w:top w:val="single" w:color="auto" w:sz="6" w:space="0"/>
            </w:tcBorders>
            <w:vAlign w:val="center"/>
          </w:tcPr>
          <w:p w14:paraId="2563EFB2">
            <w:pPr>
              <w:ind w:firstLine="0" w:firstLineChars="0"/>
              <w:jc w:val="center"/>
              <w:rPr>
                <w:rFonts w:ascii="宋体" w:hAnsi="宋体"/>
                <w:sz w:val="15"/>
                <w:szCs w:val="15"/>
              </w:rPr>
            </w:pPr>
            <w:r>
              <w:rPr>
                <w:rFonts w:ascii="宋体" w:hAnsi="宋体"/>
                <w:sz w:val="15"/>
                <w:szCs w:val="15"/>
              </w:rPr>
              <w:t>18</w:t>
            </w:r>
          </w:p>
        </w:tc>
        <w:tc>
          <w:tcPr>
            <w:tcW w:w="1389" w:type="dxa"/>
            <w:tcBorders>
              <w:top w:val="single" w:color="auto" w:sz="6" w:space="0"/>
            </w:tcBorders>
            <w:vAlign w:val="center"/>
          </w:tcPr>
          <w:p w14:paraId="05EF4700">
            <w:pPr>
              <w:ind w:firstLine="0" w:firstLineChars="0"/>
              <w:jc w:val="center"/>
              <w:rPr>
                <w:rFonts w:ascii="宋体" w:hAnsi="宋体"/>
                <w:sz w:val="15"/>
                <w:szCs w:val="15"/>
              </w:rPr>
            </w:pPr>
            <w:r>
              <w:rPr>
                <w:rFonts w:ascii="宋体" w:hAnsi="宋体"/>
                <w:sz w:val="15"/>
                <w:szCs w:val="15"/>
              </w:rPr>
              <w:t>17</w:t>
            </w:r>
          </w:p>
        </w:tc>
        <w:tc>
          <w:tcPr>
            <w:tcW w:w="1389" w:type="dxa"/>
            <w:tcBorders>
              <w:top w:val="single" w:color="auto" w:sz="6" w:space="0"/>
            </w:tcBorders>
            <w:vAlign w:val="center"/>
          </w:tcPr>
          <w:p w14:paraId="47837B7A">
            <w:pPr>
              <w:ind w:firstLine="0" w:firstLineChars="0"/>
              <w:jc w:val="center"/>
              <w:rPr>
                <w:rFonts w:ascii="宋体" w:hAnsi="宋体"/>
                <w:sz w:val="15"/>
                <w:szCs w:val="15"/>
              </w:rPr>
            </w:pPr>
            <w:r>
              <w:rPr>
                <w:rFonts w:ascii="宋体" w:hAnsi="宋体"/>
                <w:sz w:val="15"/>
                <w:szCs w:val="15"/>
              </w:rPr>
              <w:t>25</w:t>
            </w:r>
          </w:p>
        </w:tc>
      </w:tr>
      <w:tr w14:paraId="4A5A573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jc w:val="center"/>
        </w:trPr>
        <w:tc>
          <w:tcPr>
            <w:tcW w:w="1389" w:type="dxa"/>
            <w:vAlign w:val="center"/>
          </w:tcPr>
          <w:p w14:paraId="1478610A">
            <w:pPr>
              <w:ind w:firstLine="0" w:firstLineChars="0"/>
              <w:jc w:val="center"/>
              <w:rPr>
                <w:rFonts w:ascii="宋体" w:hAnsi="宋体"/>
                <w:sz w:val="15"/>
                <w:szCs w:val="15"/>
              </w:rPr>
            </w:pPr>
            <w:r>
              <w:rPr>
                <w:rFonts w:ascii="宋体" w:hAnsi="宋体"/>
                <w:sz w:val="15"/>
                <w:szCs w:val="15"/>
              </w:rPr>
              <w:t>砂土</w:t>
            </w:r>
          </w:p>
        </w:tc>
        <w:tc>
          <w:tcPr>
            <w:tcW w:w="1389" w:type="dxa"/>
            <w:vAlign w:val="center"/>
          </w:tcPr>
          <w:p w14:paraId="692F7BDF">
            <w:pPr>
              <w:ind w:firstLine="0" w:firstLineChars="0"/>
              <w:jc w:val="center"/>
              <w:rPr>
                <w:rFonts w:ascii="宋体" w:hAnsi="宋体"/>
                <w:sz w:val="15"/>
                <w:szCs w:val="15"/>
              </w:rPr>
            </w:pPr>
            <w:r>
              <w:rPr>
                <w:rFonts w:ascii="宋体" w:hAnsi="宋体"/>
                <w:sz w:val="15"/>
                <w:szCs w:val="15"/>
              </w:rPr>
              <w:t>15.8</w:t>
            </w:r>
          </w:p>
        </w:tc>
        <w:tc>
          <w:tcPr>
            <w:tcW w:w="1389" w:type="dxa"/>
            <w:vAlign w:val="center"/>
          </w:tcPr>
          <w:p w14:paraId="5DAFFF8A">
            <w:pPr>
              <w:ind w:firstLine="0" w:firstLineChars="0"/>
              <w:jc w:val="center"/>
              <w:rPr>
                <w:rFonts w:ascii="宋体" w:hAnsi="宋体"/>
                <w:sz w:val="15"/>
                <w:szCs w:val="15"/>
              </w:rPr>
            </w:pPr>
            <w:r>
              <w:rPr>
                <w:rFonts w:ascii="宋体" w:hAnsi="宋体"/>
                <w:sz w:val="15"/>
                <w:szCs w:val="15"/>
              </w:rPr>
              <w:t>0.3</w:t>
            </w:r>
          </w:p>
        </w:tc>
        <w:tc>
          <w:tcPr>
            <w:tcW w:w="1389" w:type="dxa"/>
            <w:vAlign w:val="center"/>
          </w:tcPr>
          <w:p w14:paraId="43EB2FB1">
            <w:pPr>
              <w:ind w:firstLine="0" w:firstLineChars="0"/>
              <w:jc w:val="center"/>
              <w:rPr>
                <w:rFonts w:ascii="宋体" w:hAnsi="宋体"/>
                <w:sz w:val="15"/>
                <w:szCs w:val="15"/>
              </w:rPr>
            </w:pPr>
            <w:r>
              <w:rPr>
                <w:rFonts w:ascii="宋体" w:hAnsi="宋体"/>
                <w:sz w:val="15"/>
                <w:szCs w:val="15"/>
              </w:rPr>
              <w:t>18.8</w:t>
            </w:r>
          </w:p>
        </w:tc>
        <w:tc>
          <w:tcPr>
            <w:tcW w:w="1389" w:type="dxa"/>
            <w:vAlign w:val="center"/>
          </w:tcPr>
          <w:p w14:paraId="30917BFC">
            <w:pPr>
              <w:ind w:firstLine="0" w:firstLineChars="0"/>
              <w:jc w:val="center"/>
              <w:rPr>
                <w:rFonts w:ascii="宋体" w:hAnsi="宋体"/>
                <w:sz w:val="15"/>
                <w:szCs w:val="15"/>
              </w:rPr>
            </w:pPr>
            <w:r>
              <w:rPr>
                <w:rFonts w:ascii="宋体" w:hAnsi="宋体"/>
                <w:sz w:val="15"/>
                <w:szCs w:val="15"/>
              </w:rPr>
              <w:t>30</w:t>
            </w:r>
          </w:p>
        </w:tc>
        <w:tc>
          <w:tcPr>
            <w:tcW w:w="1389" w:type="dxa"/>
            <w:vAlign w:val="center"/>
          </w:tcPr>
          <w:p w14:paraId="584E2E7D">
            <w:pPr>
              <w:ind w:firstLine="0" w:firstLineChars="0"/>
              <w:jc w:val="center"/>
              <w:rPr>
                <w:rFonts w:ascii="宋体" w:hAnsi="宋体"/>
                <w:sz w:val="15"/>
                <w:szCs w:val="15"/>
              </w:rPr>
            </w:pPr>
            <w:r>
              <w:rPr>
                <w:rFonts w:ascii="宋体" w:hAnsi="宋体"/>
                <w:sz w:val="15"/>
                <w:szCs w:val="15"/>
              </w:rPr>
              <w:t>0.5</w:t>
            </w:r>
          </w:p>
        </w:tc>
      </w:tr>
      <w:tr w14:paraId="1A5D2D5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jc w:val="center"/>
        </w:trPr>
        <w:tc>
          <w:tcPr>
            <w:tcW w:w="1389" w:type="dxa"/>
            <w:vAlign w:val="center"/>
          </w:tcPr>
          <w:p w14:paraId="06D1933C">
            <w:pPr>
              <w:ind w:firstLine="0" w:firstLineChars="0"/>
              <w:jc w:val="center"/>
              <w:rPr>
                <w:rFonts w:ascii="宋体" w:hAnsi="宋体"/>
                <w:sz w:val="15"/>
                <w:szCs w:val="15"/>
              </w:rPr>
            </w:pPr>
            <w:r>
              <w:rPr>
                <w:rFonts w:ascii="宋体" w:hAnsi="宋体"/>
                <w:sz w:val="15"/>
                <w:szCs w:val="15"/>
              </w:rPr>
              <w:t>墙体</w:t>
            </w:r>
          </w:p>
        </w:tc>
        <w:tc>
          <w:tcPr>
            <w:tcW w:w="1389" w:type="dxa"/>
            <w:vAlign w:val="center"/>
          </w:tcPr>
          <w:p w14:paraId="310A10A2">
            <w:pPr>
              <w:ind w:firstLine="0" w:firstLineChars="0"/>
              <w:jc w:val="center"/>
              <w:rPr>
                <w:rFonts w:ascii="宋体" w:hAnsi="宋体"/>
                <w:sz w:val="15"/>
                <w:szCs w:val="15"/>
              </w:rPr>
            </w:pPr>
            <w:r>
              <w:rPr>
                <w:rFonts w:ascii="宋体" w:hAnsi="宋体"/>
                <w:sz w:val="15"/>
                <w:szCs w:val="15"/>
              </w:rPr>
              <w:t>23000</w:t>
            </w:r>
          </w:p>
        </w:tc>
        <w:tc>
          <w:tcPr>
            <w:tcW w:w="1389" w:type="dxa"/>
            <w:vAlign w:val="center"/>
          </w:tcPr>
          <w:p w14:paraId="6A2CD44A">
            <w:pPr>
              <w:ind w:firstLine="0" w:firstLineChars="0"/>
              <w:jc w:val="center"/>
              <w:rPr>
                <w:rFonts w:ascii="宋体" w:hAnsi="宋体"/>
                <w:sz w:val="15"/>
                <w:szCs w:val="15"/>
              </w:rPr>
            </w:pPr>
            <w:r>
              <w:rPr>
                <w:rFonts w:ascii="宋体" w:hAnsi="宋体"/>
                <w:sz w:val="15"/>
                <w:szCs w:val="15"/>
              </w:rPr>
              <w:t>0.3</w:t>
            </w:r>
          </w:p>
        </w:tc>
        <w:tc>
          <w:tcPr>
            <w:tcW w:w="1389" w:type="dxa"/>
            <w:vAlign w:val="center"/>
          </w:tcPr>
          <w:p w14:paraId="54D918FC">
            <w:pPr>
              <w:ind w:firstLine="0" w:firstLineChars="0"/>
              <w:jc w:val="center"/>
              <w:rPr>
                <w:rFonts w:ascii="宋体" w:hAnsi="宋体"/>
                <w:sz w:val="15"/>
                <w:szCs w:val="15"/>
              </w:rPr>
            </w:pPr>
            <w:r>
              <w:rPr>
                <w:rFonts w:ascii="宋体" w:hAnsi="宋体"/>
                <w:sz w:val="15"/>
                <w:szCs w:val="15"/>
              </w:rPr>
              <w:t>23</w:t>
            </w:r>
          </w:p>
        </w:tc>
        <w:tc>
          <w:tcPr>
            <w:tcW w:w="1389" w:type="dxa"/>
            <w:vAlign w:val="center"/>
          </w:tcPr>
          <w:p w14:paraId="27A07049">
            <w:pPr>
              <w:ind w:firstLine="0" w:firstLineChars="0"/>
              <w:jc w:val="center"/>
              <w:rPr>
                <w:rFonts w:hint="eastAsia" w:ascii="宋体" w:hAnsi="宋体" w:eastAsia="宋体"/>
                <w:sz w:val="15"/>
                <w:szCs w:val="15"/>
                <w:lang w:eastAsia="zh-CN"/>
              </w:rPr>
            </w:pPr>
            <w:r>
              <w:rPr>
                <w:rFonts w:hint="eastAsia" w:ascii="宋体" w:hAnsi="宋体"/>
                <w:sz w:val="15"/>
                <w:szCs w:val="15"/>
                <w:lang w:eastAsia="zh-CN"/>
              </w:rPr>
              <w:t>—</w:t>
            </w:r>
          </w:p>
        </w:tc>
        <w:tc>
          <w:tcPr>
            <w:tcW w:w="1389" w:type="dxa"/>
            <w:vAlign w:val="center"/>
          </w:tcPr>
          <w:p w14:paraId="51007A35">
            <w:pPr>
              <w:ind w:firstLine="0" w:firstLineChars="0"/>
              <w:jc w:val="center"/>
              <w:rPr>
                <w:rFonts w:hint="eastAsia" w:ascii="宋体" w:hAnsi="宋体" w:eastAsia="宋体"/>
                <w:sz w:val="15"/>
                <w:szCs w:val="15"/>
                <w:lang w:eastAsia="zh-CN"/>
              </w:rPr>
            </w:pPr>
            <w:r>
              <w:rPr>
                <w:rFonts w:hint="eastAsia" w:ascii="宋体" w:hAnsi="宋体"/>
                <w:sz w:val="15"/>
                <w:szCs w:val="15"/>
                <w:lang w:eastAsia="zh-CN"/>
              </w:rPr>
              <w:t>—</w:t>
            </w:r>
          </w:p>
        </w:tc>
      </w:tr>
      <w:tr w14:paraId="356A46C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jc w:val="center"/>
        </w:trPr>
        <w:tc>
          <w:tcPr>
            <w:tcW w:w="1389" w:type="dxa"/>
            <w:vAlign w:val="center"/>
          </w:tcPr>
          <w:p w14:paraId="03A1B755">
            <w:pPr>
              <w:ind w:firstLine="0" w:firstLineChars="0"/>
              <w:jc w:val="center"/>
              <w:rPr>
                <w:rFonts w:ascii="宋体" w:hAnsi="宋体"/>
                <w:sz w:val="15"/>
                <w:szCs w:val="15"/>
              </w:rPr>
            </w:pPr>
            <w:r>
              <w:rPr>
                <w:rFonts w:ascii="宋体" w:hAnsi="宋体"/>
                <w:sz w:val="15"/>
                <w:szCs w:val="15"/>
              </w:rPr>
              <w:t>王字钢</w:t>
            </w:r>
          </w:p>
        </w:tc>
        <w:tc>
          <w:tcPr>
            <w:tcW w:w="1389" w:type="dxa"/>
            <w:vAlign w:val="center"/>
          </w:tcPr>
          <w:p w14:paraId="6E02DEFD">
            <w:pPr>
              <w:ind w:firstLine="0" w:firstLineChars="0"/>
              <w:jc w:val="center"/>
              <w:rPr>
                <w:rFonts w:ascii="宋体" w:hAnsi="宋体"/>
                <w:sz w:val="15"/>
                <w:szCs w:val="15"/>
              </w:rPr>
            </w:pPr>
            <w:r>
              <w:rPr>
                <w:rFonts w:ascii="宋体" w:hAnsi="宋体"/>
                <w:sz w:val="15"/>
                <w:szCs w:val="15"/>
              </w:rPr>
              <w:t>20700</w:t>
            </w:r>
          </w:p>
        </w:tc>
        <w:tc>
          <w:tcPr>
            <w:tcW w:w="1389" w:type="dxa"/>
            <w:vAlign w:val="center"/>
          </w:tcPr>
          <w:p w14:paraId="7F318911">
            <w:pPr>
              <w:ind w:firstLine="0" w:firstLineChars="0"/>
              <w:jc w:val="center"/>
              <w:rPr>
                <w:rFonts w:ascii="宋体" w:hAnsi="宋体"/>
                <w:sz w:val="15"/>
                <w:szCs w:val="15"/>
              </w:rPr>
            </w:pPr>
            <w:r>
              <w:rPr>
                <w:rFonts w:ascii="宋体" w:hAnsi="宋体"/>
                <w:sz w:val="15"/>
                <w:szCs w:val="15"/>
              </w:rPr>
              <w:t>0.3</w:t>
            </w:r>
          </w:p>
        </w:tc>
        <w:tc>
          <w:tcPr>
            <w:tcW w:w="1389" w:type="dxa"/>
            <w:vAlign w:val="center"/>
          </w:tcPr>
          <w:p w14:paraId="2A644671">
            <w:pPr>
              <w:ind w:firstLine="0" w:firstLineChars="0"/>
              <w:jc w:val="center"/>
              <w:rPr>
                <w:rFonts w:ascii="宋体" w:hAnsi="宋体"/>
                <w:sz w:val="15"/>
                <w:szCs w:val="15"/>
              </w:rPr>
            </w:pPr>
            <w:r>
              <w:rPr>
                <w:rFonts w:ascii="宋体" w:hAnsi="宋体"/>
                <w:sz w:val="15"/>
                <w:szCs w:val="15"/>
              </w:rPr>
              <w:t>23</w:t>
            </w:r>
          </w:p>
        </w:tc>
        <w:tc>
          <w:tcPr>
            <w:tcW w:w="1389" w:type="dxa"/>
            <w:vAlign w:val="center"/>
          </w:tcPr>
          <w:p w14:paraId="63EF1ADD">
            <w:pPr>
              <w:ind w:firstLine="0" w:firstLineChars="0"/>
              <w:jc w:val="center"/>
              <w:rPr>
                <w:rFonts w:hint="eastAsia" w:ascii="宋体" w:hAnsi="宋体" w:eastAsia="宋体"/>
                <w:sz w:val="15"/>
                <w:szCs w:val="15"/>
                <w:lang w:eastAsia="zh-CN"/>
              </w:rPr>
            </w:pPr>
            <w:r>
              <w:rPr>
                <w:rFonts w:hint="eastAsia" w:ascii="宋体" w:hAnsi="宋体"/>
                <w:sz w:val="15"/>
                <w:szCs w:val="15"/>
                <w:lang w:eastAsia="zh-CN"/>
              </w:rPr>
              <w:t>—</w:t>
            </w:r>
          </w:p>
        </w:tc>
        <w:tc>
          <w:tcPr>
            <w:tcW w:w="1389" w:type="dxa"/>
            <w:vAlign w:val="center"/>
          </w:tcPr>
          <w:p w14:paraId="66E68ADE">
            <w:pPr>
              <w:ind w:firstLine="0" w:firstLineChars="0"/>
              <w:jc w:val="center"/>
              <w:rPr>
                <w:rFonts w:hint="eastAsia" w:ascii="宋体" w:hAnsi="宋体" w:eastAsia="宋体"/>
                <w:sz w:val="15"/>
                <w:szCs w:val="15"/>
                <w:lang w:eastAsia="zh-CN"/>
              </w:rPr>
            </w:pPr>
            <w:r>
              <w:rPr>
                <w:rFonts w:hint="eastAsia" w:ascii="宋体" w:hAnsi="宋体"/>
                <w:sz w:val="15"/>
                <w:szCs w:val="15"/>
                <w:lang w:eastAsia="zh-CN"/>
              </w:rPr>
              <w:t>—</w:t>
            </w:r>
          </w:p>
        </w:tc>
      </w:tr>
      <w:tr w14:paraId="5879321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jc w:val="center"/>
        </w:trPr>
        <w:tc>
          <w:tcPr>
            <w:tcW w:w="1389" w:type="dxa"/>
            <w:vAlign w:val="center"/>
          </w:tcPr>
          <w:p w14:paraId="492A4238">
            <w:pPr>
              <w:ind w:firstLine="0" w:firstLineChars="0"/>
              <w:jc w:val="center"/>
              <w:rPr>
                <w:rFonts w:ascii="宋体" w:hAnsi="宋体"/>
                <w:sz w:val="15"/>
                <w:szCs w:val="15"/>
              </w:rPr>
            </w:pPr>
            <w:r>
              <w:rPr>
                <w:rFonts w:ascii="宋体" w:hAnsi="宋体"/>
                <w:sz w:val="15"/>
                <w:szCs w:val="15"/>
              </w:rPr>
              <w:t>工字钢</w:t>
            </w:r>
          </w:p>
        </w:tc>
        <w:tc>
          <w:tcPr>
            <w:tcW w:w="1389" w:type="dxa"/>
            <w:vAlign w:val="center"/>
          </w:tcPr>
          <w:p w14:paraId="753B36D5">
            <w:pPr>
              <w:ind w:firstLine="0" w:firstLineChars="0"/>
              <w:jc w:val="center"/>
              <w:rPr>
                <w:rFonts w:ascii="宋体" w:hAnsi="宋体"/>
                <w:sz w:val="15"/>
                <w:szCs w:val="15"/>
              </w:rPr>
            </w:pPr>
            <w:r>
              <w:rPr>
                <w:rFonts w:ascii="宋体" w:hAnsi="宋体"/>
                <w:sz w:val="15"/>
                <w:szCs w:val="15"/>
              </w:rPr>
              <w:t>19090</w:t>
            </w:r>
          </w:p>
        </w:tc>
        <w:tc>
          <w:tcPr>
            <w:tcW w:w="1389" w:type="dxa"/>
            <w:vAlign w:val="center"/>
          </w:tcPr>
          <w:p w14:paraId="7BB37712">
            <w:pPr>
              <w:ind w:firstLine="0" w:firstLineChars="0"/>
              <w:jc w:val="center"/>
              <w:rPr>
                <w:rFonts w:ascii="宋体" w:hAnsi="宋体"/>
                <w:sz w:val="15"/>
                <w:szCs w:val="15"/>
              </w:rPr>
            </w:pPr>
            <w:r>
              <w:rPr>
                <w:rFonts w:ascii="宋体" w:hAnsi="宋体"/>
                <w:sz w:val="15"/>
                <w:szCs w:val="15"/>
              </w:rPr>
              <w:t>0.3</w:t>
            </w:r>
          </w:p>
        </w:tc>
        <w:tc>
          <w:tcPr>
            <w:tcW w:w="1389" w:type="dxa"/>
            <w:vAlign w:val="center"/>
          </w:tcPr>
          <w:p w14:paraId="2EEBEABF">
            <w:pPr>
              <w:ind w:firstLine="0" w:firstLineChars="0"/>
              <w:jc w:val="center"/>
              <w:rPr>
                <w:rFonts w:ascii="宋体" w:hAnsi="宋体"/>
                <w:sz w:val="15"/>
                <w:szCs w:val="15"/>
              </w:rPr>
            </w:pPr>
            <w:r>
              <w:rPr>
                <w:rFonts w:ascii="宋体" w:hAnsi="宋体"/>
                <w:sz w:val="15"/>
                <w:szCs w:val="15"/>
              </w:rPr>
              <w:t>23</w:t>
            </w:r>
          </w:p>
        </w:tc>
        <w:tc>
          <w:tcPr>
            <w:tcW w:w="1389" w:type="dxa"/>
            <w:vAlign w:val="center"/>
          </w:tcPr>
          <w:p w14:paraId="2B9968F2">
            <w:pPr>
              <w:ind w:firstLine="0" w:firstLineChars="0"/>
              <w:jc w:val="center"/>
              <w:rPr>
                <w:rFonts w:hint="eastAsia" w:ascii="宋体" w:hAnsi="宋体" w:eastAsia="宋体"/>
                <w:sz w:val="15"/>
                <w:szCs w:val="15"/>
                <w:lang w:eastAsia="zh-CN"/>
              </w:rPr>
            </w:pPr>
            <w:r>
              <w:rPr>
                <w:rFonts w:hint="eastAsia" w:ascii="宋体" w:hAnsi="宋体"/>
                <w:sz w:val="15"/>
                <w:szCs w:val="15"/>
                <w:lang w:eastAsia="zh-CN"/>
              </w:rPr>
              <w:t>—</w:t>
            </w:r>
          </w:p>
        </w:tc>
        <w:tc>
          <w:tcPr>
            <w:tcW w:w="1389" w:type="dxa"/>
            <w:vAlign w:val="center"/>
          </w:tcPr>
          <w:p w14:paraId="375BD14C">
            <w:pPr>
              <w:ind w:firstLine="0" w:firstLineChars="0"/>
              <w:jc w:val="center"/>
              <w:rPr>
                <w:rFonts w:hint="eastAsia" w:ascii="宋体" w:hAnsi="宋体" w:eastAsia="宋体"/>
                <w:sz w:val="15"/>
                <w:szCs w:val="15"/>
                <w:lang w:eastAsia="zh-CN"/>
              </w:rPr>
            </w:pPr>
            <w:r>
              <w:rPr>
                <w:rFonts w:hint="eastAsia" w:ascii="宋体" w:hAnsi="宋体"/>
                <w:sz w:val="15"/>
                <w:szCs w:val="15"/>
                <w:lang w:eastAsia="zh-CN"/>
              </w:rPr>
              <w:t>—</w:t>
            </w:r>
          </w:p>
        </w:tc>
      </w:tr>
      <w:tr w14:paraId="7AFF75E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jc w:val="center"/>
        </w:trPr>
        <w:tc>
          <w:tcPr>
            <w:tcW w:w="1389" w:type="dxa"/>
            <w:vAlign w:val="center"/>
          </w:tcPr>
          <w:p w14:paraId="3C838242">
            <w:pPr>
              <w:ind w:firstLine="0" w:firstLineChars="0"/>
              <w:jc w:val="center"/>
              <w:rPr>
                <w:rFonts w:ascii="宋体" w:hAnsi="宋体"/>
                <w:sz w:val="15"/>
                <w:szCs w:val="15"/>
              </w:rPr>
            </w:pPr>
            <w:r>
              <w:rPr>
                <w:rFonts w:ascii="宋体" w:hAnsi="宋体"/>
                <w:sz w:val="15"/>
                <w:szCs w:val="15"/>
              </w:rPr>
              <w:t>十字钢</w:t>
            </w:r>
          </w:p>
        </w:tc>
        <w:tc>
          <w:tcPr>
            <w:tcW w:w="1389" w:type="dxa"/>
            <w:vAlign w:val="center"/>
          </w:tcPr>
          <w:p w14:paraId="1C28F904">
            <w:pPr>
              <w:ind w:firstLine="0" w:firstLineChars="0"/>
              <w:jc w:val="center"/>
              <w:rPr>
                <w:rFonts w:ascii="宋体" w:hAnsi="宋体"/>
                <w:sz w:val="15"/>
                <w:szCs w:val="15"/>
              </w:rPr>
            </w:pPr>
            <w:r>
              <w:rPr>
                <w:rFonts w:ascii="宋体" w:hAnsi="宋体"/>
                <w:sz w:val="15"/>
                <w:szCs w:val="15"/>
              </w:rPr>
              <w:t>17710</w:t>
            </w:r>
          </w:p>
        </w:tc>
        <w:tc>
          <w:tcPr>
            <w:tcW w:w="1389" w:type="dxa"/>
            <w:vAlign w:val="center"/>
          </w:tcPr>
          <w:p w14:paraId="6AE5DC87">
            <w:pPr>
              <w:ind w:firstLine="0" w:firstLineChars="0"/>
              <w:jc w:val="center"/>
              <w:rPr>
                <w:rFonts w:ascii="宋体" w:hAnsi="宋体"/>
                <w:sz w:val="15"/>
                <w:szCs w:val="15"/>
              </w:rPr>
            </w:pPr>
            <w:r>
              <w:rPr>
                <w:rFonts w:ascii="宋体" w:hAnsi="宋体"/>
                <w:sz w:val="15"/>
                <w:szCs w:val="15"/>
              </w:rPr>
              <w:t>0.3</w:t>
            </w:r>
          </w:p>
        </w:tc>
        <w:tc>
          <w:tcPr>
            <w:tcW w:w="1389" w:type="dxa"/>
            <w:vAlign w:val="center"/>
          </w:tcPr>
          <w:p w14:paraId="0F4A0B3A">
            <w:pPr>
              <w:ind w:firstLine="0" w:firstLineChars="0"/>
              <w:jc w:val="center"/>
              <w:rPr>
                <w:rFonts w:ascii="宋体" w:hAnsi="宋体"/>
                <w:sz w:val="15"/>
                <w:szCs w:val="15"/>
              </w:rPr>
            </w:pPr>
            <w:r>
              <w:rPr>
                <w:rFonts w:ascii="宋体" w:hAnsi="宋体"/>
                <w:sz w:val="15"/>
                <w:szCs w:val="15"/>
              </w:rPr>
              <w:t>23</w:t>
            </w:r>
          </w:p>
        </w:tc>
        <w:tc>
          <w:tcPr>
            <w:tcW w:w="1389" w:type="dxa"/>
            <w:vAlign w:val="center"/>
          </w:tcPr>
          <w:p w14:paraId="269D5E01">
            <w:pPr>
              <w:ind w:firstLine="0" w:firstLineChars="0"/>
              <w:jc w:val="center"/>
              <w:rPr>
                <w:rFonts w:hint="eastAsia" w:ascii="宋体" w:hAnsi="宋体" w:eastAsia="宋体"/>
                <w:sz w:val="15"/>
                <w:szCs w:val="15"/>
                <w:lang w:eastAsia="zh-CN"/>
              </w:rPr>
            </w:pPr>
            <w:r>
              <w:rPr>
                <w:rFonts w:hint="eastAsia" w:ascii="宋体" w:hAnsi="宋体"/>
                <w:sz w:val="15"/>
                <w:szCs w:val="15"/>
                <w:lang w:eastAsia="zh-CN"/>
              </w:rPr>
              <w:t>—</w:t>
            </w:r>
          </w:p>
        </w:tc>
        <w:tc>
          <w:tcPr>
            <w:tcW w:w="1389" w:type="dxa"/>
            <w:vAlign w:val="center"/>
          </w:tcPr>
          <w:p w14:paraId="7E2C0D19">
            <w:pPr>
              <w:ind w:firstLine="0" w:firstLineChars="0"/>
              <w:jc w:val="center"/>
              <w:rPr>
                <w:rFonts w:hint="eastAsia" w:ascii="宋体" w:hAnsi="宋体" w:eastAsia="宋体"/>
                <w:sz w:val="15"/>
                <w:szCs w:val="15"/>
                <w:lang w:eastAsia="zh-CN"/>
              </w:rPr>
            </w:pPr>
            <w:r>
              <w:rPr>
                <w:rFonts w:hint="eastAsia" w:ascii="宋体" w:hAnsi="宋体"/>
                <w:sz w:val="15"/>
                <w:szCs w:val="15"/>
                <w:lang w:eastAsia="zh-CN"/>
              </w:rPr>
              <w:t>—</w:t>
            </w:r>
          </w:p>
        </w:tc>
      </w:tr>
      <w:tr w14:paraId="7E08F7E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jc w:val="center"/>
        </w:trPr>
        <w:tc>
          <w:tcPr>
            <w:tcW w:w="1389" w:type="dxa"/>
            <w:vAlign w:val="center"/>
          </w:tcPr>
          <w:p w14:paraId="355A5E68">
            <w:pPr>
              <w:ind w:firstLine="0" w:firstLineChars="0"/>
              <w:jc w:val="center"/>
              <w:rPr>
                <w:rFonts w:ascii="宋体" w:hAnsi="宋体"/>
                <w:sz w:val="15"/>
                <w:szCs w:val="15"/>
              </w:rPr>
            </w:pPr>
            <w:r>
              <w:rPr>
                <w:rFonts w:ascii="宋体" w:hAnsi="宋体"/>
                <w:sz w:val="15"/>
                <w:szCs w:val="15"/>
              </w:rPr>
              <w:t>接头管</w:t>
            </w:r>
          </w:p>
        </w:tc>
        <w:tc>
          <w:tcPr>
            <w:tcW w:w="1389" w:type="dxa"/>
            <w:vAlign w:val="center"/>
          </w:tcPr>
          <w:p w14:paraId="66E486A2">
            <w:pPr>
              <w:ind w:firstLine="0" w:firstLineChars="0"/>
              <w:jc w:val="center"/>
              <w:rPr>
                <w:rFonts w:ascii="宋体" w:hAnsi="宋体"/>
                <w:sz w:val="15"/>
                <w:szCs w:val="15"/>
              </w:rPr>
            </w:pPr>
            <w:r>
              <w:rPr>
                <w:rFonts w:ascii="宋体" w:hAnsi="宋体"/>
                <w:sz w:val="15"/>
                <w:szCs w:val="15"/>
              </w:rPr>
              <w:t>1</w:t>
            </w:r>
          </w:p>
        </w:tc>
        <w:tc>
          <w:tcPr>
            <w:tcW w:w="1389" w:type="dxa"/>
            <w:vAlign w:val="center"/>
          </w:tcPr>
          <w:p w14:paraId="680DE04C">
            <w:pPr>
              <w:ind w:firstLine="0" w:firstLineChars="0"/>
              <w:jc w:val="center"/>
              <w:rPr>
                <w:rFonts w:ascii="宋体" w:hAnsi="宋体"/>
                <w:sz w:val="15"/>
                <w:szCs w:val="15"/>
              </w:rPr>
            </w:pPr>
            <w:r>
              <w:rPr>
                <w:rFonts w:ascii="宋体" w:hAnsi="宋体"/>
                <w:sz w:val="15"/>
                <w:szCs w:val="15"/>
              </w:rPr>
              <w:t>0.3</w:t>
            </w:r>
          </w:p>
        </w:tc>
        <w:tc>
          <w:tcPr>
            <w:tcW w:w="1389" w:type="dxa"/>
            <w:vAlign w:val="center"/>
          </w:tcPr>
          <w:p w14:paraId="7762AF94">
            <w:pPr>
              <w:ind w:firstLine="0" w:firstLineChars="0"/>
              <w:jc w:val="center"/>
              <w:rPr>
                <w:rFonts w:ascii="宋体" w:hAnsi="宋体"/>
                <w:sz w:val="15"/>
                <w:szCs w:val="15"/>
              </w:rPr>
            </w:pPr>
            <w:r>
              <w:rPr>
                <w:rFonts w:ascii="宋体" w:hAnsi="宋体"/>
                <w:sz w:val="15"/>
                <w:szCs w:val="15"/>
              </w:rPr>
              <w:t>23</w:t>
            </w:r>
          </w:p>
        </w:tc>
        <w:tc>
          <w:tcPr>
            <w:tcW w:w="1389" w:type="dxa"/>
            <w:vAlign w:val="center"/>
          </w:tcPr>
          <w:p w14:paraId="1FF6B728">
            <w:pPr>
              <w:ind w:firstLine="0" w:firstLineChars="0"/>
              <w:jc w:val="center"/>
              <w:rPr>
                <w:rFonts w:hint="eastAsia" w:ascii="宋体" w:hAnsi="宋体" w:eastAsia="宋体"/>
                <w:sz w:val="15"/>
                <w:szCs w:val="15"/>
                <w:lang w:eastAsia="zh-CN"/>
              </w:rPr>
            </w:pPr>
            <w:r>
              <w:rPr>
                <w:rFonts w:hint="eastAsia" w:ascii="宋体" w:hAnsi="宋体"/>
                <w:sz w:val="15"/>
                <w:szCs w:val="15"/>
                <w:lang w:eastAsia="zh-CN"/>
              </w:rPr>
              <w:t>—</w:t>
            </w:r>
          </w:p>
        </w:tc>
        <w:tc>
          <w:tcPr>
            <w:tcW w:w="1389" w:type="dxa"/>
            <w:vAlign w:val="center"/>
          </w:tcPr>
          <w:p w14:paraId="56DD2CB5">
            <w:pPr>
              <w:ind w:firstLine="0" w:firstLineChars="0"/>
              <w:jc w:val="center"/>
              <w:rPr>
                <w:rFonts w:hint="eastAsia" w:ascii="宋体" w:hAnsi="宋体" w:eastAsia="宋体"/>
                <w:sz w:val="15"/>
                <w:szCs w:val="15"/>
                <w:lang w:eastAsia="zh-CN"/>
              </w:rPr>
            </w:pPr>
            <w:r>
              <w:rPr>
                <w:rFonts w:hint="eastAsia" w:ascii="宋体" w:hAnsi="宋体"/>
                <w:sz w:val="15"/>
                <w:szCs w:val="15"/>
                <w:lang w:eastAsia="zh-CN"/>
              </w:rPr>
              <w:t>—</w:t>
            </w:r>
          </w:p>
        </w:tc>
      </w:tr>
    </w:tbl>
    <w:p w14:paraId="01C19B70">
      <w:pPr>
        <w:pStyle w:val="43"/>
        <w:numPr>
          <w:ilvl w:val="1"/>
          <w:numId w:val="2"/>
        </w:numPr>
        <w:spacing w:before="0" w:after="0"/>
        <w:jc w:val="both"/>
        <w:outlineLvl w:val="1"/>
        <w:rPr>
          <w:rFonts w:ascii="Times New Roman" w:hAnsi="Times New Roman" w:eastAsia="黑体"/>
          <w:b w:val="0"/>
        </w:rPr>
      </w:pPr>
      <w:r>
        <w:rPr>
          <w:rFonts w:hint="eastAsia" w:ascii="Times New Roman" w:hAnsi="Times New Roman" w:eastAsia="黑体"/>
          <w:b w:val="0"/>
        </w:rPr>
        <w:t xml:space="preserve"> 数值模拟与试验数据对比</w:t>
      </w:r>
    </w:p>
    <w:p w14:paraId="1C2EC690">
      <w:pPr>
        <w:ind w:firstLine="420"/>
      </w:pPr>
      <w:r>
        <w:rPr>
          <w:rFonts w:hint="eastAsia"/>
        </w:rPr>
        <w:t>由于试验工况的简化设计，忽略了复杂的开挖过程，通过数值计算与模型试验结果进行对比分析，控制接缝数量和接缝形式保持不变，基于试验数据中表现的显著规律性，选取两条接缝、接头管形式的墙体实测数据作为对比分析的对象。</w:t>
      </w:r>
    </w:p>
    <w:p w14:paraId="3EC15DBA">
      <w:pPr>
        <w:pStyle w:val="43"/>
        <w:numPr>
          <w:ilvl w:val="2"/>
          <w:numId w:val="2"/>
        </w:numPr>
        <w:spacing w:before="0" w:after="0"/>
        <w:jc w:val="both"/>
        <w:outlineLvl w:val="2"/>
        <w:rPr>
          <w:rFonts w:ascii="Times New Roman" w:hAnsi="Times New Roman" w:eastAsia="楷体"/>
          <w:b w:val="0"/>
        </w:rPr>
      </w:pPr>
      <w:bookmarkStart w:id="274" w:name="_Hlk176530761"/>
      <w:r>
        <w:rPr>
          <w:rFonts w:hint="eastAsia" w:ascii="Times New Roman" w:hAnsi="Times New Roman" w:eastAsia="楷体"/>
          <w:b w:val="0"/>
        </w:rPr>
        <w:t>竖向应力对比</w:t>
      </w:r>
    </w:p>
    <w:p w14:paraId="3506CE9C">
      <w:pPr>
        <w:ind w:firstLine="420"/>
      </w:pPr>
      <w:r>
        <w:rPr>
          <w:rFonts w:hint="eastAsia"/>
        </w:rPr>
        <w:t>从</w:t>
      </w:r>
      <w:r>
        <w:t>图</w:t>
      </w:r>
      <w:r>
        <w:rPr>
          <w:rFonts w:hint="eastAsia"/>
        </w:rPr>
        <w:t>24可知，在墙身位置，</w:t>
      </w:r>
      <w:r>
        <w:t>实测值与计算值</w:t>
      </w:r>
      <w:r>
        <w:rPr>
          <w:rFonts w:hint="eastAsia"/>
        </w:rPr>
        <w:t>均随墙</w:t>
      </w:r>
      <w:r>
        <w:t>深的增加而增大</w:t>
      </w:r>
      <w:r>
        <w:rPr>
          <w:rFonts w:hint="eastAsia"/>
        </w:rPr>
        <w:t>，呈现出相似的增长趋势，但模拟结果的增幅略高于实测结果，</w:t>
      </w:r>
      <w:r>
        <w:t>特别是在</w:t>
      </w:r>
      <w:r>
        <w:rPr>
          <w:rFonts w:hint="eastAsia"/>
        </w:rPr>
        <w:t>墙体中下部</w:t>
      </w:r>
      <w:r>
        <w:t>，</w:t>
      </w:r>
      <w:r>
        <w:rPr>
          <w:rFonts w:hint="eastAsia"/>
        </w:rPr>
        <w:t>差异</w:t>
      </w:r>
      <w:r>
        <w:t>明显。与墙身处相比，接缝处应力</w:t>
      </w:r>
      <w:r>
        <w:rPr>
          <w:rFonts w:hint="eastAsia"/>
        </w:rPr>
        <w:t>变化更加复杂</w:t>
      </w:r>
      <w:r>
        <w:t>。</w:t>
      </w:r>
    </w:p>
    <w:p w14:paraId="74E46071">
      <w:pPr>
        <w:ind w:firstLine="0" w:firstLineChars="0"/>
        <w:jc w:val="center"/>
      </w:pPr>
      <w:r>
        <w:rPr>
          <w:rFonts w:hint="eastAsia"/>
        </w:rPr>
        <w:drawing>
          <wp:inline distT="0" distB="0" distL="0" distR="0">
            <wp:extent cx="2519680" cy="1927860"/>
            <wp:effectExtent l="0" t="0" r="0" b="0"/>
            <wp:docPr id="43289230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892307" name="图片 1"/>
                    <pic:cNvPicPr>
                      <a:picLocks noChangeAspect="1" noChangeArrowheads="1"/>
                    </pic:cNvPicPr>
                  </pic:nvPicPr>
                  <pic:blipFill>
                    <a:blip r:embed="rId36" cstate="print">
                      <a:extLst>
                        <a:ext uri="{28A0092B-C50C-407E-A947-70E740481C1C}">
                          <a14:useLocalDpi xmlns:a14="http://schemas.microsoft.com/office/drawing/2010/main" val="0"/>
                        </a:ext>
                      </a:extLst>
                    </a:blip>
                    <a:stretch>
                      <a:fillRect/>
                    </a:stretch>
                  </pic:blipFill>
                  <pic:spPr>
                    <a:xfrm>
                      <a:off x="0" y="0"/>
                      <a:ext cx="2520000" cy="1927999"/>
                    </a:xfrm>
                    <a:prstGeom prst="rect">
                      <a:avLst/>
                    </a:prstGeom>
                    <a:noFill/>
                    <a:ln>
                      <a:noFill/>
                    </a:ln>
                  </pic:spPr>
                </pic:pic>
              </a:graphicData>
            </a:graphic>
          </wp:inline>
        </w:drawing>
      </w:r>
    </w:p>
    <w:p w14:paraId="412A7D91">
      <w:pPr>
        <w:ind w:firstLine="0" w:firstLineChars="0"/>
        <w:jc w:val="center"/>
        <w:rPr>
          <w:rFonts w:eastAsia="黑体"/>
          <w:sz w:val="18"/>
          <w:szCs w:val="18"/>
        </w:rPr>
      </w:pPr>
      <w:r>
        <w:rPr>
          <w:rFonts w:hint="eastAsia" w:eastAsia="黑体"/>
          <w:sz w:val="18"/>
          <w:szCs w:val="18"/>
        </w:rPr>
        <w:t>图24  墙身处竖向应力</w:t>
      </w:r>
    </w:p>
    <w:p w14:paraId="4D2A864F">
      <w:pPr>
        <w:ind w:firstLine="420"/>
      </w:pPr>
      <w:r>
        <w:rPr>
          <w:rFonts w:hint="eastAsia"/>
        </w:rPr>
        <w:t>从</w:t>
      </w:r>
      <w:r>
        <w:t>图</w:t>
      </w:r>
      <w:r>
        <w:rPr>
          <w:rFonts w:hint="eastAsia"/>
        </w:rPr>
        <w:t>25可知，</w:t>
      </w:r>
      <w:r>
        <w:t>接缝处</w:t>
      </w:r>
      <w:r>
        <w:rPr>
          <w:rFonts w:hint="eastAsia"/>
        </w:rPr>
        <w:t>的模拟计算值</w:t>
      </w:r>
      <w:r>
        <w:t>趋近于零，未能直接展示模拟结果与试验结果之间的联系</w:t>
      </w:r>
      <w:r>
        <w:rPr>
          <w:rFonts w:hint="eastAsia"/>
        </w:rPr>
        <w:t>，因此单独放大接缝处的</w:t>
      </w:r>
      <w:r>
        <w:t>计算</w:t>
      </w:r>
      <w:r>
        <w:rPr>
          <w:rFonts w:hint="eastAsia"/>
        </w:rPr>
        <w:t>值观察</w:t>
      </w:r>
      <w:r>
        <w:t>其规律</w:t>
      </w:r>
      <w:r>
        <w:rPr>
          <w:rFonts w:hint="eastAsia"/>
          <w:lang w:eastAsia="zh-CN"/>
        </w:rPr>
        <w:t>（</w:t>
      </w:r>
      <w:r>
        <w:rPr>
          <w:rFonts w:hint="eastAsia"/>
        </w:rPr>
        <w:t>见图26</w:t>
      </w:r>
      <w:r>
        <w:rPr>
          <w:rFonts w:hint="eastAsia"/>
          <w:lang w:eastAsia="zh-CN"/>
        </w:rPr>
        <w:t>）</w:t>
      </w:r>
      <w:r>
        <w:t>。</w:t>
      </w:r>
      <w:r>
        <w:rPr>
          <w:rFonts w:hint="eastAsia"/>
        </w:rPr>
        <w:t>相较于墙身，</w:t>
      </w:r>
      <w:r>
        <w:t>接缝处的受力状态</w:t>
      </w:r>
      <w:r>
        <w:rPr>
          <w:rFonts w:hint="eastAsia"/>
        </w:rPr>
        <w:t>更</w:t>
      </w:r>
      <w:r>
        <w:t>不稳定</w:t>
      </w:r>
      <w:r>
        <w:rPr>
          <w:rFonts w:hint="eastAsia"/>
        </w:rPr>
        <w:t>，</w:t>
      </w:r>
      <w:r>
        <w:t>其计算值</w:t>
      </w:r>
      <w:r>
        <w:rPr>
          <w:rFonts w:hint="eastAsia"/>
        </w:rPr>
        <w:t>和</w:t>
      </w:r>
      <w:r>
        <w:t>实测值</w:t>
      </w:r>
      <w:r>
        <w:rPr>
          <w:rFonts w:hint="eastAsia"/>
        </w:rPr>
        <w:t>的变化基本</w:t>
      </w:r>
      <w:r>
        <w:t>一致，计算值</w:t>
      </w:r>
      <w:r>
        <w:rPr>
          <w:rFonts w:hint="eastAsia"/>
        </w:rPr>
        <w:t>表现为“下凹型”</w:t>
      </w:r>
      <w:r>
        <w:t>先急后缓，而实测值则表现</w:t>
      </w:r>
      <w:r>
        <w:rPr>
          <w:rFonts w:hint="eastAsia"/>
        </w:rPr>
        <w:t>为“上凸型”</w:t>
      </w:r>
      <w:r>
        <w:t>先缓后急</w:t>
      </w:r>
      <w:r>
        <w:rPr>
          <w:rFonts w:hint="eastAsia"/>
        </w:rPr>
        <w:t>。</w:t>
      </w:r>
    </w:p>
    <w:p w14:paraId="78E6F075">
      <w:pPr>
        <w:ind w:firstLine="0" w:firstLineChars="0"/>
        <w:jc w:val="center"/>
      </w:pPr>
      <w:r>
        <w:rPr>
          <w:rFonts w:hint="eastAsia"/>
        </w:rPr>
        <w:drawing>
          <wp:inline distT="0" distB="0" distL="0" distR="0">
            <wp:extent cx="2519680" cy="1927860"/>
            <wp:effectExtent l="0" t="0" r="0" b="0"/>
            <wp:docPr id="82982028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820280" name="图片 2"/>
                    <pic:cNvPicPr>
                      <a:picLocks noChangeAspect="1" noChangeArrowheads="1"/>
                    </pic:cNvPicPr>
                  </pic:nvPicPr>
                  <pic:blipFill>
                    <a:blip r:embed="rId37" cstate="print">
                      <a:extLst>
                        <a:ext uri="{28A0092B-C50C-407E-A947-70E740481C1C}">
                          <a14:useLocalDpi xmlns:a14="http://schemas.microsoft.com/office/drawing/2010/main" val="0"/>
                        </a:ext>
                      </a:extLst>
                    </a:blip>
                    <a:stretch>
                      <a:fillRect/>
                    </a:stretch>
                  </pic:blipFill>
                  <pic:spPr>
                    <a:xfrm>
                      <a:off x="0" y="0"/>
                      <a:ext cx="2520000" cy="1927999"/>
                    </a:xfrm>
                    <a:prstGeom prst="rect">
                      <a:avLst/>
                    </a:prstGeom>
                    <a:noFill/>
                    <a:ln>
                      <a:noFill/>
                    </a:ln>
                  </pic:spPr>
                </pic:pic>
              </a:graphicData>
            </a:graphic>
          </wp:inline>
        </w:drawing>
      </w:r>
    </w:p>
    <w:p w14:paraId="6144C5D7">
      <w:pPr>
        <w:ind w:firstLine="0" w:firstLineChars="0"/>
        <w:jc w:val="center"/>
        <w:rPr>
          <w:rFonts w:eastAsia="黑体"/>
          <w:sz w:val="18"/>
          <w:szCs w:val="18"/>
        </w:rPr>
      </w:pPr>
      <w:r>
        <w:rPr>
          <w:rFonts w:hint="eastAsia" w:eastAsia="黑体"/>
          <w:sz w:val="18"/>
          <w:szCs w:val="18"/>
        </w:rPr>
        <w:t>图25  接缝处竖向应力</w:t>
      </w:r>
    </w:p>
    <w:p w14:paraId="561FF9D0">
      <w:pPr>
        <w:ind w:firstLine="0" w:firstLineChars="0"/>
        <w:jc w:val="center"/>
      </w:pPr>
      <w:r>
        <w:drawing>
          <wp:inline distT="0" distB="0" distL="0" distR="0">
            <wp:extent cx="2519680" cy="1927860"/>
            <wp:effectExtent l="0" t="0" r="0" b="0"/>
            <wp:docPr id="145195829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1958297" name="图片 3"/>
                    <pic:cNvPicPr>
                      <a:picLocks noChangeAspect="1" noChangeArrowheads="1"/>
                    </pic:cNvPicPr>
                  </pic:nvPicPr>
                  <pic:blipFill>
                    <a:blip r:embed="rId38" cstate="print">
                      <a:extLst>
                        <a:ext uri="{28A0092B-C50C-407E-A947-70E740481C1C}">
                          <a14:useLocalDpi xmlns:a14="http://schemas.microsoft.com/office/drawing/2010/main" val="0"/>
                        </a:ext>
                      </a:extLst>
                    </a:blip>
                    <a:stretch>
                      <a:fillRect/>
                    </a:stretch>
                  </pic:blipFill>
                  <pic:spPr>
                    <a:xfrm>
                      <a:off x="0" y="0"/>
                      <a:ext cx="2520000" cy="1927999"/>
                    </a:xfrm>
                    <a:prstGeom prst="rect">
                      <a:avLst/>
                    </a:prstGeom>
                    <a:noFill/>
                    <a:ln>
                      <a:noFill/>
                    </a:ln>
                  </pic:spPr>
                </pic:pic>
              </a:graphicData>
            </a:graphic>
          </wp:inline>
        </w:drawing>
      </w:r>
    </w:p>
    <w:p w14:paraId="32BCE048">
      <w:pPr>
        <w:ind w:firstLine="0" w:firstLineChars="0"/>
        <w:jc w:val="center"/>
        <w:rPr>
          <w:rFonts w:eastAsia="黑体"/>
          <w:sz w:val="18"/>
          <w:szCs w:val="18"/>
        </w:rPr>
      </w:pPr>
      <w:r>
        <w:rPr>
          <w:rFonts w:hint="eastAsia" w:eastAsia="黑体"/>
          <w:sz w:val="18"/>
          <w:szCs w:val="18"/>
        </w:rPr>
        <w:t>图26  接缝处竖向应力（接头管）</w:t>
      </w:r>
    </w:p>
    <w:bookmarkEnd w:id="274"/>
    <w:p w14:paraId="0EAB36E0">
      <w:pPr>
        <w:pStyle w:val="43"/>
        <w:numPr>
          <w:ilvl w:val="2"/>
          <w:numId w:val="2"/>
        </w:numPr>
        <w:spacing w:before="0" w:after="0"/>
        <w:jc w:val="both"/>
        <w:outlineLvl w:val="2"/>
        <w:rPr>
          <w:rFonts w:ascii="Times New Roman" w:hAnsi="Times New Roman" w:eastAsia="楷体"/>
          <w:b w:val="0"/>
        </w:rPr>
      </w:pPr>
      <w:bookmarkStart w:id="275" w:name="_Toc16351"/>
      <w:bookmarkStart w:id="276" w:name="_Toc12095"/>
      <w:bookmarkStart w:id="277" w:name="_Toc13346"/>
      <w:bookmarkStart w:id="278" w:name="_Toc25451"/>
      <w:bookmarkStart w:id="279" w:name="_Toc27338"/>
      <w:bookmarkStart w:id="280" w:name="_Toc16055"/>
      <w:bookmarkStart w:id="281" w:name="_Hlk176530770"/>
      <w:r>
        <w:rPr>
          <w:rFonts w:hint="eastAsia" w:ascii="Times New Roman" w:hAnsi="Times New Roman" w:eastAsia="楷体"/>
          <w:b w:val="0"/>
        </w:rPr>
        <w:t>环向应力对比</w:t>
      </w:r>
      <w:bookmarkEnd w:id="275"/>
      <w:bookmarkEnd w:id="276"/>
      <w:bookmarkEnd w:id="277"/>
      <w:bookmarkEnd w:id="278"/>
      <w:bookmarkEnd w:id="279"/>
      <w:bookmarkEnd w:id="280"/>
    </w:p>
    <w:p w14:paraId="3AEC4386">
      <w:pPr>
        <w:ind w:firstLine="420"/>
      </w:pPr>
      <w:r>
        <w:rPr>
          <w:rFonts w:hint="eastAsia"/>
        </w:rPr>
        <w:t>从图27可知，墙身环向应力的实测值与计算值的变化趋势基本一致，证明了试验结果的准确性。在墙深30cm以下，计算值和实测值的增速开始减缓，表明环向应力在墙体中部偏下的位置达到峰值，随后向墙底减小。</w:t>
      </w:r>
    </w:p>
    <w:p w14:paraId="10F2C99A">
      <w:pPr>
        <w:ind w:firstLine="0" w:firstLineChars="0"/>
        <w:jc w:val="center"/>
      </w:pPr>
      <w:r>
        <w:rPr>
          <w:rFonts w:hint="eastAsia"/>
        </w:rPr>
        <w:drawing>
          <wp:inline distT="0" distB="0" distL="0" distR="0">
            <wp:extent cx="2519680" cy="1927860"/>
            <wp:effectExtent l="0" t="0" r="0" b="0"/>
            <wp:docPr id="164823270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8232701" name="图片 4"/>
                    <pic:cNvPicPr>
                      <a:picLocks noChangeAspect="1" noChangeArrowheads="1"/>
                    </pic:cNvPicPr>
                  </pic:nvPicPr>
                  <pic:blipFill>
                    <a:blip r:embed="rId39" cstate="print">
                      <a:extLst>
                        <a:ext uri="{28A0092B-C50C-407E-A947-70E740481C1C}">
                          <a14:useLocalDpi xmlns:a14="http://schemas.microsoft.com/office/drawing/2010/main" val="0"/>
                        </a:ext>
                      </a:extLst>
                    </a:blip>
                    <a:stretch>
                      <a:fillRect/>
                    </a:stretch>
                  </pic:blipFill>
                  <pic:spPr>
                    <a:xfrm>
                      <a:off x="0" y="0"/>
                      <a:ext cx="2520000" cy="1927999"/>
                    </a:xfrm>
                    <a:prstGeom prst="rect">
                      <a:avLst/>
                    </a:prstGeom>
                    <a:noFill/>
                    <a:ln>
                      <a:noFill/>
                    </a:ln>
                  </pic:spPr>
                </pic:pic>
              </a:graphicData>
            </a:graphic>
          </wp:inline>
        </w:drawing>
      </w:r>
    </w:p>
    <w:p w14:paraId="570149FD">
      <w:pPr>
        <w:ind w:firstLine="0" w:firstLineChars="0"/>
        <w:jc w:val="center"/>
        <w:rPr>
          <w:rFonts w:eastAsia="黑体"/>
          <w:sz w:val="18"/>
          <w:szCs w:val="18"/>
        </w:rPr>
      </w:pPr>
      <w:r>
        <w:rPr>
          <w:rFonts w:hint="eastAsia" w:eastAsia="黑体"/>
          <w:sz w:val="18"/>
          <w:szCs w:val="18"/>
        </w:rPr>
        <w:t>图27  墙身处环向应力</w:t>
      </w:r>
    </w:p>
    <w:p w14:paraId="4E080F92">
      <w:pPr>
        <w:ind w:firstLine="420"/>
      </w:pPr>
      <w:r>
        <w:rPr>
          <w:rFonts w:hint="eastAsia"/>
        </w:rPr>
        <w:t>从图28和图29可知，</w:t>
      </w:r>
      <w:r>
        <w:t>接缝处的环向应力变化与竖向应力变化相似，</w:t>
      </w:r>
      <w:r>
        <w:rPr>
          <w:rFonts w:hint="eastAsia"/>
        </w:rPr>
        <w:t>因此</w:t>
      </w:r>
      <w:r>
        <w:t>同样</w:t>
      </w:r>
      <w:r>
        <w:rPr>
          <w:rFonts w:hint="eastAsia"/>
        </w:rPr>
        <w:t>放大接缝处</w:t>
      </w:r>
      <w:r>
        <w:t>环向应力的计算</w:t>
      </w:r>
      <w:r>
        <w:rPr>
          <w:rFonts w:hint="eastAsia"/>
        </w:rPr>
        <w:t>数据来</w:t>
      </w:r>
      <w:r>
        <w:t>显示其规律。</w:t>
      </w:r>
      <w:r>
        <w:rPr>
          <w:rFonts w:hint="eastAsia"/>
        </w:rPr>
        <w:t>接缝处的实测值和计算值数值差异较</w:t>
      </w:r>
      <w:r>
        <w:t>大，主要差异在于试验采集了某一点及附近一定范围内的数据，而数值计算则提取了具体点的数据，导致对比差异</w:t>
      </w:r>
      <w:r>
        <w:rPr>
          <w:rFonts w:hint="eastAsia"/>
        </w:rPr>
        <w:t>，而</w:t>
      </w:r>
      <w:r>
        <w:t>墙身处设点周围性状相似，故对比差异较小。但</w:t>
      </w:r>
      <w:r>
        <w:rPr>
          <w:rFonts w:hint="eastAsia"/>
        </w:rPr>
        <w:t>均</w:t>
      </w:r>
      <w:r>
        <w:t>随墙深的增加而逐渐增大，增幅先急后缓。</w:t>
      </w:r>
    </w:p>
    <w:p w14:paraId="2D93FEEF">
      <w:pPr>
        <w:ind w:firstLine="0" w:firstLineChars="0"/>
        <w:jc w:val="center"/>
      </w:pPr>
      <w:r>
        <w:rPr>
          <w:rFonts w:hint="eastAsia"/>
        </w:rPr>
        <w:drawing>
          <wp:inline distT="0" distB="0" distL="0" distR="0">
            <wp:extent cx="2519680" cy="1927860"/>
            <wp:effectExtent l="0" t="0" r="0" b="0"/>
            <wp:docPr id="1566608720"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6608720" name="图片 6"/>
                    <pic:cNvPicPr>
                      <a:picLocks noChangeAspect="1" noChangeArrowheads="1"/>
                    </pic:cNvPicPr>
                  </pic:nvPicPr>
                  <pic:blipFill>
                    <a:blip r:embed="rId40" cstate="print">
                      <a:extLst>
                        <a:ext uri="{28A0092B-C50C-407E-A947-70E740481C1C}">
                          <a14:useLocalDpi xmlns:a14="http://schemas.microsoft.com/office/drawing/2010/main" val="0"/>
                        </a:ext>
                      </a:extLst>
                    </a:blip>
                    <a:stretch>
                      <a:fillRect/>
                    </a:stretch>
                  </pic:blipFill>
                  <pic:spPr>
                    <a:xfrm>
                      <a:off x="0" y="0"/>
                      <a:ext cx="2520000" cy="1927999"/>
                    </a:xfrm>
                    <a:prstGeom prst="rect">
                      <a:avLst/>
                    </a:prstGeom>
                    <a:noFill/>
                    <a:ln>
                      <a:noFill/>
                    </a:ln>
                  </pic:spPr>
                </pic:pic>
              </a:graphicData>
            </a:graphic>
          </wp:inline>
        </w:drawing>
      </w:r>
    </w:p>
    <w:p w14:paraId="09E86700">
      <w:pPr>
        <w:ind w:firstLine="0" w:firstLineChars="0"/>
        <w:jc w:val="center"/>
        <w:rPr>
          <w:rFonts w:eastAsia="黑体"/>
          <w:sz w:val="18"/>
          <w:szCs w:val="18"/>
        </w:rPr>
      </w:pPr>
      <w:r>
        <w:rPr>
          <w:rFonts w:hint="eastAsia" w:eastAsia="黑体"/>
          <w:sz w:val="18"/>
          <w:szCs w:val="18"/>
        </w:rPr>
        <w:t>图28  接缝处环向应力</w:t>
      </w:r>
    </w:p>
    <w:p w14:paraId="46EFD4BA">
      <w:pPr>
        <w:ind w:firstLine="0" w:firstLineChars="0"/>
        <w:jc w:val="center"/>
      </w:pPr>
      <w:r>
        <w:drawing>
          <wp:inline distT="0" distB="0" distL="0" distR="0">
            <wp:extent cx="2519680" cy="1927860"/>
            <wp:effectExtent l="0" t="0" r="0" b="0"/>
            <wp:docPr id="5554682"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54682" name="图片 7"/>
                    <pic:cNvPicPr>
                      <a:picLocks noChangeAspect="1" noChangeArrowheads="1"/>
                    </pic:cNvPicPr>
                  </pic:nvPicPr>
                  <pic:blipFill>
                    <a:blip r:embed="rId41" cstate="print">
                      <a:extLst>
                        <a:ext uri="{28A0092B-C50C-407E-A947-70E740481C1C}">
                          <a14:useLocalDpi xmlns:a14="http://schemas.microsoft.com/office/drawing/2010/main" val="0"/>
                        </a:ext>
                      </a:extLst>
                    </a:blip>
                    <a:stretch>
                      <a:fillRect/>
                    </a:stretch>
                  </pic:blipFill>
                  <pic:spPr>
                    <a:xfrm>
                      <a:off x="0" y="0"/>
                      <a:ext cx="2520000" cy="1927999"/>
                    </a:xfrm>
                    <a:prstGeom prst="rect">
                      <a:avLst/>
                    </a:prstGeom>
                    <a:noFill/>
                    <a:ln>
                      <a:noFill/>
                    </a:ln>
                  </pic:spPr>
                </pic:pic>
              </a:graphicData>
            </a:graphic>
          </wp:inline>
        </w:drawing>
      </w:r>
    </w:p>
    <w:p w14:paraId="5B028330">
      <w:pPr>
        <w:ind w:firstLine="0" w:firstLineChars="0"/>
        <w:jc w:val="center"/>
        <w:rPr>
          <w:rFonts w:eastAsia="黑体"/>
          <w:sz w:val="18"/>
          <w:szCs w:val="18"/>
        </w:rPr>
      </w:pPr>
      <w:r>
        <w:rPr>
          <w:rFonts w:hint="eastAsia" w:eastAsia="黑体"/>
          <w:sz w:val="18"/>
          <w:szCs w:val="18"/>
        </w:rPr>
        <w:t>图29  接缝处环向应力（接头管）</w:t>
      </w:r>
    </w:p>
    <w:bookmarkEnd w:id="281"/>
    <w:p w14:paraId="31F68B56">
      <w:pPr>
        <w:pStyle w:val="43"/>
        <w:numPr>
          <w:ilvl w:val="2"/>
          <w:numId w:val="2"/>
        </w:numPr>
        <w:spacing w:before="0" w:after="0"/>
        <w:jc w:val="both"/>
        <w:outlineLvl w:val="2"/>
        <w:rPr>
          <w:rFonts w:ascii="Times New Roman" w:hAnsi="Times New Roman" w:eastAsia="楷体"/>
          <w:b w:val="0"/>
        </w:rPr>
      </w:pPr>
      <w:bookmarkStart w:id="282" w:name="_Toc11226"/>
      <w:bookmarkStart w:id="283" w:name="_Toc10864"/>
      <w:bookmarkStart w:id="284" w:name="_Toc103"/>
      <w:bookmarkStart w:id="285" w:name="_Toc19470"/>
      <w:bookmarkStart w:id="286" w:name="_Toc11171"/>
      <w:bookmarkStart w:id="287" w:name="_Toc19691"/>
      <w:bookmarkStart w:id="288" w:name="_Hlk176530789"/>
      <w:r>
        <w:rPr>
          <w:rFonts w:hint="eastAsia" w:ascii="Times New Roman" w:hAnsi="Times New Roman" w:eastAsia="楷体"/>
          <w:b w:val="0"/>
        </w:rPr>
        <w:t>径向位移对比</w:t>
      </w:r>
      <w:bookmarkEnd w:id="282"/>
      <w:bookmarkEnd w:id="283"/>
      <w:bookmarkEnd w:id="284"/>
      <w:bookmarkEnd w:id="285"/>
      <w:bookmarkEnd w:id="286"/>
      <w:bookmarkEnd w:id="287"/>
    </w:p>
    <w:p w14:paraId="054F29E2">
      <w:pPr>
        <w:ind w:firstLine="420"/>
      </w:pPr>
      <w:r>
        <w:rPr>
          <w:rFonts w:hint="eastAsia"/>
        </w:rPr>
        <w:t>从</w:t>
      </w:r>
      <w:r>
        <w:t>图</w:t>
      </w:r>
      <w:r>
        <w:rPr>
          <w:rFonts w:hint="eastAsia"/>
        </w:rPr>
        <w:t>30可知，</w:t>
      </w:r>
      <w:r>
        <w:t>随接头刚度的减小</w:t>
      </w:r>
      <w:r>
        <w:rPr>
          <w:rFonts w:hint="eastAsia"/>
        </w:rPr>
        <w:t>，</w:t>
      </w:r>
      <w:r>
        <w:t>实测值与计算值的径向位移均</w:t>
      </w:r>
      <w:r>
        <w:rPr>
          <w:rFonts w:hint="eastAsia"/>
        </w:rPr>
        <w:t>逐渐</w:t>
      </w:r>
      <w:r>
        <w:t>增大</w:t>
      </w:r>
      <w:r>
        <w:rPr>
          <w:rFonts w:hint="eastAsia"/>
        </w:rPr>
        <w:t>。其中，</w:t>
      </w:r>
      <w:r>
        <w:t>十字钢、工字钢、王字钢等的位移</w:t>
      </w:r>
      <w:r>
        <w:rPr>
          <w:rFonts w:hint="eastAsia"/>
        </w:rPr>
        <w:t>差值</w:t>
      </w:r>
      <w:r>
        <w:t>较小，接头管</w:t>
      </w:r>
      <w:r>
        <w:rPr>
          <w:rFonts w:hint="eastAsia"/>
        </w:rPr>
        <w:t>柔性接头</w:t>
      </w:r>
      <w:r>
        <w:t>的</w:t>
      </w:r>
      <w:r>
        <w:rPr>
          <w:rFonts w:hint="eastAsia"/>
        </w:rPr>
        <w:t>差值</w:t>
      </w:r>
      <w:r>
        <w:t>较大，但总体位移也较小</w:t>
      </w:r>
      <w:r>
        <w:rPr>
          <w:rFonts w:hint="eastAsia"/>
        </w:rPr>
        <w:t>，这表明</w:t>
      </w:r>
      <w:r>
        <w:t>刚性接头能够有效限制径向位移的变化。</w:t>
      </w:r>
    </w:p>
    <w:p w14:paraId="3C41CFDF">
      <w:pPr>
        <w:ind w:firstLine="0" w:firstLineChars="0"/>
        <w:jc w:val="center"/>
      </w:pPr>
      <w:r>
        <w:rPr>
          <w:rFonts w:hint="eastAsia"/>
        </w:rPr>
        <w:drawing>
          <wp:inline distT="0" distB="0" distL="0" distR="0">
            <wp:extent cx="2519680" cy="1927860"/>
            <wp:effectExtent l="0" t="0" r="0" b="0"/>
            <wp:docPr id="1999011002"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9011002" name="图片 8"/>
                    <pic:cNvPicPr>
                      <a:picLocks noChangeAspect="1" noChangeArrowheads="1"/>
                    </pic:cNvPicPr>
                  </pic:nvPicPr>
                  <pic:blipFill>
                    <a:blip r:embed="rId42" cstate="print">
                      <a:extLst>
                        <a:ext uri="{28A0092B-C50C-407E-A947-70E740481C1C}">
                          <a14:useLocalDpi xmlns:a14="http://schemas.microsoft.com/office/drawing/2010/main" val="0"/>
                        </a:ext>
                      </a:extLst>
                    </a:blip>
                    <a:stretch>
                      <a:fillRect/>
                    </a:stretch>
                  </pic:blipFill>
                  <pic:spPr>
                    <a:xfrm>
                      <a:off x="0" y="0"/>
                      <a:ext cx="2520000" cy="1927999"/>
                    </a:xfrm>
                    <a:prstGeom prst="rect">
                      <a:avLst/>
                    </a:prstGeom>
                    <a:noFill/>
                    <a:ln>
                      <a:noFill/>
                    </a:ln>
                  </pic:spPr>
                </pic:pic>
              </a:graphicData>
            </a:graphic>
          </wp:inline>
        </w:drawing>
      </w:r>
    </w:p>
    <w:p w14:paraId="4FC38B8C">
      <w:pPr>
        <w:ind w:firstLine="0" w:firstLineChars="0"/>
        <w:jc w:val="center"/>
        <w:rPr>
          <w:rFonts w:eastAsia="黑体"/>
          <w:sz w:val="18"/>
          <w:szCs w:val="18"/>
        </w:rPr>
      </w:pPr>
      <w:r>
        <w:rPr>
          <w:rFonts w:hint="eastAsia" w:eastAsia="黑体"/>
          <w:sz w:val="18"/>
          <w:szCs w:val="18"/>
        </w:rPr>
        <w:t>图30  径向位移</w:t>
      </w:r>
    </w:p>
    <w:p w14:paraId="091B728C">
      <w:pPr>
        <w:ind w:firstLine="420"/>
      </w:pPr>
      <w:r>
        <w:rPr>
          <w:rFonts w:hint="eastAsia"/>
        </w:rPr>
        <w:t>总体而言，虽然室内试验数据与数值模拟结果在数值上存在明显的差异性，但二者表现得结构受力变形行为的基本趋势一致，这有效地提高了研究的可靠性。验证了本文选取的接头形式是可行的，而数值上的偏差可能归因于多种因素，包括试验模型尺寸规模、材料特性选取的局限性以及数值模拟中参数设置和模型简化等。</w:t>
      </w:r>
    </w:p>
    <w:bookmarkEnd w:id="288"/>
    <w:p w14:paraId="0B9AC648">
      <w:pPr>
        <w:pStyle w:val="32"/>
        <w:numPr>
          <w:ilvl w:val="0"/>
          <w:numId w:val="2"/>
        </w:numPr>
        <w:ind w:firstLineChars="0"/>
        <w:outlineLvl w:val="0"/>
        <w:rPr>
          <w:bCs/>
          <w:sz w:val="28"/>
        </w:rPr>
      </w:pPr>
      <w:r>
        <w:rPr>
          <w:rFonts w:hint="eastAsia"/>
          <w:bCs/>
          <w:sz w:val="28"/>
        </w:rPr>
        <w:t xml:space="preserve"> 结语</w:t>
      </w:r>
    </w:p>
    <w:p w14:paraId="4BB56D21">
      <w:pPr>
        <w:ind w:firstLine="420"/>
      </w:pPr>
      <w:r>
        <w:rPr>
          <w:rFonts w:hint="eastAsia"/>
        </w:rPr>
        <w:t>本文将室内模型试验和数值模拟结合，并通过对比分析的方法，分析接头形式和接缝数量的变化对圆形地连墙结构内力变形的影响。</w:t>
      </w:r>
      <w:r>
        <w:t>室内试验</w:t>
      </w:r>
      <w:r>
        <w:rPr>
          <w:rFonts w:hint="eastAsia"/>
        </w:rPr>
        <w:t>阶段，</w:t>
      </w:r>
      <w:r>
        <w:t>模拟</w:t>
      </w:r>
      <w:r>
        <w:rPr>
          <w:rFonts w:hint="eastAsia"/>
        </w:rPr>
        <w:t>了圆形地连墙在</w:t>
      </w:r>
      <w:r>
        <w:t>周围加载</w:t>
      </w:r>
      <w:r>
        <w:rPr>
          <w:rFonts w:hint="eastAsia"/>
        </w:rPr>
        <w:t>条件下的受力状态</w:t>
      </w:r>
      <w:r>
        <w:t>，</w:t>
      </w:r>
      <w:r>
        <w:rPr>
          <w:rFonts w:hint="eastAsia"/>
        </w:rPr>
        <w:t>然后根据试验数据</w:t>
      </w:r>
      <w:r>
        <w:t>进行数值模型</w:t>
      </w:r>
      <w:r>
        <w:rPr>
          <w:rFonts w:hint="eastAsia"/>
        </w:rPr>
        <w:t>模拟。</w:t>
      </w:r>
      <w:r>
        <w:t>得出了以下具体结论</w:t>
      </w:r>
      <w:r>
        <w:rPr>
          <w:rFonts w:hint="eastAsia"/>
        </w:rPr>
        <w:t>：</w:t>
      </w:r>
    </w:p>
    <w:p w14:paraId="79696CFB">
      <w:pPr>
        <w:pStyle w:val="32"/>
        <w:numPr>
          <w:ilvl w:val="0"/>
          <w:numId w:val="3"/>
        </w:numPr>
        <w:ind w:firstLineChars="0"/>
      </w:pPr>
      <w:r>
        <w:rPr>
          <w:rFonts w:hint="eastAsia"/>
        </w:rPr>
        <w:t>逐级加载作用下，圆形地连墙竖向应力和环向应力都呈增大趋势；竖向应力变化较为剧烈，环向应力在墙体中下部增幅放缓；由于圆形地连墙的拱效应，环向应力普遍大于竖向应力。</w:t>
      </w:r>
    </w:p>
    <w:p w14:paraId="1E20053B">
      <w:pPr>
        <w:pStyle w:val="32"/>
        <w:numPr>
          <w:ilvl w:val="0"/>
          <w:numId w:val="3"/>
        </w:numPr>
        <w:ind w:firstLineChars="0"/>
      </w:pPr>
      <w:r>
        <w:rPr>
          <w:rFonts w:hint="eastAsia"/>
        </w:rPr>
        <w:t>当接缝数量不变时，随着接头刚度的增大，</w:t>
      </w:r>
      <w:r>
        <w:t>竖向应力</w:t>
      </w:r>
      <w:r>
        <w:rPr>
          <w:rFonts w:hint="eastAsia"/>
        </w:rPr>
        <w:t>呈现增大趋势，环向应力则呈现减小趋势；且两者的变化与接头刚度存在一定比例关系。</w:t>
      </w:r>
    </w:p>
    <w:p w14:paraId="30E5F731">
      <w:pPr>
        <w:pStyle w:val="32"/>
        <w:numPr>
          <w:ilvl w:val="0"/>
          <w:numId w:val="3"/>
        </w:numPr>
        <w:ind w:firstLineChars="0"/>
      </w:pPr>
      <w:r>
        <w:rPr>
          <w:rFonts w:hint="eastAsia"/>
        </w:rPr>
        <w:t>当接头形式不变时，随着</w:t>
      </w:r>
      <w:r>
        <w:t>接缝数量的</w:t>
      </w:r>
      <w:r>
        <w:rPr>
          <w:rFonts w:hint="eastAsia"/>
        </w:rPr>
        <w:t>减小，竖向应力同样呈现增大趋势，环</w:t>
      </w:r>
      <w:r>
        <w:t>向应力</w:t>
      </w:r>
      <w:r>
        <w:rPr>
          <w:rFonts w:hint="eastAsia"/>
        </w:rPr>
        <w:t>呈现减小趋势；接缝数量对竖向应力的影响与接头刚度相近，对环向应力的影响较小。</w:t>
      </w:r>
      <w:r>
        <w:t xml:space="preserve"> </w:t>
      </w:r>
    </w:p>
    <w:p w14:paraId="2174CC1D">
      <w:pPr>
        <w:pStyle w:val="32"/>
        <w:numPr>
          <w:ilvl w:val="0"/>
          <w:numId w:val="3"/>
        </w:numPr>
        <w:ind w:firstLineChars="0"/>
      </w:pPr>
      <w:r>
        <w:rPr>
          <w:rFonts w:hint="eastAsia"/>
        </w:rPr>
        <w:t>墙体的径向位移和环向应力变化规律一致，随接头刚度的增大而减小。在接头形式或接缝数量的影响下，墙体的径向位移量总体较小，这表明圆形地连墙的拱效应有效地限制了墙体位移。</w:t>
      </w:r>
    </w:p>
    <w:p w14:paraId="27B040BC">
      <w:pPr>
        <w:ind w:firstLine="0" w:firstLineChars="0"/>
      </w:pPr>
    </w:p>
    <w:p w14:paraId="18C72E28">
      <w:pPr>
        <w:pStyle w:val="32"/>
        <w:numPr>
          <w:ilvl w:val="0"/>
          <w:numId w:val="2"/>
        </w:numPr>
        <w:ind w:firstLineChars="0"/>
        <w:outlineLvl w:val="0"/>
        <w:rPr>
          <w:bCs/>
          <w:sz w:val="28"/>
        </w:rPr>
      </w:pPr>
      <w:r>
        <w:rPr>
          <w:rFonts w:hint="eastAsia"/>
          <w:bCs/>
          <w:sz w:val="28"/>
        </w:rPr>
        <w:t xml:space="preserve"> 参考文献</w:t>
      </w:r>
    </w:p>
    <w:p w14:paraId="1762F560">
      <w:pPr>
        <w:pStyle w:val="37"/>
        <w:numPr>
          <w:ilvl w:val="0"/>
          <w:numId w:val="4"/>
        </w:numPr>
        <w:ind w:left="150" w:hanging="150" w:hangingChars="100"/>
        <w:rPr>
          <w:sz w:val="15"/>
          <w:szCs w:val="18"/>
        </w:rPr>
      </w:pPr>
      <w:bookmarkStart w:id="289" w:name="_Ref179649259"/>
      <w:bookmarkStart w:id="290" w:name="_Ref178323783"/>
      <w:r>
        <w:rPr>
          <w:sz w:val="15"/>
          <w:szCs w:val="18"/>
        </w:rPr>
        <w:t>杨雪强</w:t>
      </w:r>
      <w:r>
        <w:rPr>
          <w:rFonts w:hint="eastAsia"/>
          <w:sz w:val="15"/>
          <w:szCs w:val="18"/>
        </w:rPr>
        <w:t>,</w:t>
      </w:r>
      <w:r>
        <w:rPr>
          <w:sz w:val="15"/>
          <w:szCs w:val="18"/>
        </w:rPr>
        <w:t>刘祖德</w:t>
      </w:r>
      <w:r>
        <w:rPr>
          <w:rFonts w:hint="eastAsia"/>
          <w:sz w:val="15"/>
          <w:szCs w:val="18"/>
        </w:rPr>
        <w:t>,</w:t>
      </w:r>
      <w:r>
        <w:rPr>
          <w:sz w:val="15"/>
          <w:szCs w:val="18"/>
        </w:rPr>
        <w:t>何世秀</w:t>
      </w:r>
      <w:r>
        <w:rPr>
          <w:rFonts w:hint="eastAsia"/>
          <w:sz w:val="15"/>
          <w:szCs w:val="18"/>
        </w:rPr>
        <w:t>.</w:t>
      </w:r>
      <w:r>
        <w:rPr>
          <w:sz w:val="15"/>
          <w:szCs w:val="18"/>
        </w:rPr>
        <w:t>论深基坑支护的空间效应</w:t>
      </w:r>
      <w:r>
        <w:rPr>
          <w:rFonts w:hint="eastAsia"/>
          <w:sz w:val="15"/>
          <w:szCs w:val="18"/>
        </w:rPr>
        <w:t>[J].</w:t>
      </w:r>
      <w:r>
        <w:rPr>
          <w:sz w:val="15"/>
          <w:szCs w:val="18"/>
        </w:rPr>
        <w:t>岩土工程学报</w:t>
      </w:r>
      <w:r>
        <w:rPr>
          <w:rFonts w:hint="eastAsia"/>
          <w:sz w:val="15"/>
          <w:szCs w:val="18"/>
        </w:rPr>
        <w:t>,</w:t>
      </w:r>
      <w:r>
        <w:rPr>
          <w:sz w:val="15"/>
          <w:szCs w:val="18"/>
        </w:rPr>
        <w:t>1998</w:t>
      </w:r>
      <w:r>
        <w:rPr>
          <w:rFonts w:hint="eastAsia"/>
          <w:sz w:val="15"/>
          <w:szCs w:val="18"/>
        </w:rPr>
        <w:t xml:space="preserve"> (</w:t>
      </w:r>
      <w:r>
        <w:rPr>
          <w:sz w:val="15"/>
          <w:szCs w:val="18"/>
        </w:rPr>
        <w:t>2</w:t>
      </w:r>
      <w:r>
        <w:rPr>
          <w:rFonts w:hint="eastAsia"/>
          <w:sz w:val="15"/>
          <w:szCs w:val="18"/>
        </w:rPr>
        <w:t>):</w:t>
      </w:r>
      <w:r>
        <w:rPr>
          <w:sz w:val="15"/>
          <w:szCs w:val="18"/>
        </w:rPr>
        <w:t xml:space="preserve"> 74-78</w:t>
      </w:r>
      <w:r>
        <w:rPr>
          <w:rFonts w:hint="eastAsia"/>
          <w:sz w:val="15"/>
          <w:szCs w:val="18"/>
        </w:rPr>
        <w:t>.</w:t>
      </w:r>
      <w:bookmarkEnd w:id="289"/>
    </w:p>
    <w:p w14:paraId="08F5EC73">
      <w:pPr>
        <w:pStyle w:val="37"/>
        <w:numPr>
          <w:ilvl w:val="0"/>
          <w:numId w:val="4"/>
        </w:numPr>
        <w:ind w:left="150" w:hanging="150" w:hangingChars="100"/>
        <w:rPr>
          <w:sz w:val="15"/>
          <w:szCs w:val="18"/>
        </w:rPr>
      </w:pPr>
      <w:bookmarkStart w:id="291" w:name="_Ref179649262"/>
      <w:r>
        <w:rPr>
          <w:sz w:val="15"/>
          <w:szCs w:val="18"/>
        </w:rPr>
        <w:t>PAIK K</w:t>
      </w:r>
      <w:r>
        <w:rPr>
          <w:rFonts w:hint="eastAsia"/>
          <w:sz w:val="15"/>
          <w:szCs w:val="18"/>
        </w:rPr>
        <w:t xml:space="preserve"> </w:t>
      </w:r>
      <w:r>
        <w:rPr>
          <w:sz w:val="15"/>
          <w:szCs w:val="18"/>
        </w:rPr>
        <w:t>H,</w:t>
      </w:r>
      <w:r>
        <w:rPr>
          <w:rFonts w:hint="eastAsia"/>
          <w:sz w:val="15"/>
          <w:szCs w:val="18"/>
        </w:rPr>
        <w:t xml:space="preserve"> </w:t>
      </w:r>
      <w:r>
        <w:rPr>
          <w:sz w:val="15"/>
          <w:szCs w:val="18"/>
        </w:rPr>
        <w:t>SALGADO R</w:t>
      </w:r>
      <w:r>
        <w:rPr>
          <w:rFonts w:hint="eastAsia"/>
          <w:sz w:val="15"/>
          <w:szCs w:val="18"/>
        </w:rPr>
        <w:t xml:space="preserve">. </w:t>
      </w:r>
      <w:r>
        <w:rPr>
          <w:sz w:val="15"/>
          <w:szCs w:val="18"/>
        </w:rPr>
        <w:t>Estimation of active earth pressure against rigid retaining walls considering arching effects</w:t>
      </w:r>
      <w:r>
        <w:rPr>
          <w:rFonts w:hint="eastAsia"/>
          <w:sz w:val="15"/>
          <w:szCs w:val="18"/>
          <w:lang w:val="en-US" w:eastAsia="zh-CN"/>
        </w:rPr>
        <w:t xml:space="preserve">[J]. </w:t>
      </w:r>
      <w:r>
        <w:rPr>
          <w:sz w:val="15"/>
          <w:szCs w:val="18"/>
        </w:rPr>
        <w:t>Geotechnique,200</w:t>
      </w:r>
      <w:r>
        <w:rPr>
          <w:rFonts w:hint="eastAsia"/>
          <w:sz w:val="15"/>
          <w:szCs w:val="18"/>
        </w:rPr>
        <w:t xml:space="preserve">3, 53(7): </w:t>
      </w:r>
      <w:r>
        <w:rPr>
          <w:sz w:val="15"/>
          <w:szCs w:val="18"/>
        </w:rPr>
        <w:t>643-653.</w:t>
      </w:r>
      <w:bookmarkEnd w:id="291"/>
    </w:p>
    <w:p w14:paraId="3B8D4E0E">
      <w:pPr>
        <w:pStyle w:val="37"/>
        <w:numPr>
          <w:ilvl w:val="0"/>
          <w:numId w:val="4"/>
        </w:numPr>
        <w:ind w:left="150" w:hanging="150" w:hangingChars="100"/>
        <w:rPr>
          <w:sz w:val="15"/>
          <w:szCs w:val="18"/>
        </w:rPr>
      </w:pPr>
      <w:bookmarkStart w:id="292" w:name="_Ref179649263"/>
      <w:r>
        <w:rPr>
          <w:sz w:val="15"/>
          <w:szCs w:val="18"/>
        </w:rPr>
        <w:t>刘发前</w:t>
      </w:r>
      <w:r>
        <w:rPr>
          <w:rFonts w:hint="eastAsia"/>
          <w:sz w:val="15"/>
          <w:szCs w:val="18"/>
        </w:rPr>
        <w:t>.</w:t>
      </w:r>
      <w:r>
        <w:rPr>
          <w:sz w:val="15"/>
          <w:szCs w:val="18"/>
        </w:rPr>
        <w:t>圆形基坑土压力分布模式研究</w:t>
      </w:r>
      <w:r>
        <w:rPr>
          <w:rFonts w:hint="eastAsia"/>
          <w:sz w:val="15"/>
          <w:szCs w:val="18"/>
        </w:rPr>
        <w:t>[D].上海:</w:t>
      </w:r>
      <w:r>
        <w:rPr>
          <w:sz w:val="15"/>
          <w:szCs w:val="18"/>
        </w:rPr>
        <w:t>上海交通大学</w:t>
      </w:r>
      <w:r>
        <w:rPr>
          <w:rFonts w:hint="eastAsia"/>
          <w:sz w:val="15"/>
          <w:szCs w:val="18"/>
        </w:rPr>
        <w:t>,</w:t>
      </w:r>
      <w:r>
        <w:rPr>
          <w:sz w:val="15"/>
          <w:szCs w:val="18"/>
        </w:rPr>
        <w:t>2008</w:t>
      </w:r>
      <w:r>
        <w:rPr>
          <w:rFonts w:hint="eastAsia"/>
          <w:sz w:val="15"/>
          <w:szCs w:val="18"/>
        </w:rPr>
        <w:t>.</w:t>
      </w:r>
      <w:bookmarkEnd w:id="292"/>
    </w:p>
    <w:p w14:paraId="10522C99">
      <w:pPr>
        <w:pStyle w:val="37"/>
        <w:numPr>
          <w:ilvl w:val="0"/>
          <w:numId w:val="4"/>
        </w:numPr>
        <w:ind w:left="150" w:hanging="150" w:hangingChars="100"/>
        <w:rPr>
          <w:sz w:val="15"/>
          <w:szCs w:val="18"/>
        </w:rPr>
      </w:pPr>
      <w:bookmarkStart w:id="293" w:name="_Ref179649503"/>
      <w:r>
        <w:rPr>
          <w:sz w:val="15"/>
          <w:szCs w:val="18"/>
        </w:rPr>
        <w:t xml:space="preserve">TAN Yong, WANG Dalong. Structural behaviors of large underground earth-retaining systems in </w:t>
      </w:r>
      <w:r>
        <w:rPr>
          <w:rFonts w:hint="eastAsia"/>
          <w:sz w:val="15"/>
          <w:szCs w:val="18"/>
          <w:lang w:val="en-US" w:eastAsia="zh-CN"/>
        </w:rPr>
        <w:t>S</w:t>
      </w:r>
      <w:r>
        <w:rPr>
          <w:sz w:val="15"/>
          <w:szCs w:val="18"/>
        </w:rPr>
        <w:t xml:space="preserve">hanghai: </w:t>
      </w:r>
      <w:r>
        <w:rPr>
          <w:rFonts w:hint="eastAsia"/>
          <w:sz w:val="15"/>
          <w:szCs w:val="18"/>
          <w:lang w:val="en-US" w:eastAsia="zh-CN"/>
        </w:rPr>
        <w:t>U</w:t>
      </w:r>
      <w:r>
        <w:rPr>
          <w:sz w:val="15"/>
          <w:szCs w:val="18"/>
        </w:rPr>
        <w:t>npropped circular diaphragm wall[J]. Journal of Performance of Constructed Facilities, 2015, 29(2): 04014058.</w:t>
      </w:r>
      <w:bookmarkEnd w:id="290"/>
      <w:bookmarkEnd w:id="293"/>
    </w:p>
    <w:p w14:paraId="0282376D">
      <w:pPr>
        <w:pStyle w:val="37"/>
        <w:numPr>
          <w:ilvl w:val="0"/>
          <w:numId w:val="4"/>
        </w:numPr>
        <w:ind w:left="150" w:hanging="150" w:hangingChars="100"/>
        <w:rPr>
          <w:sz w:val="15"/>
          <w:szCs w:val="18"/>
        </w:rPr>
      </w:pPr>
      <w:bookmarkStart w:id="294" w:name="_Ref179649504"/>
      <w:bookmarkStart w:id="295" w:name="_Ref178323784"/>
      <w:r>
        <w:rPr>
          <w:sz w:val="15"/>
          <w:szCs w:val="18"/>
        </w:rPr>
        <w:t>王林,周浩.圆形地连墙内力和变形的计算方法研究现状[J].安徽建筑,2024, 31(3): 138-140.</w:t>
      </w:r>
      <w:bookmarkEnd w:id="294"/>
    </w:p>
    <w:bookmarkEnd w:id="295"/>
    <w:p w14:paraId="4BE24349">
      <w:pPr>
        <w:pStyle w:val="37"/>
        <w:numPr>
          <w:ilvl w:val="0"/>
          <w:numId w:val="4"/>
        </w:numPr>
        <w:ind w:left="150" w:hanging="150" w:hangingChars="100"/>
        <w:rPr>
          <w:sz w:val="15"/>
          <w:szCs w:val="18"/>
        </w:rPr>
      </w:pPr>
      <w:bookmarkStart w:id="296" w:name="_Ref179649506"/>
      <w:bookmarkStart w:id="297" w:name="_Ref178323786"/>
      <w:r>
        <w:rPr>
          <w:sz w:val="15"/>
          <w:szCs w:val="18"/>
        </w:rPr>
        <w:t>周健,罗筱波.圆形支护结构的拱效应等效支撑计算方法[J].岩土力学, 2003(2): 169-172.</w:t>
      </w:r>
      <w:bookmarkEnd w:id="296"/>
    </w:p>
    <w:bookmarkEnd w:id="297"/>
    <w:p w14:paraId="7589D7B7">
      <w:pPr>
        <w:pStyle w:val="37"/>
        <w:numPr>
          <w:ilvl w:val="0"/>
          <w:numId w:val="4"/>
        </w:numPr>
        <w:ind w:left="150" w:hanging="150" w:hangingChars="100"/>
        <w:rPr>
          <w:sz w:val="15"/>
          <w:szCs w:val="18"/>
        </w:rPr>
      </w:pPr>
      <w:bookmarkStart w:id="298" w:name="_Ref179657747"/>
      <w:bookmarkStart w:id="299" w:name="_Ref179649756"/>
      <w:bookmarkStart w:id="300" w:name="_Ref178324021"/>
      <w:r>
        <w:rPr>
          <w:sz w:val="15"/>
          <w:szCs w:val="18"/>
        </w:rPr>
        <w:t>CHEN Zhao,</w:t>
      </w:r>
      <w:r>
        <w:rPr>
          <w:rFonts w:hint="eastAsia"/>
          <w:sz w:val="15"/>
          <w:szCs w:val="18"/>
        </w:rPr>
        <w:t xml:space="preserve"> </w:t>
      </w:r>
      <w:r>
        <w:rPr>
          <w:sz w:val="15"/>
          <w:szCs w:val="18"/>
        </w:rPr>
        <w:t>FENG Yong,</w:t>
      </w:r>
      <w:r>
        <w:rPr>
          <w:rFonts w:hint="eastAsia"/>
          <w:sz w:val="15"/>
          <w:szCs w:val="18"/>
        </w:rPr>
        <w:t xml:space="preserve"> </w:t>
      </w:r>
      <w:r>
        <w:rPr>
          <w:sz w:val="15"/>
          <w:szCs w:val="18"/>
        </w:rPr>
        <w:t>WANG Weijian, et al.</w:t>
      </w:r>
      <w:r>
        <w:rPr>
          <w:rFonts w:hint="eastAsia" w:ascii="Helvetica" w:hAnsi="Helvetica"/>
          <w:color w:val="222222"/>
          <w:sz w:val="18"/>
          <w:szCs w:val="18"/>
          <w:shd w:val="clear" w:color="auto" w:fill="FFFFFF"/>
        </w:rPr>
        <w:t xml:space="preserve"> </w:t>
      </w:r>
      <w:r>
        <w:rPr>
          <w:sz w:val="15"/>
          <w:szCs w:val="18"/>
        </w:rPr>
        <w:t>Mechanical properties and numerical analysis of underground continuous wall in underground grain silo foundation pit[J].</w:t>
      </w:r>
      <w:r>
        <w:rPr>
          <w:rFonts w:hint="eastAsia"/>
          <w:sz w:val="15"/>
          <w:szCs w:val="18"/>
        </w:rPr>
        <w:t xml:space="preserve"> </w:t>
      </w:r>
      <w:r>
        <w:rPr>
          <w:sz w:val="15"/>
          <w:szCs w:val="18"/>
        </w:rPr>
        <w:t>Buildings</w:t>
      </w:r>
      <w:r>
        <w:rPr>
          <w:rFonts w:hint="eastAsia"/>
          <w:sz w:val="15"/>
          <w:szCs w:val="18"/>
        </w:rPr>
        <w:t>,</w:t>
      </w:r>
      <w:r>
        <w:rPr>
          <w:sz w:val="15"/>
          <w:szCs w:val="18"/>
        </w:rPr>
        <w:t>2023,13</w:t>
      </w:r>
      <w:r>
        <w:rPr>
          <w:rFonts w:hint="eastAsia"/>
          <w:sz w:val="15"/>
          <w:szCs w:val="18"/>
        </w:rPr>
        <w:t>(2):</w:t>
      </w:r>
      <w:r>
        <w:rPr>
          <w:sz w:val="15"/>
          <w:szCs w:val="18"/>
        </w:rPr>
        <w:t>293.</w:t>
      </w:r>
      <w:bookmarkEnd w:id="298"/>
    </w:p>
    <w:p w14:paraId="6D1DC170">
      <w:pPr>
        <w:pStyle w:val="37"/>
        <w:numPr>
          <w:ilvl w:val="0"/>
          <w:numId w:val="4"/>
        </w:numPr>
        <w:ind w:left="150" w:hanging="150" w:hangingChars="100"/>
        <w:rPr>
          <w:sz w:val="15"/>
          <w:szCs w:val="18"/>
        </w:rPr>
      </w:pPr>
      <w:bookmarkStart w:id="301" w:name="_Ref179657749"/>
      <w:r>
        <w:rPr>
          <w:sz w:val="15"/>
          <w:szCs w:val="18"/>
        </w:rPr>
        <w:t>董新平,郭庆海,周顺华.圆型基坑的变形特点及主要影响因素分析[J].地下空间与工程学报, 2005 (2): 196-199.</w:t>
      </w:r>
      <w:bookmarkEnd w:id="299"/>
      <w:bookmarkEnd w:id="301"/>
    </w:p>
    <w:bookmarkEnd w:id="300"/>
    <w:p w14:paraId="40611DA3">
      <w:pPr>
        <w:pStyle w:val="37"/>
        <w:numPr>
          <w:ilvl w:val="0"/>
          <w:numId w:val="4"/>
        </w:numPr>
        <w:ind w:left="150" w:hanging="150" w:hangingChars="100"/>
        <w:rPr>
          <w:sz w:val="15"/>
          <w:szCs w:val="18"/>
        </w:rPr>
      </w:pPr>
      <w:bookmarkStart w:id="302" w:name="_Ref179649775"/>
      <w:bookmarkStart w:id="303" w:name="_Ref178324066"/>
      <w:r>
        <w:rPr>
          <w:sz w:val="15"/>
          <w:szCs w:val="18"/>
        </w:rPr>
        <w:t>吴国诚,周跃峰.考虑地连墙槽段接缝影响的竖井应力和变形规律研究[J].长江技术经济, 2023, 7(6): 99-106.</w:t>
      </w:r>
      <w:bookmarkEnd w:id="302"/>
    </w:p>
    <w:bookmarkEnd w:id="303"/>
    <w:p w14:paraId="64B49F03">
      <w:pPr>
        <w:pStyle w:val="37"/>
        <w:numPr>
          <w:ilvl w:val="0"/>
          <w:numId w:val="4"/>
        </w:numPr>
        <w:ind w:left="150" w:hanging="150" w:hangingChars="100"/>
        <w:rPr>
          <w:sz w:val="15"/>
          <w:szCs w:val="18"/>
        </w:rPr>
      </w:pPr>
      <w:bookmarkStart w:id="304" w:name="_Ref178324103"/>
      <w:r>
        <w:rPr>
          <w:sz w:val="15"/>
          <w:szCs w:val="18"/>
        </w:rPr>
        <w:t>刘洋洋.考虑接缝影响的圆形基坑地下连续墙性状研究[D].长沙：长沙理工大学,2021.</w:t>
      </w:r>
    </w:p>
    <w:bookmarkEnd w:id="304"/>
    <w:p w14:paraId="5C8FD9BF">
      <w:pPr>
        <w:pStyle w:val="37"/>
        <w:numPr>
          <w:ilvl w:val="0"/>
          <w:numId w:val="4"/>
        </w:numPr>
        <w:ind w:left="150" w:hanging="150" w:hangingChars="100"/>
        <w:rPr>
          <w:sz w:val="15"/>
          <w:szCs w:val="18"/>
        </w:rPr>
      </w:pPr>
      <w:bookmarkStart w:id="305" w:name="_Ref178324138"/>
      <w:r>
        <w:rPr>
          <w:sz w:val="15"/>
          <w:szCs w:val="18"/>
        </w:rPr>
        <w:t>XU Qiuwei, XIE Jinli,</w:t>
      </w:r>
      <w:r>
        <w:rPr>
          <w:rFonts w:hint="eastAsia"/>
          <w:sz w:val="15"/>
          <w:szCs w:val="18"/>
        </w:rPr>
        <w:t xml:space="preserve"> </w:t>
      </w:r>
      <w:r>
        <w:rPr>
          <w:sz w:val="15"/>
          <w:szCs w:val="18"/>
        </w:rPr>
        <w:t>SUN Zili, et al.</w:t>
      </w:r>
      <w:r>
        <w:rPr>
          <w:rFonts w:hint="eastAsia"/>
          <w:sz w:val="15"/>
          <w:szCs w:val="18"/>
        </w:rPr>
        <w:t xml:space="preserve"> </w:t>
      </w:r>
      <w:r>
        <w:rPr>
          <w:sz w:val="15"/>
          <w:szCs w:val="18"/>
        </w:rPr>
        <w:t>Stability analysis of trench wall fo</w:t>
      </w:r>
      <w:bookmarkStart w:id="315" w:name="_GoBack"/>
      <w:bookmarkEnd w:id="315"/>
      <w:r>
        <w:rPr>
          <w:sz w:val="15"/>
          <w:szCs w:val="18"/>
        </w:rPr>
        <w:t xml:space="preserve">r diaphragm wall in ultra-deep circular foundation pit: </w:t>
      </w:r>
      <w:r>
        <w:rPr>
          <w:rFonts w:hint="eastAsia"/>
          <w:sz w:val="15"/>
          <w:szCs w:val="18"/>
          <w:lang w:val="en-US" w:eastAsia="zh-CN"/>
        </w:rPr>
        <w:t>A</w:t>
      </w:r>
      <w:r>
        <w:rPr>
          <w:sz w:val="15"/>
          <w:szCs w:val="18"/>
        </w:rPr>
        <w:t xml:space="preserve"> comprehensive investigation[J]. Applied Sciences, 2023,13(21)</w:t>
      </w:r>
      <w:r>
        <w:rPr>
          <w:rFonts w:hint="eastAsia"/>
          <w:sz w:val="15"/>
          <w:szCs w:val="18"/>
        </w:rPr>
        <w:t xml:space="preserve">: </w:t>
      </w:r>
      <w:r>
        <w:rPr>
          <w:sz w:val="15"/>
          <w:szCs w:val="18"/>
        </w:rPr>
        <w:t>12037.</w:t>
      </w:r>
      <w:bookmarkEnd w:id="305"/>
    </w:p>
    <w:p w14:paraId="7F1D7849">
      <w:pPr>
        <w:pStyle w:val="37"/>
        <w:numPr>
          <w:ilvl w:val="0"/>
          <w:numId w:val="4"/>
        </w:numPr>
        <w:ind w:left="150" w:hanging="150" w:hangingChars="100"/>
        <w:rPr>
          <w:sz w:val="15"/>
          <w:szCs w:val="18"/>
        </w:rPr>
      </w:pPr>
      <w:bookmarkStart w:id="306" w:name="_Ref178324139"/>
      <w:r>
        <w:rPr>
          <w:sz w:val="15"/>
          <w:szCs w:val="18"/>
        </w:rPr>
        <w:t>裴颖洁,郑刚,刘建起.两侧铰接地下连续墙的试验研究及数值分析[J].岩土力学, 2008(1): 279-284.</w:t>
      </w:r>
    </w:p>
    <w:bookmarkEnd w:id="306"/>
    <w:p w14:paraId="4E73E10A">
      <w:pPr>
        <w:pStyle w:val="37"/>
        <w:numPr>
          <w:ilvl w:val="0"/>
          <w:numId w:val="4"/>
        </w:numPr>
        <w:ind w:left="150" w:hanging="150" w:hangingChars="100"/>
        <w:rPr>
          <w:sz w:val="15"/>
          <w:szCs w:val="18"/>
        </w:rPr>
      </w:pPr>
      <w:bookmarkStart w:id="307" w:name="_Ref178324679"/>
      <w:r>
        <w:rPr>
          <w:sz w:val="15"/>
          <w:szCs w:val="18"/>
        </w:rPr>
        <w:t>诸以惇,陈卫忠,田洪铭,等.考虑连续墙接头效应的软土大型盾构工作井稳定性分析[J]. 岩土力学, 2011, 32(10): 2937-2943.</w:t>
      </w:r>
    </w:p>
    <w:bookmarkEnd w:id="307"/>
    <w:p w14:paraId="61CFDD55">
      <w:pPr>
        <w:pStyle w:val="37"/>
        <w:numPr>
          <w:ilvl w:val="0"/>
          <w:numId w:val="4"/>
        </w:numPr>
        <w:ind w:left="150" w:hanging="150" w:hangingChars="100"/>
        <w:rPr>
          <w:sz w:val="15"/>
          <w:szCs w:val="18"/>
        </w:rPr>
      </w:pPr>
      <w:bookmarkStart w:id="308" w:name="_Ref178324695"/>
      <w:r>
        <w:rPr>
          <w:sz w:val="15"/>
          <w:szCs w:val="18"/>
        </w:rPr>
        <w:t>杨光华,张文雨,陈富强, 等.圆形地连墙环向刚度非线性及自锁效应的研究[J].地下空间与工程学报, 2022, 18(5): 1639-1648.</w:t>
      </w:r>
    </w:p>
    <w:bookmarkEnd w:id="308"/>
    <w:p w14:paraId="70661688">
      <w:pPr>
        <w:pStyle w:val="37"/>
        <w:numPr>
          <w:ilvl w:val="0"/>
          <w:numId w:val="4"/>
        </w:numPr>
        <w:ind w:left="150" w:hanging="150" w:hangingChars="100"/>
        <w:rPr>
          <w:sz w:val="15"/>
          <w:szCs w:val="18"/>
        </w:rPr>
      </w:pPr>
      <w:bookmarkStart w:id="309" w:name="_Ref178324696"/>
      <w:r>
        <w:rPr>
          <w:sz w:val="15"/>
          <w:szCs w:val="18"/>
        </w:rPr>
        <w:t>杨建喜,陈富强,杨光华,等.圆形地下连续墙环向刚度影响因素及折减系数取值研究[J].广东土木与建筑, 2023, 30(5): 1-6.</w:t>
      </w:r>
    </w:p>
    <w:bookmarkEnd w:id="309"/>
    <w:p w14:paraId="2FF49A1F">
      <w:pPr>
        <w:pStyle w:val="37"/>
        <w:numPr>
          <w:ilvl w:val="0"/>
          <w:numId w:val="4"/>
        </w:numPr>
        <w:ind w:left="150" w:hanging="150" w:hangingChars="100"/>
        <w:rPr>
          <w:sz w:val="15"/>
          <w:szCs w:val="18"/>
        </w:rPr>
      </w:pPr>
      <w:bookmarkStart w:id="310" w:name="_Ref178324697"/>
      <w:r>
        <w:rPr>
          <w:sz w:val="15"/>
          <w:szCs w:val="18"/>
        </w:rPr>
        <w:t>崔剑峰,胡建华,贺炜,等.圆形地下连续墙的环向刚度折减效应及修正方法研究[J].岩土工程学报, 2017, 39(11): 2132-2138.</w:t>
      </w:r>
    </w:p>
    <w:bookmarkEnd w:id="310"/>
    <w:p w14:paraId="75EC2229">
      <w:pPr>
        <w:pStyle w:val="37"/>
        <w:numPr>
          <w:ilvl w:val="0"/>
          <w:numId w:val="4"/>
        </w:numPr>
        <w:ind w:left="150" w:hanging="150" w:hangingChars="100"/>
        <w:rPr>
          <w:sz w:val="15"/>
          <w:szCs w:val="18"/>
        </w:rPr>
      </w:pPr>
      <w:bookmarkStart w:id="311" w:name="_Ref178324698"/>
      <w:r>
        <w:rPr>
          <w:sz w:val="15"/>
          <w:szCs w:val="18"/>
        </w:rPr>
        <w:t>陈富强,杨光华,张玉成,等.圆形地下连续墙结构设计中α系数取值探讨[J].岩土工程学报, 2012, 34(S1): 203-206.</w:t>
      </w:r>
    </w:p>
    <w:bookmarkEnd w:id="311"/>
    <w:p w14:paraId="63E4426C">
      <w:pPr>
        <w:pStyle w:val="37"/>
        <w:numPr>
          <w:ilvl w:val="0"/>
          <w:numId w:val="4"/>
        </w:numPr>
        <w:ind w:left="150" w:hanging="150" w:hangingChars="100"/>
        <w:rPr>
          <w:color w:val="FF0000"/>
          <w:sz w:val="18"/>
          <w:szCs w:val="18"/>
        </w:rPr>
      </w:pPr>
      <w:bookmarkStart w:id="312" w:name="_Ref179658857"/>
      <w:r>
        <w:rPr>
          <w:rFonts w:hint="eastAsia"/>
          <w:sz w:val="15"/>
          <w:szCs w:val="18"/>
          <w:lang w:eastAsia="zh-CN"/>
        </w:rPr>
        <w:t>中华人民共和国交通部</w:t>
      </w:r>
      <w:r>
        <w:rPr>
          <w:rFonts w:hint="eastAsia"/>
          <w:sz w:val="15"/>
          <w:szCs w:val="18"/>
          <w:lang w:val="en-US" w:eastAsia="zh-CN"/>
        </w:rPr>
        <w:t xml:space="preserve">, </w:t>
      </w:r>
      <w:r>
        <w:rPr>
          <w:rFonts w:hint="eastAsia"/>
          <w:sz w:val="15"/>
          <w:szCs w:val="18"/>
        </w:rPr>
        <w:t>公路桥涵地基与基础设计规范: JTG 024</w:t>
      </w:r>
      <w:r>
        <w:rPr>
          <w:rFonts w:hint="eastAsia"/>
          <w:sz w:val="15"/>
          <w:szCs w:val="18"/>
          <w:lang w:eastAsia="zh-CN"/>
        </w:rPr>
        <w:t>—</w:t>
      </w:r>
      <w:r>
        <w:rPr>
          <w:rFonts w:hint="eastAsia"/>
          <w:sz w:val="15"/>
          <w:szCs w:val="18"/>
        </w:rPr>
        <w:t>1985[S]. 北京: 人民交通出版社，1985.</w:t>
      </w:r>
      <w:bookmarkEnd w:id="312"/>
    </w:p>
    <w:p w14:paraId="0BE5F963">
      <w:pPr>
        <w:pStyle w:val="37"/>
        <w:numPr>
          <w:ilvl w:val="0"/>
          <w:numId w:val="4"/>
        </w:numPr>
        <w:ind w:left="150" w:hanging="150" w:hangingChars="100"/>
        <w:rPr>
          <w:sz w:val="15"/>
          <w:szCs w:val="18"/>
        </w:rPr>
      </w:pPr>
      <w:bookmarkStart w:id="313" w:name="_Ref179658877"/>
      <w:r>
        <w:rPr>
          <w:rFonts w:hint="eastAsia"/>
          <w:sz w:val="15"/>
          <w:szCs w:val="18"/>
        </w:rPr>
        <w:t>赵明华,王贻荪. 土力学与基础工程（第4版）[M]. 武汉: 武汉理工大学出版社,2014.</w:t>
      </w:r>
      <w:bookmarkEnd w:id="313"/>
    </w:p>
    <w:p w14:paraId="6A638FBB">
      <w:pPr>
        <w:pStyle w:val="37"/>
        <w:numPr>
          <w:ilvl w:val="0"/>
          <w:numId w:val="4"/>
        </w:numPr>
        <w:ind w:left="150" w:hanging="150" w:hangingChars="100"/>
        <w:rPr>
          <w:sz w:val="15"/>
          <w:szCs w:val="18"/>
        </w:rPr>
      </w:pPr>
      <w:bookmarkStart w:id="314" w:name="_Ref179658878"/>
      <w:r>
        <w:rPr>
          <w:rFonts w:hint="eastAsia"/>
          <w:sz w:val="15"/>
          <w:szCs w:val="18"/>
        </w:rPr>
        <w:t>李广信. 高等土力学（第2版）[M]. 北京：清华大学出版社, 2016.</w:t>
      </w:r>
      <w:bookmarkEnd w:id="314"/>
    </w:p>
    <w:p w14:paraId="00446A48">
      <w:pPr>
        <w:pStyle w:val="37"/>
        <w:widowControl w:val="0"/>
        <w:numPr>
          <w:numId w:val="0"/>
        </w:numPr>
        <w:jc w:val="both"/>
        <w:rPr>
          <w:rFonts w:hint="eastAsia"/>
          <w:sz w:val="15"/>
          <w:szCs w:val="18"/>
        </w:rPr>
      </w:pPr>
    </w:p>
    <w:p w14:paraId="5BC4EBF3">
      <w:pPr>
        <w:pStyle w:val="37"/>
        <w:widowControl w:val="0"/>
        <w:numPr>
          <w:numId w:val="0"/>
        </w:numPr>
        <w:jc w:val="both"/>
        <w:rPr>
          <w:rFonts w:hint="eastAsia"/>
          <w:sz w:val="15"/>
          <w:szCs w:val="18"/>
        </w:rPr>
      </w:pPr>
    </w:p>
    <w:p w14:paraId="720806D4">
      <w:pPr>
        <w:pStyle w:val="37"/>
        <w:widowControl w:val="0"/>
        <w:numPr>
          <w:numId w:val="0"/>
        </w:numPr>
        <w:jc w:val="both"/>
        <w:rPr>
          <w:rFonts w:hint="default" w:eastAsia="宋体"/>
          <w:sz w:val="15"/>
          <w:szCs w:val="18"/>
          <w:lang w:val="en-US" w:eastAsia="zh-CN"/>
        </w:rPr>
      </w:pPr>
      <w:r>
        <w:rPr>
          <w:rFonts w:hint="eastAsia"/>
          <w:sz w:val="15"/>
          <w:szCs w:val="18"/>
          <w:lang w:eastAsia="zh-CN"/>
        </w:rPr>
        <w:t>（责任编辑</w:t>
      </w:r>
      <w:r>
        <w:rPr>
          <w:rFonts w:hint="eastAsia"/>
          <w:sz w:val="15"/>
          <w:szCs w:val="18"/>
          <w:lang w:val="en-US" w:eastAsia="zh-CN"/>
        </w:rPr>
        <w:t xml:space="preserve"> 李贶家）</w:t>
      </w:r>
    </w:p>
    <w:sectPr>
      <w:headerReference r:id="rId11" w:type="default"/>
      <w:type w:val="continuous"/>
      <w:pgSz w:w="11906" w:h="16838"/>
      <w:pgMar w:top="1440" w:right="1800" w:bottom="1440" w:left="1800" w:header="851" w:footer="992" w:gutter="0"/>
      <w:cols w:space="425" w:num="1"/>
      <w:titlePg/>
      <w:docGrid w:type="linesAndChar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420"/>
      </w:pPr>
      <w:r>
        <w:separator/>
      </w:r>
    </w:p>
  </w:endnote>
  <w:endnote w:type="continuationSeparator" w:id="1">
    <w:p>
      <w:pPr>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A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MS Sans Serif">
    <w:altName w:val="Arial"/>
    <w:panose1 w:val="00000000000000000000"/>
    <w:charset w:val="00"/>
    <w:family w:val="swiss"/>
    <w:pitch w:val="default"/>
    <w:sig w:usb0="00000000" w:usb1="00000000" w:usb2="00000000" w:usb3="00000000" w:csb0="00000001"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Helvetica">
    <w:altName w:val="Arial"/>
    <w:panose1 w:val="020B0604020202020204"/>
    <w:charset w:val="00"/>
    <w:family w:val="swiss"/>
    <w:pitch w:val="default"/>
    <w:sig w:usb0="00000000" w:usb1="00000000" w:usb2="00000009" w:usb3="00000000" w:csb0="000001FF" w:csb1="00000000"/>
  </w:font>
  <w:font w:name="Segoe UI">
    <w:panose1 w:val="020B0502040204020203"/>
    <w:charset w:val="00"/>
    <w:family w:val="auto"/>
    <w:pitch w:val="default"/>
    <w:sig w:usb0="E10022FF" w:usb1="C000E47F" w:usb2="00000029" w:usb3="00000000" w:csb0="200001DF" w:csb1="2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4C3DF1">
    <w:pPr>
      <w:pStyle w:val="13"/>
      <w:ind w:firstLine="360"/>
    </w:pPr>
    <w:r>
      <w:rPr>
        <w:rFonts w:hint="eastAsia"/>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E26DE0">
    <w:pPr>
      <w:pStyle w:val="13"/>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81AC7A">
    <w:pPr>
      <w:pStyle w:val="14"/>
      <w:snapToGrid/>
      <w:jc w:val="both"/>
      <w:rPr>
        <w:rFonts w:ascii="Times New Roman" w:hAnsi="Times New Roman" w:eastAsia="黑体" w:cs="Times New Roman"/>
        <w:b/>
        <w:bCs/>
        <w:szCs w:val="18"/>
      </w:rPr>
    </w:pPr>
    <w:r>
      <w:rPr>
        <w:rFonts w:ascii="Times New Roman" w:hAnsi="Times New Roman" w:eastAsia="黑体" w:cs="Times New Roman"/>
        <w:b/>
        <w:bCs/>
        <w:szCs w:val="18"/>
      </w:rPr>
      <w:t>收稿日期：</w:t>
    </w:r>
    <w:r>
      <w:rPr>
        <w:rFonts w:hint="eastAsia" w:ascii="Times New Roman" w:hAnsi="Times New Roman" w:eastAsia="黑体" w:cs="Times New Roman"/>
        <w:b/>
        <w:bCs/>
        <w:szCs w:val="18"/>
        <w:lang w:val="en-US" w:eastAsia="zh-CN"/>
      </w:rPr>
      <w:t>2024-11-30</w:t>
    </w:r>
    <w:r>
      <w:rPr>
        <w:rFonts w:hint="eastAsia" w:ascii="Times New Roman" w:hAnsi="Times New Roman" w:eastAsia="黑体" w:cs="Times New Roman"/>
        <w:b/>
        <w:bCs/>
        <w:szCs w:val="18"/>
      </w:rPr>
      <w:t xml:space="preserve"> </w:t>
    </w:r>
  </w:p>
  <w:p w14:paraId="31EB14DE">
    <w:pPr>
      <w:pStyle w:val="14"/>
      <w:snapToGrid/>
      <w:jc w:val="both"/>
      <w:rPr>
        <w:rFonts w:ascii="Times New Roman" w:hAnsi="Times New Roman" w:eastAsia="黑体" w:cs="Times New Roman"/>
        <w:b/>
        <w:bCs/>
        <w:szCs w:val="18"/>
      </w:rPr>
    </w:pPr>
    <w:r>
      <w:rPr>
        <w:rFonts w:hint="eastAsia" w:ascii="Times New Roman" w:hAnsi="Times New Roman" w:eastAsia="黑体" w:cs="Times New Roman"/>
        <w:b/>
        <w:bCs/>
        <w:szCs w:val="18"/>
      </w:rPr>
      <w:t xml:space="preserve">基金项目: </w:t>
    </w:r>
    <w:r>
      <w:rPr>
        <w:rFonts w:hint="eastAsia" w:ascii="Times New Roman" w:hAnsi="Times New Roman" w:cs="Times New Roman"/>
        <w:bCs/>
        <w:szCs w:val="18"/>
      </w:rPr>
      <w:t>国家自然科学基金资助项目（52178381）</w:t>
    </w:r>
  </w:p>
  <w:p w14:paraId="228C5E5E">
    <w:pPr>
      <w:pStyle w:val="14"/>
      <w:snapToGrid/>
      <w:jc w:val="both"/>
      <w:rPr>
        <w:rFonts w:ascii="Times New Roman" w:hAnsi="Times New Roman" w:cs="Times New Roman"/>
        <w:bCs/>
        <w:szCs w:val="18"/>
      </w:rPr>
    </w:pPr>
    <w:r>
      <w:rPr>
        <w:rFonts w:hint="eastAsia" w:ascii="Times New Roman" w:hAnsi="Times New Roman" w:eastAsia="黑体" w:cs="Times New Roman"/>
        <w:b/>
        <w:bCs/>
        <w:szCs w:val="18"/>
      </w:rPr>
      <w:t>作者简介：</w:t>
    </w:r>
    <w:r>
      <w:rPr>
        <w:rFonts w:hint="eastAsia" w:ascii="Times New Roman" w:hAnsi="Times New Roman" w:cs="Times New Roman"/>
        <w:bCs/>
        <w:szCs w:val="18"/>
      </w:rPr>
      <w:t>张军（1967—），女，教授，博士，主要从事基坑开挖、地下连续墙技术和隧道监测技术研究工作。E-mail: 2559840710@qq.com</w:t>
    </w:r>
  </w:p>
  <w:p w14:paraId="2536C638">
    <w:pPr>
      <w:pStyle w:val="14"/>
      <w:snapToGrid/>
      <w:jc w:val="both"/>
      <w:rPr>
        <w:rFonts w:ascii="Times New Roman" w:hAnsi="Times New Roman" w:cs="Times New Roman"/>
        <w:bCs/>
        <w:szCs w:val="18"/>
      </w:rPr>
    </w:pPr>
    <w:r>
      <w:rPr>
        <w:rFonts w:hint="eastAsia" w:ascii="Times New Roman" w:hAnsi="Times New Roman" w:eastAsia="黑体" w:cs="Times New Roman"/>
        <w:b/>
        <w:bCs/>
        <w:szCs w:val="18"/>
      </w:rPr>
      <w:t>通信作者：</w:t>
    </w:r>
    <w:r>
      <w:rPr>
        <w:rFonts w:hint="eastAsia" w:ascii="Times New Roman" w:hAnsi="Times New Roman" w:cs="Times New Roman"/>
        <w:bCs/>
        <w:szCs w:val="18"/>
      </w:rPr>
      <w:t xml:space="preserve">杨玉琳（2000—），女，硕士研究生，主要从事基坑开挖、地下连续墙技术和隧道监测技术研究工作。E-mail: </w:t>
    </w:r>
    <w:r>
      <w:fldChar w:fldCharType="begin"/>
    </w:r>
    <w:r>
      <w:instrText xml:space="preserve"> HYPERLINK "mailto:1749460640@qq.com" </w:instrText>
    </w:r>
    <w:r>
      <w:fldChar w:fldCharType="separate"/>
    </w:r>
    <w:r>
      <w:rPr>
        <w:rStyle w:val="16"/>
        <w:rFonts w:hint="eastAsia" w:ascii="Times New Roman" w:hAnsi="Times New Roman" w:cs="Times New Roman"/>
        <w:bCs/>
        <w:szCs w:val="18"/>
      </w:rPr>
      <w:t>1749460640@qq.com</w:t>
    </w:r>
    <w:r>
      <w:rPr>
        <w:rStyle w:val="16"/>
        <w:rFonts w:hint="eastAsia" w:ascii="Times New Roman" w:hAnsi="Times New Roman" w:cs="Times New Roman"/>
        <w:bCs/>
        <w:szCs w:val="18"/>
      </w:rPr>
      <w:fldChar w:fldCharType="end"/>
    </w:r>
  </w:p>
  <w:p w14:paraId="1EDA50AF">
    <w:pPr>
      <w:ind w:firstLine="0" w:firstLineChars="0"/>
      <w:rPr>
        <w:spacing w:val="4"/>
        <w:sz w:val="15"/>
        <w:szCs w:val="15"/>
      </w:rPr>
    </w:pPr>
    <w:r>
      <w:rPr>
        <w:rFonts w:ascii="Arial" w:hAnsi="Arial" w:cs="Arial"/>
        <w:spacing w:val="4"/>
        <w:sz w:val="15"/>
        <w:szCs w:val="15"/>
      </w:rPr>
      <w:t>©</w:t>
    </w:r>
    <w:r>
      <w:rPr>
        <w:rFonts w:hint="eastAsia"/>
        <w:spacing w:val="4"/>
        <w:sz w:val="15"/>
        <w:szCs w:val="15"/>
      </w:rPr>
      <w:t xml:space="preserve"> Editorial Department of Water Resources and Hydropower Engineering. This is an open access article under the CC BY-NC-ND license.</w:t>
    </w:r>
  </w:p>
  <w:p w14:paraId="3D947B93">
    <w:pPr>
      <w:pStyle w:val="14"/>
      <w:snapToGrid/>
      <w:jc w:val="both"/>
      <w:rPr>
        <w:sz w:val="15"/>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420"/>
      </w:pPr>
      <w:r>
        <w:separator/>
      </w:r>
    </w:p>
  </w:footnote>
  <w:footnote w:type="continuationSeparator" w:id="1">
    <w:p>
      <w:pPr>
        <w:ind w:firstLine="4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8861BF">
    <w:pPr>
      <w:pStyle w:val="15"/>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480CDD">
    <w:pPr>
      <w:pStyle w:val="15"/>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EC15DC">
    <w:pPr>
      <w:pStyle w:val="15"/>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27F453">
    <w:pPr>
      <w:pStyle w:val="15"/>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2FD27BC"/>
    <w:multiLevelType w:val="multilevel"/>
    <w:tmpl w:val="42FD27BC"/>
    <w:lvl w:ilvl="0" w:tentative="0">
      <w:start w:val="1"/>
      <w:numFmt w:val="decimal"/>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
    <w:nsid w:val="45371383"/>
    <w:multiLevelType w:val="multilevel"/>
    <w:tmpl w:val="45371383"/>
    <w:lvl w:ilvl="0" w:tentative="0">
      <w:start w:val="1"/>
      <w:numFmt w:val="decimal"/>
      <w:suff w:val="space"/>
      <w:lvlText w:val="[%1]"/>
      <w:lvlJc w:val="left"/>
      <w:pPr>
        <w:ind w:left="0" w:firstLine="0"/>
      </w:pPr>
      <w:rPr>
        <w:rFonts w:hint="default" w:ascii="Times New Roman" w:hAnsi="Times New Roman" w:cs="Times New Roman"/>
        <w:color w:val="auto"/>
        <w:sz w:val="15"/>
        <w:szCs w:val="18"/>
      </w:rPr>
    </w:lvl>
    <w:lvl w:ilvl="1" w:tentative="0">
      <w:start w:val="1"/>
      <w:numFmt w:val="lowerLetter"/>
      <w:lvlText w:val="%2)"/>
      <w:lvlJc w:val="left"/>
      <w:pPr>
        <w:ind w:left="880" w:hanging="440"/>
      </w:pPr>
      <w:rPr>
        <w:rFonts w:hint="default" w:ascii="Times New Roman" w:hAnsi="Times New Roman" w:cs="Times New Roman"/>
      </w:rPr>
    </w:lvl>
    <w:lvl w:ilvl="2" w:tentative="0">
      <w:start w:val="1"/>
      <w:numFmt w:val="lowerRoman"/>
      <w:lvlText w:val="%3."/>
      <w:lvlJc w:val="right"/>
      <w:pPr>
        <w:ind w:left="1320" w:hanging="440"/>
      </w:pPr>
      <w:rPr>
        <w:rFonts w:hint="default" w:ascii="Times New Roman" w:hAnsi="Times New Roman" w:cs="Times New Roman"/>
      </w:rPr>
    </w:lvl>
    <w:lvl w:ilvl="3" w:tentative="0">
      <w:start w:val="1"/>
      <w:numFmt w:val="decimal"/>
      <w:lvlText w:val="%4."/>
      <w:lvlJc w:val="left"/>
      <w:pPr>
        <w:ind w:left="1760" w:hanging="440"/>
      </w:pPr>
      <w:rPr>
        <w:rFonts w:hint="default" w:ascii="Times New Roman" w:hAnsi="Times New Roman" w:cs="Times New Roman"/>
      </w:rPr>
    </w:lvl>
    <w:lvl w:ilvl="4" w:tentative="0">
      <w:start w:val="1"/>
      <w:numFmt w:val="lowerLetter"/>
      <w:lvlText w:val="%5)"/>
      <w:lvlJc w:val="left"/>
      <w:pPr>
        <w:ind w:left="2200" w:hanging="440"/>
      </w:pPr>
      <w:rPr>
        <w:rFonts w:hint="default" w:ascii="Times New Roman" w:hAnsi="Times New Roman" w:cs="Times New Roman"/>
      </w:rPr>
    </w:lvl>
    <w:lvl w:ilvl="5" w:tentative="0">
      <w:start w:val="1"/>
      <w:numFmt w:val="lowerRoman"/>
      <w:lvlText w:val="%6."/>
      <w:lvlJc w:val="right"/>
      <w:pPr>
        <w:ind w:left="2640" w:hanging="440"/>
      </w:pPr>
      <w:rPr>
        <w:rFonts w:hint="default" w:ascii="Times New Roman" w:hAnsi="Times New Roman" w:cs="Times New Roman"/>
      </w:rPr>
    </w:lvl>
    <w:lvl w:ilvl="6" w:tentative="0">
      <w:start w:val="1"/>
      <w:numFmt w:val="decimal"/>
      <w:lvlText w:val="%7."/>
      <w:lvlJc w:val="left"/>
      <w:pPr>
        <w:ind w:left="3080" w:hanging="440"/>
      </w:pPr>
      <w:rPr>
        <w:rFonts w:hint="default" w:ascii="Times New Roman" w:hAnsi="Times New Roman" w:cs="Times New Roman"/>
      </w:rPr>
    </w:lvl>
    <w:lvl w:ilvl="7" w:tentative="0">
      <w:start w:val="1"/>
      <w:numFmt w:val="lowerLetter"/>
      <w:lvlText w:val="%8)"/>
      <w:lvlJc w:val="left"/>
      <w:pPr>
        <w:ind w:left="3520" w:hanging="440"/>
      </w:pPr>
      <w:rPr>
        <w:rFonts w:hint="default" w:ascii="Times New Roman" w:hAnsi="Times New Roman" w:cs="Times New Roman"/>
      </w:rPr>
    </w:lvl>
    <w:lvl w:ilvl="8" w:tentative="0">
      <w:start w:val="1"/>
      <w:numFmt w:val="lowerRoman"/>
      <w:lvlText w:val="%9."/>
      <w:lvlJc w:val="right"/>
      <w:pPr>
        <w:ind w:left="3960" w:hanging="440"/>
      </w:pPr>
      <w:rPr>
        <w:rFonts w:hint="default" w:ascii="Times New Roman" w:hAnsi="Times New Roman" w:cs="Times New Roman"/>
      </w:rPr>
    </w:lvl>
  </w:abstractNum>
  <w:abstractNum w:abstractNumId="2">
    <w:nsid w:val="4C701F7E"/>
    <w:multiLevelType w:val="multilevel"/>
    <w:tmpl w:val="4C701F7E"/>
    <w:lvl w:ilvl="0" w:tentative="0">
      <w:start w:val="1"/>
      <w:numFmt w:val="decimal"/>
      <w:suff w:val="space"/>
      <w:lvlText w:val="（%1）"/>
      <w:lvlJc w:val="left"/>
      <w:pPr>
        <w:ind w:left="0" w:firstLine="420"/>
      </w:pPr>
      <w:rPr>
        <w:rFonts w:hint="default"/>
      </w:rPr>
    </w:lvl>
    <w:lvl w:ilvl="1" w:tentative="0">
      <w:start w:val="1"/>
      <w:numFmt w:val="lowerLetter"/>
      <w:lvlText w:val="%2)"/>
      <w:lvlJc w:val="left"/>
      <w:pPr>
        <w:ind w:left="1300" w:hanging="440"/>
      </w:pPr>
    </w:lvl>
    <w:lvl w:ilvl="2" w:tentative="0">
      <w:start w:val="1"/>
      <w:numFmt w:val="lowerRoman"/>
      <w:lvlText w:val="%3."/>
      <w:lvlJc w:val="right"/>
      <w:pPr>
        <w:ind w:left="1740" w:hanging="440"/>
      </w:pPr>
    </w:lvl>
    <w:lvl w:ilvl="3" w:tentative="0">
      <w:start w:val="1"/>
      <w:numFmt w:val="decimal"/>
      <w:lvlText w:val="%4."/>
      <w:lvlJc w:val="left"/>
      <w:pPr>
        <w:ind w:left="2180" w:hanging="440"/>
      </w:pPr>
    </w:lvl>
    <w:lvl w:ilvl="4" w:tentative="0">
      <w:start w:val="1"/>
      <w:numFmt w:val="lowerLetter"/>
      <w:lvlText w:val="%5)"/>
      <w:lvlJc w:val="left"/>
      <w:pPr>
        <w:ind w:left="2620" w:hanging="440"/>
      </w:pPr>
    </w:lvl>
    <w:lvl w:ilvl="5" w:tentative="0">
      <w:start w:val="1"/>
      <w:numFmt w:val="lowerRoman"/>
      <w:lvlText w:val="%6."/>
      <w:lvlJc w:val="right"/>
      <w:pPr>
        <w:ind w:left="3060" w:hanging="440"/>
      </w:pPr>
    </w:lvl>
    <w:lvl w:ilvl="6" w:tentative="0">
      <w:start w:val="1"/>
      <w:numFmt w:val="decimal"/>
      <w:lvlText w:val="%7."/>
      <w:lvlJc w:val="left"/>
      <w:pPr>
        <w:ind w:left="3500" w:hanging="440"/>
      </w:pPr>
    </w:lvl>
    <w:lvl w:ilvl="7" w:tentative="0">
      <w:start w:val="1"/>
      <w:numFmt w:val="lowerLetter"/>
      <w:lvlText w:val="%8)"/>
      <w:lvlJc w:val="left"/>
      <w:pPr>
        <w:ind w:left="3940" w:hanging="440"/>
      </w:pPr>
    </w:lvl>
    <w:lvl w:ilvl="8" w:tentative="0">
      <w:start w:val="1"/>
      <w:numFmt w:val="lowerRoman"/>
      <w:lvlText w:val="%9."/>
      <w:lvlJc w:val="right"/>
      <w:pPr>
        <w:ind w:left="4380" w:hanging="440"/>
      </w:pPr>
    </w:lvl>
  </w:abstractNum>
  <w:abstractNum w:abstractNumId="3">
    <w:nsid w:val="55AB375B"/>
    <w:multiLevelType w:val="multilevel"/>
    <w:tmpl w:val="55AB375B"/>
    <w:lvl w:ilvl="0" w:tentative="0">
      <w:start w:val="0"/>
      <w:numFmt w:val="decimal"/>
      <w:suff w:val="space"/>
      <w:lvlText w:val="%1"/>
      <w:lvlJc w:val="left"/>
      <w:pPr>
        <w:ind w:left="0" w:firstLine="0"/>
      </w:pPr>
      <w:rPr>
        <w:rFonts w:hint="eastAsia"/>
      </w:rPr>
    </w:lvl>
    <w:lvl w:ilvl="1" w:tentative="0">
      <w:start w:val="1"/>
      <w:numFmt w:val="decimal"/>
      <w:suff w:val="space"/>
      <w:lvlText w:val="%1.%2"/>
      <w:lvlJc w:val="left"/>
      <w:pPr>
        <w:ind w:left="0" w:firstLine="0"/>
      </w:pPr>
      <w:rPr>
        <w:rFonts w:hint="eastAsia"/>
      </w:rPr>
    </w:lvl>
    <w:lvl w:ilvl="2" w:tentative="0">
      <w:start w:val="1"/>
      <w:numFmt w:val="decimal"/>
      <w:suff w:val="space"/>
      <w:lvlText w:val="%1.%2.%3"/>
      <w:lvlJc w:val="left"/>
      <w:pPr>
        <w:ind w:left="0" w:firstLine="0"/>
      </w:pPr>
      <w:rPr>
        <w:rFonts w:hint="eastAsia"/>
      </w:rPr>
    </w:lvl>
    <w:lvl w:ilvl="3" w:tentative="0">
      <w:start w:val="1"/>
      <w:numFmt w:val="decimal"/>
      <w:lvlText w:val="%1.%2.%3.%4."/>
      <w:lvlJc w:val="left"/>
      <w:pPr>
        <w:ind w:left="0" w:firstLine="0"/>
      </w:pPr>
      <w:rPr>
        <w:rFonts w:hint="eastAsia"/>
      </w:rPr>
    </w:lvl>
    <w:lvl w:ilvl="4" w:tentative="0">
      <w:start w:val="1"/>
      <w:numFmt w:val="decimal"/>
      <w:lvlText w:val="%1.%2.%3.%4.%5."/>
      <w:lvlJc w:val="left"/>
      <w:pPr>
        <w:ind w:left="0" w:firstLine="0"/>
      </w:pPr>
      <w:rPr>
        <w:rFonts w:hint="eastAsia"/>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num w:numId="1">
    <w:abstractNumId w:val="0"/>
  </w:num>
  <w:num w:numId="2">
    <w:abstractNumId w:val="3"/>
  </w:num>
  <w:num w:numId="3">
    <w:abstractNumId w:val="2"/>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mMyNGRiNmM1ZDBlM2I4N2ZkMDQzZTVkYjJmNTYzYWEifQ=="/>
    <w:docVar w:name="EN.InstantFormat" w:val="&lt;ENInstantFormat&gt;&lt;Enabled&gt;1&lt;/Enabled&gt;&lt;ScanUnformatted&gt;1&lt;/ScanUnformatted&gt;&lt;ScanChanges&gt;1&lt;/ScanChanges&gt;&lt;Suspended&gt;0&lt;/Suspended&gt;&lt;/ENInstantFormat&gt;"/>
    <w:docVar w:name="EN.Layout" w:val="&lt;ENLayout&gt;&lt;Style&gt;dh guobiao2005 复制&lt;/Style&gt;&lt;LeftDelim&gt;{&lt;/LeftDelim&gt;&lt;RightDelim&gt;}&lt;/RightDelim&gt;&lt;FontName&gt;Times New Roman&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dffvfer02299oez0z3p50pmet2zxz2vdewx&quot;&gt;My EndNote Library Copy&lt;record-ids&gt;&lt;item&gt;75&lt;/item&gt;&lt;/record-ids&gt;&lt;/item&gt;&lt;/Libraries&gt;"/>
  </w:docVars>
  <w:rsids>
    <w:rsidRoot w:val="00B80D47"/>
    <w:rsid w:val="00000805"/>
    <w:rsid w:val="00001421"/>
    <w:rsid w:val="00001956"/>
    <w:rsid w:val="00002536"/>
    <w:rsid w:val="000032D4"/>
    <w:rsid w:val="000037AA"/>
    <w:rsid w:val="000044C9"/>
    <w:rsid w:val="00004698"/>
    <w:rsid w:val="00004AD0"/>
    <w:rsid w:val="00007A58"/>
    <w:rsid w:val="00007A5F"/>
    <w:rsid w:val="00010E96"/>
    <w:rsid w:val="00015841"/>
    <w:rsid w:val="000175F9"/>
    <w:rsid w:val="00017F3C"/>
    <w:rsid w:val="000213A3"/>
    <w:rsid w:val="000214B3"/>
    <w:rsid w:val="00021589"/>
    <w:rsid w:val="00021C66"/>
    <w:rsid w:val="00021D6F"/>
    <w:rsid w:val="00025220"/>
    <w:rsid w:val="00025FEC"/>
    <w:rsid w:val="000263CA"/>
    <w:rsid w:val="00026405"/>
    <w:rsid w:val="00027650"/>
    <w:rsid w:val="000311E3"/>
    <w:rsid w:val="0003213A"/>
    <w:rsid w:val="00032200"/>
    <w:rsid w:val="000335A3"/>
    <w:rsid w:val="00034981"/>
    <w:rsid w:val="00035046"/>
    <w:rsid w:val="0003529A"/>
    <w:rsid w:val="000358B7"/>
    <w:rsid w:val="00036B66"/>
    <w:rsid w:val="00041691"/>
    <w:rsid w:val="00041922"/>
    <w:rsid w:val="00041BEA"/>
    <w:rsid w:val="00041D60"/>
    <w:rsid w:val="00041F82"/>
    <w:rsid w:val="00043F98"/>
    <w:rsid w:val="00044C66"/>
    <w:rsid w:val="00046495"/>
    <w:rsid w:val="00046D13"/>
    <w:rsid w:val="00047847"/>
    <w:rsid w:val="00047C45"/>
    <w:rsid w:val="0005242C"/>
    <w:rsid w:val="000529BE"/>
    <w:rsid w:val="0005389F"/>
    <w:rsid w:val="000545A8"/>
    <w:rsid w:val="00054A05"/>
    <w:rsid w:val="000568B6"/>
    <w:rsid w:val="00057F0F"/>
    <w:rsid w:val="00060325"/>
    <w:rsid w:val="00060604"/>
    <w:rsid w:val="00060999"/>
    <w:rsid w:val="00060F2F"/>
    <w:rsid w:val="00061655"/>
    <w:rsid w:val="00062D83"/>
    <w:rsid w:val="000642D5"/>
    <w:rsid w:val="00064652"/>
    <w:rsid w:val="000651A6"/>
    <w:rsid w:val="00065FC4"/>
    <w:rsid w:val="0006675D"/>
    <w:rsid w:val="00066B58"/>
    <w:rsid w:val="00067389"/>
    <w:rsid w:val="0007093E"/>
    <w:rsid w:val="000726C3"/>
    <w:rsid w:val="000732B5"/>
    <w:rsid w:val="00073ECB"/>
    <w:rsid w:val="00075BAD"/>
    <w:rsid w:val="00075CA2"/>
    <w:rsid w:val="00076EFB"/>
    <w:rsid w:val="00080782"/>
    <w:rsid w:val="000813C6"/>
    <w:rsid w:val="000815DD"/>
    <w:rsid w:val="00081755"/>
    <w:rsid w:val="00082592"/>
    <w:rsid w:val="000825BB"/>
    <w:rsid w:val="0008278F"/>
    <w:rsid w:val="00083151"/>
    <w:rsid w:val="000841B5"/>
    <w:rsid w:val="00084B43"/>
    <w:rsid w:val="00085465"/>
    <w:rsid w:val="00086499"/>
    <w:rsid w:val="00086901"/>
    <w:rsid w:val="00086AA7"/>
    <w:rsid w:val="000876C0"/>
    <w:rsid w:val="00087D48"/>
    <w:rsid w:val="00087E7C"/>
    <w:rsid w:val="000918CC"/>
    <w:rsid w:val="000929DA"/>
    <w:rsid w:val="000953FA"/>
    <w:rsid w:val="00095830"/>
    <w:rsid w:val="00096ABF"/>
    <w:rsid w:val="00096FAF"/>
    <w:rsid w:val="00097AF1"/>
    <w:rsid w:val="000A0B26"/>
    <w:rsid w:val="000A1579"/>
    <w:rsid w:val="000A1D10"/>
    <w:rsid w:val="000A1E6C"/>
    <w:rsid w:val="000A225E"/>
    <w:rsid w:val="000A2DB9"/>
    <w:rsid w:val="000A3B0D"/>
    <w:rsid w:val="000A4299"/>
    <w:rsid w:val="000A4418"/>
    <w:rsid w:val="000A46FE"/>
    <w:rsid w:val="000A6395"/>
    <w:rsid w:val="000A667D"/>
    <w:rsid w:val="000A69DC"/>
    <w:rsid w:val="000A6EB6"/>
    <w:rsid w:val="000A6F4B"/>
    <w:rsid w:val="000A7012"/>
    <w:rsid w:val="000A7CE9"/>
    <w:rsid w:val="000B0303"/>
    <w:rsid w:val="000B0E20"/>
    <w:rsid w:val="000B106D"/>
    <w:rsid w:val="000B139E"/>
    <w:rsid w:val="000B15A2"/>
    <w:rsid w:val="000B1CAE"/>
    <w:rsid w:val="000B345E"/>
    <w:rsid w:val="000B35FF"/>
    <w:rsid w:val="000B363E"/>
    <w:rsid w:val="000B4BF5"/>
    <w:rsid w:val="000B5185"/>
    <w:rsid w:val="000B523D"/>
    <w:rsid w:val="000B5A3A"/>
    <w:rsid w:val="000B5D41"/>
    <w:rsid w:val="000B793D"/>
    <w:rsid w:val="000B7BD9"/>
    <w:rsid w:val="000B7F0B"/>
    <w:rsid w:val="000C1C69"/>
    <w:rsid w:val="000C21A6"/>
    <w:rsid w:val="000C25D6"/>
    <w:rsid w:val="000C3CBC"/>
    <w:rsid w:val="000C3CD6"/>
    <w:rsid w:val="000C5FFC"/>
    <w:rsid w:val="000C63A0"/>
    <w:rsid w:val="000C7D83"/>
    <w:rsid w:val="000D0029"/>
    <w:rsid w:val="000D0E15"/>
    <w:rsid w:val="000D0FD2"/>
    <w:rsid w:val="000D2ADF"/>
    <w:rsid w:val="000D3014"/>
    <w:rsid w:val="000D3493"/>
    <w:rsid w:val="000D39B3"/>
    <w:rsid w:val="000D3DA4"/>
    <w:rsid w:val="000D3DFE"/>
    <w:rsid w:val="000D3F96"/>
    <w:rsid w:val="000D5A7B"/>
    <w:rsid w:val="000D6DBA"/>
    <w:rsid w:val="000D74A6"/>
    <w:rsid w:val="000D7DCC"/>
    <w:rsid w:val="000E0043"/>
    <w:rsid w:val="000E052E"/>
    <w:rsid w:val="000E1167"/>
    <w:rsid w:val="000E1E5B"/>
    <w:rsid w:val="000E22B6"/>
    <w:rsid w:val="000E28DC"/>
    <w:rsid w:val="000E33BD"/>
    <w:rsid w:val="000E65D6"/>
    <w:rsid w:val="000E6CCD"/>
    <w:rsid w:val="000E7324"/>
    <w:rsid w:val="000E7BEF"/>
    <w:rsid w:val="000F0720"/>
    <w:rsid w:val="000F0F67"/>
    <w:rsid w:val="000F1FC4"/>
    <w:rsid w:val="000F23CD"/>
    <w:rsid w:val="000F2401"/>
    <w:rsid w:val="000F2762"/>
    <w:rsid w:val="000F27D6"/>
    <w:rsid w:val="000F3561"/>
    <w:rsid w:val="000F35C5"/>
    <w:rsid w:val="000F48E3"/>
    <w:rsid w:val="000F4CC0"/>
    <w:rsid w:val="000F5878"/>
    <w:rsid w:val="000F6EEC"/>
    <w:rsid w:val="000F70CA"/>
    <w:rsid w:val="001001B3"/>
    <w:rsid w:val="00101321"/>
    <w:rsid w:val="001039D0"/>
    <w:rsid w:val="00103AF0"/>
    <w:rsid w:val="001044DF"/>
    <w:rsid w:val="00104F30"/>
    <w:rsid w:val="00107306"/>
    <w:rsid w:val="001077AC"/>
    <w:rsid w:val="001101F9"/>
    <w:rsid w:val="00111BF6"/>
    <w:rsid w:val="00112225"/>
    <w:rsid w:val="00112270"/>
    <w:rsid w:val="001129D7"/>
    <w:rsid w:val="00113514"/>
    <w:rsid w:val="00113645"/>
    <w:rsid w:val="0011550C"/>
    <w:rsid w:val="00115977"/>
    <w:rsid w:val="00115F84"/>
    <w:rsid w:val="00115F9A"/>
    <w:rsid w:val="001164C3"/>
    <w:rsid w:val="00116976"/>
    <w:rsid w:val="001171FE"/>
    <w:rsid w:val="0011784A"/>
    <w:rsid w:val="00117D8B"/>
    <w:rsid w:val="00120562"/>
    <w:rsid w:val="00120958"/>
    <w:rsid w:val="00122E00"/>
    <w:rsid w:val="00124B96"/>
    <w:rsid w:val="001254C3"/>
    <w:rsid w:val="00126929"/>
    <w:rsid w:val="001308F3"/>
    <w:rsid w:val="00130CF5"/>
    <w:rsid w:val="00130E60"/>
    <w:rsid w:val="00130F2A"/>
    <w:rsid w:val="00130F9C"/>
    <w:rsid w:val="0013163A"/>
    <w:rsid w:val="00132654"/>
    <w:rsid w:val="001332EC"/>
    <w:rsid w:val="00134126"/>
    <w:rsid w:val="00135453"/>
    <w:rsid w:val="00136046"/>
    <w:rsid w:val="001367C2"/>
    <w:rsid w:val="00136C04"/>
    <w:rsid w:val="00136E06"/>
    <w:rsid w:val="00137487"/>
    <w:rsid w:val="001402D5"/>
    <w:rsid w:val="001409E6"/>
    <w:rsid w:val="00141069"/>
    <w:rsid w:val="0014165A"/>
    <w:rsid w:val="00142176"/>
    <w:rsid w:val="001428DE"/>
    <w:rsid w:val="001434EA"/>
    <w:rsid w:val="00143C95"/>
    <w:rsid w:val="00144716"/>
    <w:rsid w:val="00144B6C"/>
    <w:rsid w:val="0014661B"/>
    <w:rsid w:val="00150083"/>
    <w:rsid w:val="00150124"/>
    <w:rsid w:val="001503A3"/>
    <w:rsid w:val="00150F03"/>
    <w:rsid w:val="0015148F"/>
    <w:rsid w:val="001527E8"/>
    <w:rsid w:val="00152BAF"/>
    <w:rsid w:val="00152F05"/>
    <w:rsid w:val="0015349A"/>
    <w:rsid w:val="00153B78"/>
    <w:rsid w:val="00153F55"/>
    <w:rsid w:val="00154545"/>
    <w:rsid w:val="00154F06"/>
    <w:rsid w:val="0015737A"/>
    <w:rsid w:val="001605AF"/>
    <w:rsid w:val="00162316"/>
    <w:rsid w:val="001629E7"/>
    <w:rsid w:val="001633E1"/>
    <w:rsid w:val="00164D50"/>
    <w:rsid w:val="00165264"/>
    <w:rsid w:val="001662C4"/>
    <w:rsid w:val="00166589"/>
    <w:rsid w:val="00166724"/>
    <w:rsid w:val="00166A48"/>
    <w:rsid w:val="001671C1"/>
    <w:rsid w:val="001677E4"/>
    <w:rsid w:val="00171F32"/>
    <w:rsid w:val="001742C9"/>
    <w:rsid w:val="00175942"/>
    <w:rsid w:val="00175AFB"/>
    <w:rsid w:val="00175FF4"/>
    <w:rsid w:val="0017629E"/>
    <w:rsid w:val="00176789"/>
    <w:rsid w:val="00176FA6"/>
    <w:rsid w:val="00177191"/>
    <w:rsid w:val="001772CF"/>
    <w:rsid w:val="00177E98"/>
    <w:rsid w:val="0018038E"/>
    <w:rsid w:val="00180817"/>
    <w:rsid w:val="00180906"/>
    <w:rsid w:val="00180941"/>
    <w:rsid w:val="00180A1A"/>
    <w:rsid w:val="00181284"/>
    <w:rsid w:val="00181F09"/>
    <w:rsid w:val="00182C49"/>
    <w:rsid w:val="001831CC"/>
    <w:rsid w:val="001834D5"/>
    <w:rsid w:val="00183E4F"/>
    <w:rsid w:val="0018582F"/>
    <w:rsid w:val="00186845"/>
    <w:rsid w:val="001870AF"/>
    <w:rsid w:val="001901AC"/>
    <w:rsid w:val="001906D0"/>
    <w:rsid w:val="0019215E"/>
    <w:rsid w:val="00193308"/>
    <w:rsid w:val="001950ED"/>
    <w:rsid w:val="001956FC"/>
    <w:rsid w:val="00195F5F"/>
    <w:rsid w:val="001966F1"/>
    <w:rsid w:val="00196F32"/>
    <w:rsid w:val="00197BC8"/>
    <w:rsid w:val="00197E0B"/>
    <w:rsid w:val="00197F90"/>
    <w:rsid w:val="001A01BF"/>
    <w:rsid w:val="001A0295"/>
    <w:rsid w:val="001A0381"/>
    <w:rsid w:val="001A0E0B"/>
    <w:rsid w:val="001A227F"/>
    <w:rsid w:val="001A39DA"/>
    <w:rsid w:val="001A3A35"/>
    <w:rsid w:val="001A40E0"/>
    <w:rsid w:val="001A5390"/>
    <w:rsid w:val="001A6F61"/>
    <w:rsid w:val="001B01AB"/>
    <w:rsid w:val="001B0760"/>
    <w:rsid w:val="001B0BE6"/>
    <w:rsid w:val="001B11D7"/>
    <w:rsid w:val="001B25AC"/>
    <w:rsid w:val="001B3154"/>
    <w:rsid w:val="001B34F0"/>
    <w:rsid w:val="001B3526"/>
    <w:rsid w:val="001B41A7"/>
    <w:rsid w:val="001B4776"/>
    <w:rsid w:val="001B48A4"/>
    <w:rsid w:val="001B561B"/>
    <w:rsid w:val="001B64F0"/>
    <w:rsid w:val="001B6AC1"/>
    <w:rsid w:val="001B6BEA"/>
    <w:rsid w:val="001B7A15"/>
    <w:rsid w:val="001C0238"/>
    <w:rsid w:val="001C0517"/>
    <w:rsid w:val="001C0796"/>
    <w:rsid w:val="001C16BB"/>
    <w:rsid w:val="001C1EDA"/>
    <w:rsid w:val="001C2188"/>
    <w:rsid w:val="001C22D4"/>
    <w:rsid w:val="001C2FBF"/>
    <w:rsid w:val="001C3881"/>
    <w:rsid w:val="001C3E21"/>
    <w:rsid w:val="001C499D"/>
    <w:rsid w:val="001C4EEC"/>
    <w:rsid w:val="001C598F"/>
    <w:rsid w:val="001C5D3E"/>
    <w:rsid w:val="001C68E5"/>
    <w:rsid w:val="001C793D"/>
    <w:rsid w:val="001C7ABB"/>
    <w:rsid w:val="001D02AB"/>
    <w:rsid w:val="001D0399"/>
    <w:rsid w:val="001D1453"/>
    <w:rsid w:val="001D1E46"/>
    <w:rsid w:val="001D2378"/>
    <w:rsid w:val="001D2896"/>
    <w:rsid w:val="001D55EC"/>
    <w:rsid w:val="001D68A7"/>
    <w:rsid w:val="001D6E44"/>
    <w:rsid w:val="001E0065"/>
    <w:rsid w:val="001E05BC"/>
    <w:rsid w:val="001E0CF9"/>
    <w:rsid w:val="001E17CA"/>
    <w:rsid w:val="001E1FE7"/>
    <w:rsid w:val="001E4048"/>
    <w:rsid w:val="001E44C5"/>
    <w:rsid w:val="001E4D4B"/>
    <w:rsid w:val="001E65DD"/>
    <w:rsid w:val="001E65F8"/>
    <w:rsid w:val="001E788A"/>
    <w:rsid w:val="001F1317"/>
    <w:rsid w:val="001F1C70"/>
    <w:rsid w:val="001F34EC"/>
    <w:rsid w:val="001F3B5A"/>
    <w:rsid w:val="001F3F5C"/>
    <w:rsid w:val="001F6B47"/>
    <w:rsid w:val="00201F02"/>
    <w:rsid w:val="00202A4B"/>
    <w:rsid w:val="002040C7"/>
    <w:rsid w:val="00205675"/>
    <w:rsid w:val="00205FE4"/>
    <w:rsid w:val="00206429"/>
    <w:rsid w:val="0020645A"/>
    <w:rsid w:val="002075D6"/>
    <w:rsid w:val="002104F5"/>
    <w:rsid w:val="00210B8E"/>
    <w:rsid w:val="002120B2"/>
    <w:rsid w:val="00213D50"/>
    <w:rsid w:val="00214852"/>
    <w:rsid w:val="00214978"/>
    <w:rsid w:val="002149E2"/>
    <w:rsid w:val="002151AA"/>
    <w:rsid w:val="00216474"/>
    <w:rsid w:val="00216C8D"/>
    <w:rsid w:val="00216F3A"/>
    <w:rsid w:val="0021799D"/>
    <w:rsid w:val="00217A14"/>
    <w:rsid w:val="0022036E"/>
    <w:rsid w:val="002203B7"/>
    <w:rsid w:val="002209AC"/>
    <w:rsid w:val="002213C4"/>
    <w:rsid w:val="002225B9"/>
    <w:rsid w:val="0022501D"/>
    <w:rsid w:val="00226694"/>
    <w:rsid w:val="002274BA"/>
    <w:rsid w:val="00227FA1"/>
    <w:rsid w:val="002301A8"/>
    <w:rsid w:val="00230379"/>
    <w:rsid w:val="0023049A"/>
    <w:rsid w:val="0023326A"/>
    <w:rsid w:val="002337AB"/>
    <w:rsid w:val="002347D5"/>
    <w:rsid w:val="002348B9"/>
    <w:rsid w:val="0023491A"/>
    <w:rsid w:val="00234A73"/>
    <w:rsid w:val="00236B9D"/>
    <w:rsid w:val="00237032"/>
    <w:rsid w:val="002407BE"/>
    <w:rsid w:val="00240DBC"/>
    <w:rsid w:val="002413BA"/>
    <w:rsid w:val="00241D52"/>
    <w:rsid w:val="00241D53"/>
    <w:rsid w:val="002422E4"/>
    <w:rsid w:val="00244223"/>
    <w:rsid w:val="002450A7"/>
    <w:rsid w:val="00245454"/>
    <w:rsid w:val="002465CF"/>
    <w:rsid w:val="00246AF0"/>
    <w:rsid w:val="00246F2F"/>
    <w:rsid w:val="00250CC7"/>
    <w:rsid w:val="00252E87"/>
    <w:rsid w:val="002600AA"/>
    <w:rsid w:val="00260AF6"/>
    <w:rsid w:val="002610C5"/>
    <w:rsid w:val="00262EDF"/>
    <w:rsid w:val="00263052"/>
    <w:rsid w:val="002633C5"/>
    <w:rsid w:val="00263631"/>
    <w:rsid w:val="00263CBF"/>
    <w:rsid w:val="00263D6A"/>
    <w:rsid w:val="00266049"/>
    <w:rsid w:val="0026648A"/>
    <w:rsid w:val="0026736E"/>
    <w:rsid w:val="00270B60"/>
    <w:rsid w:val="00270FFE"/>
    <w:rsid w:val="0027146A"/>
    <w:rsid w:val="0027180B"/>
    <w:rsid w:val="00271B2F"/>
    <w:rsid w:val="0027226E"/>
    <w:rsid w:val="00272B10"/>
    <w:rsid w:val="00272DF5"/>
    <w:rsid w:val="0027363E"/>
    <w:rsid w:val="002740E8"/>
    <w:rsid w:val="00274139"/>
    <w:rsid w:val="00274FD2"/>
    <w:rsid w:val="002758BC"/>
    <w:rsid w:val="002758FA"/>
    <w:rsid w:val="00275E8E"/>
    <w:rsid w:val="00275FA4"/>
    <w:rsid w:val="00276310"/>
    <w:rsid w:val="00276D34"/>
    <w:rsid w:val="002804A8"/>
    <w:rsid w:val="00280879"/>
    <w:rsid w:val="002818A2"/>
    <w:rsid w:val="00281BCC"/>
    <w:rsid w:val="00282048"/>
    <w:rsid w:val="002827F3"/>
    <w:rsid w:val="00282812"/>
    <w:rsid w:val="002830C2"/>
    <w:rsid w:val="002831FD"/>
    <w:rsid w:val="002835B4"/>
    <w:rsid w:val="002844F8"/>
    <w:rsid w:val="0028495B"/>
    <w:rsid w:val="00284F81"/>
    <w:rsid w:val="00285403"/>
    <w:rsid w:val="00285A70"/>
    <w:rsid w:val="00286131"/>
    <w:rsid w:val="002865FC"/>
    <w:rsid w:val="00287121"/>
    <w:rsid w:val="00287738"/>
    <w:rsid w:val="00287965"/>
    <w:rsid w:val="00287E7D"/>
    <w:rsid w:val="0029049F"/>
    <w:rsid w:val="0029085C"/>
    <w:rsid w:val="00290A2A"/>
    <w:rsid w:val="00290AE5"/>
    <w:rsid w:val="002911D5"/>
    <w:rsid w:val="002916E7"/>
    <w:rsid w:val="00291A69"/>
    <w:rsid w:val="00293286"/>
    <w:rsid w:val="002939AE"/>
    <w:rsid w:val="002943FD"/>
    <w:rsid w:val="00294E9C"/>
    <w:rsid w:val="00295720"/>
    <w:rsid w:val="0029583B"/>
    <w:rsid w:val="002962B2"/>
    <w:rsid w:val="00297104"/>
    <w:rsid w:val="00297332"/>
    <w:rsid w:val="0029739B"/>
    <w:rsid w:val="00297551"/>
    <w:rsid w:val="002A010D"/>
    <w:rsid w:val="002A08CD"/>
    <w:rsid w:val="002A1637"/>
    <w:rsid w:val="002A1E07"/>
    <w:rsid w:val="002A31EA"/>
    <w:rsid w:val="002A4D64"/>
    <w:rsid w:val="002A4D6E"/>
    <w:rsid w:val="002A6438"/>
    <w:rsid w:val="002A6940"/>
    <w:rsid w:val="002A7E6C"/>
    <w:rsid w:val="002B03F2"/>
    <w:rsid w:val="002B0FA0"/>
    <w:rsid w:val="002B11BA"/>
    <w:rsid w:val="002B1CDA"/>
    <w:rsid w:val="002B2006"/>
    <w:rsid w:val="002B3BA4"/>
    <w:rsid w:val="002B4213"/>
    <w:rsid w:val="002B4742"/>
    <w:rsid w:val="002B515A"/>
    <w:rsid w:val="002B6BEF"/>
    <w:rsid w:val="002C050F"/>
    <w:rsid w:val="002C12CA"/>
    <w:rsid w:val="002C133C"/>
    <w:rsid w:val="002C23D3"/>
    <w:rsid w:val="002C25EB"/>
    <w:rsid w:val="002C2B18"/>
    <w:rsid w:val="002C34B6"/>
    <w:rsid w:val="002C3A36"/>
    <w:rsid w:val="002C444F"/>
    <w:rsid w:val="002C4571"/>
    <w:rsid w:val="002C4F7C"/>
    <w:rsid w:val="002C68B4"/>
    <w:rsid w:val="002D0289"/>
    <w:rsid w:val="002D0761"/>
    <w:rsid w:val="002D2435"/>
    <w:rsid w:val="002D2820"/>
    <w:rsid w:val="002D28CE"/>
    <w:rsid w:val="002D3D3F"/>
    <w:rsid w:val="002D4697"/>
    <w:rsid w:val="002D4C3D"/>
    <w:rsid w:val="002D570E"/>
    <w:rsid w:val="002D5E27"/>
    <w:rsid w:val="002D75BB"/>
    <w:rsid w:val="002D760C"/>
    <w:rsid w:val="002E0521"/>
    <w:rsid w:val="002E0833"/>
    <w:rsid w:val="002E14CF"/>
    <w:rsid w:val="002E1FD4"/>
    <w:rsid w:val="002E3096"/>
    <w:rsid w:val="002E32CF"/>
    <w:rsid w:val="002E333E"/>
    <w:rsid w:val="002E3390"/>
    <w:rsid w:val="002F007F"/>
    <w:rsid w:val="002F0968"/>
    <w:rsid w:val="002F2123"/>
    <w:rsid w:val="002F499D"/>
    <w:rsid w:val="002F5A67"/>
    <w:rsid w:val="002F71A7"/>
    <w:rsid w:val="00300286"/>
    <w:rsid w:val="00300633"/>
    <w:rsid w:val="003025B9"/>
    <w:rsid w:val="00302C59"/>
    <w:rsid w:val="00303290"/>
    <w:rsid w:val="00303720"/>
    <w:rsid w:val="00303899"/>
    <w:rsid w:val="00304864"/>
    <w:rsid w:val="00304BB5"/>
    <w:rsid w:val="00304DD6"/>
    <w:rsid w:val="003050DE"/>
    <w:rsid w:val="00305EE9"/>
    <w:rsid w:val="0030625E"/>
    <w:rsid w:val="00306A1D"/>
    <w:rsid w:val="00306CBF"/>
    <w:rsid w:val="003071C1"/>
    <w:rsid w:val="00310B43"/>
    <w:rsid w:val="00311242"/>
    <w:rsid w:val="00311F69"/>
    <w:rsid w:val="003121AF"/>
    <w:rsid w:val="00312F7E"/>
    <w:rsid w:val="003130F5"/>
    <w:rsid w:val="00313727"/>
    <w:rsid w:val="00313CE9"/>
    <w:rsid w:val="003155C7"/>
    <w:rsid w:val="00315762"/>
    <w:rsid w:val="00316528"/>
    <w:rsid w:val="00317B2F"/>
    <w:rsid w:val="00317E4A"/>
    <w:rsid w:val="00320658"/>
    <w:rsid w:val="003216FE"/>
    <w:rsid w:val="003227E7"/>
    <w:rsid w:val="003244E3"/>
    <w:rsid w:val="003252FE"/>
    <w:rsid w:val="003265F6"/>
    <w:rsid w:val="00326CD8"/>
    <w:rsid w:val="0032760E"/>
    <w:rsid w:val="00330FEC"/>
    <w:rsid w:val="00331F54"/>
    <w:rsid w:val="00331F94"/>
    <w:rsid w:val="003324A4"/>
    <w:rsid w:val="003336A6"/>
    <w:rsid w:val="00333BD2"/>
    <w:rsid w:val="00334673"/>
    <w:rsid w:val="003352EA"/>
    <w:rsid w:val="0033575E"/>
    <w:rsid w:val="0033649B"/>
    <w:rsid w:val="003406DE"/>
    <w:rsid w:val="0034079D"/>
    <w:rsid w:val="0034097F"/>
    <w:rsid w:val="003417EF"/>
    <w:rsid w:val="00341E38"/>
    <w:rsid w:val="003420DC"/>
    <w:rsid w:val="00342A56"/>
    <w:rsid w:val="00342A67"/>
    <w:rsid w:val="00343CB5"/>
    <w:rsid w:val="00343CFD"/>
    <w:rsid w:val="00343D49"/>
    <w:rsid w:val="00345A34"/>
    <w:rsid w:val="00346318"/>
    <w:rsid w:val="003473C4"/>
    <w:rsid w:val="00347485"/>
    <w:rsid w:val="00350081"/>
    <w:rsid w:val="00351631"/>
    <w:rsid w:val="003517B0"/>
    <w:rsid w:val="003521FF"/>
    <w:rsid w:val="0035286B"/>
    <w:rsid w:val="00353F34"/>
    <w:rsid w:val="0035418C"/>
    <w:rsid w:val="003543F6"/>
    <w:rsid w:val="00354420"/>
    <w:rsid w:val="003547F4"/>
    <w:rsid w:val="00354AA3"/>
    <w:rsid w:val="003554DB"/>
    <w:rsid w:val="0035593D"/>
    <w:rsid w:val="00355E1B"/>
    <w:rsid w:val="003577AA"/>
    <w:rsid w:val="00360225"/>
    <w:rsid w:val="003607B4"/>
    <w:rsid w:val="00360C97"/>
    <w:rsid w:val="00361787"/>
    <w:rsid w:val="0036180A"/>
    <w:rsid w:val="0036271B"/>
    <w:rsid w:val="00364E75"/>
    <w:rsid w:val="00365F60"/>
    <w:rsid w:val="00371BDB"/>
    <w:rsid w:val="00371CD7"/>
    <w:rsid w:val="0037209A"/>
    <w:rsid w:val="00372E1A"/>
    <w:rsid w:val="00373BC3"/>
    <w:rsid w:val="00373DEC"/>
    <w:rsid w:val="00374156"/>
    <w:rsid w:val="00374966"/>
    <w:rsid w:val="003767DB"/>
    <w:rsid w:val="00380320"/>
    <w:rsid w:val="003811EF"/>
    <w:rsid w:val="00381FE1"/>
    <w:rsid w:val="003823FB"/>
    <w:rsid w:val="003824CA"/>
    <w:rsid w:val="003838E0"/>
    <w:rsid w:val="003843CC"/>
    <w:rsid w:val="00384769"/>
    <w:rsid w:val="00385235"/>
    <w:rsid w:val="003863EC"/>
    <w:rsid w:val="003900F0"/>
    <w:rsid w:val="003909DE"/>
    <w:rsid w:val="00391EF3"/>
    <w:rsid w:val="00393D2A"/>
    <w:rsid w:val="003940CA"/>
    <w:rsid w:val="00394218"/>
    <w:rsid w:val="0039566A"/>
    <w:rsid w:val="00395976"/>
    <w:rsid w:val="00395A42"/>
    <w:rsid w:val="00395CB2"/>
    <w:rsid w:val="00395FE2"/>
    <w:rsid w:val="00396F6A"/>
    <w:rsid w:val="00396FE8"/>
    <w:rsid w:val="003A0569"/>
    <w:rsid w:val="003A1283"/>
    <w:rsid w:val="003A1490"/>
    <w:rsid w:val="003A251D"/>
    <w:rsid w:val="003A2C61"/>
    <w:rsid w:val="003A307E"/>
    <w:rsid w:val="003A31B7"/>
    <w:rsid w:val="003A5809"/>
    <w:rsid w:val="003A62A7"/>
    <w:rsid w:val="003A7A3C"/>
    <w:rsid w:val="003A7AFF"/>
    <w:rsid w:val="003B039C"/>
    <w:rsid w:val="003B0E64"/>
    <w:rsid w:val="003B1FAB"/>
    <w:rsid w:val="003B23F6"/>
    <w:rsid w:val="003B265B"/>
    <w:rsid w:val="003B2750"/>
    <w:rsid w:val="003B2B2F"/>
    <w:rsid w:val="003B2E1C"/>
    <w:rsid w:val="003B31D4"/>
    <w:rsid w:val="003B4E51"/>
    <w:rsid w:val="003B57A3"/>
    <w:rsid w:val="003B5B31"/>
    <w:rsid w:val="003B5EB0"/>
    <w:rsid w:val="003B68C5"/>
    <w:rsid w:val="003B7D53"/>
    <w:rsid w:val="003C02C0"/>
    <w:rsid w:val="003C0DFB"/>
    <w:rsid w:val="003C131E"/>
    <w:rsid w:val="003C1CE3"/>
    <w:rsid w:val="003C2389"/>
    <w:rsid w:val="003C2E53"/>
    <w:rsid w:val="003C3152"/>
    <w:rsid w:val="003C317B"/>
    <w:rsid w:val="003C448C"/>
    <w:rsid w:val="003C44D3"/>
    <w:rsid w:val="003C46B2"/>
    <w:rsid w:val="003C59DA"/>
    <w:rsid w:val="003C6647"/>
    <w:rsid w:val="003C6BEC"/>
    <w:rsid w:val="003C71B8"/>
    <w:rsid w:val="003D0088"/>
    <w:rsid w:val="003D0CC5"/>
    <w:rsid w:val="003D1A5F"/>
    <w:rsid w:val="003D1C55"/>
    <w:rsid w:val="003D2646"/>
    <w:rsid w:val="003D28E2"/>
    <w:rsid w:val="003D33C8"/>
    <w:rsid w:val="003D377A"/>
    <w:rsid w:val="003D3FE1"/>
    <w:rsid w:val="003D4045"/>
    <w:rsid w:val="003D43F8"/>
    <w:rsid w:val="003D4CBD"/>
    <w:rsid w:val="003D57EF"/>
    <w:rsid w:val="003D6FA3"/>
    <w:rsid w:val="003D796C"/>
    <w:rsid w:val="003E0CE7"/>
    <w:rsid w:val="003E1086"/>
    <w:rsid w:val="003E1ABB"/>
    <w:rsid w:val="003E20E4"/>
    <w:rsid w:val="003E2DA4"/>
    <w:rsid w:val="003E326E"/>
    <w:rsid w:val="003E3942"/>
    <w:rsid w:val="003E4206"/>
    <w:rsid w:val="003E4F24"/>
    <w:rsid w:val="003F1621"/>
    <w:rsid w:val="003F1FA5"/>
    <w:rsid w:val="003F21D5"/>
    <w:rsid w:val="003F3200"/>
    <w:rsid w:val="003F3A01"/>
    <w:rsid w:val="003F4BAD"/>
    <w:rsid w:val="003F602C"/>
    <w:rsid w:val="003F6879"/>
    <w:rsid w:val="003F7A95"/>
    <w:rsid w:val="003F7B9D"/>
    <w:rsid w:val="003F7DDC"/>
    <w:rsid w:val="00400A61"/>
    <w:rsid w:val="00400A9C"/>
    <w:rsid w:val="00401239"/>
    <w:rsid w:val="00401D66"/>
    <w:rsid w:val="00403521"/>
    <w:rsid w:val="00406D35"/>
    <w:rsid w:val="0040765B"/>
    <w:rsid w:val="004104A6"/>
    <w:rsid w:val="004109D7"/>
    <w:rsid w:val="004110A1"/>
    <w:rsid w:val="00411304"/>
    <w:rsid w:val="00411BA4"/>
    <w:rsid w:val="004127B4"/>
    <w:rsid w:val="0041368C"/>
    <w:rsid w:val="00413BAD"/>
    <w:rsid w:val="0041481E"/>
    <w:rsid w:val="00414F72"/>
    <w:rsid w:val="00416BB1"/>
    <w:rsid w:val="00416C7F"/>
    <w:rsid w:val="00416F7D"/>
    <w:rsid w:val="00417099"/>
    <w:rsid w:val="00417D9F"/>
    <w:rsid w:val="00420212"/>
    <w:rsid w:val="00420214"/>
    <w:rsid w:val="004203E6"/>
    <w:rsid w:val="0042091F"/>
    <w:rsid w:val="004211C5"/>
    <w:rsid w:val="00421724"/>
    <w:rsid w:val="0042299B"/>
    <w:rsid w:val="00422EC1"/>
    <w:rsid w:val="00426B20"/>
    <w:rsid w:val="0042788F"/>
    <w:rsid w:val="00430C73"/>
    <w:rsid w:val="00431456"/>
    <w:rsid w:val="00431F89"/>
    <w:rsid w:val="00432F5D"/>
    <w:rsid w:val="004337DB"/>
    <w:rsid w:val="00433F8E"/>
    <w:rsid w:val="00434317"/>
    <w:rsid w:val="00434BE5"/>
    <w:rsid w:val="00434C1C"/>
    <w:rsid w:val="00434ECD"/>
    <w:rsid w:val="00435BA1"/>
    <w:rsid w:val="00435E92"/>
    <w:rsid w:val="00436B9F"/>
    <w:rsid w:val="00440544"/>
    <w:rsid w:val="0044196F"/>
    <w:rsid w:val="00442F61"/>
    <w:rsid w:val="004435C2"/>
    <w:rsid w:val="00444F5E"/>
    <w:rsid w:val="00445082"/>
    <w:rsid w:val="004465FF"/>
    <w:rsid w:val="00446855"/>
    <w:rsid w:val="00447063"/>
    <w:rsid w:val="00447324"/>
    <w:rsid w:val="00447337"/>
    <w:rsid w:val="004477D1"/>
    <w:rsid w:val="00450111"/>
    <w:rsid w:val="00450B23"/>
    <w:rsid w:val="00450C58"/>
    <w:rsid w:val="00451B48"/>
    <w:rsid w:val="004543FA"/>
    <w:rsid w:val="00454B60"/>
    <w:rsid w:val="00461A39"/>
    <w:rsid w:val="0046283D"/>
    <w:rsid w:val="004633DC"/>
    <w:rsid w:val="004637B8"/>
    <w:rsid w:val="00463DD2"/>
    <w:rsid w:val="004642A3"/>
    <w:rsid w:val="004644E6"/>
    <w:rsid w:val="004656A9"/>
    <w:rsid w:val="00467103"/>
    <w:rsid w:val="004679BB"/>
    <w:rsid w:val="0047116C"/>
    <w:rsid w:val="0047157B"/>
    <w:rsid w:val="00473937"/>
    <w:rsid w:val="0047420B"/>
    <w:rsid w:val="00474B94"/>
    <w:rsid w:val="00474C77"/>
    <w:rsid w:val="0047506E"/>
    <w:rsid w:val="00475C9A"/>
    <w:rsid w:val="00476063"/>
    <w:rsid w:val="004761F1"/>
    <w:rsid w:val="0048058C"/>
    <w:rsid w:val="00481321"/>
    <w:rsid w:val="00481486"/>
    <w:rsid w:val="00481CA0"/>
    <w:rsid w:val="00482578"/>
    <w:rsid w:val="00482C00"/>
    <w:rsid w:val="004834FC"/>
    <w:rsid w:val="00484989"/>
    <w:rsid w:val="00484E18"/>
    <w:rsid w:val="00485835"/>
    <w:rsid w:val="00485E59"/>
    <w:rsid w:val="004860BD"/>
    <w:rsid w:val="004860DF"/>
    <w:rsid w:val="00486800"/>
    <w:rsid w:val="00487C06"/>
    <w:rsid w:val="00490CAA"/>
    <w:rsid w:val="004928C6"/>
    <w:rsid w:val="00492D4E"/>
    <w:rsid w:val="0049375D"/>
    <w:rsid w:val="00493CB9"/>
    <w:rsid w:val="00494D74"/>
    <w:rsid w:val="00494E4E"/>
    <w:rsid w:val="004962A2"/>
    <w:rsid w:val="00496583"/>
    <w:rsid w:val="004A020C"/>
    <w:rsid w:val="004A1D1D"/>
    <w:rsid w:val="004A1F0C"/>
    <w:rsid w:val="004A2F7B"/>
    <w:rsid w:val="004A3DAD"/>
    <w:rsid w:val="004A3EEE"/>
    <w:rsid w:val="004A68FF"/>
    <w:rsid w:val="004A76AF"/>
    <w:rsid w:val="004A7A93"/>
    <w:rsid w:val="004A7E58"/>
    <w:rsid w:val="004B1BC8"/>
    <w:rsid w:val="004B2E78"/>
    <w:rsid w:val="004B31A3"/>
    <w:rsid w:val="004B3818"/>
    <w:rsid w:val="004B3AF5"/>
    <w:rsid w:val="004B6539"/>
    <w:rsid w:val="004B779B"/>
    <w:rsid w:val="004B7CF7"/>
    <w:rsid w:val="004C1B0F"/>
    <w:rsid w:val="004C2C9C"/>
    <w:rsid w:val="004C41F5"/>
    <w:rsid w:val="004C475D"/>
    <w:rsid w:val="004C5814"/>
    <w:rsid w:val="004C5BAF"/>
    <w:rsid w:val="004C5E2A"/>
    <w:rsid w:val="004C6BDE"/>
    <w:rsid w:val="004D0673"/>
    <w:rsid w:val="004D0F5A"/>
    <w:rsid w:val="004D123C"/>
    <w:rsid w:val="004D1DFB"/>
    <w:rsid w:val="004D25C2"/>
    <w:rsid w:val="004D296F"/>
    <w:rsid w:val="004D3A58"/>
    <w:rsid w:val="004D486A"/>
    <w:rsid w:val="004D5C27"/>
    <w:rsid w:val="004D63C8"/>
    <w:rsid w:val="004D695C"/>
    <w:rsid w:val="004D7A76"/>
    <w:rsid w:val="004D7CB1"/>
    <w:rsid w:val="004D7FAA"/>
    <w:rsid w:val="004E0520"/>
    <w:rsid w:val="004E0A0F"/>
    <w:rsid w:val="004E125C"/>
    <w:rsid w:val="004E2376"/>
    <w:rsid w:val="004E2C8D"/>
    <w:rsid w:val="004E3061"/>
    <w:rsid w:val="004E425C"/>
    <w:rsid w:val="004E5148"/>
    <w:rsid w:val="004E5737"/>
    <w:rsid w:val="004E6421"/>
    <w:rsid w:val="004E7776"/>
    <w:rsid w:val="004E7AAE"/>
    <w:rsid w:val="004E7B7D"/>
    <w:rsid w:val="004E7FE9"/>
    <w:rsid w:val="004F06A4"/>
    <w:rsid w:val="004F23D3"/>
    <w:rsid w:val="004F24A0"/>
    <w:rsid w:val="004F2A5E"/>
    <w:rsid w:val="004F3077"/>
    <w:rsid w:val="004F342B"/>
    <w:rsid w:val="004F3A3F"/>
    <w:rsid w:val="004F3A40"/>
    <w:rsid w:val="004F3BB5"/>
    <w:rsid w:val="004F3EE8"/>
    <w:rsid w:val="004F49E5"/>
    <w:rsid w:val="004F55A8"/>
    <w:rsid w:val="004F6041"/>
    <w:rsid w:val="00501220"/>
    <w:rsid w:val="00502288"/>
    <w:rsid w:val="0050301E"/>
    <w:rsid w:val="00503403"/>
    <w:rsid w:val="00504E30"/>
    <w:rsid w:val="00505AE2"/>
    <w:rsid w:val="005064B3"/>
    <w:rsid w:val="005065F5"/>
    <w:rsid w:val="005067E9"/>
    <w:rsid w:val="00507165"/>
    <w:rsid w:val="005071A8"/>
    <w:rsid w:val="005077E7"/>
    <w:rsid w:val="00511A02"/>
    <w:rsid w:val="00511F67"/>
    <w:rsid w:val="00512BFE"/>
    <w:rsid w:val="00512DF7"/>
    <w:rsid w:val="00513253"/>
    <w:rsid w:val="0051345F"/>
    <w:rsid w:val="0051349A"/>
    <w:rsid w:val="00513BD2"/>
    <w:rsid w:val="0051445F"/>
    <w:rsid w:val="00515564"/>
    <w:rsid w:val="00515A6B"/>
    <w:rsid w:val="00515AB5"/>
    <w:rsid w:val="00515BE3"/>
    <w:rsid w:val="00520A57"/>
    <w:rsid w:val="0052186F"/>
    <w:rsid w:val="00521CBD"/>
    <w:rsid w:val="00522CDB"/>
    <w:rsid w:val="00523943"/>
    <w:rsid w:val="00524EE2"/>
    <w:rsid w:val="00526EFB"/>
    <w:rsid w:val="00527AA3"/>
    <w:rsid w:val="00530527"/>
    <w:rsid w:val="005311E1"/>
    <w:rsid w:val="0053143D"/>
    <w:rsid w:val="00533857"/>
    <w:rsid w:val="00535DD5"/>
    <w:rsid w:val="00536F31"/>
    <w:rsid w:val="0054003F"/>
    <w:rsid w:val="005400E7"/>
    <w:rsid w:val="0054031D"/>
    <w:rsid w:val="005403E5"/>
    <w:rsid w:val="0054109C"/>
    <w:rsid w:val="0054116A"/>
    <w:rsid w:val="00541EA5"/>
    <w:rsid w:val="00542214"/>
    <w:rsid w:val="0054243B"/>
    <w:rsid w:val="005430F6"/>
    <w:rsid w:val="005434A1"/>
    <w:rsid w:val="00543839"/>
    <w:rsid w:val="00546991"/>
    <w:rsid w:val="00546A23"/>
    <w:rsid w:val="0055025D"/>
    <w:rsid w:val="00550C4F"/>
    <w:rsid w:val="0055136F"/>
    <w:rsid w:val="00553A73"/>
    <w:rsid w:val="0055485F"/>
    <w:rsid w:val="0055617E"/>
    <w:rsid w:val="00556AC5"/>
    <w:rsid w:val="00557E94"/>
    <w:rsid w:val="005609D9"/>
    <w:rsid w:val="00560DF5"/>
    <w:rsid w:val="00561A3E"/>
    <w:rsid w:val="005622B0"/>
    <w:rsid w:val="00564E63"/>
    <w:rsid w:val="0056503E"/>
    <w:rsid w:val="005662E5"/>
    <w:rsid w:val="005665C2"/>
    <w:rsid w:val="0056661C"/>
    <w:rsid w:val="0056681C"/>
    <w:rsid w:val="0056690E"/>
    <w:rsid w:val="00566F1A"/>
    <w:rsid w:val="005671BF"/>
    <w:rsid w:val="00567455"/>
    <w:rsid w:val="00567B87"/>
    <w:rsid w:val="00570168"/>
    <w:rsid w:val="0057038B"/>
    <w:rsid w:val="00571873"/>
    <w:rsid w:val="005724C9"/>
    <w:rsid w:val="00572D9C"/>
    <w:rsid w:val="00572F14"/>
    <w:rsid w:val="00573261"/>
    <w:rsid w:val="005733FB"/>
    <w:rsid w:val="00574DA1"/>
    <w:rsid w:val="005750CD"/>
    <w:rsid w:val="0057540A"/>
    <w:rsid w:val="00575593"/>
    <w:rsid w:val="00575AE6"/>
    <w:rsid w:val="0057604E"/>
    <w:rsid w:val="0057681D"/>
    <w:rsid w:val="005768CF"/>
    <w:rsid w:val="00577185"/>
    <w:rsid w:val="00577616"/>
    <w:rsid w:val="00577A7F"/>
    <w:rsid w:val="00577DC0"/>
    <w:rsid w:val="00580ACA"/>
    <w:rsid w:val="00581D3E"/>
    <w:rsid w:val="00581E2C"/>
    <w:rsid w:val="005821C7"/>
    <w:rsid w:val="00582C49"/>
    <w:rsid w:val="00583F21"/>
    <w:rsid w:val="005843E6"/>
    <w:rsid w:val="00585CAC"/>
    <w:rsid w:val="00585D1A"/>
    <w:rsid w:val="00586794"/>
    <w:rsid w:val="00586B19"/>
    <w:rsid w:val="00587D4A"/>
    <w:rsid w:val="005909E7"/>
    <w:rsid w:val="00590C19"/>
    <w:rsid w:val="00590E39"/>
    <w:rsid w:val="005910EF"/>
    <w:rsid w:val="005913E7"/>
    <w:rsid w:val="00591C7B"/>
    <w:rsid w:val="00592271"/>
    <w:rsid w:val="005931E3"/>
    <w:rsid w:val="00594ADF"/>
    <w:rsid w:val="00594E89"/>
    <w:rsid w:val="0059579E"/>
    <w:rsid w:val="00595C3B"/>
    <w:rsid w:val="005960BE"/>
    <w:rsid w:val="005963D2"/>
    <w:rsid w:val="00596CB4"/>
    <w:rsid w:val="005970B3"/>
    <w:rsid w:val="005979D9"/>
    <w:rsid w:val="005A191F"/>
    <w:rsid w:val="005A2493"/>
    <w:rsid w:val="005A2C56"/>
    <w:rsid w:val="005A3F0E"/>
    <w:rsid w:val="005A44F1"/>
    <w:rsid w:val="005A46E4"/>
    <w:rsid w:val="005A6D48"/>
    <w:rsid w:val="005A6E04"/>
    <w:rsid w:val="005A7264"/>
    <w:rsid w:val="005A7B10"/>
    <w:rsid w:val="005A7D63"/>
    <w:rsid w:val="005A7FB3"/>
    <w:rsid w:val="005B03E8"/>
    <w:rsid w:val="005B092E"/>
    <w:rsid w:val="005B0962"/>
    <w:rsid w:val="005B0D84"/>
    <w:rsid w:val="005B117C"/>
    <w:rsid w:val="005B1C3C"/>
    <w:rsid w:val="005B27B5"/>
    <w:rsid w:val="005B2B99"/>
    <w:rsid w:val="005B3964"/>
    <w:rsid w:val="005B41B8"/>
    <w:rsid w:val="005B4218"/>
    <w:rsid w:val="005B49C8"/>
    <w:rsid w:val="005B54FD"/>
    <w:rsid w:val="005B6132"/>
    <w:rsid w:val="005B61B2"/>
    <w:rsid w:val="005B6409"/>
    <w:rsid w:val="005B7275"/>
    <w:rsid w:val="005B753E"/>
    <w:rsid w:val="005B7565"/>
    <w:rsid w:val="005C1747"/>
    <w:rsid w:val="005C2157"/>
    <w:rsid w:val="005C220F"/>
    <w:rsid w:val="005C26F2"/>
    <w:rsid w:val="005C36B3"/>
    <w:rsid w:val="005C3C0E"/>
    <w:rsid w:val="005C3E53"/>
    <w:rsid w:val="005C57AC"/>
    <w:rsid w:val="005C5C6C"/>
    <w:rsid w:val="005C623A"/>
    <w:rsid w:val="005C6417"/>
    <w:rsid w:val="005C79AF"/>
    <w:rsid w:val="005C7B68"/>
    <w:rsid w:val="005C7F7D"/>
    <w:rsid w:val="005D015C"/>
    <w:rsid w:val="005D0483"/>
    <w:rsid w:val="005D04EE"/>
    <w:rsid w:val="005D0736"/>
    <w:rsid w:val="005D202F"/>
    <w:rsid w:val="005D216A"/>
    <w:rsid w:val="005D24B5"/>
    <w:rsid w:val="005D3749"/>
    <w:rsid w:val="005D3E3E"/>
    <w:rsid w:val="005D3E66"/>
    <w:rsid w:val="005D4D3F"/>
    <w:rsid w:val="005D552D"/>
    <w:rsid w:val="005D59B5"/>
    <w:rsid w:val="005D61C5"/>
    <w:rsid w:val="005D68B8"/>
    <w:rsid w:val="005D6F8A"/>
    <w:rsid w:val="005D7084"/>
    <w:rsid w:val="005D7668"/>
    <w:rsid w:val="005D7C9A"/>
    <w:rsid w:val="005D7FAD"/>
    <w:rsid w:val="005E1471"/>
    <w:rsid w:val="005E170A"/>
    <w:rsid w:val="005E1996"/>
    <w:rsid w:val="005E1B5C"/>
    <w:rsid w:val="005E2A57"/>
    <w:rsid w:val="005E2B1E"/>
    <w:rsid w:val="005E3A0E"/>
    <w:rsid w:val="005E429A"/>
    <w:rsid w:val="005E4341"/>
    <w:rsid w:val="005E4465"/>
    <w:rsid w:val="005E4B17"/>
    <w:rsid w:val="005E4DF3"/>
    <w:rsid w:val="005E76CC"/>
    <w:rsid w:val="005E7805"/>
    <w:rsid w:val="005E7E45"/>
    <w:rsid w:val="005F0FE1"/>
    <w:rsid w:val="005F113E"/>
    <w:rsid w:val="005F2686"/>
    <w:rsid w:val="005F26BC"/>
    <w:rsid w:val="005F2D67"/>
    <w:rsid w:val="005F7A32"/>
    <w:rsid w:val="0060064A"/>
    <w:rsid w:val="00600D7E"/>
    <w:rsid w:val="00601DE7"/>
    <w:rsid w:val="00602883"/>
    <w:rsid w:val="006031FA"/>
    <w:rsid w:val="00603886"/>
    <w:rsid w:val="00603EEF"/>
    <w:rsid w:val="006047C1"/>
    <w:rsid w:val="00605851"/>
    <w:rsid w:val="00606E79"/>
    <w:rsid w:val="00607C97"/>
    <w:rsid w:val="00610044"/>
    <w:rsid w:val="00610046"/>
    <w:rsid w:val="006107E5"/>
    <w:rsid w:val="00610A96"/>
    <w:rsid w:val="00610FF6"/>
    <w:rsid w:val="0061173A"/>
    <w:rsid w:val="00611DFE"/>
    <w:rsid w:val="006120C0"/>
    <w:rsid w:val="0061266B"/>
    <w:rsid w:val="00612EFF"/>
    <w:rsid w:val="006134AA"/>
    <w:rsid w:val="00614458"/>
    <w:rsid w:val="00614B52"/>
    <w:rsid w:val="00615252"/>
    <w:rsid w:val="0061644C"/>
    <w:rsid w:val="00616FD6"/>
    <w:rsid w:val="006176E6"/>
    <w:rsid w:val="00617DBE"/>
    <w:rsid w:val="00620241"/>
    <w:rsid w:val="0062064C"/>
    <w:rsid w:val="006208D1"/>
    <w:rsid w:val="00621EB7"/>
    <w:rsid w:val="006225BE"/>
    <w:rsid w:val="0062306B"/>
    <w:rsid w:val="00623615"/>
    <w:rsid w:val="00625161"/>
    <w:rsid w:val="0062645E"/>
    <w:rsid w:val="00626E4A"/>
    <w:rsid w:val="006304B0"/>
    <w:rsid w:val="00630EA0"/>
    <w:rsid w:val="00630FA2"/>
    <w:rsid w:val="006318D1"/>
    <w:rsid w:val="00631DA5"/>
    <w:rsid w:val="0063211B"/>
    <w:rsid w:val="006324E2"/>
    <w:rsid w:val="00632AB5"/>
    <w:rsid w:val="00632E24"/>
    <w:rsid w:val="00633A6F"/>
    <w:rsid w:val="00634192"/>
    <w:rsid w:val="006348C4"/>
    <w:rsid w:val="00634EDF"/>
    <w:rsid w:val="006351BE"/>
    <w:rsid w:val="00635850"/>
    <w:rsid w:val="006370B4"/>
    <w:rsid w:val="00637963"/>
    <w:rsid w:val="00637FBF"/>
    <w:rsid w:val="006404BE"/>
    <w:rsid w:val="00640B42"/>
    <w:rsid w:val="006410E4"/>
    <w:rsid w:val="00641532"/>
    <w:rsid w:val="00642AE9"/>
    <w:rsid w:val="006434C8"/>
    <w:rsid w:val="006442E2"/>
    <w:rsid w:val="00645220"/>
    <w:rsid w:val="00646D92"/>
    <w:rsid w:val="0064721D"/>
    <w:rsid w:val="00647277"/>
    <w:rsid w:val="00647BFF"/>
    <w:rsid w:val="00650E02"/>
    <w:rsid w:val="0065137A"/>
    <w:rsid w:val="006514A7"/>
    <w:rsid w:val="00651F00"/>
    <w:rsid w:val="00652047"/>
    <w:rsid w:val="0065326B"/>
    <w:rsid w:val="00653E5A"/>
    <w:rsid w:val="00655700"/>
    <w:rsid w:val="00655D5A"/>
    <w:rsid w:val="00655F09"/>
    <w:rsid w:val="00656421"/>
    <w:rsid w:val="00660517"/>
    <w:rsid w:val="006620E2"/>
    <w:rsid w:val="006623BF"/>
    <w:rsid w:val="0066315C"/>
    <w:rsid w:val="0066341B"/>
    <w:rsid w:val="006640E0"/>
    <w:rsid w:val="00664B0C"/>
    <w:rsid w:val="00665579"/>
    <w:rsid w:val="00666F79"/>
    <w:rsid w:val="00671079"/>
    <w:rsid w:val="0067115D"/>
    <w:rsid w:val="006718AA"/>
    <w:rsid w:val="006726E4"/>
    <w:rsid w:val="006729FE"/>
    <w:rsid w:val="00672DF3"/>
    <w:rsid w:val="00673355"/>
    <w:rsid w:val="00673D0D"/>
    <w:rsid w:val="006742E8"/>
    <w:rsid w:val="00674C2C"/>
    <w:rsid w:val="0067586C"/>
    <w:rsid w:val="0067589F"/>
    <w:rsid w:val="00676978"/>
    <w:rsid w:val="006769F1"/>
    <w:rsid w:val="00677D14"/>
    <w:rsid w:val="00680135"/>
    <w:rsid w:val="00680C78"/>
    <w:rsid w:val="006813A8"/>
    <w:rsid w:val="00681C14"/>
    <w:rsid w:val="00681E40"/>
    <w:rsid w:val="00682314"/>
    <w:rsid w:val="0068238E"/>
    <w:rsid w:val="006823C7"/>
    <w:rsid w:val="0068243B"/>
    <w:rsid w:val="00682680"/>
    <w:rsid w:val="006827D2"/>
    <w:rsid w:val="00682CDD"/>
    <w:rsid w:val="00682DAB"/>
    <w:rsid w:val="0068319E"/>
    <w:rsid w:val="00683462"/>
    <w:rsid w:val="0068396A"/>
    <w:rsid w:val="00683A19"/>
    <w:rsid w:val="00683CE0"/>
    <w:rsid w:val="00684227"/>
    <w:rsid w:val="00684F60"/>
    <w:rsid w:val="006856EC"/>
    <w:rsid w:val="0068656F"/>
    <w:rsid w:val="0068704D"/>
    <w:rsid w:val="00687202"/>
    <w:rsid w:val="00687F5C"/>
    <w:rsid w:val="00690F64"/>
    <w:rsid w:val="0069121D"/>
    <w:rsid w:val="00691C30"/>
    <w:rsid w:val="00693DF3"/>
    <w:rsid w:val="00694387"/>
    <w:rsid w:val="006943DB"/>
    <w:rsid w:val="00694408"/>
    <w:rsid w:val="0069486F"/>
    <w:rsid w:val="006948E6"/>
    <w:rsid w:val="00695BE9"/>
    <w:rsid w:val="00697585"/>
    <w:rsid w:val="00697652"/>
    <w:rsid w:val="006A07B8"/>
    <w:rsid w:val="006A0F77"/>
    <w:rsid w:val="006A1676"/>
    <w:rsid w:val="006A19CB"/>
    <w:rsid w:val="006A1ABB"/>
    <w:rsid w:val="006A2A32"/>
    <w:rsid w:val="006A367F"/>
    <w:rsid w:val="006A394B"/>
    <w:rsid w:val="006A3A7B"/>
    <w:rsid w:val="006A4710"/>
    <w:rsid w:val="006A4A68"/>
    <w:rsid w:val="006A56D9"/>
    <w:rsid w:val="006A66D6"/>
    <w:rsid w:val="006A6C34"/>
    <w:rsid w:val="006A7408"/>
    <w:rsid w:val="006A7C5C"/>
    <w:rsid w:val="006B2B05"/>
    <w:rsid w:val="006B3ADC"/>
    <w:rsid w:val="006B3E0A"/>
    <w:rsid w:val="006B3FA6"/>
    <w:rsid w:val="006B4598"/>
    <w:rsid w:val="006B4C05"/>
    <w:rsid w:val="006B5315"/>
    <w:rsid w:val="006B56C0"/>
    <w:rsid w:val="006B6A31"/>
    <w:rsid w:val="006B6BE9"/>
    <w:rsid w:val="006B71B6"/>
    <w:rsid w:val="006C04BD"/>
    <w:rsid w:val="006C159D"/>
    <w:rsid w:val="006C1A3A"/>
    <w:rsid w:val="006C1F55"/>
    <w:rsid w:val="006C2859"/>
    <w:rsid w:val="006C2AB5"/>
    <w:rsid w:val="006C3438"/>
    <w:rsid w:val="006C349B"/>
    <w:rsid w:val="006C3512"/>
    <w:rsid w:val="006C35E0"/>
    <w:rsid w:val="006C35EC"/>
    <w:rsid w:val="006C390D"/>
    <w:rsid w:val="006C445B"/>
    <w:rsid w:val="006C4E92"/>
    <w:rsid w:val="006C50A8"/>
    <w:rsid w:val="006C555A"/>
    <w:rsid w:val="006C591C"/>
    <w:rsid w:val="006C5A77"/>
    <w:rsid w:val="006C5C3C"/>
    <w:rsid w:val="006C632E"/>
    <w:rsid w:val="006C635E"/>
    <w:rsid w:val="006C7044"/>
    <w:rsid w:val="006C7802"/>
    <w:rsid w:val="006C7A6F"/>
    <w:rsid w:val="006C7F91"/>
    <w:rsid w:val="006D14DE"/>
    <w:rsid w:val="006D1DC9"/>
    <w:rsid w:val="006D1F20"/>
    <w:rsid w:val="006D207D"/>
    <w:rsid w:val="006D3B02"/>
    <w:rsid w:val="006D416D"/>
    <w:rsid w:val="006D4818"/>
    <w:rsid w:val="006D4EA9"/>
    <w:rsid w:val="006D57EE"/>
    <w:rsid w:val="006E0328"/>
    <w:rsid w:val="006E1722"/>
    <w:rsid w:val="006E1FCC"/>
    <w:rsid w:val="006E282D"/>
    <w:rsid w:val="006E3A4A"/>
    <w:rsid w:val="006E5550"/>
    <w:rsid w:val="006E5B23"/>
    <w:rsid w:val="006E6F7D"/>
    <w:rsid w:val="006F0865"/>
    <w:rsid w:val="006F3102"/>
    <w:rsid w:val="006F42DC"/>
    <w:rsid w:val="006F466D"/>
    <w:rsid w:val="006F488D"/>
    <w:rsid w:val="006F5366"/>
    <w:rsid w:val="006F585F"/>
    <w:rsid w:val="006F5C3A"/>
    <w:rsid w:val="006F6761"/>
    <w:rsid w:val="00700136"/>
    <w:rsid w:val="0070075B"/>
    <w:rsid w:val="00701568"/>
    <w:rsid w:val="007021B9"/>
    <w:rsid w:val="007021F9"/>
    <w:rsid w:val="0070244E"/>
    <w:rsid w:val="0070307A"/>
    <w:rsid w:val="00703275"/>
    <w:rsid w:val="007032D1"/>
    <w:rsid w:val="00704AA0"/>
    <w:rsid w:val="00704D5D"/>
    <w:rsid w:val="0070526D"/>
    <w:rsid w:val="0070702E"/>
    <w:rsid w:val="00707A7A"/>
    <w:rsid w:val="00707BB8"/>
    <w:rsid w:val="00707FDF"/>
    <w:rsid w:val="00710257"/>
    <w:rsid w:val="007113E0"/>
    <w:rsid w:val="0071192F"/>
    <w:rsid w:val="00711A44"/>
    <w:rsid w:val="00712560"/>
    <w:rsid w:val="007127F1"/>
    <w:rsid w:val="007127F4"/>
    <w:rsid w:val="0071389C"/>
    <w:rsid w:val="0071424D"/>
    <w:rsid w:val="00714DA3"/>
    <w:rsid w:val="0071562C"/>
    <w:rsid w:val="00715795"/>
    <w:rsid w:val="00715A39"/>
    <w:rsid w:val="0071623E"/>
    <w:rsid w:val="00716941"/>
    <w:rsid w:val="00717506"/>
    <w:rsid w:val="00720E56"/>
    <w:rsid w:val="00720E6E"/>
    <w:rsid w:val="0072196D"/>
    <w:rsid w:val="00721BF4"/>
    <w:rsid w:val="007227B1"/>
    <w:rsid w:val="00723A87"/>
    <w:rsid w:val="00723F52"/>
    <w:rsid w:val="00724531"/>
    <w:rsid w:val="00724ED2"/>
    <w:rsid w:val="007257CF"/>
    <w:rsid w:val="007259E5"/>
    <w:rsid w:val="00725B2F"/>
    <w:rsid w:val="00726F19"/>
    <w:rsid w:val="00730B89"/>
    <w:rsid w:val="00730DBB"/>
    <w:rsid w:val="00731837"/>
    <w:rsid w:val="0073221B"/>
    <w:rsid w:val="00733CE7"/>
    <w:rsid w:val="0073407A"/>
    <w:rsid w:val="007343E2"/>
    <w:rsid w:val="00734C3F"/>
    <w:rsid w:val="00734F33"/>
    <w:rsid w:val="007351BE"/>
    <w:rsid w:val="0073646D"/>
    <w:rsid w:val="00736913"/>
    <w:rsid w:val="00742BD4"/>
    <w:rsid w:val="007430C3"/>
    <w:rsid w:val="00745960"/>
    <w:rsid w:val="00746715"/>
    <w:rsid w:val="00752AC1"/>
    <w:rsid w:val="00753340"/>
    <w:rsid w:val="007535BE"/>
    <w:rsid w:val="007537AE"/>
    <w:rsid w:val="007545A4"/>
    <w:rsid w:val="00754A10"/>
    <w:rsid w:val="00754EB3"/>
    <w:rsid w:val="00755831"/>
    <w:rsid w:val="00757E22"/>
    <w:rsid w:val="007606AC"/>
    <w:rsid w:val="00761C21"/>
    <w:rsid w:val="00762C31"/>
    <w:rsid w:val="00762CBC"/>
    <w:rsid w:val="007636EA"/>
    <w:rsid w:val="00763852"/>
    <w:rsid w:val="00766A9F"/>
    <w:rsid w:val="00767AF2"/>
    <w:rsid w:val="00767C44"/>
    <w:rsid w:val="0077048A"/>
    <w:rsid w:val="00770B27"/>
    <w:rsid w:val="00770F32"/>
    <w:rsid w:val="0077270E"/>
    <w:rsid w:val="00772958"/>
    <w:rsid w:val="0077325F"/>
    <w:rsid w:val="00773A2A"/>
    <w:rsid w:val="0077549F"/>
    <w:rsid w:val="00777D6F"/>
    <w:rsid w:val="0078072E"/>
    <w:rsid w:val="00781D87"/>
    <w:rsid w:val="00782B62"/>
    <w:rsid w:val="00783270"/>
    <w:rsid w:val="0078408F"/>
    <w:rsid w:val="00784392"/>
    <w:rsid w:val="007843C2"/>
    <w:rsid w:val="00784E45"/>
    <w:rsid w:val="00785530"/>
    <w:rsid w:val="00785693"/>
    <w:rsid w:val="00785B31"/>
    <w:rsid w:val="00787353"/>
    <w:rsid w:val="007912C0"/>
    <w:rsid w:val="00792558"/>
    <w:rsid w:val="0079523E"/>
    <w:rsid w:val="00797CF0"/>
    <w:rsid w:val="007A035C"/>
    <w:rsid w:val="007A062E"/>
    <w:rsid w:val="007A108D"/>
    <w:rsid w:val="007A13BC"/>
    <w:rsid w:val="007A2804"/>
    <w:rsid w:val="007A2C20"/>
    <w:rsid w:val="007A3730"/>
    <w:rsid w:val="007A4397"/>
    <w:rsid w:val="007A5A43"/>
    <w:rsid w:val="007A69F3"/>
    <w:rsid w:val="007A6C01"/>
    <w:rsid w:val="007B030D"/>
    <w:rsid w:val="007B0794"/>
    <w:rsid w:val="007B1444"/>
    <w:rsid w:val="007B207E"/>
    <w:rsid w:val="007B260D"/>
    <w:rsid w:val="007B298E"/>
    <w:rsid w:val="007B2FFD"/>
    <w:rsid w:val="007B3FFE"/>
    <w:rsid w:val="007B57AC"/>
    <w:rsid w:val="007B679B"/>
    <w:rsid w:val="007B6CFE"/>
    <w:rsid w:val="007B6F63"/>
    <w:rsid w:val="007B73AB"/>
    <w:rsid w:val="007B771E"/>
    <w:rsid w:val="007B78C1"/>
    <w:rsid w:val="007B7C03"/>
    <w:rsid w:val="007B7E8C"/>
    <w:rsid w:val="007C12A0"/>
    <w:rsid w:val="007C24CE"/>
    <w:rsid w:val="007C26C6"/>
    <w:rsid w:val="007C2F70"/>
    <w:rsid w:val="007C3DEB"/>
    <w:rsid w:val="007C4A32"/>
    <w:rsid w:val="007C4C0C"/>
    <w:rsid w:val="007C5579"/>
    <w:rsid w:val="007C5C87"/>
    <w:rsid w:val="007C633E"/>
    <w:rsid w:val="007C650F"/>
    <w:rsid w:val="007C6EDD"/>
    <w:rsid w:val="007C752D"/>
    <w:rsid w:val="007C7A17"/>
    <w:rsid w:val="007D0809"/>
    <w:rsid w:val="007D0F41"/>
    <w:rsid w:val="007D16C5"/>
    <w:rsid w:val="007D1819"/>
    <w:rsid w:val="007D1853"/>
    <w:rsid w:val="007D1F5D"/>
    <w:rsid w:val="007D2FC0"/>
    <w:rsid w:val="007D338C"/>
    <w:rsid w:val="007D3904"/>
    <w:rsid w:val="007D46A4"/>
    <w:rsid w:val="007D4B7A"/>
    <w:rsid w:val="007D5F0E"/>
    <w:rsid w:val="007D67C3"/>
    <w:rsid w:val="007D6987"/>
    <w:rsid w:val="007D79AE"/>
    <w:rsid w:val="007D7FFE"/>
    <w:rsid w:val="007E05CA"/>
    <w:rsid w:val="007E0648"/>
    <w:rsid w:val="007E0C01"/>
    <w:rsid w:val="007E1078"/>
    <w:rsid w:val="007E30AC"/>
    <w:rsid w:val="007E6762"/>
    <w:rsid w:val="007F0336"/>
    <w:rsid w:val="007F07B6"/>
    <w:rsid w:val="007F0D25"/>
    <w:rsid w:val="007F0FDE"/>
    <w:rsid w:val="007F10AD"/>
    <w:rsid w:val="007F1990"/>
    <w:rsid w:val="007F2FF6"/>
    <w:rsid w:val="007F35A9"/>
    <w:rsid w:val="007F46E9"/>
    <w:rsid w:val="007F4F3A"/>
    <w:rsid w:val="007F55AB"/>
    <w:rsid w:val="007F66A0"/>
    <w:rsid w:val="007F6728"/>
    <w:rsid w:val="007F7084"/>
    <w:rsid w:val="007F72DB"/>
    <w:rsid w:val="008005AA"/>
    <w:rsid w:val="00800D16"/>
    <w:rsid w:val="00801048"/>
    <w:rsid w:val="00801AAA"/>
    <w:rsid w:val="00803015"/>
    <w:rsid w:val="0080437A"/>
    <w:rsid w:val="00806D68"/>
    <w:rsid w:val="008100AD"/>
    <w:rsid w:val="0081105A"/>
    <w:rsid w:val="0081131C"/>
    <w:rsid w:val="00811322"/>
    <w:rsid w:val="0081242A"/>
    <w:rsid w:val="00812E7B"/>
    <w:rsid w:val="008141A4"/>
    <w:rsid w:val="00814F5C"/>
    <w:rsid w:val="0081580A"/>
    <w:rsid w:val="00817184"/>
    <w:rsid w:val="00820E11"/>
    <w:rsid w:val="00821B99"/>
    <w:rsid w:val="00823047"/>
    <w:rsid w:val="00823F8B"/>
    <w:rsid w:val="00824018"/>
    <w:rsid w:val="00824C2A"/>
    <w:rsid w:val="00824DE7"/>
    <w:rsid w:val="00825540"/>
    <w:rsid w:val="0082585F"/>
    <w:rsid w:val="00825ABC"/>
    <w:rsid w:val="008268BF"/>
    <w:rsid w:val="00827FB6"/>
    <w:rsid w:val="00830AA1"/>
    <w:rsid w:val="00831002"/>
    <w:rsid w:val="00831410"/>
    <w:rsid w:val="00832941"/>
    <w:rsid w:val="00834434"/>
    <w:rsid w:val="008356AB"/>
    <w:rsid w:val="00835909"/>
    <w:rsid w:val="00837186"/>
    <w:rsid w:val="008401A3"/>
    <w:rsid w:val="00841035"/>
    <w:rsid w:val="00842BD2"/>
    <w:rsid w:val="00843B74"/>
    <w:rsid w:val="00843CF8"/>
    <w:rsid w:val="00844980"/>
    <w:rsid w:val="00844B01"/>
    <w:rsid w:val="008466FD"/>
    <w:rsid w:val="0084738C"/>
    <w:rsid w:val="008476FF"/>
    <w:rsid w:val="00850235"/>
    <w:rsid w:val="00850393"/>
    <w:rsid w:val="00851B07"/>
    <w:rsid w:val="00851C5E"/>
    <w:rsid w:val="008523F3"/>
    <w:rsid w:val="00852489"/>
    <w:rsid w:val="00852A86"/>
    <w:rsid w:val="008546C2"/>
    <w:rsid w:val="00854F2B"/>
    <w:rsid w:val="0085503E"/>
    <w:rsid w:val="0085538B"/>
    <w:rsid w:val="00855399"/>
    <w:rsid w:val="00855418"/>
    <w:rsid w:val="00855C6C"/>
    <w:rsid w:val="00856BD1"/>
    <w:rsid w:val="00857045"/>
    <w:rsid w:val="008575B4"/>
    <w:rsid w:val="008575D5"/>
    <w:rsid w:val="0085770D"/>
    <w:rsid w:val="00860103"/>
    <w:rsid w:val="0086088E"/>
    <w:rsid w:val="00861B26"/>
    <w:rsid w:val="00861C05"/>
    <w:rsid w:val="008633F4"/>
    <w:rsid w:val="008640EF"/>
    <w:rsid w:val="00864347"/>
    <w:rsid w:val="00864B67"/>
    <w:rsid w:val="008664A3"/>
    <w:rsid w:val="00866536"/>
    <w:rsid w:val="00866C7A"/>
    <w:rsid w:val="0086745C"/>
    <w:rsid w:val="008707EB"/>
    <w:rsid w:val="00871576"/>
    <w:rsid w:val="00874B4A"/>
    <w:rsid w:val="008753E3"/>
    <w:rsid w:val="00877B2F"/>
    <w:rsid w:val="00881116"/>
    <w:rsid w:val="008815A9"/>
    <w:rsid w:val="008836AB"/>
    <w:rsid w:val="008839F2"/>
    <w:rsid w:val="00884B99"/>
    <w:rsid w:val="008857D0"/>
    <w:rsid w:val="00887104"/>
    <w:rsid w:val="008907A5"/>
    <w:rsid w:val="00890879"/>
    <w:rsid w:val="00890D88"/>
    <w:rsid w:val="00891038"/>
    <w:rsid w:val="0089112A"/>
    <w:rsid w:val="008915F6"/>
    <w:rsid w:val="00892B05"/>
    <w:rsid w:val="00892C58"/>
    <w:rsid w:val="00893A67"/>
    <w:rsid w:val="00893B03"/>
    <w:rsid w:val="008949CF"/>
    <w:rsid w:val="00894C72"/>
    <w:rsid w:val="00896024"/>
    <w:rsid w:val="0089715C"/>
    <w:rsid w:val="0089747B"/>
    <w:rsid w:val="0089776E"/>
    <w:rsid w:val="00897C2A"/>
    <w:rsid w:val="008A2FD5"/>
    <w:rsid w:val="008A3148"/>
    <w:rsid w:val="008A3C94"/>
    <w:rsid w:val="008A41EB"/>
    <w:rsid w:val="008A5939"/>
    <w:rsid w:val="008A657E"/>
    <w:rsid w:val="008A68E7"/>
    <w:rsid w:val="008A6E80"/>
    <w:rsid w:val="008A7237"/>
    <w:rsid w:val="008A7A51"/>
    <w:rsid w:val="008B02BD"/>
    <w:rsid w:val="008B1915"/>
    <w:rsid w:val="008B2781"/>
    <w:rsid w:val="008B2A8E"/>
    <w:rsid w:val="008B3731"/>
    <w:rsid w:val="008B3895"/>
    <w:rsid w:val="008B528C"/>
    <w:rsid w:val="008B64EB"/>
    <w:rsid w:val="008B69A9"/>
    <w:rsid w:val="008B69CF"/>
    <w:rsid w:val="008B76A0"/>
    <w:rsid w:val="008C1D32"/>
    <w:rsid w:val="008C2887"/>
    <w:rsid w:val="008C3350"/>
    <w:rsid w:val="008C4AEA"/>
    <w:rsid w:val="008C5001"/>
    <w:rsid w:val="008C5535"/>
    <w:rsid w:val="008C76B8"/>
    <w:rsid w:val="008D0FE7"/>
    <w:rsid w:val="008D185B"/>
    <w:rsid w:val="008D31E8"/>
    <w:rsid w:val="008D3A43"/>
    <w:rsid w:val="008D42D8"/>
    <w:rsid w:val="008D5A31"/>
    <w:rsid w:val="008D5E56"/>
    <w:rsid w:val="008D6402"/>
    <w:rsid w:val="008D6455"/>
    <w:rsid w:val="008D7931"/>
    <w:rsid w:val="008D7AC9"/>
    <w:rsid w:val="008D7FAC"/>
    <w:rsid w:val="008D7FFD"/>
    <w:rsid w:val="008E0B82"/>
    <w:rsid w:val="008E1504"/>
    <w:rsid w:val="008E1E6C"/>
    <w:rsid w:val="008E20F5"/>
    <w:rsid w:val="008E3366"/>
    <w:rsid w:val="008E42F5"/>
    <w:rsid w:val="008E4A50"/>
    <w:rsid w:val="008E519A"/>
    <w:rsid w:val="008E5406"/>
    <w:rsid w:val="008E67E6"/>
    <w:rsid w:val="008E6A9D"/>
    <w:rsid w:val="008E6E37"/>
    <w:rsid w:val="008E743A"/>
    <w:rsid w:val="008E745C"/>
    <w:rsid w:val="008E787D"/>
    <w:rsid w:val="008E7B1C"/>
    <w:rsid w:val="008F0C01"/>
    <w:rsid w:val="008F0EB3"/>
    <w:rsid w:val="008F1406"/>
    <w:rsid w:val="008F1627"/>
    <w:rsid w:val="008F1A41"/>
    <w:rsid w:val="008F3108"/>
    <w:rsid w:val="008F32EC"/>
    <w:rsid w:val="008F41C3"/>
    <w:rsid w:val="008F43AD"/>
    <w:rsid w:val="008F4DDA"/>
    <w:rsid w:val="008F56CE"/>
    <w:rsid w:val="008F5A58"/>
    <w:rsid w:val="008F615F"/>
    <w:rsid w:val="008F6233"/>
    <w:rsid w:val="008F6EB7"/>
    <w:rsid w:val="008F7BC4"/>
    <w:rsid w:val="00900A2E"/>
    <w:rsid w:val="00901213"/>
    <w:rsid w:val="00901E4D"/>
    <w:rsid w:val="00902C82"/>
    <w:rsid w:val="00903B7E"/>
    <w:rsid w:val="00904B27"/>
    <w:rsid w:val="0090545D"/>
    <w:rsid w:val="0090744E"/>
    <w:rsid w:val="00907B0A"/>
    <w:rsid w:val="009107E6"/>
    <w:rsid w:val="00911243"/>
    <w:rsid w:val="009129FE"/>
    <w:rsid w:val="009134C9"/>
    <w:rsid w:val="00914066"/>
    <w:rsid w:val="00914D9E"/>
    <w:rsid w:val="009153B1"/>
    <w:rsid w:val="00915697"/>
    <w:rsid w:val="00915736"/>
    <w:rsid w:val="0091677C"/>
    <w:rsid w:val="00921A75"/>
    <w:rsid w:val="00921D65"/>
    <w:rsid w:val="00922039"/>
    <w:rsid w:val="00924285"/>
    <w:rsid w:val="00924A20"/>
    <w:rsid w:val="00924ACE"/>
    <w:rsid w:val="009257A3"/>
    <w:rsid w:val="0092585E"/>
    <w:rsid w:val="00927836"/>
    <w:rsid w:val="0093133A"/>
    <w:rsid w:val="0093168E"/>
    <w:rsid w:val="00931B52"/>
    <w:rsid w:val="00932464"/>
    <w:rsid w:val="0093262E"/>
    <w:rsid w:val="00932800"/>
    <w:rsid w:val="009347A8"/>
    <w:rsid w:val="009352E3"/>
    <w:rsid w:val="009356A8"/>
    <w:rsid w:val="00936861"/>
    <w:rsid w:val="00936A06"/>
    <w:rsid w:val="00937BC7"/>
    <w:rsid w:val="00937C5F"/>
    <w:rsid w:val="00940CC0"/>
    <w:rsid w:val="0094104A"/>
    <w:rsid w:val="00941663"/>
    <w:rsid w:val="00941DEB"/>
    <w:rsid w:val="009421CC"/>
    <w:rsid w:val="00943A19"/>
    <w:rsid w:val="00943C23"/>
    <w:rsid w:val="009453BC"/>
    <w:rsid w:val="00945A20"/>
    <w:rsid w:val="0094623D"/>
    <w:rsid w:val="00946B1C"/>
    <w:rsid w:val="00946E4D"/>
    <w:rsid w:val="00946F7A"/>
    <w:rsid w:val="0094746E"/>
    <w:rsid w:val="009501D4"/>
    <w:rsid w:val="00950B53"/>
    <w:rsid w:val="00950F10"/>
    <w:rsid w:val="00952A6A"/>
    <w:rsid w:val="00952C0A"/>
    <w:rsid w:val="00954BB5"/>
    <w:rsid w:val="009551E6"/>
    <w:rsid w:val="009557A3"/>
    <w:rsid w:val="00955FFA"/>
    <w:rsid w:val="009569FD"/>
    <w:rsid w:val="00960757"/>
    <w:rsid w:val="00960AE5"/>
    <w:rsid w:val="00960B4A"/>
    <w:rsid w:val="009610C1"/>
    <w:rsid w:val="0096129F"/>
    <w:rsid w:val="00962136"/>
    <w:rsid w:val="00962357"/>
    <w:rsid w:val="009636E0"/>
    <w:rsid w:val="00963C28"/>
    <w:rsid w:val="00964249"/>
    <w:rsid w:val="009644C1"/>
    <w:rsid w:val="009645B8"/>
    <w:rsid w:val="009650B4"/>
    <w:rsid w:val="00965B47"/>
    <w:rsid w:val="00965B4B"/>
    <w:rsid w:val="00965D7C"/>
    <w:rsid w:val="009662A8"/>
    <w:rsid w:val="0096677C"/>
    <w:rsid w:val="00966E7A"/>
    <w:rsid w:val="00967115"/>
    <w:rsid w:val="00967E91"/>
    <w:rsid w:val="00970CEF"/>
    <w:rsid w:val="00970FA8"/>
    <w:rsid w:val="00972F3C"/>
    <w:rsid w:val="00973696"/>
    <w:rsid w:val="00973CD6"/>
    <w:rsid w:val="00975109"/>
    <w:rsid w:val="009761EF"/>
    <w:rsid w:val="009761F7"/>
    <w:rsid w:val="00976462"/>
    <w:rsid w:val="00976A7E"/>
    <w:rsid w:val="009779A5"/>
    <w:rsid w:val="00977BA4"/>
    <w:rsid w:val="00980C1E"/>
    <w:rsid w:val="00981BBC"/>
    <w:rsid w:val="00981C73"/>
    <w:rsid w:val="009820E2"/>
    <w:rsid w:val="00985045"/>
    <w:rsid w:val="00985564"/>
    <w:rsid w:val="00985A9B"/>
    <w:rsid w:val="00986A15"/>
    <w:rsid w:val="009875B8"/>
    <w:rsid w:val="00987D29"/>
    <w:rsid w:val="009905ED"/>
    <w:rsid w:val="00990672"/>
    <w:rsid w:val="00990B5C"/>
    <w:rsid w:val="00991C86"/>
    <w:rsid w:val="00991CAF"/>
    <w:rsid w:val="00991D60"/>
    <w:rsid w:val="00992438"/>
    <w:rsid w:val="00993FE1"/>
    <w:rsid w:val="0099462B"/>
    <w:rsid w:val="00994780"/>
    <w:rsid w:val="00995B68"/>
    <w:rsid w:val="00995D6E"/>
    <w:rsid w:val="00996098"/>
    <w:rsid w:val="009A076F"/>
    <w:rsid w:val="009A0FDE"/>
    <w:rsid w:val="009A10C0"/>
    <w:rsid w:val="009A26EE"/>
    <w:rsid w:val="009A2DD4"/>
    <w:rsid w:val="009A3711"/>
    <w:rsid w:val="009A50F8"/>
    <w:rsid w:val="009A54E4"/>
    <w:rsid w:val="009A6B4D"/>
    <w:rsid w:val="009B1061"/>
    <w:rsid w:val="009B1560"/>
    <w:rsid w:val="009B1DB2"/>
    <w:rsid w:val="009B4A9E"/>
    <w:rsid w:val="009B58ED"/>
    <w:rsid w:val="009B6063"/>
    <w:rsid w:val="009B616E"/>
    <w:rsid w:val="009B6CC0"/>
    <w:rsid w:val="009B6FBD"/>
    <w:rsid w:val="009C0018"/>
    <w:rsid w:val="009C0E79"/>
    <w:rsid w:val="009C19D6"/>
    <w:rsid w:val="009C21EE"/>
    <w:rsid w:val="009C2897"/>
    <w:rsid w:val="009C378D"/>
    <w:rsid w:val="009C43BE"/>
    <w:rsid w:val="009C4761"/>
    <w:rsid w:val="009C4844"/>
    <w:rsid w:val="009C507D"/>
    <w:rsid w:val="009C5D5E"/>
    <w:rsid w:val="009C60B5"/>
    <w:rsid w:val="009C6308"/>
    <w:rsid w:val="009C6863"/>
    <w:rsid w:val="009C71B3"/>
    <w:rsid w:val="009C7B6E"/>
    <w:rsid w:val="009C7C0D"/>
    <w:rsid w:val="009D0691"/>
    <w:rsid w:val="009D0FD7"/>
    <w:rsid w:val="009D2010"/>
    <w:rsid w:val="009D247C"/>
    <w:rsid w:val="009D318A"/>
    <w:rsid w:val="009D362D"/>
    <w:rsid w:val="009D41A3"/>
    <w:rsid w:val="009D4C12"/>
    <w:rsid w:val="009D537E"/>
    <w:rsid w:val="009D6C31"/>
    <w:rsid w:val="009D74D5"/>
    <w:rsid w:val="009D7CD2"/>
    <w:rsid w:val="009D7D3D"/>
    <w:rsid w:val="009D7DC4"/>
    <w:rsid w:val="009E0269"/>
    <w:rsid w:val="009E061B"/>
    <w:rsid w:val="009E095B"/>
    <w:rsid w:val="009E0C3D"/>
    <w:rsid w:val="009E1939"/>
    <w:rsid w:val="009E1EC4"/>
    <w:rsid w:val="009E1F4D"/>
    <w:rsid w:val="009E2BD6"/>
    <w:rsid w:val="009E2EEA"/>
    <w:rsid w:val="009E30A0"/>
    <w:rsid w:val="009E4116"/>
    <w:rsid w:val="009E4F6E"/>
    <w:rsid w:val="009E55CA"/>
    <w:rsid w:val="009E6107"/>
    <w:rsid w:val="009E637E"/>
    <w:rsid w:val="009E7092"/>
    <w:rsid w:val="009E7F39"/>
    <w:rsid w:val="009F064B"/>
    <w:rsid w:val="009F0728"/>
    <w:rsid w:val="009F09D7"/>
    <w:rsid w:val="009F0DA6"/>
    <w:rsid w:val="009F0F1C"/>
    <w:rsid w:val="009F0F63"/>
    <w:rsid w:val="009F1E6B"/>
    <w:rsid w:val="009F2851"/>
    <w:rsid w:val="009F2C48"/>
    <w:rsid w:val="009F33B4"/>
    <w:rsid w:val="009F4711"/>
    <w:rsid w:val="009F4D4D"/>
    <w:rsid w:val="009F4F67"/>
    <w:rsid w:val="009F4FFE"/>
    <w:rsid w:val="009F5B46"/>
    <w:rsid w:val="009F5D0C"/>
    <w:rsid w:val="009F6E96"/>
    <w:rsid w:val="009F78A5"/>
    <w:rsid w:val="00A019DA"/>
    <w:rsid w:val="00A023D7"/>
    <w:rsid w:val="00A02557"/>
    <w:rsid w:val="00A02CC2"/>
    <w:rsid w:val="00A04F31"/>
    <w:rsid w:val="00A04FA3"/>
    <w:rsid w:val="00A0568F"/>
    <w:rsid w:val="00A059B9"/>
    <w:rsid w:val="00A05A02"/>
    <w:rsid w:val="00A05C0E"/>
    <w:rsid w:val="00A066CB"/>
    <w:rsid w:val="00A07160"/>
    <w:rsid w:val="00A077C5"/>
    <w:rsid w:val="00A10E81"/>
    <w:rsid w:val="00A11503"/>
    <w:rsid w:val="00A11507"/>
    <w:rsid w:val="00A11B89"/>
    <w:rsid w:val="00A11D74"/>
    <w:rsid w:val="00A1207B"/>
    <w:rsid w:val="00A1222C"/>
    <w:rsid w:val="00A1286A"/>
    <w:rsid w:val="00A14DC1"/>
    <w:rsid w:val="00A163E6"/>
    <w:rsid w:val="00A1702A"/>
    <w:rsid w:val="00A173B1"/>
    <w:rsid w:val="00A17648"/>
    <w:rsid w:val="00A20702"/>
    <w:rsid w:val="00A20927"/>
    <w:rsid w:val="00A2099C"/>
    <w:rsid w:val="00A20BC2"/>
    <w:rsid w:val="00A2157D"/>
    <w:rsid w:val="00A21A79"/>
    <w:rsid w:val="00A22178"/>
    <w:rsid w:val="00A2243E"/>
    <w:rsid w:val="00A264F5"/>
    <w:rsid w:val="00A26B45"/>
    <w:rsid w:val="00A2722B"/>
    <w:rsid w:val="00A31220"/>
    <w:rsid w:val="00A315CD"/>
    <w:rsid w:val="00A316CB"/>
    <w:rsid w:val="00A3233B"/>
    <w:rsid w:val="00A32C1E"/>
    <w:rsid w:val="00A33B12"/>
    <w:rsid w:val="00A340A6"/>
    <w:rsid w:val="00A341E5"/>
    <w:rsid w:val="00A34713"/>
    <w:rsid w:val="00A35C4B"/>
    <w:rsid w:val="00A35C7E"/>
    <w:rsid w:val="00A3670F"/>
    <w:rsid w:val="00A36F03"/>
    <w:rsid w:val="00A371CF"/>
    <w:rsid w:val="00A402D1"/>
    <w:rsid w:val="00A41CB3"/>
    <w:rsid w:val="00A42FF0"/>
    <w:rsid w:val="00A4322E"/>
    <w:rsid w:val="00A43835"/>
    <w:rsid w:val="00A44BDB"/>
    <w:rsid w:val="00A45364"/>
    <w:rsid w:val="00A455C9"/>
    <w:rsid w:val="00A4567E"/>
    <w:rsid w:val="00A45DAF"/>
    <w:rsid w:val="00A461D7"/>
    <w:rsid w:val="00A46671"/>
    <w:rsid w:val="00A47EA5"/>
    <w:rsid w:val="00A47FEC"/>
    <w:rsid w:val="00A51A29"/>
    <w:rsid w:val="00A52B1B"/>
    <w:rsid w:val="00A543E4"/>
    <w:rsid w:val="00A54D80"/>
    <w:rsid w:val="00A55706"/>
    <w:rsid w:val="00A56367"/>
    <w:rsid w:val="00A563BC"/>
    <w:rsid w:val="00A5668C"/>
    <w:rsid w:val="00A56BD4"/>
    <w:rsid w:val="00A56BE9"/>
    <w:rsid w:val="00A57003"/>
    <w:rsid w:val="00A5734D"/>
    <w:rsid w:val="00A6006A"/>
    <w:rsid w:val="00A60298"/>
    <w:rsid w:val="00A61781"/>
    <w:rsid w:val="00A61B51"/>
    <w:rsid w:val="00A62406"/>
    <w:rsid w:val="00A626E1"/>
    <w:rsid w:val="00A62F14"/>
    <w:rsid w:val="00A63005"/>
    <w:rsid w:val="00A63308"/>
    <w:rsid w:val="00A635B6"/>
    <w:rsid w:val="00A64DDD"/>
    <w:rsid w:val="00A6573D"/>
    <w:rsid w:val="00A662A5"/>
    <w:rsid w:val="00A66546"/>
    <w:rsid w:val="00A67AB7"/>
    <w:rsid w:val="00A70BBF"/>
    <w:rsid w:val="00A71644"/>
    <w:rsid w:val="00A717D2"/>
    <w:rsid w:val="00A71FA8"/>
    <w:rsid w:val="00A72731"/>
    <w:rsid w:val="00A74301"/>
    <w:rsid w:val="00A75FD7"/>
    <w:rsid w:val="00A76BC2"/>
    <w:rsid w:val="00A802FF"/>
    <w:rsid w:val="00A8047F"/>
    <w:rsid w:val="00A817A2"/>
    <w:rsid w:val="00A82D47"/>
    <w:rsid w:val="00A839EA"/>
    <w:rsid w:val="00A83E2A"/>
    <w:rsid w:val="00A84A5F"/>
    <w:rsid w:val="00A84E58"/>
    <w:rsid w:val="00A85BDC"/>
    <w:rsid w:val="00A8685F"/>
    <w:rsid w:val="00A87472"/>
    <w:rsid w:val="00A91357"/>
    <w:rsid w:val="00A92437"/>
    <w:rsid w:val="00A926F7"/>
    <w:rsid w:val="00A92870"/>
    <w:rsid w:val="00A940B7"/>
    <w:rsid w:val="00A9462F"/>
    <w:rsid w:val="00A9486F"/>
    <w:rsid w:val="00A96FDA"/>
    <w:rsid w:val="00A97220"/>
    <w:rsid w:val="00AA15C9"/>
    <w:rsid w:val="00AA1CEB"/>
    <w:rsid w:val="00AA2444"/>
    <w:rsid w:val="00AA25FD"/>
    <w:rsid w:val="00AA2825"/>
    <w:rsid w:val="00AA4982"/>
    <w:rsid w:val="00AA4A9F"/>
    <w:rsid w:val="00AA4BAE"/>
    <w:rsid w:val="00AA54CD"/>
    <w:rsid w:val="00AA60AF"/>
    <w:rsid w:val="00AA6592"/>
    <w:rsid w:val="00AA77F7"/>
    <w:rsid w:val="00AA7C7A"/>
    <w:rsid w:val="00AB11F9"/>
    <w:rsid w:val="00AB23DF"/>
    <w:rsid w:val="00AB2799"/>
    <w:rsid w:val="00AB28ED"/>
    <w:rsid w:val="00AB2A74"/>
    <w:rsid w:val="00AB4922"/>
    <w:rsid w:val="00AB5420"/>
    <w:rsid w:val="00AB590A"/>
    <w:rsid w:val="00AB5977"/>
    <w:rsid w:val="00AB716A"/>
    <w:rsid w:val="00AC058D"/>
    <w:rsid w:val="00AC2C42"/>
    <w:rsid w:val="00AC2E0C"/>
    <w:rsid w:val="00AC47E2"/>
    <w:rsid w:val="00AC4BFC"/>
    <w:rsid w:val="00AC5A2F"/>
    <w:rsid w:val="00AC6A60"/>
    <w:rsid w:val="00AC7B45"/>
    <w:rsid w:val="00AD04E1"/>
    <w:rsid w:val="00AD0C5B"/>
    <w:rsid w:val="00AD0D36"/>
    <w:rsid w:val="00AD20B6"/>
    <w:rsid w:val="00AD230A"/>
    <w:rsid w:val="00AD2E58"/>
    <w:rsid w:val="00AD64AA"/>
    <w:rsid w:val="00AE06A5"/>
    <w:rsid w:val="00AE09E0"/>
    <w:rsid w:val="00AE0A99"/>
    <w:rsid w:val="00AE0B67"/>
    <w:rsid w:val="00AE0D25"/>
    <w:rsid w:val="00AE1FAD"/>
    <w:rsid w:val="00AE2042"/>
    <w:rsid w:val="00AE3B96"/>
    <w:rsid w:val="00AE462D"/>
    <w:rsid w:val="00AE5474"/>
    <w:rsid w:val="00AE5544"/>
    <w:rsid w:val="00AE5583"/>
    <w:rsid w:val="00AE757D"/>
    <w:rsid w:val="00AF004B"/>
    <w:rsid w:val="00AF2F3A"/>
    <w:rsid w:val="00AF3FEE"/>
    <w:rsid w:val="00AF47CF"/>
    <w:rsid w:val="00AF4D5D"/>
    <w:rsid w:val="00AF5AE0"/>
    <w:rsid w:val="00AF60DC"/>
    <w:rsid w:val="00AF6363"/>
    <w:rsid w:val="00AF70CC"/>
    <w:rsid w:val="00AF71DB"/>
    <w:rsid w:val="00B012FF"/>
    <w:rsid w:val="00B01EF8"/>
    <w:rsid w:val="00B02386"/>
    <w:rsid w:val="00B02CA7"/>
    <w:rsid w:val="00B02DE5"/>
    <w:rsid w:val="00B05259"/>
    <w:rsid w:val="00B05701"/>
    <w:rsid w:val="00B06133"/>
    <w:rsid w:val="00B061A2"/>
    <w:rsid w:val="00B0624B"/>
    <w:rsid w:val="00B07983"/>
    <w:rsid w:val="00B10A20"/>
    <w:rsid w:val="00B10BD9"/>
    <w:rsid w:val="00B11823"/>
    <w:rsid w:val="00B11960"/>
    <w:rsid w:val="00B11C4B"/>
    <w:rsid w:val="00B122AB"/>
    <w:rsid w:val="00B1231B"/>
    <w:rsid w:val="00B147CE"/>
    <w:rsid w:val="00B154B2"/>
    <w:rsid w:val="00B16087"/>
    <w:rsid w:val="00B1696F"/>
    <w:rsid w:val="00B16F1A"/>
    <w:rsid w:val="00B17391"/>
    <w:rsid w:val="00B2004A"/>
    <w:rsid w:val="00B201FF"/>
    <w:rsid w:val="00B20F75"/>
    <w:rsid w:val="00B2160C"/>
    <w:rsid w:val="00B2236E"/>
    <w:rsid w:val="00B225A1"/>
    <w:rsid w:val="00B2432B"/>
    <w:rsid w:val="00B25365"/>
    <w:rsid w:val="00B256A5"/>
    <w:rsid w:val="00B25895"/>
    <w:rsid w:val="00B25B02"/>
    <w:rsid w:val="00B26D76"/>
    <w:rsid w:val="00B27227"/>
    <w:rsid w:val="00B27677"/>
    <w:rsid w:val="00B30033"/>
    <w:rsid w:val="00B30195"/>
    <w:rsid w:val="00B30266"/>
    <w:rsid w:val="00B3055A"/>
    <w:rsid w:val="00B30897"/>
    <w:rsid w:val="00B31E8E"/>
    <w:rsid w:val="00B327D3"/>
    <w:rsid w:val="00B32BFF"/>
    <w:rsid w:val="00B32E81"/>
    <w:rsid w:val="00B334D7"/>
    <w:rsid w:val="00B34F2E"/>
    <w:rsid w:val="00B35D6E"/>
    <w:rsid w:val="00B35E44"/>
    <w:rsid w:val="00B37F43"/>
    <w:rsid w:val="00B400EC"/>
    <w:rsid w:val="00B4217F"/>
    <w:rsid w:val="00B42272"/>
    <w:rsid w:val="00B43AF7"/>
    <w:rsid w:val="00B43BC3"/>
    <w:rsid w:val="00B4639D"/>
    <w:rsid w:val="00B46421"/>
    <w:rsid w:val="00B46830"/>
    <w:rsid w:val="00B46982"/>
    <w:rsid w:val="00B46E4B"/>
    <w:rsid w:val="00B47FD8"/>
    <w:rsid w:val="00B5012A"/>
    <w:rsid w:val="00B50420"/>
    <w:rsid w:val="00B50855"/>
    <w:rsid w:val="00B5113E"/>
    <w:rsid w:val="00B51508"/>
    <w:rsid w:val="00B52254"/>
    <w:rsid w:val="00B522DC"/>
    <w:rsid w:val="00B5288B"/>
    <w:rsid w:val="00B531A6"/>
    <w:rsid w:val="00B536F8"/>
    <w:rsid w:val="00B5416F"/>
    <w:rsid w:val="00B55EBF"/>
    <w:rsid w:val="00B56BAE"/>
    <w:rsid w:val="00B572CF"/>
    <w:rsid w:val="00B60051"/>
    <w:rsid w:val="00B6022E"/>
    <w:rsid w:val="00B6056C"/>
    <w:rsid w:val="00B62F75"/>
    <w:rsid w:val="00B630CE"/>
    <w:rsid w:val="00B6359E"/>
    <w:rsid w:val="00B6418C"/>
    <w:rsid w:val="00B6502B"/>
    <w:rsid w:val="00B6582C"/>
    <w:rsid w:val="00B65BB6"/>
    <w:rsid w:val="00B67418"/>
    <w:rsid w:val="00B701DC"/>
    <w:rsid w:val="00B707D8"/>
    <w:rsid w:val="00B71300"/>
    <w:rsid w:val="00B71AE1"/>
    <w:rsid w:val="00B72186"/>
    <w:rsid w:val="00B72829"/>
    <w:rsid w:val="00B72A2F"/>
    <w:rsid w:val="00B74223"/>
    <w:rsid w:val="00B751EF"/>
    <w:rsid w:val="00B76805"/>
    <w:rsid w:val="00B76A5B"/>
    <w:rsid w:val="00B76B2E"/>
    <w:rsid w:val="00B770F4"/>
    <w:rsid w:val="00B77739"/>
    <w:rsid w:val="00B77EE1"/>
    <w:rsid w:val="00B80D47"/>
    <w:rsid w:val="00B8152F"/>
    <w:rsid w:val="00B82206"/>
    <w:rsid w:val="00B822F9"/>
    <w:rsid w:val="00B8251C"/>
    <w:rsid w:val="00B82526"/>
    <w:rsid w:val="00B83389"/>
    <w:rsid w:val="00B83AFB"/>
    <w:rsid w:val="00B84186"/>
    <w:rsid w:val="00B848E6"/>
    <w:rsid w:val="00B84A37"/>
    <w:rsid w:val="00B85B81"/>
    <w:rsid w:val="00B86290"/>
    <w:rsid w:val="00B875DC"/>
    <w:rsid w:val="00B87F3E"/>
    <w:rsid w:val="00B902E8"/>
    <w:rsid w:val="00B905B9"/>
    <w:rsid w:val="00B90C67"/>
    <w:rsid w:val="00B9130A"/>
    <w:rsid w:val="00B92A06"/>
    <w:rsid w:val="00B93D2A"/>
    <w:rsid w:val="00B9674B"/>
    <w:rsid w:val="00B96808"/>
    <w:rsid w:val="00B96B4F"/>
    <w:rsid w:val="00B96CB9"/>
    <w:rsid w:val="00BA0AF2"/>
    <w:rsid w:val="00BA32BA"/>
    <w:rsid w:val="00BA3A1D"/>
    <w:rsid w:val="00BA43C5"/>
    <w:rsid w:val="00BA4CC2"/>
    <w:rsid w:val="00BA5D5B"/>
    <w:rsid w:val="00BA644D"/>
    <w:rsid w:val="00BA6B99"/>
    <w:rsid w:val="00BA6C19"/>
    <w:rsid w:val="00BA7FC2"/>
    <w:rsid w:val="00BB00EB"/>
    <w:rsid w:val="00BB0419"/>
    <w:rsid w:val="00BB0ACB"/>
    <w:rsid w:val="00BB1991"/>
    <w:rsid w:val="00BB2608"/>
    <w:rsid w:val="00BB2AEB"/>
    <w:rsid w:val="00BB3263"/>
    <w:rsid w:val="00BB3388"/>
    <w:rsid w:val="00BB38B8"/>
    <w:rsid w:val="00BB3C0C"/>
    <w:rsid w:val="00BB3D88"/>
    <w:rsid w:val="00BB4859"/>
    <w:rsid w:val="00BB5E29"/>
    <w:rsid w:val="00BB5EE6"/>
    <w:rsid w:val="00BB6511"/>
    <w:rsid w:val="00BB7440"/>
    <w:rsid w:val="00BB76B5"/>
    <w:rsid w:val="00BB79C9"/>
    <w:rsid w:val="00BB7E58"/>
    <w:rsid w:val="00BC0D90"/>
    <w:rsid w:val="00BC1670"/>
    <w:rsid w:val="00BC24E5"/>
    <w:rsid w:val="00BC2E9F"/>
    <w:rsid w:val="00BC4593"/>
    <w:rsid w:val="00BC66FE"/>
    <w:rsid w:val="00BC69F1"/>
    <w:rsid w:val="00BC7109"/>
    <w:rsid w:val="00BC723C"/>
    <w:rsid w:val="00BD04E0"/>
    <w:rsid w:val="00BD08E8"/>
    <w:rsid w:val="00BD12C2"/>
    <w:rsid w:val="00BD203D"/>
    <w:rsid w:val="00BD2803"/>
    <w:rsid w:val="00BD2D8C"/>
    <w:rsid w:val="00BD2FCC"/>
    <w:rsid w:val="00BD33C4"/>
    <w:rsid w:val="00BD369B"/>
    <w:rsid w:val="00BD3827"/>
    <w:rsid w:val="00BD4523"/>
    <w:rsid w:val="00BD4690"/>
    <w:rsid w:val="00BD6EDD"/>
    <w:rsid w:val="00BD6FEA"/>
    <w:rsid w:val="00BD716A"/>
    <w:rsid w:val="00BE34B4"/>
    <w:rsid w:val="00BE3CE8"/>
    <w:rsid w:val="00BE3FDB"/>
    <w:rsid w:val="00BE40B3"/>
    <w:rsid w:val="00BE40D6"/>
    <w:rsid w:val="00BE56E9"/>
    <w:rsid w:val="00BE5F6F"/>
    <w:rsid w:val="00BE63D1"/>
    <w:rsid w:val="00BE66D6"/>
    <w:rsid w:val="00BE7D18"/>
    <w:rsid w:val="00BF510E"/>
    <w:rsid w:val="00BF5251"/>
    <w:rsid w:val="00BF53E4"/>
    <w:rsid w:val="00BF546D"/>
    <w:rsid w:val="00BF6125"/>
    <w:rsid w:val="00BF6C52"/>
    <w:rsid w:val="00BF75D0"/>
    <w:rsid w:val="00BF75EC"/>
    <w:rsid w:val="00C00429"/>
    <w:rsid w:val="00C00F57"/>
    <w:rsid w:val="00C01221"/>
    <w:rsid w:val="00C01B53"/>
    <w:rsid w:val="00C01F3E"/>
    <w:rsid w:val="00C0227A"/>
    <w:rsid w:val="00C02426"/>
    <w:rsid w:val="00C02A1B"/>
    <w:rsid w:val="00C02B3B"/>
    <w:rsid w:val="00C030F4"/>
    <w:rsid w:val="00C032A0"/>
    <w:rsid w:val="00C03503"/>
    <w:rsid w:val="00C04B71"/>
    <w:rsid w:val="00C04C0D"/>
    <w:rsid w:val="00C050F4"/>
    <w:rsid w:val="00C05BD6"/>
    <w:rsid w:val="00C05C5E"/>
    <w:rsid w:val="00C071E7"/>
    <w:rsid w:val="00C10C6C"/>
    <w:rsid w:val="00C11988"/>
    <w:rsid w:val="00C11C05"/>
    <w:rsid w:val="00C1277A"/>
    <w:rsid w:val="00C12A2C"/>
    <w:rsid w:val="00C12CC1"/>
    <w:rsid w:val="00C12DCC"/>
    <w:rsid w:val="00C148E9"/>
    <w:rsid w:val="00C15AFC"/>
    <w:rsid w:val="00C16649"/>
    <w:rsid w:val="00C176DA"/>
    <w:rsid w:val="00C17852"/>
    <w:rsid w:val="00C1797C"/>
    <w:rsid w:val="00C17B0D"/>
    <w:rsid w:val="00C17C5A"/>
    <w:rsid w:val="00C217A6"/>
    <w:rsid w:val="00C23624"/>
    <w:rsid w:val="00C2368A"/>
    <w:rsid w:val="00C30582"/>
    <w:rsid w:val="00C32191"/>
    <w:rsid w:val="00C3302D"/>
    <w:rsid w:val="00C33EBE"/>
    <w:rsid w:val="00C342A8"/>
    <w:rsid w:val="00C344EA"/>
    <w:rsid w:val="00C34A7D"/>
    <w:rsid w:val="00C34DB2"/>
    <w:rsid w:val="00C3744E"/>
    <w:rsid w:val="00C37BAF"/>
    <w:rsid w:val="00C40827"/>
    <w:rsid w:val="00C4186C"/>
    <w:rsid w:val="00C41BD1"/>
    <w:rsid w:val="00C420E3"/>
    <w:rsid w:val="00C42340"/>
    <w:rsid w:val="00C428F4"/>
    <w:rsid w:val="00C42A82"/>
    <w:rsid w:val="00C42E05"/>
    <w:rsid w:val="00C42F0F"/>
    <w:rsid w:val="00C4341A"/>
    <w:rsid w:val="00C4422E"/>
    <w:rsid w:val="00C4442B"/>
    <w:rsid w:val="00C448AD"/>
    <w:rsid w:val="00C4554D"/>
    <w:rsid w:val="00C45953"/>
    <w:rsid w:val="00C45E3A"/>
    <w:rsid w:val="00C460A5"/>
    <w:rsid w:val="00C46DFA"/>
    <w:rsid w:val="00C47251"/>
    <w:rsid w:val="00C502A4"/>
    <w:rsid w:val="00C50559"/>
    <w:rsid w:val="00C50625"/>
    <w:rsid w:val="00C50CE1"/>
    <w:rsid w:val="00C5145D"/>
    <w:rsid w:val="00C5269A"/>
    <w:rsid w:val="00C529E6"/>
    <w:rsid w:val="00C52D8B"/>
    <w:rsid w:val="00C52D92"/>
    <w:rsid w:val="00C5639C"/>
    <w:rsid w:val="00C565CA"/>
    <w:rsid w:val="00C56861"/>
    <w:rsid w:val="00C57124"/>
    <w:rsid w:val="00C57161"/>
    <w:rsid w:val="00C616AC"/>
    <w:rsid w:val="00C62321"/>
    <w:rsid w:val="00C62994"/>
    <w:rsid w:val="00C62DFB"/>
    <w:rsid w:val="00C635A1"/>
    <w:rsid w:val="00C63A65"/>
    <w:rsid w:val="00C659B8"/>
    <w:rsid w:val="00C6711A"/>
    <w:rsid w:val="00C70277"/>
    <w:rsid w:val="00C704D3"/>
    <w:rsid w:val="00C71068"/>
    <w:rsid w:val="00C71B81"/>
    <w:rsid w:val="00C72432"/>
    <w:rsid w:val="00C7244C"/>
    <w:rsid w:val="00C72983"/>
    <w:rsid w:val="00C73475"/>
    <w:rsid w:val="00C73DBD"/>
    <w:rsid w:val="00C75BDC"/>
    <w:rsid w:val="00C7728A"/>
    <w:rsid w:val="00C80118"/>
    <w:rsid w:val="00C8288F"/>
    <w:rsid w:val="00C830DC"/>
    <w:rsid w:val="00C8323D"/>
    <w:rsid w:val="00C83B59"/>
    <w:rsid w:val="00C84987"/>
    <w:rsid w:val="00C858DB"/>
    <w:rsid w:val="00C85A1A"/>
    <w:rsid w:val="00C85B88"/>
    <w:rsid w:val="00C862EF"/>
    <w:rsid w:val="00C8673A"/>
    <w:rsid w:val="00C86B5D"/>
    <w:rsid w:val="00C871C7"/>
    <w:rsid w:val="00C87734"/>
    <w:rsid w:val="00C87910"/>
    <w:rsid w:val="00C901CF"/>
    <w:rsid w:val="00C903FB"/>
    <w:rsid w:val="00C90DA1"/>
    <w:rsid w:val="00C9103C"/>
    <w:rsid w:val="00C9111C"/>
    <w:rsid w:val="00C915F0"/>
    <w:rsid w:val="00C918A6"/>
    <w:rsid w:val="00C9312C"/>
    <w:rsid w:val="00C93448"/>
    <w:rsid w:val="00C93A97"/>
    <w:rsid w:val="00C95892"/>
    <w:rsid w:val="00C95AC7"/>
    <w:rsid w:val="00C972E7"/>
    <w:rsid w:val="00C97AB9"/>
    <w:rsid w:val="00C97F9B"/>
    <w:rsid w:val="00CA11A0"/>
    <w:rsid w:val="00CA3E42"/>
    <w:rsid w:val="00CA52C5"/>
    <w:rsid w:val="00CA531D"/>
    <w:rsid w:val="00CA5C54"/>
    <w:rsid w:val="00CA5FDC"/>
    <w:rsid w:val="00CA669A"/>
    <w:rsid w:val="00CA7394"/>
    <w:rsid w:val="00CA79F9"/>
    <w:rsid w:val="00CB00AC"/>
    <w:rsid w:val="00CB06D8"/>
    <w:rsid w:val="00CB0E90"/>
    <w:rsid w:val="00CB118D"/>
    <w:rsid w:val="00CB11A3"/>
    <w:rsid w:val="00CB1908"/>
    <w:rsid w:val="00CB1D42"/>
    <w:rsid w:val="00CB1FD1"/>
    <w:rsid w:val="00CB28D5"/>
    <w:rsid w:val="00CB2E3C"/>
    <w:rsid w:val="00CB3347"/>
    <w:rsid w:val="00CB36C8"/>
    <w:rsid w:val="00CB3C52"/>
    <w:rsid w:val="00CB4C2F"/>
    <w:rsid w:val="00CB50F4"/>
    <w:rsid w:val="00CB5357"/>
    <w:rsid w:val="00CB64AF"/>
    <w:rsid w:val="00CB7BF9"/>
    <w:rsid w:val="00CC1399"/>
    <w:rsid w:val="00CC1725"/>
    <w:rsid w:val="00CC1D83"/>
    <w:rsid w:val="00CC229D"/>
    <w:rsid w:val="00CC34EE"/>
    <w:rsid w:val="00CC5288"/>
    <w:rsid w:val="00CC5353"/>
    <w:rsid w:val="00CC54FF"/>
    <w:rsid w:val="00CC6357"/>
    <w:rsid w:val="00CC67A8"/>
    <w:rsid w:val="00CC6CEF"/>
    <w:rsid w:val="00CC7BF3"/>
    <w:rsid w:val="00CD0164"/>
    <w:rsid w:val="00CD0AAA"/>
    <w:rsid w:val="00CD25CD"/>
    <w:rsid w:val="00CD37F2"/>
    <w:rsid w:val="00CD4C78"/>
    <w:rsid w:val="00CD4DB1"/>
    <w:rsid w:val="00CD6353"/>
    <w:rsid w:val="00CD648E"/>
    <w:rsid w:val="00CD7167"/>
    <w:rsid w:val="00CD7416"/>
    <w:rsid w:val="00CE0D04"/>
    <w:rsid w:val="00CE13B4"/>
    <w:rsid w:val="00CE13D6"/>
    <w:rsid w:val="00CE1614"/>
    <w:rsid w:val="00CE17EB"/>
    <w:rsid w:val="00CE1C0D"/>
    <w:rsid w:val="00CE1CD4"/>
    <w:rsid w:val="00CE20B9"/>
    <w:rsid w:val="00CE25B4"/>
    <w:rsid w:val="00CE3933"/>
    <w:rsid w:val="00CE393B"/>
    <w:rsid w:val="00CE4E34"/>
    <w:rsid w:val="00CE4F38"/>
    <w:rsid w:val="00CE61B7"/>
    <w:rsid w:val="00CE6698"/>
    <w:rsid w:val="00CE6C8B"/>
    <w:rsid w:val="00CE6F82"/>
    <w:rsid w:val="00CE7259"/>
    <w:rsid w:val="00CF0DF8"/>
    <w:rsid w:val="00CF1133"/>
    <w:rsid w:val="00CF13E8"/>
    <w:rsid w:val="00CF4692"/>
    <w:rsid w:val="00CF78CD"/>
    <w:rsid w:val="00D0095D"/>
    <w:rsid w:val="00D009B1"/>
    <w:rsid w:val="00D00C7F"/>
    <w:rsid w:val="00D01D6F"/>
    <w:rsid w:val="00D01ED9"/>
    <w:rsid w:val="00D02736"/>
    <w:rsid w:val="00D02A53"/>
    <w:rsid w:val="00D033BB"/>
    <w:rsid w:val="00D03B15"/>
    <w:rsid w:val="00D03D4D"/>
    <w:rsid w:val="00D05259"/>
    <w:rsid w:val="00D05AF6"/>
    <w:rsid w:val="00D06DD4"/>
    <w:rsid w:val="00D11050"/>
    <w:rsid w:val="00D11DFB"/>
    <w:rsid w:val="00D11E3A"/>
    <w:rsid w:val="00D11F0B"/>
    <w:rsid w:val="00D12B0D"/>
    <w:rsid w:val="00D12B8A"/>
    <w:rsid w:val="00D13500"/>
    <w:rsid w:val="00D147EC"/>
    <w:rsid w:val="00D14B68"/>
    <w:rsid w:val="00D1545C"/>
    <w:rsid w:val="00D161A4"/>
    <w:rsid w:val="00D169FC"/>
    <w:rsid w:val="00D16ABE"/>
    <w:rsid w:val="00D16BF1"/>
    <w:rsid w:val="00D16CAE"/>
    <w:rsid w:val="00D17B61"/>
    <w:rsid w:val="00D20255"/>
    <w:rsid w:val="00D207FB"/>
    <w:rsid w:val="00D216C4"/>
    <w:rsid w:val="00D23232"/>
    <w:rsid w:val="00D24896"/>
    <w:rsid w:val="00D24A57"/>
    <w:rsid w:val="00D25A73"/>
    <w:rsid w:val="00D25D08"/>
    <w:rsid w:val="00D25F67"/>
    <w:rsid w:val="00D26A56"/>
    <w:rsid w:val="00D273FB"/>
    <w:rsid w:val="00D307FD"/>
    <w:rsid w:val="00D317CB"/>
    <w:rsid w:val="00D32C9E"/>
    <w:rsid w:val="00D32F02"/>
    <w:rsid w:val="00D339FF"/>
    <w:rsid w:val="00D37008"/>
    <w:rsid w:val="00D40744"/>
    <w:rsid w:val="00D40F72"/>
    <w:rsid w:val="00D415F1"/>
    <w:rsid w:val="00D419B2"/>
    <w:rsid w:val="00D43BDA"/>
    <w:rsid w:val="00D45077"/>
    <w:rsid w:val="00D456B1"/>
    <w:rsid w:val="00D45AFB"/>
    <w:rsid w:val="00D4659A"/>
    <w:rsid w:val="00D469FC"/>
    <w:rsid w:val="00D46E9E"/>
    <w:rsid w:val="00D4771C"/>
    <w:rsid w:val="00D4772D"/>
    <w:rsid w:val="00D478AA"/>
    <w:rsid w:val="00D47AA1"/>
    <w:rsid w:val="00D500ED"/>
    <w:rsid w:val="00D501A9"/>
    <w:rsid w:val="00D5032B"/>
    <w:rsid w:val="00D5071C"/>
    <w:rsid w:val="00D52732"/>
    <w:rsid w:val="00D52CAE"/>
    <w:rsid w:val="00D531E9"/>
    <w:rsid w:val="00D53AB3"/>
    <w:rsid w:val="00D53B4C"/>
    <w:rsid w:val="00D54F55"/>
    <w:rsid w:val="00D551E5"/>
    <w:rsid w:val="00D55BF5"/>
    <w:rsid w:val="00D56F5D"/>
    <w:rsid w:val="00D572DC"/>
    <w:rsid w:val="00D57CCA"/>
    <w:rsid w:val="00D57DB2"/>
    <w:rsid w:val="00D63634"/>
    <w:rsid w:val="00D638A4"/>
    <w:rsid w:val="00D63CAD"/>
    <w:rsid w:val="00D653E3"/>
    <w:rsid w:val="00D664FC"/>
    <w:rsid w:val="00D670FB"/>
    <w:rsid w:val="00D709DF"/>
    <w:rsid w:val="00D70C6D"/>
    <w:rsid w:val="00D71078"/>
    <w:rsid w:val="00D719C7"/>
    <w:rsid w:val="00D72AC9"/>
    <w:rsid w:val="00D74640"/>
    <w:rsid w:val="00D756F1"/>
    <w:rsid w:val="00D76227"/>
    <w:rsid w:val="00D76324"/>
    <w:rsid w:val="00D76D10"/>
    <w:rsid w:val="00D7758D"/>
    <w:rsid w:val="00D778C9"/>
    <w:rsid w:val="00D77CB3"/>
    <w:rsid w:val="00D77DED"/>
    <w:rsid w:val="00D803D2"/>
    <w:rsid w:val="00D81017"/>
    <w:rsid w:val="00D8149B"/>
    <w:rsid w:val="00D81655"/>
    <w:rsid w:val="00D82ABE"/>
    <w:rsid w:val="00D8380E"/>
    <w:rsid w:val="00D83ED5"/>
    <w:rsid w:val="00D85313"/>
    <w:rsid w:val="00D86414"/>
    <w:rsid w:val="00D8764B"/>
    <w:rsid w:val="00D9001A"/>
    <w:rsid w:val="00D911A8"/>
    <w:rsid w:val="00D919D8"/>
    <w:rsid w:val="00D92118"/>
    <w:rsid w:val="00D92D4A"/>
    <w:rsid w:val="00D93229"/>
    <w:rsid w:val="00D93F1B"/>
    <w:rsid w:val="00D9464E"/>
    <w:rsid w:val="00D94F72"/>
    <w:rsid w:val="00D95773"/>
    <w:rsid w:val="00D96302"/>
    <w:rsid w:val="00D96526"/>
    <w:rsid w:val="00D96C96"/>
    <w:rsid w:val="00D96D01"/>
    <w:rsid w:val="00D96F33"/>
    <w:rsid w:val="00DA05B3"/>
    <w:rsid w:val="00DA156B"/>
    <w:rsid w:val="00DA1C90"/>
    <w:rsid w:val="00DA31C4"/>
    <w:rsid w:val="00DA3BC4"/>
    <w:rsid w:val="00DA4E89"/>
    <w:rsid w:val="00DA5086"/>
    <w:rsid w:val="00DA5F91"/>
    <w:rsid w:val="00DA69F6"/>
    <w:rsid w:val="00DA6A7A"/>
    <w:rsid w:val="00DA7CFB"/>
    <w:rsid w:val="00DA7D0D"/>
    <w:rsid w:val="00DB0A9E"/>
    <w:rsid w:val="00DB0DC6"/>
    <w:rsid w:val="00DB115B"/>
    <w:rsid w:val="00DB1D7A"/>
    <w:rsid w:val="00DB1F44"/>
    <w:rsid w:val="00DB21B1"/>
    <w:rsid w:val="00DB37FC"/>
    <w:rsid w:val="00DB40D7"/>
    <w:rsid w:val="00DB4C2E"/>
    <w:rsid w:val="00DB4CCE"/>
    <w:rsid w:val="00DB5E4B"/>
    <w:rsid w:val="00DC0458"/>
    <w:rsid w:val="00DC079B"/>
    <w:rsid w:val="00DC10B7"/>
    <w:rsid w:val="00DC36FB"/>
    <w:rsid w:val="00DC49FA"/>
    <w:rsid w:val="00DC4D65"/>
    <w:rsid w:val="00DC4F75"/>
    <w:rsid w:val="00DC5ABF"/>
    <w:rsid w:val="00DC698D"/>
    <w:rsid w:val="00DC6A9C"/>
    <w:rsid w:val="00DC6F1A"/>
    <w:rsid w:val="00DC71DF"/>
    <w:rsid w:val="00DC7306"/>
    <w:rsid w:val="00DC7BF5"/>
    <w:rsid w:val="00DD050D"/>
    <w:rsid w:val="00DD0C70"/>
    <w:rsid w:val="00DD2F67"/>
    <w:rsid w:val="00DD3629"/>
    <w:rsid w:val="00DD3C49"/>
    <w:rsid w:val="00DD4C0F"/>
    <w:rsid w:val="00DD5082"/>
    <w:rsid w:val="00DD59E6"/>
    <w:rsid w:val="00DD6443"/>
    <w:rsid w:val="00DD703C"/>
    <w:rsid w:val="00DD73FF"/>
    <w:rsid w:val="00DD78C0"/>
    <w:rsid w:val="00DE0E9D"/>
    <w:rsid w:val="00DE2357"/>
    <w:rsid w:val="00DE335F"/>
    <w:rsid w:val="00DE4537"/>
    <w:rsid w:val="00DE4D47"/>
    <w:rsid w:val="00DE5B94"/>
    <w:rsid w:val="00DE5F9E"/>
    <w:rsid w:val="00DE6456"/>
    <w:rsid w:val="00DE75D3"/>
    <w:rsid w:val="00DF1C31"/>
    <w:rsid w:val="00DF1EFD"/>
    <w:rsid w:val="00DF2201"/>
    <w:rsid w:val="00DF2638"/>
    <w:rsid w:val="00DF3057"/>
    <w:rsid w:val="00DF416A"/>
    <w:rsid w:val="00DF49F2"/>
    <w:rsid w:val="00DF58D1"/>
    <w:rsid w:val="00DF5BFB"/>
    <w:rsid w:val="00DF6490"/>
    <w:rsid w:val="00DF7E67"/>
    <w:rsid w:val="00E00275"/>
    <w:rsid w:val="00E0067E"/>
    <w:rsid w:val="00E02305"/>
    <w:rsid w:val="00E02903"/>
    <w:rsid w:val="00E03246"/>
    <w:rsid w:val="00E04F68"/>
    <w:rsid w:val="00E059C0"/>
    <w:rsid w:val="00E05B05"/>
    <w:rsid w:val="00E079C6"/>
    <w:rsid w:val="00E12291"/>
    <w:rsid w:val="00E12BF2"/>
    <w:rsid w:val="00E13620"/>
    <w:rsid w:val="00E1369E"/>
    <w:rsid w:val="00E14BBA"/>
    <w:rsid w:val="00E150BC"/>
    <w:rsid w:val="00E1544A"/>
    <w:rsid w:val="00E15C1C"/>
    <w:rsid w:val="00E16292"/>
    <w:rsid w:val="00E17562"/>
    <w:rsid w:val="00E17C17"/>
    <w:rsid w:val="00E17FD3"/>
    <w:rsid w:val="00E20EFF"/>
    <w:rsid w:val="00E21487"/>
    <w:rsid w:val="00E23053"/>
    <w:rsid w:val="00E23858"/>
    <w:rsid w:val="00E2390C"/>
    <w:rsid w:val="00E23E96"/>
    <w:rsid w:val="00E23FBC"/>
    <w:rsid w:val="00E241A0"/>
    <w:rsid w:val="00E2429A"/>
    <w:rsid w:val="00E24489"/>
    <w:rsid w:val="00E247DC"/>
    <w:rsid w:val="00E251FD"/>
    <w:rsid w:val="00E26E24"/>
    <w:rsid w:val="00E274A6"/>
    <w:rsid w:val="00E30B61"/>
    <w:rsid w:val="00E318FE"/>
    <w:rsid w:val="00E323B3"/>
    <w:rsid w:val="00E334F8"/>
    <w:rsid w:val="00E335F4"/>
    <w:rsid w:val="00E34AA5"/>
    <w:rsid w:val="00E34F3E"/>
    <w:rsid w:val="00E35211"/>
    <w:rsid w:val="00E358FA"/>
    <w:rsid w:val="00E35E9C"/>
    <w:rsid w:val="00E35F92"/>
    <w:rsid w:val="00E3645B"/>
    <w:rsid w:val="00E36AF6"/>
    <w:rsid w:val="00E372F2"/>
    <w:rsid w:val="00E37BE1"/>
    <w:rsid w:val="00E40654"/>
    <w:rsid w:val="00E41768"/>
    <w:rsid w:val="00E42C28"/>
    <w:rsid w:val="00E43469"/>
    <w:rsid w:val="00E447BE"/>
    <w:rsid w:val="00E44CEB"/>
    <w:rsid w:val="00E451D4"/>
    <w:rsid w:val="00E4586B"/>
    <w:rsid w:val="00E45D19"/>
    <w:rsid w:val="00E469DF"/>
    <w:rsid w:val="00E51C58"/>
    <w:rsid w:val="00E51E26"/>
    <w:rsid w:val="00E52105"/>
    <w:rsid w:val="00E53187"/>
    <w:rsid w:val="00E53953"/>
    <w:rsid w:val="00E54A7C"/>
    <w:rsid w:val="00E552E4"/>
    <w:rsid w:val="00E55727"/>
    <w:rsid w:val="00E55E20"/>
    <w:rsid w:val="00E563DA"/>
    <w:rsid w:val="00E56694"/>
    <w:rsid w:val="00E566D4"/>
    <w:rsid w:val="00E60417"/>
    <w:rsid w:val="00E605AD"/>
    <w:rsid w:val="00E61AB2"/>
    <w:rsid w:val="00E635E8"/>
    <w:rsid w:val="00E642FC"/>
    <w:rsid w:val="00E645BF"/>
    <w:rsid w:val="00E648F1"/>
    <w:rsid w:val="00E650C0"/>
    <w:rsid w:val="00E66DBE"/>
    <w:rsid w:val="00E66F4B"/>
    <w:rsid w:val="00E67224"/>
    <w:rsid w:val="00E701D5"/>
    <w:rsid w:val="00E733CB"/>
    <w:rsid w:val="00E73966"/>
    <w:rsid w:val="00E73D12"/>
    <w:rsid w:val="00E7471C"/>
    <w:rsid w:val="00E74762"/>
    <w:rsid w:val="00E74F16"/>
    <w:rsid w:val="00E75A03"/>
    <w:rsid w:val="00E75B07"/>
    <w:rsid w:val="00E7737F"/>
    <w:rsid w:val="00E777B4"/>
    <w:rsid w:val="00E77E0A"/>
    <w:rsid w:val="00E816CE"/>
    <w:rsid w:val="00E81A86"/>
    <w:rsid w:val="00E82347"/>
    <w:rsid w:val="00E83469"/>
    <w:rsid w:val="00E85F62"/>
    <w:rsid w:val="00E871B6"/>
    <w:rsid w:val="00E874AA"/>
    <w:rsid w:val="00E87950"/>
    <w:rsid w:val="00E87AE0"/>
    <w:rsid w:val="00E9289B"/>
    <w:rsid w:val="00E928D3"/>
    <w:rsid w:val="00E92E21"/>
    <w:rsid w:val="00E934A2"/>
    <w:rsid w:val="00E940D3"/>
    <w:rsid w:val="00E94BDC"/>
    <w:rsid w:val="00E95ECC"/>
    <w:rsid w:val="00E96BD0"/>
    <w:rsid w:val="00E97D20"/>
    <w:rsid w:val="00EA001B"/>
    <w:rsid w:val="00EA0E24"/>
    <w:rsid w:val="00EA0FFE"/>
    <w:rsid w:val="00EA11B5"/>
    <w:rsid w:val="00EA16A8"/>
    <w:rsid w:val="00EA16D5"/>
    <w:rsid w:val="00EA1EBC"/>
    <w:rsid w:val="00EA2A3C"/>
    <w:rsid w:val="00EA2B25"/>
    <w:rsid w:val="00EA2D71"/>
    <w:rsid w:val="00EA3190"/>
    <w:rsid w:val="00EA4768"/>
    <w:rsid w:val="00EA4D68"/>
    <w:rsid w:val="00EA50C1"/>
    <w:rsid w:val="00EA6896"/>
    <w:rsid w:val="00EA78B5"/>
    <w:rsid w:val="00EB0D83"/>
    <w:rsid w:val="00EB1A4F"/>
    <w:rsid w:val="00EB21A9"/>
    <w:rsid w:val="00EB3E53"/>
    <w:rsid w:val="00EB3F8E"/>
    <w:rsid w:val="00EB4331"/>
    <w:rsid w:val="00EB4D00"/>
    <w:rsid w:val="00EB51D2"/>
    <w:rsid w:val="00EC0771"/>
    <w:rsid w:val="00EC25AE"/>
    <w:rsid w:val="00EC3C26"/>
    <w:rsid w:val="00EC3F3C"/>
    <w:rsid w:val="00EC44F9"/>
    <w:rsid w:val="00EC51E6"/>
    <w:rsid w:val="00EC5A36"/>
    <w:rsid w:val="00EC5D5D"/>
    <w:rsid w:val="00EC6245"/>
    <w:rsid w:val="00EC6D41"/>
    <w:rsid w:val="00EC7D03"/>
    <w:rsid w:val="00ED0D87"/>
    <w:rsid w:val="00ED2496"/>
    <w:rsid w:val="00ED2FA7"/>
    <w:rsid w:val="00ED38DB"/>
    <w:rsid w:val="00ED3B14"/>
    <w:rsid w:val="00ED515D"/>
    <w:rsid w:val="00ED54C3"/>
    <w:rsid w:val="00ED5618"/>
    <w:rsid w:val="00ED604A"/>
    <w:rsid w:val="00ED6A96"/>
    <w:rsid w:val="00ED7A5C"/>
    <w:rsid w:val="00ED7C39"/>
    <w:rsid w:val="00EE0649"/>
    <w:rsid w:val="00EE1A0F"/>
    <w:rsid w:val="00EE28BA"/>
    <w:rsid w:val="00EE2B11"/>
    <w:rsid w:val="00EE34C0"/>
    <w:rsid w:val="00EE3DEA"/>
    <w:rsid w:val="00EE3E14"/>
    <w:rsid w:val="00EE5030"/>
    <w:rsid w:val="00EE6183"/>
    <w:rsid w:val="00EE63EC"/>
    <w:rsid w:val="00EE65D2"/>
    <w:rsid w:val="00EE68A7"/>
    <w:rsid w:val="00EE6D5A"/>
    <w:rsid w:val="00EE72A4"/>
    <w:rsid w:val="00EE74A2"/>
    <w:rsid w:val="00EF07E6"/>
    <w:rsid w:val="00EF11BB"/>
    <w:rsid w:val="00EF1B6D"/>
    <w:rsid w:val="00EF1E4E"/>
    <w:rsid w:val="00EF2086"/>
    <w:rsid w:val="00EF3A63"/>
    <w:rsid w:val="00EF43C4"/>
    <w:rsid w:val="00EF5FB9"/>
    <w:rsid w:val="00F0049C"/>
    <w:rsid w:val="00F00624"/>
    <w:rsid w:val="00F00CAC"/>
    <w:rsid w:val="00F00D4F"/>
    <w:rsid w:val="00F010A2"/>
    <w:rsid w:val="00F014F4"/>
    <w:rsid w:val="00F034D7"/>
    <w:rsid w:val="00F042CC"/>
    <w:rsid w:val="00F04874"/>
    <w:rsid w:val="00F04E7B"/>
    <w:rsid w:val="00F0543A"/>
    <w:rsid w:val="00F05906"/>
    <w:rsid w:val="00F067D4"/>
    <w:rsid w:val="00F07D10"/>
    <w:rsid w:val="00F07FC9"/>
    <w:rsid w:val="00F10022"/>
    <w:rsid w:val="00F13C3B"/>
    <w:rsid w:val="00F14A14"/>
    <w:rsid w:val="00F15509"/>
    <w:rsid w:val="00F159A6"/>
    <w:rsid w:val="00F17123"/>
    <w:rsid w:val="00F17534"/>
    <w:rsid w:val="00F17CF7"/>
    <w:rsid w:val="00F20057"/>
    <w:rsid w:val="00F2063E"/>
    <w:rsid w:val="00F20682"/>
    <w:rsid w:val="00F21273"/>
    <w:rsid w:val="00F2202E"/>
    <w:rsid w:val="00F22B94"/>
    <w:rsid w:val="00F22C93"/>
    <w:rsid w:val="00F232BE"/>
    <w:rsid w:val="00F23B6E"/>
    <w:rsid w:val="00F265B7"/>
    <w:rsid w:val="00F265FC"/>
    <w:rsid w:val="00F2699A"/>
    <w:rsid w:val="00F30114"/>
    <w:rsid w:val="00F3070E"/>
    <w:rsid w:val="00F30D93"/>
    <w:rsid w:val="00F30E95"/>
    <w:rsid w:val="00F32455"/>
    <w:rsid w:val="00F32A1B"/>
    <w:rsid w:val="00F32B4C"/>
    <w:rsid w:val="00F32C73"/>
    <w:rsid w:val="00F33EDB"/>
    <w:rsid w:val="00F345F9"/>
    <w:rsid w:val="00F3505E"/>
    <w:rsid w:val="00F36ABE"/>
    <w:rsid w:val="00F37AC1"/>
    <w:rsid w:val="00F41180"/>
    <w:rsid w:val="00F4122D"/>
    <w:rsid w:val="00F41A7A"/>
    <w:rsid w:val="00F41C29"/>
    <w:rsid w:val="00F41FCE"/>
    <w:rsid w:val="00F420B1"/>
    <w:rsid w:val="00F42E6D"/>
    <w:rsid w:val="00F44B24"/>
    <w:rsid w:val="00F4564D"/>
    <w:rsid w:val="00F45CA2"/>
    <w:rsid w:val="00F46D1C"/>
    <w:rsid w:val="00F46F9B"/>
    <w:rsid w:val="00F5168F"/>
    <w:rsid w:val="00F51939"/>
    <w:rsid w:val="00F546F8"/>
    <w:rsid w:val="00F5543E"/>
    <w:rsid w:val="00F55565"/>
    <w:rsid w:val="00F57162"/>
    <w:rsid w:val="00F57504"/>
    <w:rsid w:val="00F57982"/>
    <w:rsid w:val="00F57F1D"/>
    <w:rsid w:val="00F608C5"/>
    <w:rsid w:val="00F617CE"/>
    <w:rsid w:val="00F62128"/>
    <w:rsid w:val="00F62952"/>
    <w:rsid w:val="00F62DC0"/>
    <w:rsid w:val="00F648CC"/>
    <w:rsid w:val="00F64C36"/>
    <w:rsid w:val="00F65572"/>
    <w:rsid w:val="00F6600C"/>
    <w:rsid w:val="00F6696E"/>
    <w:rsid w:val="00F6751F"/>
    <w:rsid w:val="00F7076D"/>
    <w:rsid w:val="00F70956"/>
    <w:rsid w:val="00F70B0E"/>
    <w:rsid w:val="00F7147E"/>
    <w:rsid w:val="00F72395"/>
    <w:rsid w:val="00F72B21"/>
    <w:rsid w:val="00F73E5E"/>
    <w:rsid w:val="00F74583"/>
    <w:rsid w:val="00F74ABA"/>
    <w:rsid w:val="00F74B00"/>
    <w:rsid w:val="00F754CF"/>
    <w:rsid w:val="00F761C5"/>
    <w:rsid w:val="00F76F3C"/>
    <w:rsid w:val="00F8073D"/>
    <w:rsid w:val="00F80745"/>
    <w:rsid w:val="00F80CD7"/>
    <w:rsid w:val="00F82809"/>
    <w:rsid w:val="00F82E97"/>
    <w:rsid w:val="00F84567"/>
    <w:rsid w:val="00F85176"/>
    <w:rsid w:val="00F85DE1"/>
    <w:rsid w:val="00F86793"/>
    <w:rsid w:val="00F90F45"/>
    <w:rsid w:val="00F916AA"/>
    <w:rsid w:val="00F92BF0"/>
    <w:rsid w:val="00F93DE1"/>
    <w:rsid w:val="00F959C6"/>
    <w:rsid w:val="00F96B0B"/>
    <w:rsid w:val="00F96D30"/>
    <w:rsid w:val="00FA064B"/>
    <w:rsid w:val="00FA09C6"/>
    <w:rsid w:val="00FA11E8"/>
    <w:rsid w:val="00FA1D5E"/>
    <w:rsid w:val="00FA2370"/>
    <w:rsid w:val="00FA2C1D"/>
    <w:rsid w:val="00FA39D7"/>
    <w:rsid w:val="00FA3C3B"/>
    <w:rsid w:val="00FA3E09"/>
    <w:rsid w:val="00FA44B5"/>
    <w:rsid w:val="00FA4C9B"/>
    <w:rsid w:val="00FA519E"/>
    <w:rsid w:val="00FA64D9"/>
    <w:rsid w:val="00FA7400"/>
    <w:rsid w:val="00FA7685"/>
    <w:rsid w:val="00FA7A26"/>
    <w:rsid w:val="00FB041D"/>
    <w:rsid w:val="00FB0B89"/>
    <w:rsid w:val="00FB1948"/>
    <w:rsid w:val="00FB1B3B"/>
    <w:rsid w:val="00FB24CF"/>
    <w:rsid w:val="00FB3BD9"/>
    <w:rsid w:val="00FB4F8F"/>
    <w:rsid w:val="00FB5BD4"/>
    <w:rsid w:val="00FB5DF2"/>
    <w:rsid w:val="00FB601E"/>
    <w:rsid w:val="00FB787F"/>
    <w:rsid w:val="00FC3334"/>
    <w:rsid w:val="00FC40C7"/>
    <w:rsid w:val="00FC43E4"/>
    <w:rsid w:val="00FC4408"/>
    <w:rsid w:val="00FC4484"/>
    <w:rsid w:val="00FC4BB8"/>
    <w:rsid w:val="00FC5278"/>
    <w:rsid w:val="00FC64AF"/>
    <w:rsid w:val="00FC6B6D"/>
    <w:rsid w:val="00FD0871"/>
    <w:rsid w:val="00FD11C1"/>
    <w:rsid w:val="00FD18C7"/>
    <w:rsid w:val="00FD36AD"/>
    <w:rsid w:val="00FD446D"/>
    <w:rsid w:val="00FD494E"/>
    <w:rsid w:val="00FD6254"/>
    <w:rsid w:val="00FD6357"/>
    <w:rsid w:val="00FD6C68"/>
    <w:rsid w:val="00FD7C10"/>
    <w:rsid w:val="00FE002F"/>
    <w:rsid w:val="00FE0447"/>
    <w:rsid w:val="00FE147C"/>
    <w:rsid w:val="00FE15C7"/>
    <w:rsid w:val="00FE181C"/>
    <w:rsid w:val="00FE26AF"/>
    <w:rsid w:val="00FE308D"/>
    <w:rsid w:val="00FE30C2"/>
    <w:rsid w:val="00FE37DF"/>
    <w:rsid w:val="00FE4829"/>
    <w:rsid w:val="00FE5149"/>
    <w:rsid w:val="00FE56A3"/>
    <w:rsid w:val="00FE72D3"/>
    <w:rsid w:val="00FE737D"/>
    <w:rsid w:val="00FE76CE"/>
    <w:rsid w:val="00FE782E"/>
    <w:rsid w:val="00FE7943"/>
    <w:rsid w:val="00FF01F1"/>
    <w:rsid w:val="00FF0873"/>
    <w:rsid w:val="00FF0922"/>
    <w:rsid w:val="00FF10E9"/>
    <w:rsid w:val="00FF156C"/>
    <w:rsid w:val="00FF318E"/>
    <w:rsid w:val="00FF49B5"/>
    <w:rsid w:val="00FF536F"/>
    <w:rsid w:val="00FF73E9"/>
    <w:rsid w:val="07D46551"/>
    <w:rsid w:val="39374B6F"/>
    <w:rsid w:val="3AE016A7"/>
    <w:rsid w:val="3CDA66DC"/>
    <w:rsid w:val="3D25677E"/>
    <w:rsid w:val="58F17AAB"/>
    <w:rsid w:val="5D803576"/>
    <w:rsid w:val="607B7A2E"/>
    <w:rsid w:val="6C277D7F"/>
    <w:rsid w:val="7D2166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0" w:semiHidden="0" w:name="footnote text"/>
    <w:lsdException w:qFormat="1" w:uiPriority="99" w:semiHidden="0" w:name="annotation text"/>
    <w:lsdException w:qFormat="1" w:uiPriority="0" w:semiHidden="0" w:name="header"/>
    <w:lsdException w:qFormat="1" w:uiPriority="99" w:semiHidden="0" w:name="footer"/>
    <w:lsdException w:uiPriority="99" w:name="index heading"/>
    <w:lsdException w:qFormat="1" w:uiPriority="35" w:semiHidden="0" w:name="caption"/>
    <w:lsdException w:uiPriority="99" w:name="table of figures"/>
    <w:lsdException w:uiPriority="99" w:name="envelope address"/>
    <w:lsdException w:uiPriority="99" w:name="envelope return"/>
    <w:lsdException w:uiPriority="99" w:name="footnote reference"/>
    <w:lsdException w:qFormat="1" w:uiPriority="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qFormat="1" w:uiPriority="99" w:semiHidden="0"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qFormat="1"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ind w:firstLine="643" w:firstLineChars="20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33"/>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25"/>
    <w:qFormat/>
    <w:uiPriority w:val="0"/>
    <w:pPr>
      <w:keepNext/>
      <w:keepLines/>
      <w:ind w:firstLine="0" w:firstLineChars="0"/>
      <w:outlineLvl w:val="1"/>
    </w:pPr>
    <w:rPr>
      <w:rFonts w:ascii="Arial" w:hAnsi="Arial" w:eastAsia="黑体"/>
      <w:sz w:val="28"/>
    </w:rPr>
  </w:style>
  <w:style w:type="paragraph" w:styleId="4">
    <w:name w:val="heading 3"/>
    <w:basedOn w:val="1"/>
    <w:next w:val="1"/>
    <w:link w:val="26"/>
    <w:qFormat/>
    <w:uiPriority w:val="0"/>
    <w:pPr>
      <w:keepNext/>
      <w:keepLines/>
      <w:ind w:firstLine="0" w:firstLineChars="0"/>
      <w:jc w:val="left"/>
      <w:outlineLvl w:val="2"/>
    </w:pPr>
    <w:rPr>
      <w:rFonts w:eastAsia="黑体"/>
    </w:rPr>
  </w:style>
  <w:style w:type="paragraph" w:styleId="5">
    <w:name w:val="heading 4"/>
    <w:basedOn w:val="1"/>
    <w:next w:val="1"/>
    <w:link w:val="27"/>
    <w:qFormat/>
    <w:uiPriority w:val="0"/>
    <w:pPr>
      <w:keepNext/>
      <w:keepLines/>
      <w:ind w:firstLine="0" w:firstLineChars="0"/>
      <w:outlineLvl w:val="3"/>
    </w:pPr>
    <w:rPr>
      <w:rFonts w:eastAsia="黑体"/>
      <w:szCs w:val="21"/>
    </w:rPr>
  </w:style>
  <w:style w:type="character" w:default="1" w:styleId="6">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8">
    <w:name w:val="Body Text"/>
    <w:basedOn w:val="1"/>
    <w:link w:val="22"/>
    <w:qFormat/>
    <w:uiPriority w:val="1"/>
    <w:pPr>
      <w:ind w:left="480" w:hanging="480" w:hangingChars="200"/>
    </w:pPr>
    <w:rPr>
      <w:szCs w:val="21"/>
    </w:rPr>
  </w:style>
  <w:style w:type="paragraph" w:styleId="9">
    <w:name w:val="caption"/>
    <w:basedOn w:val="1"/>
    <w:next w:val="1"/>
    <w:unhideWhenUsed/>
    <w:qFormat/>
    <w:uiPriority w:val="35"/>
    <w:rPr>
      <w:rFonts w:eastAsia="黑体" w:asciiTheme="majorHAnsi" w:hAnsiTheme="majorHAnsi" w:cstheme="majorBidi"/>
      <w:sz w:val="20"/>
      <w:szCs w:val="20"/>
    </w:rPr>
  </w:style>
  <w:style w:type="character" w:styleId="10">
    <w:name w:val="annotation reference"/>
    <w:basedOn w:val="6"/>
    <w:semiHidden/>
    <w:unhideWhenUsed/>
    <w:qFormat/>
    <w:uiPriority w:val="0"/>
    <w:rPr>
      <w:sz w:val="21"/>
      <w:szCs w:val="21"/>
    </w:rPr>
  </w:style>
  <w:style w:type="paragraph" w:styleId="11">
    <w:name w:val="annotation text"/>
    <w:basedOn w:val="1"/>
    <w:link w:val="41"/>
    <w:unhideWhenUsed/>
    <w:qFormat/>
    <w:uiPriority w:val="99"/>
    <w:pPr>
      <w:jc w:val="left"/>
    </w:pPr>
  </w:style>
  <w:style w:type="paragraph" w:styleId="12">
    <w:name w:val="annotation subject"/>
    <w:basedOn w:val="11"/>
    <w:next w:val="11"/>
    <w:link w:val="42"/>
    <w:semiHidden/>
    <w:unhideWhenUsed/>
    <w:qFormat/>
    <w:uiPriority w:val="99"/>
    <w:rPr>
      <w:b/>
      <w:bCs/>
    </w:rPr>
  </w:style>
  <w:style w:type="paragraph" w:styleId="13">
    <w:name w:val="footer"/>
    <w:basedOn w:val="1"/>
    <w:link w:val="29"/>
    <w:unhideWhenUsed/>
    <w:qFormat/>
    <w:uiPriority w:val="99"/>
    <w:pPr>
      <w:tabs>
        <w:tab w:val="center" w:pos="4153"/>
        <w:tab w:val="right" w:pos="8306"/>
      </w:tabs>
      <w:snapToGrid w:val="0"/>
      <w:jc w:val="left"/>
    </w:pPr>
    <w:rPr>
      <w:sz w:val="18"/>
      <w:szCs w:val="18"/>
    </w:rPr>
  </w:style>
  <w:style w:type="paragraph" w:styleId="14">
    <w:name w:val="footnote text"/>
    <w:basedOn w:val="1"/>
    <w:link w:val="45"/>
    <w:unhideWhenUsed/>
    <w:qFormat/>
    <w:uiPriority w:val="0"/>
    <w:pPr>
      <w:snapToGrid w:val="0"/>
      <w:ind w:firstLine="0" w:firstLineChars="0"/>
      <w:jc w:val="left"/>
    </w:pPr>
    <w:rPr>
      <w:rFonts w:ascii="Calibri" w:hAnsi="Calibri" w:cs="黑体"/>
      <w:sz w:val="18"/>
      <w:szCs w:val="20"/>
    </w:rPr>
  </w:style>
  <w:style w:type="paragraph" w:styleId="15">
    <w:name w:val="header"/>
    <w:basedOn w:val="1"/>
    <w:link w:val="28"/>
    <w:unhideWhenUsed/>
    <w:qFormat/>
    <w:uiPriority w:val="0"/>
    <w:pPr>
      <w:tabs>
        <w:tab w:val="center" w:pos="4153"/>
        <w:tab w:val="right" w:pos="8306"/>
      </w:tabs>
      <w:snapToGrid w:val="0"/>
      <w:jc w:val="center"/>
    </w:pPr>
    <w:rPr>
      <w:sz w:val="18"/>
      <w:szCs w:val="18"/>
    </w:rPr>
  </w:style>
  <w:style w:type="character" w:styleId="16">
    <w:name w:val="Hyperlink"/>
    <w:basedOn w:val="6"/>
    <w:unhideWhenUsed/>
    <w:qFormat/>
    <w:uiPriority w:val="99"/>
    <w:rPr>
      <w:color w:val="467886" w:themeColor="hyperlink"/>
      <w:u w:val="single"/>
      <w14:textFill>
        <w14:solidFill>
          <w14:schemeClr w14:val="hlink"/>
        </w14:solidFill>
      </w14:textFill>
    </w:rPr>
  </w:style>
  <w:style w:type="paragraph" w:styleId="17">
    <w:name w:val="Normal (Web)"/>
    <w:basedOn w:val="1"/>
    <w:semiHidden/>
    <w:unhideWhenUsed/>
    <w:qFormat/>
    <w:uiPriority w:val="99"/>
    <w:rPr>
      <w:sz w:val="24"/>
    </w:rPr>
  </w:style>
  <w:style w:type="character" w:styleId="18">
    <w:name w:val="Strong"/>
    <w:qFormat/>
    <w:uiPriority w:val="22"/>
    <w:rPr>
      <w:b/>
      <w:bCs/>
    </w:rPr>
  </w:style>
  <w:style w:type="table" w:styleId="19">
    <w:name w:val="Table Grid"/>
    <w:basedOn w:val="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20">
    <w:name w:val="表格文字"/>
    <w:basedOn w:val="1"/>
    <w:next w:val="1"/>
    <w:qFormat/>
    <w:uiPriority w:val="0"/>
    <w:pPr>
      <w:keepNext/>
      <w:keepLines/>
      <w:ind w:firstLine="0" w:firstLineChars="0"/>
      <w:jc w:val="center"/>
      <w:outlineLvl w:val="0"/>
    </w:pPr>
    <w:rPr>
      <w:kern w:val="44"/>
      <w:szCs w:val="21"/>
    </w:rPr>
  </w:style>
  <w:style w:type="paragraph" w:customStyle="1" w:styleId="21">
    <w:name w:val="图名"/>
    <w:link w:val="30"/>
    <w:qFormat/>
    <w:uiPriority w:val="0"/>
    <w:pPr>
      <w:keepNext/>
      <w:keepLines/>
      <w:spacing w:before="120" w:after="120"/>
      <w:jc w:val="center"/>
      <w:outlineLvl w:val="0"/>
    </w:pPr>
    <w:rPr>
      <w:rFonts w:hint="eastAsia" w:ascii="Calibri" w:hAnsi="Calibri" w:eastAsia="宋体" w:cs="Times New Roman"/>
      <w:kern w:val="44"/>
      <w:sz w:val="21"/>
      <w:lang w:val="en-US" w:eastAsia="zh-CN" w:bidi="ar-SA"/>
    </w:rPr>
  </w:style>
  <w:style w:type="character" w:customStyle="1" w:styleId="22">
    <w:name w:val="正文文本 字符"/>
    <w:basedOn w:val="6"/>
    <w:link w:val="8"/>
    <w:qFormat/>
    <w:uiPriority w:val="1"/>
    <w:rPr>
      <w:rFonts w:ascii="Times New Roman" w:hAnsi="Times New Roman" w:eastAsia="宋体" w:cs="Times New Roman"/>
      <w:szCs w:val="21"/>
    </w:rPr>
  </w:style>
  <w:style w:type="paragraph" w:customStyle="1" w:styleId="23">
    <w:name w:val="正文段落"/>
    <w:next w:val="1"/>
    <w:qFormat/>
    <w:uiPriority w:val="0"/>
    <w:pPr>
      <w:keepNext/>
      <w:keepLines/>
      <w:jc w:val="center"/>
      <w:outlineLvl w:val="0"/>
    </w:pPr>
    <w:rPr>
      <w:rFonts w:ascii="Times New Roman" w:hAnsi="Times New Roman" w:eastAsia="宋体" w:cs="Times New Roman"/>
      <w:kern w:val="44"/>
      <w:sz w:val="21"/>
      <w:szCs w:val="21"/>
      <w:lang w:val="en-US" w:eastAsia="zh-CN" w:bidi="ar-SA"/>
    </w:rPr>
  </w:style>
  <w:style w:type="paragraph" w:styleId="24">
    <w:name w:val="No Spacing"/>
    <w:next w:val="1"/>
    <w:qFormat/>
    <w:uiPriority w:val="1"/>
    <w:pPr>
      <w:widowControl w:val="0"/>
      <w:spacing w:before="120" w:after="120"/>
      <w:outlineLvl w:val="2"/>
    </w:pPr>
    <w:rPr>
      <w:rFonts w:ascii="Times New Roman" w:hAnsi="Times New Roman" w:eastAsia="黑体" w:cs="Times New Roman"/>
      <w:kern w:val="2"/>
      <w:sz w:val="28"/>
      <w:szCs w:val="21"/>
      <w:lang w:val="en-US" w:eastAsia="zh-CN" w:bidi="ar-SA"/>
    </w:rPr>
  </w:style>
  <w:style w:type="character" w:customStyle="1" w:styleId="25">
    <w:name w:val="标题 2 字符"/>
    <w:basedOn w:val="6"/>
    <w:link w:val="3"/>
    <w:qFormat/>
    <w:uiPriority w:val="0"/>
    <w:rPr>
      <w:rFonts w:ascii="Arial" w:hAnsi="Arial" w:eastAsia="黑体" w:cs="Times New Roman"/>
      <w:sz w:val="28"/>
      <w:szCs w:val="24"/>
    </w:rPr>
  </w:style>
  <w:style w:type="character" w:customStyle="1" w:styleId="26">
    <w:name w:val="标题 3 字符"/>
    <w:basedOn w:val="6"/>
    <w:link w:val="4"/>
    <w:qFormat/>
    <w:uiPriority w:val="0"/>
    <w:rPr>
      <w:rFonts w:ascii="Times New Roman" w:hAnsi="Times New Roman" w:eastAsia="黑体" w:cs="Times New Roman"/>
      <w:szCs w:val="24"/>
    </w:rPr>
  </w:style>
  <w:style w:type="character" w:customStyle="1" w:styleId="27">
    <w:name w:val="标题 4 字符"/>
    <w:basedOn w:val="6"/>
    <w:link w:val="5"/>
    <w:qFormat/>
    <w:uiPriority w:val="0"/>
    <w:rPr>
      <w:rFonts w:ascii="Times New Roman" w:hAnsi="Times New Roman" w:eastAsia="黑体" w:cs="Times New Roman"/>
      <w:szCs w:val="21"/>
    </w:rPr>
  </w:style>
  <w:style w:type="character" w:customStyle="1" w:styleId="28">
    <w:name w:val="页眉 字符"/>
    <w:basedOn w:val="6"/>
    <w:link w:val="15"/>
    <w:qFormat/>
    <w:uiPriority w:val="99"/>
    <w:rPr>
      <w:rFonts w:ascii="Times New Roman" w:hAnsi="Times New Roman" w:eastAsia="宋体" w:cs="Times New Roman"/>
      <w:sz w:val="18"/>
      <w:szCs w:val="18"/>
    </w:rPr>
  </w:style>
  <w:style w:type="character" w:customStyle="1" w:styleId="29">
    <w:name w:val="页脚 字符"/>
    <w:basedOn w:val="6"/>
    <w:link w:val="13"/>
    <w:qFormat/>
    <w:uiPriority w:val="99"/>
    <w:rPr>
      <w:rFonts w:ascii="Times New Roman" w:hAnsi="Times New Roman" w:eastAsia="宋体" w:cs="Times New Roman"/>
      <w:sz w:val="18"/>
      <w:szCs w:val="18"/>
    </w:rPr>
  </w:style>
  <w:style w:type="character" w:customStyle="1" w:styleId="30">
    <w:name w:val="图名 Char"/>
    <w:link w:val="21"/>
    <w:qFormat/>
    <w:uiPriority w:val="0"/>
    <w:rPr>
      <w:rFonts w:ascii="Calibri" w:hAnsi="Calibri" w:eastAsia="宋体" w:cs="Times New Roman"/>
      <w:kern w:val="44"/>
      <w:szCs w:val="20"/>
    </w:rPr>
  </w:style>
  <w:style w:type="paragraph" w:customStyle="1" w:styleId="31">
    <w:name w:val="表头"/>
    <w:next w:val="1"/>
    <w:qFormat/>
    <w:uiPriority w:val="0"/>
    <w:pPr>
      <w:keepNext/>
      <w:keepLines/>
      <w:spacing w:before="120" w:after="120"/>
      <w:jc w:val="center"/>
      <w:outlineLvl w:val="0"/>
    </w:pPr>
    <w:rPr>
      <w:rFonts w:hint="eastAsia" w:ascii="Calibri" w:hAnsi="Calibri" w:eastAsia="宋体" w:cs="Times New Roman"/>
      <w:kern w:val="44"/>
      <w:sz w:val="21"/>
      <w:lang w:val="en-US" w:eastAsia="zh-CN" w:bidi="ar-SA"/>
    </w:rPr>
  </w:style>
  <w:style w:type="paragraph" w:styleId="32">
    <w:name w:val="List Paragraph"/>
    <w:basedOn w:val="1"/>
    <w:qFormat/>
    <w:uiPriority w:val="34"/>
    <w:pPr>
      <w:ind w:firstLine="420"/>
    </w:pPr>
  </w:style>
  <w:style w:type="character" w:customStyle="1" w:styleId="33">
    <w:name w:val="标题 1 字符"/>
    <w:basedOn w:val="6"/>
    <w:link w:val="2"/>
    <w:qFormat/>
    <w:uiPriority w:val="9"/>
    <w:rPr>
      <w:rFonts w:ascii="Times New Roman" w:hAnsi="Times New Roman" w:eastAsia="宋体" w:cs="Times New Roman"/>
      <w:b/>
      <w:bCs/>
      <w:kern w:val="44"/>
      <w:sz w:val="44"/>
      <w:szCs w:val="44"/>
    </w:rPr>
  </w:style>
  <w:style w:type="character" w:customStyle="1" w:styleId="34">
    <w:name w:val="web-means-right"/>
    <w:qFormat/>
    <w:uiPriority w:val="0"/>
  </w:style>
  <w:style w:type="paragraph" w:customStyle="1" w:styleId="35">
    <w:name w:val="EndNote Bibliography Title"/>
    <w:basedOn w:val="1"/>
    <w:link w:val="36"/>
    <w:qFormat/>
    <w:uiPriority w:val="0"/>
    <w:pPr>
      <w:jc w:val="center"/>
    </w:pPr>
    <w:rPr>
      <w:sz w:val="20"/>
    </w:rPr>
  </w:style>
  <w:style w:type="character" w:customStyle="1" w:styleId="36">
    <w:name w:val="EndNote Bibliography Title 字符"/>
    <w:basedOn w:val="6"/>
    <w:link w:val="35"/>
    <w:qFormat/>
    <w:uiPriority w:val="0"/>
    <w:rPr>
      <w:rFonts w:ascii="Times New Roman" w:hAnsi="Times New Roman" w:eastAsia="宋体" w:cs="Times New Roman"/>
      <w:kern w:val="2"/>
      <w:szCs w:val="24"/>
    </w:rPr>
  </w:style>
  <w:style w:type="paragraph" w:customStyle="1" w:styleId="37">
    <w:name w:val="EndNote Bibliography"/>
    <w:basedOn w:val="1"/>
    <w:link w:val="38"/>
    <w:qFormat/>
    <w:uiPriority w:val="0"/>
    <w:rPr>
      <w:sz w:val="20"/>
    </w:rPr>
  </w:style>
  <w:style w:type="character" w:customStyle="1" w:styleId="38">
    <w:name w:val="EndNote Bibliography 字符"/>
    <w:basedOn w:val="6"/>
    <w:link w:val="37"/>
    <w:qFormat/>
    <w:uiPriority w:val="0"/>
    <w:rPr>
      <w:rFonts w:ascii="Times New Roman" w:hAnsi="Times New Roman" w:eastAsia="宋体" w:cs="Times New Roman"/>
      <w:kern w:val="2"/>
      <w:szCs w:val="24"/>
    </w:rPr>
  </w:style>
  <w:style w:type="character" w:customStyle="1" w:styleId="39">
    <w:name w:val="ts-alignment-element"/>
    <w:basedOn w:val="6"/>
    <w:qFormat/>
    <w:uiPriority w:val="0"/>
  </w:style>
  <w:style w:type="character" w:customStyle="1" w:styleId="40">
    <w:name w:val="ts-alignment-element-highlighted"/>
    <w:basedOn w:val="6"/>
    <w:qFormat/>
    <w:uiPriority w:val="0"/>
  </w:style>
  <w:style w:type="character" w:customStyle="1" w:styleId="41">
    <w:name w:val="批注文字 字符"/>
    <w:basedOn w:val="6"/>
    <w:link w:val="11"/>
    <w:qFormat/>
    <w:uiPriority w:val="99"/>
    <w:rPr>
      <w:rFonts w:ascii="Times New Roman" w:hAnsi="Times New Roman" w:eastAsia="宋体" w:cs="Times New Roman"/>
      <w:kern w:val="2"/>
      <w:sz w:val="21"/>
      <w:szCs w:val="24"/>
    </w:rPr>
  </w:style>
  <w:style w:type="character" w:customStyle="1" w:styleId="42">
    <w:name w:val="批注主题 字符"/>
    <w:basedOn w:val="41"/>
    <w:link w:val="12"/>
    <w:semiHidden/>
    <w:qFormat/>
    <w:uiPriority w:val="99"/>
    <w:rPr>
      <w:rFonts w:ascii="Times New Roman" w:hAnsi="Times New Roman" w:eastAsia="宋体" w:cs="Times New Roman"/>
      <w:b/>
      <w:bCs/>
      <w:kern w:val="2"/>
      <w:sz w:val="21"/>
      <w:szCs w:val="24"/>
    </w:rPr>
  </w:style>
  <w:style w:type="paragraph" w:customStyle="1" w:styleId="43">
    <w:name w:val="小标题2"/>
    <w:basedOn w:val="1"/>
    <w:qFormat/>
    <w:uiPriority w:val="0"/>
    <w:pPr>
      <w:wordWrap w:val="0"/>
      <w:overflowPunct w:val="0"/>
      <w:autoSpaceDE w:val="0"/>
      <w:autoSpaceDN w:val="0"/>
      <w:adjustRightInd w:val="0"/>
      <w:spacing w:before="170" w:after="170" w:line="314" w:lineRule="exact"/>
      <w:ind w:firstLine="0" w:firstLineChars="0"/>
      <w:jc w:val="left"/>
      <w:textAlignment w:val="baseline"/>
    </w:pPr>
    <w:rPr>
      <w:rFonts w:ascii="宋体" w:hAnsi="MS Sans Serif"/>
      <w:b/>
      <w:szCs w:val="20"/>
    </w:rPr>
  </w:style>
  <w:style w:type="character" w:styleId="44">
    <w:name w:val="Placeholder Text"/>
    <w:basedOn w:val="6"/>
    <w:unhideWhenUsed/>
    <w:qFormat/>
    <w:uiPriority w:val="99"/>
    <w:rPr>
      <w:color w:val="666666"/>
    </w:rPr>
  </w:style>
  <w:style w:type="character" w:customStyle="1" w:styleId="45">
    <w:name w:val="脚注文本 字符"/>
    <w:basedOn w:val="6"/>
    <w:link w:val="14"/>
    <w:qFormat/>
    <w:uiPriority w:val="0"/>
    <w:rPr>
      <w:rFonts w:ascii="Calibri" w:hAnsi="Calibri" w:eastAsia="宋体" w:cs="黑体"/>
      <w:kern w:val="2"/>
      <w:sz w:val="18"/>
    </w:rPr>
  </w:style>
  <w:style w:type="character" w:customStyle="1" w:styleId="46">
    <w:name w:val="Unresolved Mention"/>
    <w:basedOn w:val="6"/>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5" Type="http://schemas.openxmlformats.org/officeDocument/2006/relationships/fontTable" Target="fontTable.xml"/><Relationship Id="rId44" Type="http://schemas.openxmlformats.org/officeDocument/2006/relationships/customXml" Target="../customXml/item1.xml"/><Relationship Id="rId43" Type="http://schemas.openxmlformats.org/officeDocument/2006/relationships/numbering" Target="numbering.xml"/><Relationship Id="rId42" Type="http://schemas.openxmlformats.org/officeDocument/2006/relationships/image" Target="media/image30.png"/><Relationship Id="rId41" Type="http://schemas.openxmlformats.org/officeDocument/2006/relationships/image" Target="media/image29.png"/><Relationship Id="rId40" Type="http://schemas.openxmlformats.org/officeDocument/2006/relationships/image" Target="media/image28.png"/><Relationship Id="rId4" Type="http://schemas.openxmlformats.org/officeDocument/2006/relationships/endnotes" Target="endnotes.xml"/><Relationship Id="rId39" Type="http://schemas.openxmlformats.org/officeDocument/2006/relationships/image" Target="media/image27.png"/><Relationship Id="rId38" Type="http://schemas.openxmlformats.org/officeDocument/2006/relationships/image" Target="media/image26.png"/><Relationship Id="rId37" Type="http://schemas.openxmlformats.org/officeDocument/2006/relationships/image" Target="media/image25.png"/><Relationship Id="rId36" Type="http://schemas.openxmlformats.org/officeDocument/2006/relationships/image" Target="media/image24.png"/><Relationship Id="rId35" Type="http://schemas.openxmlformats.org/officeDocument/2006/relationships/image" Target="media/image23.png"/><Relationship Id="rId34" Type="http://schemas.openxmlformats.org/officeDocument/2006/relationships/image" Target="media/image22.png"/><Relationship Id="rId33" Type="http://schemas.openxmlformats.org/officeDocument/2006/relationships/image" Target="media/image21.png"/><Relationship Id="rId32" Type="http://schemas.openxmlformats.org/officeDocument/2006/relationships/image" Target="media/image20.png"/><Relationship Id="rId31" Type="http://schemas.openxmlformats.org/officeDocument/2006/relationships/image" Target="media/image19.png"/><Relationship Id="rId30" Type="http://schemas.openxmlformats.org/officeDocument/2006/relationships/image" Target="media/image18.png"/><Relationship Id="rId3" Type="http://schemas.openxmlformats.org/officeDocument/2006/relationships/footnotes" Target="footnotes.xml"/><Relationship Id="rId29" Type="http://schemas.openxmlformats.org/officeDocument/2006/relationships/image" Target="media/image17.png"/><Relationship Id="rId28" Type="http://schemas.openxmlformats.org/officeDocument/2006/relationships/image" Target="media/image16.png"/><Relationship Id="rId27" Type="http://schemas.openxmlformats.org/officeDocument/2006/relationships/image" Target="media/image15.png"/><Relationship Id="rId26" Type="http://schemas.openxmlformats.org/officeDocument/2006/relationships/image" Target="media/image14.png"/><Relationship Id="rId25" Type="http://schemas.openxmlformats.org/officeDocument/2006/relationships/image" Target="media/image13.png"/><Relationship Id="rId24" Type="http://schemas.openxmlformats.org/officeDocument/2006/relationships/image" Target="media/image12.png"/><Relationship Id="rId23" Type="http://schemas.openxmlformats.org/officeDocument/2006/relationships/image" Target="media/image11.png"/><Relationship Id="rId22" Type="http://schemas.openxmlformats.org/officeDocument/2006/relationships/image" Target="media/image10.png"/><Relationship Id="rId21" Type="http://schemas.openxmlformats.org/officeDocument/2006/relationships/image" Target="media/image9.png"/><Relationship Id="rId20" Type="http://schemas.openxmlformats.org/officeDocument/2006/relationships/image" Target="media/image8.png"/><Relationship Id="rId2" Type="http://schemas.openxmlformats.org/officeDocument/2006/relationships/settings" Target="settings.xml"/><Relationship Id="rId19" Type="http://schemas.openxmlformats.org/officeDocument/2006/relationships/image" Target="media/image7.png"/><Relationship Id="rId18" Type="http://schemas.openxmlformats.org/officeDocument/2006/relationships/image" Target="media/image6.png"/><Relationship Id="rId17" Type="http://schemas.openxmlformats.org/officeDocument/2006/relationships/image" Target="media/image5.png"/><Relationship Id="rId16" Type="http://schemas.openxmlformats.org/officeDocument/2006/relationships/image" Target="media/image4.png"/><Relationship Id="rId15" Type="http://schemas.openxmlformats.org/officeDocument/2006/relationships/image" Target="media/image3.png"/><Relationship Id="rId14" Type="http://schemas.openxmlformats.org/officeDocument/2006/relationships/image" Target="media/image2.jpeg"/><Relationship Id="rId13" Type="http://schemas.openxmlformats.org/officeDocument/2006/relationships/image" Target="media/image1.png"/><Relationship Id="rId12" Type="http://schemas.openxmlformats.org/officeDocument/2006/relationships/theme" Target="theme/theme1.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813C67-FD88-464B-B2C8-56C8EB11E044}">
  <ds:schemaRefs/>
</ds:datastoreItem>
</file>

<file path=docProps/app.xml><?xml version="1.0" encoding="utf-8"?>
<Properties xmlns="http://schemas.openxmlformats.org/officeDocument/2006/extended-properties" xmlns:vt="http://schemas.openxmlformats.org/officeDocument/2006/docPropsVTypes">
  <Template>Normal</Template>
  <Pages>15</Pages>
  <Words>2569</Words>
  <Characters>14646</Characters>
  <Lines>122</Lines>
  <Paragraphs>34</Paragraphs>
  <TotalTime>27</TotalTime>
  <ScaleCrop>false</ScaleCrop>
  <LinksUpToDate>false</LinksUpToDate>
  <CharactersWithSpaces>17181</CharactersWithSpaces>
  <Application>WPS Office_12.2.0.18165_F1E327BC-269C-435d-A152-05C5408002CA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2024-10-12T04:07:00Z</dcterms:created>
  <dc:creator>玉琳 杨</dc:creator>
  <cp:lastModifiedBy>Eugen</cp:lastModifiedBy>
  <cp:lastPrinted>2024-09-25T07:28:00Z</cp:lastPrinted>
  <dcterms:modified xsi:type="dcterms:W3CDTF">2026-09-15T08:07:58Z</dcterms:modified>
  <cp:revision>200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1033-12.2.0.18165</vt:lpwstr>
  </property>
  <property fmtid="{D5CDD505-2E9C-101B-9397-08002B2CF9AE}" pid="3" name="ICV">
    <vt:lpwstr>DA461958F3A24408843FCACBC36D473D_13</vt:lpwstr>
  </property>
</Properties>
</file>