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84BAA" w14:textId="77777777" w:rsidR="0081344D" w:rsidRPr="009B0CD7" w:rsidRDefault="00000000">
      <w:pPr>
        <w:pStyle w:val="ae"/>
        <w:spacing w:after="0"/>
        <w:contextualSpacing w:val="0"/>
        <w:outlineLvl w:val="0"/>
        <w:rPr>
          <w:rFonts w:ascii="Times New Roman" w:eastAsia="宋体" w:hAnsi="Times New Roman" w:cs="Times New Roman"/>
          <w:b/>
          <w:bCs/>
          <w:spacing w:val="0"/>
          <w:kern w:val="2"/>
          <w:sz w:val="48"/>
          <w:szCs w:val="32"/>
          <w14:ligatures w14:val="none"/>
        </w:rPr>
      </w:pPr>
      <w:r w:rsidRPr="009B0CD7">
        <w:rPr>
          <w:rFonts w:ascii="Times New Roman" w:eastAsia="宋体" w:hAnsi="Times New Roman" w:cs="Times New Roman"/>
          <w:b/>
          <w:bCs/>
          <w:spacing w:val="0"/>
          <w:kern w:val="2"/>
          <w:sz w:val="48"/>
          <w:szCs w:val="32"/>
          <w14:ligatures w14:val="none"/>
        </w:rPr>
        <w:t>双重非平稳框架</w:t>
      </w:r>
      <w:r w:rsidRPr="009B0CD7">
        <w:rPr>
          <w:rFonts w:ascii="Times New Roman" w:eastAsia="宋体" w:hAnsi="Times New Roman" w:cs="Times New Roman" w:hint="eastAsia"/>
          <w:b/>
          <w:bCs/>
          <w:spacing w:val="0"/>
          <w:kern w:val="2"/>
          <w:sz w:val="48"/>
          <w:szCs w:val="32"/>
          <w14:ligatures w14:val="none"/>
        </w:rPr>
        <w:t>下</w:t>
      </w:r>
      <w:r w:rsidRPr="009B0CD7">
        <w:rPr>
          <w:rFonts w:ascii="Times New Roman" w:eastAsia="宋体" w:hAnsi="Times New Roman" w:cs="Times New Roman"/>
          <w:b/>
          <w:bCs/>
          <w:spacing w:val="0"/>
          <w:kern w:val="2"/>
          <w:sz w:val="48"/>
          <w:szCs w:val="32"/>
          <w14:ligatures w14:val="none"/>
        </w:rPr>
        <w:t>跨流域调水双水源联合干旱风险评估</w:t>
      </w:r>
    </w:p>
    <w:p w14:paraId="7A9BAD31" w14:textId="77777777" w:rsidR="0081344D" w:rsidRPr="009B0CD7" w:rsidRDefault="00000000">
      <w:pPr>
        <w:spacing w:after="0" w:line="240" w:lineRule="auto"/>
        <w:jc w:val="center"/>
        <w:rPr>
          <w:rFonts w:ascii="Times New Roman" w:eastAsia="楷体" w:hAnsi="Times New Roman" w:cs="Times New Roman"/>
          <w:sz w:val="28"/>
          <w:szCs w:val="28"/>
          <w14:ligatures w14:val="none"/>
        </w:rPr>
      </w:pPr>
      <w:r w:rsidRPr="009B0CD7">
        <w:rPr>
          <w:rFonts w:ascii="Times New Roman" w:eastAsia="楷体" w:hAnsi="Times New Roman" w:cs="Times New Roman" w:hint="eastAsia"/>
          <w:sz w:val="28"/>
          <w:szCs w:val="28"/>
          <w14:ligatures w14:val="none"/>
        </w:rPr>
        <w:t>王钰升</w:t>
      </w:r>
      <w:r w:rsidRPr="009B0CD7">
        <w:rPr>
          <w:rFonts w:ascii="Times New Roman" w:eastAsia="楷体" w:hAnsi="Times New Roman" w:cs="Times New Roman" w:hint="eastAsia"/>
          <w:sz w:val="28"/>
          <w:szCs w:val="28"/>
          <w:vertAlign w:val="superscript"/>
          <w14:ligatures w14:val="none"/>
        </w:rPr>
        <w:t>1</w:t>
      </w:r>
      <w:r w:rsidRPr="009B0CD7">
        <w:rPr>
          <w:rFonts w:ascii="Times New Roman" w:eastAsia="楷体" w:hAnsi="Times New Roman" w:cs="Times New Roman" w:hint="eastAsia"/>
          <w:sz w:val="28"/>
          <w:szCs w:val="28"/>
          <w14:ligatures w14:val="none"/>
        </w:rPr>
        <w:t>，游进军</w:t>
      </w:r>
      <w:r w:rsidRPr="009B0CD7">
        <w:rPr>
          <w:rFonts w:ascii="Times New Roman" w:eastAsia="楷体" w:hAnsi="Times New Roman" w:cs="Times New Roman" w:hint="eastAsia"/>
          <w:sz w:val="28"/>
          <w:szCs w:val="28"/>
          <w:vertAlign w:val="superscript"/>
          <w14:ligatures w14:val="none"/>
        </w:rPr>
        <w:t>1</w:t>
      </w:r>
      <w:r w:rsidRPr="009B0CD7">
        <w:rPr>
          <w:rFonts w:ascii="Times New Roman" w:eastAsia="楷体" w:hAnsi="Times New Roman" w:cs="Times New Roman" w:hint="eastAsia"/>
          <w:sz w:val="28"/>
          <w:szCs w:val="28"/>
          <w14:ligatures w14:val="none"/>
        </w:rPr>
        <w:t>，马真臻</w:t>
      </w:r>
      <w:bookmarkStart w:id="0" w:name="OLE_LINK1"/>
      <w:r w:rsidRPr="009B0CD7">
        <w:rPr>
          <w:rFonts w:ascii="Times New Roman" w:eastAsia="楷体" w:hAnsi="Times New Roman" w:cs="Times New Roman" w:hint="eastAsia"/>
          <w:sz w:val="28"/>
          <w:szCs w:val="28"/>
          <w:vertAlign w:val="superscript"/>
          <w14:ligatures w14:val="none"/>
        </w:rPr>
        <w:t>1</w:t>
      </w:r>
      <w:bookmarkEnd w:id="0"/>
      <w:r w:rsidRPr="009B0CD7">
        <w:rPr>
          <w:rFonts w:ascii="Times New Roman" w:eastAsia="楷体" w:hAnsi="Times New Roman" w:cs="Times New Roman" w:hint="eastAsia"/>
          <w:sz w:val="28"/>
          <w:szCs w:val="28"/>
          <w14:ligatures w14:val="none"/>
        </w:rPr>
        <w:t>，王丽珍</w:t>
      </w:r>
      <w:r w:rsidRPr="009B0CD7">
        <w:rPr>
          <w:rFonts w:ascii="Times New Roman" w:eastAsia="楷体" w:hAnsi="Times New Roman" w:cs="Times New Roman" w:hint="eastAsia"/>
          <w:sz w:val="28"/>
          <w:szCs w:val="28"/>
          <w:vertAlign w:val="superscript"/>
          <w14:ligatures w14:val="none"/>
        </w:rPr>
        <w:t>1,2</w:t>
      </w:r>
      <w:r w:rsidRPr="009B0CD7">
        <w:rPr>
          <w:rFonts w:ascii="Times New Roman" w:eastAsia="楷体" w:hAnsi="Times New Roman" w:cs="Times New Roman" w:hint="eastAsia"/>
          <w:sz w:val="28"/>
          <w:szCs w:val="28"/>
          <w14:ligatures w14:val="none"/>
        </w:rPr>
        <w:t>，林鹏飞</w:t>
      </w:r>
      <w:r w:rsidRPr="009B0CD7">
        <w:rPr>
          <w:rFonts w:ascii="Times New Roman" w:eastAsia="楷体" w:hAnsi="Times New Roman" w:cs="Times New Roman" w:hint="eastAsia"/>
          <w:sz w:val="28"/>
          <w:szCs w:val="28"/>
          <w:vertAlign w:val="superscript"/>
          <w14:ligatures w14:val="none"/>
        </w:rPr>
        <w:t>1</w:t>
      </w:r>
      <w:r w:rsidRPr="009B0CD7">
        <w:rPr>
          <w:rFonts w:ascii="Times New Roman" w:eastAsia="楷体" w:hAnsi="Times New Roman" w:cs="Times New Roman" w:hint="eastAsia"/>
          <w:sz w:val="28"/>
          <w:szCs w:val="28"/>
          <w14:ligatures w14:val="none"/>
        </w:rPr>
        <w:t>，薄英杰</w:t>
      </w:r>
      <w:r w:rsidRPr="009B0CD7">
        <w:rPr>
          <w:rFonts w:ascii="Times New Roman" w:eastAsia="楷体" w:hAnsi="Times New Roman" w:cs="Times New Roman" w:hint="eastAsia"/>
          <w:sz w:val="28"/>
          <w:szCs w:val="28"/>
          <w:vertAlign w:val="superscript"/>
          <w14:ligatures w14:val="none"/>
        </w:rPr>
        <w:t>1</w:t>
      </w:r>
      <w:r w:rsidRPr="009B0CD7">
        <w:rPr>
          <w:rFonts w:ascii="Times New Roman" w:eastAsia="楷体" w:hAnsi="Times New Roman" w:cs="Times New Roman" w:hint="eastAsia"/>
          <w:sz w:val="28"/>
          <w:szCs w:val="28"/>
          <w14:ligatures w14:val="none"/>
        </w:rPr>
        <w:t>，何斯重</w:t>
      </w:r>
      <w:r w:rsidRPr="009B0CD7">
        <w:rPr>
          <w:rFonts w:ascii="Times New Roman" w:eastAsia="楷体" w:hAnsi="Times New Roman" w:cs="Times New Roman" w:hint="eastAsia"/>
          <w:sz w:val="28"/>
          <w:szCs w:val="28"/>
          <w:vertAlign w:val="superscript"/>
          <w14:ligatures w14:val="none"/>
        </w:rPr>
        <w:t>1</w:t>
      </w:r>
    </w:p>
    <w:p w14:paraId="41503B7E" w14:textId="77777777" w:rsidR="0081344D" w:rsidRPr="009B0CD7" w:rsidRDefault="00000000">
      <w:pPr>
        <w:spacing w:after="0" w:line="240" w:lineRule="auto"/>
        <w:jc w:val="center"/>
        <w:rPr>
          <w:rFonts w:ascii="Times New Roman" w:eastAsia="宋体" w:hAnsi="Times New Roman" w:cs="Times New Roman"/>
          <w:sz w:val="21"/>
          <w:szCs w:val="21"/>
          <w14:ligatures w14:val="none"/>
        </w:rPr>
      </w:pPr>
      <w:r w:rsidRPr="009B0CD7">
        <w:rPr>
          <w:rFonts w:ascii="Times New Roman" w:eastAsia="宋体" w:hAnsi="Times New Roman" w:cs="Times New Roman" w:hint="eastAsia"/>
          <w:sz w:val="21"/>
          <w:szCs w:val="21"/>
          <w14:ligatures w14:val="none"/>
        </w:rPr>
        <w:t>（</w:t>
      </w:r>
      <w:bookmarkStart w:id="1" w:name="OLE_LINK3"/>
      <w:r w:rsidRPr="009B0CD7">
        <w:rPr>
          <w:rFonts w:ascii="Times New Roman" w:eastAsia="宋体" w:hAnsi="Times New Roman" w:cs="Times New Roman" w:hint="eastAsia"/>
          <w:sz w:val="21"/>
          <w:szCs w:val="21"/>
          <w14:ligatures w14:val="none"/>
        </w:rPr>
        <w:t xml:space="preserve">1. </w:t>
      </w:r>
      <w:r w:rsidRPr="009B0CD7">
        <w:rPr>
          <w:rFonts w:ascii="Times New Roman" w:eastAsia="宋体" w:hAnsi="Times New Roman" w:cs="Times New Roman" w:hint="eastAsia"/>
          <w:sz w:val="21"/>
          <w:szCs w:val="21"/>
          <w14:ligatures w14:val="none"/>
        </w:rPr>
        <w:t>中</w:t>
      </w:r>
      <w:r w:rsidRPr="009B0CD7">
        <w:rPr>
          <w:rFonts w:ascii="Times New Roman" w:eastAsia="宋体" w:hAnsi="Times New Roman" w:cs="Times New Roman"/>
          <w:sz w:val="21"/>
          <w:szCs w:val="21"/>
          <w14:ligatures w14:val="none"/>
        </w:rPr>
        <w:t>国水利水电科学研究院</w:t>
      </w:r>
      <w:r w:rsidRPr="009B0CD7">
        <w:rPr>
          <w:rFonts w:ascii="Times New Roman" w:eastAsia="宋体" w:hAnsi="Times New Roman" w:cs="Times New Roman" w:hint="eastAsia"/>
          <w:sz w:val="21"/>
          <w:szCs w:val="21"/>
          <w14:ligatures w14:val="none"/>
        </w:rPr>
        <w:t xml:space="preserve"> </w:t>
      </w:r>
      <w:r w:rsidRPr="009B0CD7">
        <w:rPr>
          <w:rFonts w:ascii="Times New Roman" w:eastAsia="宋体" w:hAnsi="Times New Roman" w:cs="Times New Roman"/>
          <w:sz w:val="21"/>
          <w:szCs w:val="21"/>
          <w14:ligatures w14:val="none"/>
        </w:rPr>
        <w:t>流域水循环与水安全全国重点实验室</w:t>
      </w:r>
      <w:r w:rsidRPr="009B0CD7">
        <w:rPr>
          <w:rFonts w:ascii="Times New Roman" w:eastAsia="宋体" w:hAnsi="Times New Roman" w:cs="Times New Roman" w:hint="eastAsia"/>
          <w:sz w:val="21"/>
          <w:szCs w:val="21"/>
          <w14:ligatures w14:val="none"/>
        </w:rPr>
        <w:t>，北京</w:t>
      </w:r>
      <w:r w:rsidRPr="009B0CD7">
        <w:rPr>
          <w:rFonts w:ascii="Times New Roman" w:eastAsia="宋体" w:hAnsi="Times New Roman" w:cs="Times New Roman" w:hint="eastAsia"/>
          <w:sz w:val="21"/>
          <w:szCs w:val="21"/>
          <w14:ligatures w14:val="none"/>
        </w:rPr>
        <w:t xml:space="preserve">  100038</w:t>
      </w:r>
      <w:r w:rsidRPr="009B0CD7">
        <w:rPr>
          <w:rFonts w:ascii="Times New Roman" w:eastAsia="宋体" w:hAnsi="Times New Roman" w:cs="Times New Roman"/>
          <w:sz w:val="21"/>
          <w:szCs w:val="21"/>
          <w14:ligatures w14:val="none"/>
        </w:rPr>
        <w:t>；</w:t>
      </w:r>
      <w:r w:rsidRPr="009B0CD7">
        <w:rPr>
          <w:rFonts w:ascii="Times New Roman" w:eastAsia="宋体" w:hAnsi="Times New Roman" w:cs="Times New Roman" w:hint="eastAsia"/>
          <w:sz w:val="21"/>
          <w:szCs w:val="21"/>
          <w14:ligatures w14:val="none"/>
        </w:rPr>
        <w:t>2.</w:t>
      </w:r>
      <w:bookmarkStart w:id="2" w:name="OLE_LINK2"/>
      <w:r w:rsidRPr="009B0CD7">
        <w:rPr>
          <w:rFonts w:ascii="Times New Roman" w:eastAsia="宋体" w:hAnsi="Times New Roman" w:cs="Times New Roman" w:hint="eastAsia"/>
          <w:sz w:val="21"/>
          <w:szCs w:val="21"/>
          <w14:ligatures w14:val="none"/>
        </w:rPr>
        <w:t xml:space="preserve"> </w:t>
      </w:r>
      <w:r w:rsidRPr="009B0CD7">
        <w:rPr>
          <w:rFonts w:ascii="Times New Roman" w:eastAsia="宋体" w:hAnsi="Times New Roman" w:cs="Times New Roman"/>
          <w:sz w:val="21"/>
          <w:szCs w:val="21"/>
          <w14:ligatures w14:val="none"/>
        </w:rPr>
        <w:t>青海大学</w:t>
      </w:r>
      <w:r w:rsidRPr="009B0CD7">
        <w:rPr>
          <w:rFonts w:ascii="Times New Roman" w:eastAsia="宋体" w:hAnsi="Times New Roman" w:cs="Times New Roman"/>
          <w:sz w:val="21"/>
          <w:szCs w:val="21"/>
          <w14:ligatures w14:val="none"/>
        </w:rPr>
        <w:t xml:space="preserve"> </w:t>
      </w:r>
      <w:r w:rsidRPr="009B0CD7">
        <w:rPr>
          <w:rFonts w:ascii="Times New Roman" w:eastAsia="宋体" w:hAnsi="Times New Roman" w:cs="Times New Roman"/>
          <w:sz w:val="21"/>
          <w:szCs w:val="21"/>
          <w14:ligatures w14:val="none"/>
        </w:rPr>
        <w:t>土木水利学院</w:t>
      </w:r>
      <w:bookmarkEnd w:id="2"/>
      <w:r w:rsidRPr="009B0CD7">
        <w:rPr>
          <w:rFonts w:ascii="Times New Roman" w:eastAsia="宋体" w:hAnsi="Times New Roman" w:cs="Times New Roman" w:hint="eastAsia"/>
          <w:sz w:val="21"/>
          <w:szCs w:val="21"/>
          <w14:ligatures w14:val="none"/>
        </w:rPr>
        <w:t xml:space="preserve"> </w:t>
      </w:r>
      <w:r w:rsidRPr="009B0CD7">
        <w:rPr>
          <w:rFonts w:ascii="Times New Roman" w:eastAsia="宋体" w:hAnsi="Times New Roman" w:cs="Times New Roman"/>
          <w:sz w:val="21"/>
          <w:szCs w:val="21"/>
          <w14:ligatures w14:val="none"/>
        </w:rPr>
        <w:t>黄河上游生态保护与高质量发展实验室</w:t>
      </w:r>
      <w:r w:rsidRPr="009B0CD7">
        <w:rPr>
          <w:rFonts w:ascii="Times New Roman" w:eastAsia="宋体" w:hAnsi="Times New Roman" w:cs="Times New Roman" w:hint="eastAsia"/>
          <w:sz w:val="21"/>
          <w:szCs w:val="21"/>
          <w14:ligatures w14:val="none"/>
        </w:rPr>
        <w:t>，青海</w:t>
      </w:r>
      <w:r w:rsidRPr="009B0CD7">
        <w:rPr>
          <w:rFonts w:ascii="Times New Roman" w:eastAsia="宋体" w:hAnsi="Times New Roman" w:cs="Times New Roman" w:hint="eastAsia"/>
          <w:sz w:val="21"/>
          <w:szCs w:val="21"/>
          <w14:ligatures w14:val="none"/>
        </w:rPr>
        <w:t xml:space="preserve"> </w:t>
      </w:r>
      <w:r w:rsidRPr="009B0CD7">
        <w:rPr>
          <w:rFonts w:ascii="Times New Roman" w:eastAsia="宋体" w:hAnsi="Times New Roman" w:cs="Times New Roman" w:hint="eastAsia"/>
          <w:sz w:val="21"/>
          <w:szCs w:val="21"/>
          <w14:ligatures w14:val="none"/>
        </w:rPr>
        <w:t>西宁</w:t>
      </w:r>
      <w:r w:rsidRPr="009B0CD7">
        <w:rPr>
          <w:rFonts w:ascii="Times New Roman" w:eastAsia="宋体" w:hAnsi="Times New Roman" w:cs="Times New Roman" w:hint="eastAsia"/>
          <w:sz w:val="21"/>
          <w:szCs w:val="21"/>
          <w14:ligatures w14:val="none"/>
        </w:rPr>
        <w:t xml:space="preserve">  810016</w:t>
      </w:r>
      <w:bookmarkEnd w:id="1"/>
      <w:r w:rsidRPr="009B0CD7">
        <w:rPr>
          <w:rFonts w:ascii="Times New Roman" w:eastAsia="宋体" w:hAnsi="Times New Roman" w:cs="Times New Roman" w:hint="eastAsia"/>
          <w:sz w:val="21"/>
          <w:szCs w:val="21"/>
          <w14:ligatures w14:val="none"/>
        </w:rPr>
        <w:t>）</w:t>
      </w:r>
    </w:p>
    <w:p w14:paraId="3E073301" w14:textId="77777777" w:rsidR="0081344D" w:rsidRPr="009B0CD7" w:rsidRDefault="0081344D">
      <w:pPr>
        <w:spacing w:after="0" w:line="240" w:lineRule="auto"/>
        <w:jc w:val="center"/>
        <w:rPr>
          <w:rFonts w:ascii="Times New Roman" w:eastAsia="宋体" w:hAnsi="Times New Roman" w:cs="Times New Roman"/>
          <w:sz w:val="21"/>
          <w:szCs w:val="21"/>
          <w14:ligatures w14:val="none"/>
        </w:rPr>
      </w:pPr>
    </w:p>
    <w:p w14:paraId="353C8C39" w14:textId="77777777" w:rsidR="0081344D" w:rsidRPr="009B0CD7" w:rsidRDefault="00000000">
      <w:pPr>
        <w:spacing w:after="0" w:line="240" w:lineRule="auto"/>
        <w:jc w:val="both"/>
        <w:outlineLvl w:val="0"/>
        <w:rPr>
          <w:rFonts w:eastAsia="黑体" w:hint="eastAsia"/>
          <w:sz w:val="21"/>
          <w:szCs w:val="22"/>
          <w14:ligatures w14:val="none"/>
        </w:rPr>
      </w:pPr>
      <w:r w:rsidRPr="009B0CD7">
        <w:rPr>
          <w:rStyle w:val="af1"/>
          <w:rFonts w:ascii="Times New Roman" w:eastAsia="黑体" w:hAnsi="Times New Roman" w:cs="Times New Roman"/>
          <w:sz w:val="21"/>
          <w:szCs w:val="22"/>
          <w14:ligatures w14:val="none"/>
        </w:rPr>
        <w:t>摘</w:t>
      </w:r>
      <w:r w:rsidRPr="009B0CD7">
        <w:rPr>
          <w:rStyle w:val="af1"/>
          <w:rFonts w:ascii="Times New Roman" w:eastAsia="黑体" w:hAnsi="Times New Roman" w:cs="Times New Roman"/>
          <w:sz w:val="21"/>
          <w:szCs w:val="22"/>
          <w14:ligatures w14:val="none"/>
        </w:rPr>
        <w:t xml:space="preserve">  </w:t>
      </w:r>
      <w:r w:rsidRPr="009B0CD7">
        <w:rPr>
          <w:rStyle w:val="af1"/>
          <w:rFonts w:ascii="Times New Roman" w:eastAsia="黑体" w:hAnsi="Times New Roman" w:cs="Times New Roman"/>
          <w:sz w:val="21"/>
          <w:szCs w:val="22"/>
          <w14:ligatures w14:val="none"/>
        </w:rPr>
        <w:t>要：</w:t>
      </w:r>
      <w:r w:rsidRPr="009B0CD7">
        <w:rPr>
          <w:rFonts w:ascii="Times New Roman" w:eastAsia="楷体" w:hAnsi="Times New Roman" w:cs="Times New Roman"/>
          <w:sz w:val="21"/>
          <w:szCs w:val="21"/>
          <w14:ligatures w14:val="none"/>
        </w:rPr>
        <w:t>【目的】针对变化环境下传统静态风险模型难以刻画多水源系统联合干旱响应非平稳特征的不足，提出一套耦合非平稳边缘分布与时变相依结构的</w:t>
      </w:r>
      <w:r w:rsidRPr="009B0CD7">
        <w:rPr>
          <w:rFonts w:ascii="Times New Roman" w:eastAsia="楷体" w:hAnsi="Times New Roman" w:cs="Times New Roman" w:hint="eastAsia"/>
          <w:sz w:val="21"/>
          <w:szCs w:val="21"/>
          <w14:ligatures w14:val="none"/>
        </w:rPr>
        <w:t>“</w:t>
      </w:r>
      <w:r w:rsidRPr="009B0CD7">
        <w:rPr>
          <w:rFonts w:ascii="Times New Roman" w:eastAsia="楷体" w:hAnsi="Times New Roman" w:cs="Times New Roman"/>
          <w:sz w:val="21"/>
          <w:szCs w:val="21"/>
          <w14:ligatures w14:val="none"/>
        </w:rPr>
        <w:t>双重非平稳</w:t>
      </w:r>
      <w:r w:rsidRPr="009B0CD7">
        <w:rPr>
          <w:rFonts w:ascii="Times New Roman" w:eastAsia="楷体" w:hAnsi="Times New Roman" w:cs="Times New Roman" w:hint="eastAsia"/>
          <w:sz w:val="21"/>
          <w:szCs w:val="21"/>
          <w14:ligatures w14:val="none"/>
        </w:rPr>
        <w:t>”</w:t>
      </w:r>
      <w:r w:rsidRPr="009B0CD7">
        <w:rPr>
          <w:rFonts w:ascii="Times New Roman" w:eastAsia="楷体" w:hAnsi="Times New Roman" w:cs="Times New Roman"/>
          <w:sz w:val="21"/>
          <w:szCs w:val="21"/>
          <w14:ligatures w14:val="none"/>
        </w:rPr>
        <w:t>动态分析框架，并以青海省引大济湟工程</w:t>
      </w:r>
      <w:r w:rsidRPr="009B0CD7">
        <w:rPr>
          <w:rFonts w:ascii="Times New Roman" w:eastAsia="楷体" w:hAnsi="Times New Roman" w:cs="Times New Roman" w:hint="eastAsia"/>
          <w:sz w:val="21"/>
          <w:szCs w:val="21"/>
          <w14:ligatures w14:val="none"/>
        </w:rPr>
        <w:t>“</w:t>
      </w:r>
      <w:r w:rsidRPr="009B0CD7">
        <w:rPr>
          <w:rFonts w:ascii="Times New Roman" w:eastAsia="楷体" w:hAnsi="Times New Roman" w:cs="Times New Roman"/>
          <w:sz w:val="21"/>
          <w:szCs w:val="21"/>
          <w14:ligatures w14:val="none"/>
        </w:rPr>
        <w:t>大通河</w:t>
      </w:r>
      <w:r w:rsidRPr="009B0CD7">
        <w:rPr>
          <w:rFonts w:ascii="Times New Roman" w:hAnsi="Times New Roman" w:cs="Times New Roman"/>
          <w:szCs w:val="21"/>
        </w:rPr>
        <w:t>—</w:t>
      </w:r>
      <w:r w:rsidRPr="009B0CD7">
        <w:rPr>
          <w:rFonts w:ascii="Times New Roman" w:eastAsia="楷体" w:hAnsi="Times New Roman" w:cs="Times New Roman"/>
          <w:sz w:val="21"/>
          <w:szCs w:val="21"/>
          <w14:ligatures w14:val="none"/>
        </w:rPr>
        <w:t>湟水</w:t>
      </w:r>
      <w:r w:rsidRPr="009B0CD7">
        <w:rPr>
          <w:rFonts w:ascii="Times New Roman" w:eastAsia="楷体" w:hAnsi="Times New Roman" w:cs="Times New Roman" w:hint="eastAsia"/>
          <w:sz w:val="21"/>
          <w:szCs w:val="21"/>
          <w14:ligatures w14:val="none"/>
        </w:rPr>
        <w:t>”</w:t>
      </w:r>
      <w:r w:rsidRPr="009B0CD7">
        <w:rPr>
          <w:rFonts w:ascii="Times New Roman" w:eastAsia="楷体" w:hAnsi="Times New Roman" w:cs="Times New Roman"/>
          <w:sz w:val="21"/>
          <w:szCs w:val="21"/>
          <w14:ligatures w14:val="none"/>
        </w:rPr>
        <w:t>双水源系统为例，揭示其联合干旱风险的动态演化规律。【方法】</w:t>
      </w:r>
      <w:r w:rsidRPr="009B0CD7">
        <w:rPr>
          <w:rFonts w:ascii="Times New Roman" w:eastAsia="楷体" w:hAnsi="Times New Roman" w:cs="Times New Roman" w:hint="eastAsia"/>
          <w:sz w:val="21"/>
          <w:szCs w:val="21"/>
          <w14:ligatures w14:val="none"/>
        </w:rPr>
        <w:t>基于</w:t>
      </w:r>
      <w:r w:rsidRPr="009B0CD7">
        <w:rPr>
          <w:rFonts w:ascii="Times New Roman" w:eastAsia="楷体" w:hAnsi="Times New Roman" w:cs="Times New Roman"/>
          <w:sz w:val="21"/>
          <w:szCs w:val="21"/>
          <w14:ligatures w14:val="none"/>
        </w:rPr>
        <w:t>1956—2010</w:t>
      </w:r>
      <w:r w:rsidRPr="009B0CD7">
        <w:rPr>
          <w:rFonts w:ascii="Times New Roman" w:eastAsia="楷体" w:hAnsi="Times New Roman" w:cs="Times New Roman"/>
          <w:sz w:val="21"/>
          <w:szCs w:val="21"/>
          <w14:ligatures w14:val="none"/>
        </w:rPr>
        <w:t>年逐月径流序列，首先采用广义加性位置尺度形状模型（</w:t>
      </w:r>
      <w:r w:rsidRPr="009B0CD7">
        <w:rPr>
          <w:rFonts w:ascii="Times New Roman" w:eastAsia="楷体" w:hAnsi="Times New Roman" w:cs="Times New Roman"/>
          <w:sz w:val="21"/>
          <w:szCs w:val="21"/>
          <w14:ligatures w14:val="none"/>
        </w:rPr>
        <w:t>GAMLSS</w:t>
      </w:r>
      <w:r w:rsidRPr="009B0CD7">
        <w:rPr>
          <w:rFonts w:ascii="Times New Roman" w:eastAsia="楷体" w:hAnsi="Times New Roman" w:cs="Times New Roman"/>
          <w:sz w:val="21"/>
          <w:szCs w:val="21"/>
          <w14:ligatures w14:val="none"/>
        </w:rPr>
        <w:t>）构建双水源</w:t>
      </w:r>
      <w:r w:rsidRPr="009B0CD7">
        <w:rPr>
          <w:rFonts w:ascii="Times New Roman" w:eastAsia="楷体" w:hAnsi="Times New Roman" w:cs="Times New Roman" w:hint="eastAsia"/>
          <w:sz w:val="21"/>
          <w:szCs w:val="21"/>
          <w14:ligatures w14:val="none"/>
        </w:rPr>
        <w:t>月径流最优</w:t>
      </w:r>
      <w:r w:rsidRPr="009B0CD7">
        <w:rPr>
          <w:rFonts w:ascii="Times New Roman" w:eastAsia="楷体" w:hAnsi="Times New Roman" w:cs="Times New Roman"/>
          <w:sz w:val="21"/>
          <w:szCs w:val="21"/>
          <w14:ligatures w14:val="none"/>
        </w:rPr>
        <w:t>边缘分布</w:t>
      </w:r>
      <w:r w:rsidRPr="009B0CD7">
        <w:rPr>
          <w:rFonts w:ascii="Times New Roman" w:eastAsia="楷体" w:hAnsi="Times New Roman" w:cs="Times New Roman" w:hint="eastAsia"/>
          <w:sz w:val="21"/>
          <w:szCs w:val="21"/>
          <w14:ligatures w14:val="none"/>
        </w:rPr>
        <w:t>模型</w:t>
      </w:r>
      <w:r w:rsidRPr="009B0CD7">
        <w:rPr>
          <w:rFonts w:ascii="Times New Roman" w:eastAsia="楷体" w:hAnsi="Times New Roman" w:cs="Times New Roman"/>
          <w:sz w:val="21"/>
          <w:szCs w:val="21"/>
          <w14:ligatures w14:val="none"/>
        </w:rPr>
        <w:t>，并识别其非平稳结构</w:t>
      </w:r>
      <w:r w:rsidRPr="009B0CD7">
        <w:rPr>
          <w:rFonts w:ascii="Times New Roman" w:eastAsia="楷体" w:hAnsi="Times New Roman" w:cs="Times New Roman" w:hint="eastAsia"/>
          <w:sz w:val="21"/>
          <w:szCs w:val="21"/>
          <w14:ligatures w14:val="none"/>
        </w:rPr>
        <w:t>；</w:t>
      </w:r>
      <w:r w:rsidRPr="009B0CD7">
        <w:rPr>
          <w:rFonts w:ascii="Times New Roman" w:eastAsia="楷体" w:hAnsi="Times New Roman" w:cs="Times New Roman"/>
          <w:sz w:val="21"/>
          <w:szCs w:val="21"/>
          <w14:ligatures w14:val="none"/>
        </w:rPr>
        <w:t>随后基于最优边缘分布函数对双水源径流序列进行概率积分变换（</w:t>
      </w:r>
      <w:r w:rsidRPr="009B0CD7">
        <w:rPr>
          <w:rFonts w:ascii="Times New Roman" w:eastAsia="楷体" w:hAnsi="Times New Roman" w:cs="Times New Roman"/>
          <w:sz w:val="21"/>
          <w:szCs w:val="21"/>
          <w14:ligatures w14:val="none"/>
        </w:rPr>
        <w:t>PIT</w:t>
      </w:r>
      <w:r w:rsidRPr="009B0CD7">
        <w:rPr>
          <w:rFonts w:ascii="Times New Roman" w:eastAsia="楷体" w:hAnsi="Times New Roman" w:cs="Times New Roman"/>
          <w:sz w:val="21"/>
          <w:szCs w:val="21"/>
          <w14:ligatures w14:val="none"/>
        </w:rPr>
        <w:t>）</w:t>
      </w:r>
      <w:r w:rsidRPr="009B0CD7">
        <w:rPr>
          <w:rFonts w:ascii="Times New Roman" w:eastAsia="楷体" w:hAnsi="Times New Roman" w:cs="Times New Roman" w:hint="eastAsia"/>
          <w:sz w:val="21"/>
          <w:szCs w:val="21"/>
          <w14:ligatures w14:val="none"/>
        </w:rPr>
        <w:t>，</w:t>
      </w:r>
      <w:r w:rsidRPr="009B0CD7">
        <w:rPr>
          <w:rFonts w:ascii="Times New Roman" w:eastAsia="楷体" w:hAnsi="Times New Roman" w:cs="Times New Roman"/>
          <w:sz w:val="21"/>
          <w:szCs w:val="21"/>
          <w14:ligatures w14:val="none"/>
        </w:rPr>
        <w:t>获得标准均匀概率变量，在此基础上构建静态与时变</w:t>
      </w:r>
      <w:r w:rsidRPr="009B0CD7">
        <w:rPr>
          <w:rFonts w:ascii="Times New Roman" w:eastAsia="楷体" w:hAnsi="Times New Roman" w:cs="Times New Roman"/>
          <w:sz w:val="21"/>
          <w:szCs w:val="21"/>
          <w14:ligatures w14:val="none"/>
        </w:rPr>
        <w:t>Copula</w:t>
      </w:r>
      <w:r w:rsidRPr="009B0CD7">
        <w:rPr>
          <w:rFonts w:ascii="Times New Roman" w:eastAsia="楷体" w:hAnsi="Times New Roman" w:cs="Times New Roman"/>
          <w:sz w:val="21"/>
          <w:szCs w:val="21"/>
          <w14:ligatures w14:val="none"/>
        </w:rPr>
        <w:t>模型，</w:t>
      </w:r>
      <w:r w:rsidRPr="009B0CD7">
        <w:rPr>
          <w:rFonts w:ascii="Times New Roman" w:eastAsia="楷体" w:hAnsi="Times New Roman" w:cs="Times New Roman" w:hint="eastAsia"/>
          <w:sz w:val="21"/>
          <w:szCs w:val="21"/>
          <w14:ligatures w14:val="none"/>
        </w:rPr>
        <w:t>并</w:t>
      </w:r>
      <w:r w:rsidRPr="009B0CD7">
        <w:rPr>
          <w:rFonts w:ascii="Times New Roman" w:eastAsia="楷体" w:hAnsi="Times New Roman" w:cs="Times New Roman"/>
          <w:sz w:val="21"/>
          <w:szCs w:val="21"/>
          <w14:ligatures w14:val="none"/>
        </w:rPr>
        <w:t>引入气候指数（</w:t>
      </w:r>
      <w:r w:rsidRPr="009B0CD7">
        <w:rPr>
          <w:rFonts w:ascii="Times New Roman" w:eastAsia="楷体" w:hAnsi="Times New Roman" w:cs="Times New Roman"/>
          <w:sz w:val="21"/>
          <w:szCs w:val="21"/>
          <w14:ligatures w14:val="none"/>
        </w:rPr>
        <w:t>NAO</w:t>
      </w:r>
      <w:r w:rsidRPr="009B0CD7">
        <w:rPr>
          <w:rFonts w:ascii="Times New Roman" w:eastAsia="楷体" w:hAnsi="Times New Roman" w:cs="Times New Roman"/>
          <w:sz w:val="21"/>
          <w:szCs w:val="21"/>
          <w14:ligatures w14:val="none"/>
        </w:rPr>
        <w:t>、</w:t>
      </w:r>
      <w:r w:rsidRPr="009B0CD7">
        <w:rPr>
          <w:rFonts w:ascii="Times New Roman" w:eastAsia="楷体" w:hAnsi="Times New Roman" w:cs="Times New Roman"/>
          <w:sz w:val="21"/>
          <w:szCs w:val="21"/>
          <w14:ligatures w14:val="none"/>
        </w:rPr>
        <w:t>PDO</w:t>
      </w:r>
      <w:r w:rsidRPr="009B0CD7">
        <w:rPr>
          <w:rFonts w:ascii="Times New Roman" w:eastAsia="楷体" w:hAnsi="Times New Roman" w:cs="Times New Roman"/>
          <w:sz w:val="21"/>
          <w:szCs w:val="21"/>
          <w14:ligatures w14:val="none"/>
        </w:rPr>
        <w:t>、</w:t>
      </w:r>
      <w:r w:rsidRPr="009B0CD7">
        <w:rPr>
          <w:rFonts w:ascii="Times New Roman" w:eastAsia="楷体" w:hAnsi="Times New Roman" w:cs="Times New Roman"/>
          <w:sz w:val="21"/>
          <w:szCs w:val="21"/>
          <w14:ligatures w14:val="none"/>
        </w:rPr>
        <w:t>NINO3.4</w:t>
      </w:r>
      <w:r w:rsidRPr="009B0CD7">
        <w:rPr>
          <w:rFonts w:ascii="Times New Roman" w:eastAsia="楷体" w:hAnsi="Times New Roman" w:cs="Times New Roman"/>
          <w:sz w:val="21"/>
          <w:szCs w:val="21"/>
          <w14:ligatures w14:val="none"/>
        </w:rPr>
        <w:t>）及区域干旱指数（</w:t>
      </w:r>
      <w:r w:rsidRPr="009B0CD7">
        <w:rPr>
          <w:rFonts w:ascii="Times New Roman" w:eastAsia="楷体" w:hAnsi="Times New Roman" w:cs="Times New Roman" w:hint="eastAsia"/>
          <w:i/>
          <w:iCs/>
          <w:sz w:val="21"/>
          <w:szCs w:val="21"/>
          <w14:ligatures w14:val="none"/>
        </w:rPr>
        <w:t>SPEI-3</w:t>
      </w:r>
      <w:r w:rsidRPr="009B0CD7">
        <w:rPr>
          <w:rFonts w:ascii="Times New Roman" w:eastAsia="楷体" w:hAnsi="Times New Roman" w:cs="Times New Roman"/>
          <w:sz w:val="21"/>
          <w:szCs w:val="21"/>
          <w14:ligatures w14:val="none"/>
        </w:rPr>
        <w:t>）等协变量刻画双水源相依结构动态变化；最后计算双水源同步偏枯（双枯）联合概率，量化系统</w:t>
      </w:r>
      <w:r w:rsidRPr="009B0CD7">
        <w:rPr>
          <w:rFonts w:ascii="Times New Roman" w:eastAsia="楷体" w:hAnsi="Times New Roman" w:cs="Times New Roman" w:hint="eastAsia"/>
          <w:sz w:val="21"/>
          <w:szCs w:val="21"/>
          <w14:ligatures w14:val="none"/>
        </w:rPr>
        <w:t>联合</w:t>
      </w:r>
      <w:r w:rsidRPr="009B0CD7">
        <w:rPr>
          <w:rFonts w:ascii="Times New Roman" w:eastAsia="楷体" w:hAnsi="Times New Roman" w:cs="Times New Roman"/>
          <w:sz w:val="21"/>
          <w:szCs w:val="21"/>
          <w14:ligatures w14:val="none"/>
        </w:rPr>
        <w:t>干旱风险。【结果】结果表明：</w:t>
      </w:r>
      <w:r w:rsidRPr="009B0CD7">
        <w:rPr>
          <w:rFonts w:ascii="Times New Roman" w:eastAsia="楷体" w:hAnsi="Times New Roman" w:cs="Times New Roman"/>
          <w:sz w:val="21"/>
          <w:szCs w:val="21"/>
          <w14:ligatures w14:val="none"/>
        </w:rPr>
        <w:t>24</w:t>
      </w:r>
      <w:r w:rsidRPr="009B0CD7">
        <w:rPr>
          <w:rFonts w:ascii="Times New Roman" w:eastAsia="楷体" w:hAnsi="Times New Roman" w:cs="Times New Roman"/>
          <w:sz w:val="21"/>
          <w:szCs w:val="21"/>
          <w14:ligatures w14:val="none"/>
        </w:rPr>
        <w:t>组月尺度序列中非平稳模型占</w:t>
      </w:r>
      <w:r w:rsidRPr="009B0CD7">
        <w:rPr>
          <w:rFonts w:ascii="Times New Roman" w:eastAsia="楷体" w:hAnsi="Times New Roman" w:cs="Times New Roman"/>
          <w:sz w:val="21"/>
          <w:szCs w:val="21"/>
          <w14:ligatures w14:val="none"/>
        </w:rPr>
        <w:t>54.2%</w:t>
      </w:r>
      <w:r w:rsidRPr="009B0CD7">
        <w:rPr>
          <w:rFonts w:ascii="Times New Roman" w:eastAsia="楷体" w:hAnsi="Times New Roman" w:cs="Times New Roman"/>
          <w:sz w:val="21"/>
          <w:szCs w:val="21"/>
          <w14:ligatures w14:val="none"/>
        </w:rPr>
        <w:t>；双水源相依关系存在显著季节差异，最优</w:t>
      </w:r>
      <w:r w:rsidRPr="009B0CD7">
        <w:rPr>
          <w:rFonts w:ascii="Times New Roman" w:eastAsia="楷体" w:hAnsi="Times New Roman" w:cs="Times New Roman"/>
          <w:sz w:val="21"/>
          <w:szCs w:val="21"/>
          <w14:ligatures w14:val="none"/>
        </w:rPr>
        <w:t>Copu</w:t>
      </w:r>
      <w:r w:rsidRPr="009B0CD7">
        <w:rPr>
          <w:rFonts w:ascii="Times New Roman" w:eastAsia="楷体" w:hAnsi="Times New Roman" w:cs="Times New Roman" w:hint="eastAsia"/>
          <w:sz w:val="21"/>
          <w:szCs w:val="21"/>
          <w14:ligatures w14:val="none"/>
        </w:rPr>
        <w:t>la</w:t>
      </w:r>
      <w:r w:rsidRPr="009B0CD7">
        <w:rPr>
          <w:rFonts w:ascii="Times New Roman" w:eastAsia="楷体" w:hAnsi="Times New Roman" w:cs="Times New Roman"/>
          <w:sz w:val="21"/>
          <w:szCs w:val="21"/>
          <w14:ligatures w14:val="none"/>
        </w:rPr>
        <w:t>族以</w:t>
      </w:r>
      <w:r w:rsidRPr="009B0CD7">
        <w:rPr>
          <w:rFonts w:ascii="Times New Roman" w:eastAsia="楷体" w:hAnsi="Times New Roman" w:cs="Times New Roman"/>
          <w:sz w:val="21"/>
          <w:szCs w:val="21"/>
          <w14:ligatures w14:val="none"/>
        </w:rPr>
        <w:t>Gaussian Copu</w:t>
      </w:r>
      <w:r w:rsidRPr="009B0CD7">
        <w:rPr>
          <w:rFonts w:ascii="Times New Roman" w:eastAsia="楷体" w:hAnsi="Times New Roman" w:cs="Times New Roman" w:hint="eastAsia"/>
          <w:sz w:val="21"/>
          <w:szCs w:val="21"/>
          <w14:ligatures w14:val="none"/>
        </w:rPr>
        <w:t>la</w:t>
      </w:r>
      <w:r w:rsidRPr="009B0CD7">
        <w:rPr>
          <w:rFonts w:ascii="Times New Roman" w:eastAsia="楷体" w:hAnsi="Times New Roman" w:cs="Times New Roman"/>
          <w:sz w:val="21"/>
          <w:szCs w:val="21"/>
          <w14:ligatures w14:val="none"/>
        </w:rPr>
        <w:t>为主，</w:t>
      </w:r>
      <w:r w:rsidRPr="009B0CD7">
        <w:rPr>
          <w:rFonts w:ascii="Times New Roman" w:eastAsia="楷体" w:hAnsi="Times New Roman" w:cs="Times New Roman"/>
          <w:sz w:val="21"/>
          <w:szCs w:val="21"/>
          <w14:ligatures w14:val="none"/>
        </w:rPr>
        <w:t>8</w:t>
      </w:r>
      <w:r w:rsidRPr="009B0CD7">
        <w:rPr>
          <w:rFonts w:ascii="Times New Roman" w:eastAsia="楷体" w:hAnsi="Times New Roman" w:cs="Times New Roman"/>
          <w:sz w:val="21"/>
          <w:szCs w:val="21"/>
          <w14:ligatures w14:val="none"/>
        </w:rPr>
        <w:t>个月份优选为时变模型，占全年月份的</w:t>
      </w:r>
      <w:r w:rsidRPr="009B0CD7">
        <w:rPr>
          <w:rFonts w:ascii="Times New Roman" w:eastAsia="楷体" w:hAnsi="Times New Roman" w:cs="Times New Roman"/>
          <w:sz w:val="21"/>
          <w:szCs w:val="21"/>
          <w14:ligatures w14:val="none"/>
        </w:rPr>
        <w:t>66.7%</w:t>
      </w:r>
      <w:r w:rsidRPr="009B0CD7">
        <w:rPr>
          <w:rFonts w:ascii="Times New Roman" w:eastAsia="楷体" w:hAnsi="Times New Roman" w:cs="Times New Roman"/>
          <w:sz w:val="21"/>
          <w:szCs w:val="21"/>
          <w14:ligatures w14:val="none"/>
        </w:rPr>
        <w:t>，表明双水源相依结构具有明显动态性；</w:t>
      </w:r>
      <w:r w:rsidRPr="009B0CD7">
        <w:rPr>
          <w:rFonts w:ascii="Times New Roman" w:eastAsia="楷体" w:hAnsi="Times New Roman" w:cs="Times New Roman" w:hint="eastAsia"/>
          <w:i/>
          <w:iCs/>
          <w:sz w:val="21"/>
          <w:szCs w:val="21"/>
          <w14:ligatures w14:val="none"/>
        </w:rPr>
        <w:t>SPEI-3</w:t>
      </w:r>
      <w:r w:rsidRPr="009B0CD7">
        <w:rPr>
          <w:rFonts w:ascii="Times New Roman" w:eastAsia="楷体" w:hAnsi="Times New Roman" w:cs="Times New Roman"/>
          <w:sz w:val="21"/>
          <w:szCs w:val="21"/>
          <w14:ligatures w14:val="none"/>
        </w:rPr>
        <w:t>在部分关键月份对双枯风险识别具有较强解释作用，其中</w:t>
      </w:r>
      <w:r w:rsidRPr="009B0CD7">
        <w:rPr>
          <w:rFonts w:ascii="Times New Roman" w:eastAsia="楷体" w:hAnsi="Times New Roman" w:cs="Times New Roman"/>
          <w:sz w:val="21"/>
          <w:szCs w:val="21"/>
          <w14:ligatures w14:val="none"/>
        </w:rPr>
        <w:t>5</w:t>
      </w:r>
      <w:r w:rsidRPr="009B0CD7">
        <w:rPr>
          <w:rFonts w:ascii="Times New Roman" w:eastAsia="楷体" w:hAnsi="Times New Roman" w:cs="Times New Roman"/>
          <w:sz w:val="21"/>
          <w:szCs w:val="21"/>
          <w14:ligatures w14:val="none"/>
        </w:rPr>
        <w:t>月模型识别效果最佳（</w:t>
      </w:r>
      <w:r w:rsidRPr="009B0CD7">
        <w:rPr>
          <w:rFonts w:ascii="Times New Roman" w:eastAsia="楷体" w:hAnsi="Times New Roman" w:cs="Times New Roman"/>
          <w:i/>
          <w:iCs/>
          <w:sz w:val="21"/>
          <w:szCs w:val="21"/>
          <w14:ligatures w14:val="none"/>
        </w:rPr>
        <w:t>AUC</w:t>
      </w:r>
      <w:r w:rsidRPr="009B0CD7">
        <w:rPr>
          <w:rFonts w:ascii="Times New Roman" w:eastAsia="楷体" w:hAnsi="Times New Roman" w:cs="Times New Roman"/>
          <w:sz w:val="21"/>
          <w:szCs w:val="21"/>
          <w14:ligatures w14:val="none"/>
        </w:rPr>
        <w:t>=0.78</w:t>
      </w:r>
      <w:r w:rsidRPr="009B0CD7">
        <w:rPr>
          <w:rFonts w:ascii="Times New Roman" w:eastAsia="楷体" w:hAnsi="Times New Roman" w:cs="Times New Roman"/>
          <w:sz w:val="21"/>
          <w:szCs w:val="21"/>
          <w14:ligatures w14:val="none"/>
        </w:rPr>
        <w:t>）；双枯风险整体呈现夏秋季较高、冬春季较低的季节分异特征。【结论】提出的双重非平稳耦合框架突破了传统</w:t>
      </w:r>
      <w:r w:rsidRPr="009B0CD7">
        <w:rPr>
          <w:rFonts w:ascii="Times New Roman" w:eastAsia="楷体" w:hAnsi="Times New Roman" w:cs="Times New Roman"/>
          <w:sz w:val="21"/>
          <w:szCs w:val="21"/>
          <w14:ligatures w14:val="none"/>
        </w:rPr>
        <w:t>Copula</w:t>
      </w:r>
      <w:r w:rsidRPr="009B0CD7">
        <w:rPr>
          <w:rFonts w:ascii="Times New Roman" w:eastAsia="楷体" w:hAnsi="Times New Roman" w:cs="Times New Roman"/>
          <w:sz w:val="21"/>
          <w:szCs w:val="21"/>
          <w14:ligatures w14:val="none"/>
        </w:rPr>
        <w:t>静态相依假设的局限，能够有效捕捉多水源系统在变化环境下的动态联合风险响应，为跨流域调水工程的适应性调度和供水安全预警提供了新的方法论支撑和定量依据</w:t>
      </w:r>
      <w:r w:rsidRPr="009B0CD7">
        <w:rPr>
          <w:rFonts w:ascii="Times New Roman" w:eastAsia="楷体" w:hAnsi="Times New Roman" w:cs="Times New Roman" w:hint="eastAsia"/>
          <w:sz w:val="21"/>
          <w:szCs w:val="21"/>
          <w14:ligatures w14:val="none"/>
        </w:rPr>
        <w:t>。</w:t>
      </w:r>
    </w:p>
    <w:p w14:paraId="6EDC3EE5" w14:textId="77777777" w:rsidR="0081344D" w:rsidRPr="009B0CD7" w:rsidRDefault="00000000">
      <w:pPr>
        <w:spacing w:after="0" w:line="240" w:lineRule="auto"/>
        <w:jc w:val="both"/>
        <w:rPr>
          <w:rFonts w:ascii="Times New Roman" w:eastAsia="楷体" w:hAnsi="Times New Roman" w:cs="Times New Roman"/>
          <w:sz w:val="21"/>
          <w:szCs w:val="21"/>
          <w14:ligatures w14:val="none"/>
        </w:rPr>
      </w:pPr>
      <w:r w:rsidRPr="009B0CD7">
        <w:rPr>
          <w:rStyle w:val="af1"/>
          <w:rFonts w:eastAsia="黑体"/>
          <w:sz w:val="21"/>
          <w:szCs w:val="22"/>
          <w14:ligatures w14:val="none"/>
        </w:rPr>
        <w:t>关键词：</w:t>
      </w:r>
      <w:r w:rsidRPr="009B0CD7">
        <w:rPr>
          <w:rFonts w:ascii="Times New Roman" w:eastAsia="楷体" w:hAnsi="Times New Roman" w:cs="Times New Roman" w:hint="eastAsia"/>
          <w:sz w:val="21"/>
          <w:szCs w:val="21"/>
          <w14:ligatures w14:val="none"/>
        </w:rPr>
        <w:t>非平稳性；</w:t>
      </w:r>
      <w:r w:rsidRPr="009B0CD7">
        <w:rPr>
          <w:rFonts w:ascii="Times New Roman" w:eastAsia="楷体" w:hAnsi="Times New Roman" w:cs="Times New Roman" w:hint="eastAsia"/>
          <w:sz w:val="21"/>
          <w:szCs w:val="21"/>
          <w14:ligatures w14:val="none"/>
        </w:rPr>
        <w:t>GAMLSS</w:t>
      </w:r>
      <w:r w:rsidRPr="009B0CD7">
        <w:rPr>
          <w:rFonts w:ascii="Times New Roman" w:eastAsia="楷体" w:hAnsi="Times New Roman" w:cs="Times New Roman" w:hint="eastAsia"/>
          <w:sz w:val="21"/>
          <w:szCs w:val="21"/>
          <w14:ligatures w14:val="none"/>
        </w:rPr>
        <w:t>；时变</w:t>
      </w:r>
      <w:r w:rsidRPr="009B0CD7">
        <w:rPr>
          <w:rFonts w:ascii="Times New Roman" w:eastAsia="楷体" w:hAnsi="Times New Roman" w:cs="Times New Roman" w:hint="eastAsia"/>
          <w:sz w:val="21"/>
          <w:szCs w:val="21"/>
          <w14:ligatures w14:val="none"/>
        </w:rPr>
        <w:t>Copula</w:t>
      </w:r>
      <w:r w:rsidRPr="009B0CD7">
        <w:rPr>
          <w:rFonts w:ascii="Times New Roman" w:eastAsia="楷体" w:hAnsi="Times New Roman" w:cs="Times New Roman" w:hint="eastAsia"/>
          <w:sz w:val="21"/>
          <w:szCs w:val="21"/>
          <w14:ligatures w14:val="none"/>
        </w:rPr>
        <w:t>；联合干旱风险；跨流域调水；多水源系统；</w:t>
      </w:r>
      <w:r w:rsidRPr="009B0CD7">
        <w:rPr>
          <w:rFonts w:ascii="Times New Roman" w:eastAsia="楷体" w:hAnsi="Times New Roman" w:cs="Times New Roman" w:hint="eastAsia"/>
          <w:sz w:val="21"/>
          <w:szCs w:val="21"/>
          <w14:ligatures w14:val="none"/>
        </w:rPr>
        <w:t>SPEI</w:t>
      </w:r>
      <w:r w:rsidRPr="009B0CD7">
        <w:rPr>
          <w:rFonts w:ascii="Times New Roman" w:eastAsia="楷体" w:hAnsi="Times New Roman" w:cs="Times New Roman" w:hint="eastAsia"/>
          <w:sz w:val="21"/>
          <w:szCs w:val="21"/>
          <w14:ligatures w14:val="none"/>
        </w:rPr>
        <w:t>；引大济湟工程</w:t>
      </w:r>
    </w:p>
    <w:p w14:paraId="1265CF61" w14:textId="77777777" w:rsidR="0081344D" w:rsidRPr="009B0CD7" w:rsidRDefault="00000000">
      <w:pPr>
        <w:spacing w:after="0" w:line="240" w:lineRule="auto"/>
        <w:ind w:rightChars="200" w:right="440"/>
        <w:jc w:val="both"/>
        <w:rPr>
          <w:rFonts w:ascii="Times New Roman" w:eastAsia="黑体" w:hAnsi="Times New Roman" w:cs="Times New Roman"/>
          <w:b/>
          <w:bCs/>
          <w:sz w:val="18"/>
          <w:szCs w:val="18"/>
          <w14:ligatures w14:val="none"/>
        </w:rPr>
      </w:pPr>
      <w:r w:rsidRPr="009B0CD7">
        <w:rPr>
          <w:rFonts w:ascii="Times New Roman" w:eastAsia="黑体" w:hAnsi="Times New Roman" w:cs="Times New Roman"/>
          <w:b/>
          <w:bCs/>
          <w:sz w:val="18"/>
          <w:szCs w:val="18"/>
          <w14:ligatures w14:val="none"/>
        </w:rPr>
        <w:t>中图分类号：</w:t>
      </w:r>
      <w:r w:rsidRPr="009B0CD7">
        <w:rPr>
          <w:rFonts w:ascii="Times New Roman" w:eastAsia="黑体" w:hAnsi="Times New Roman" w:cs="Times New Roman"/>
          <w:b/>
          <w:bCs/>
          <w:sz w:val="18"/>
          <w:szCs w:val="18"/>
          <w14:ligatures w14:val="none"/>
        </w:rPr>
        <w:t xml:space="preserve">TV213.4            </w:t>
      </w:r>
      <w:r w:rsidRPr="009B0CD7">
        <w:rPr>
          <w:rFonts w:ascii="Times New Roman" w:eastAsia="黑体" w:hAnsi="Times New Roman" w:cs="Times New Roman"/>
          <w:b/>
          <w:bCs/>
          <w:sz w:val="18"/>
          <w:szCs w:val="18"/>
          <w14:ligatures w14:val="none"/>
        </w:rPr>
        <w:t>文献标志码：</w:t>
      </w:r>
      <w:r w:rsidRPr="009B0CD7">
        <w:rPr>
          <w:rFonts w:ascii="Times New Roman" w:eastAsia="黑体" w:hAnsi="Times New Roman" w:cs="Times New Roman"/>
          <w:b/>
          <w:bCs/>
          <w:sz w:val="18"/>
          <w:szCs w:val="18"/>
          <w14:ligatures w14:val="none"/>
        </w:rPr>
        <w:t xml:space="preserve">A         </w:t>
      </w:r>
    </w:p>
    <w:p w14:paraId="66D17D33" w14:textId="77777777" w:rsidR="0081344D" w:rsidRPr="009B0CD7" w:rsidRDefault="0081344D">
      <w:pPr>
        <w:spacing w:after="0" w:line="240" w:lineRule="auto"/>
        <w:ind w:rightChars="200" w:right="440"/>
        <w:jc w:val="both"/>
        <w:rPr>
          <w:rFonts w:ascii="Times New Roman" w:eastAsia="黑体" w:hAnsi="Times New Roman" w:cs="Times New Roman"/>
          <w:b/>
          <w:bCs/>
          <w:sz w:val="18"/>
          <w:szCs w:val="18"/>
          <w14:ligatures w14:val="none"/>
        </w:rPr>
      </w:pPr>
    </w:p>
    <w:p w14:paraId="0DBCF9E1" w14:textId="77777777" w:rsidR="0081344D" w:rsidRPr="009B0CD7" w:rsidRDefault="00000000">
      <w:pPr>
        <w:pStyle w:val="ae"/>
        <w:adjustRightInd w:val="0"/>
        <w:snapToGrid w:val="0"/>
        <w:spacing w:after="0"/>
        <w:contextualSpacing w:val="0"/>
        <w:outlineLvl w:val="0"/>
        <w:rPr>
          <w:rFonts w:ascii="Times New Roman" w:eastAsia="宋体" w:hAnsi="Times New Roman" w:cs="Times New Roman"/>
          <w:b/>
          <w:bCs/>
          <w:spacing w:val="0"/>
          <w:kern w:val="2"/>
          <w:sz w:val="28"/>
          <w:szCs w:val="28"/>
          <w14:ligatures w14:val="none"/>
        </w:rPr>
      </w:pPr>
      <w:r w:rsidRPr="009B0CD7">
        <w:rPr>
          <w:rFonts w:ascii="Times New Roman" w:eastAsia="宋体" w:hAnsi="Times New Roman" w:cs="Times New Roman"/>
          <w:b/>
          <w:bCs/>
          <w:spacing w:val="0"/>
          <w:kern w:val="2"/>
          <w:sz w:val="28"/>
          <w:szCs w:val="28"/>
          <w14:ligatures w14:val="none"/>
        </w:rPr>
        <w:t>Joint drought risk assessment of dual-source inter-basin water transfer system under dual non-stationary framework</w:t>
      </w:r>
    </w:p>
    <w:p w14:paraId="25CAD2E1" w14:textId="77777777" w:rsidR="0081344D" w:rsidRPr="009B0CD7" w:rsidRDefault="00000000">
      <w:pPr>
        <w:spacing w:after="0" w:line="240" w:lineRule="auto"/>
        <w:jc w:val="center"/>
        <w:rPr>
          <w:rFonts w:ascii="Times New Roman" w:eastAsia="楷体" w:hAnsi="Times New Roman" w:cs="Times New Roman"/>
          <w:sz w:val="21"/>
          <w:szCs w:val="21"/>
          <w14:ligatures w14:val="none"/>
        </w:rPr>
      </w:pPr>
      <w:r w:rsidRPr="009B0CD7">
        <w:rPr>
          <w:rFonts w:ascii="Times New Roman" w:eastAsia="楷体" w:hAnsi="Times New Roman" w:cs="Times New Roman" w:hint="eastAsia"/>
          <w:sz w:val="21"/>
          <w:szCs w:val="21"/>
          <w14:ligatures w14:val="none"/>
        </w:rPr>
        <w:t>WANG Yusheng</w:t>
      </w:r>
      <w:r w:rsidRPr="009B0CD7">
        <w:rPr>
          <w:rFonts w:ascii="Times New Roman" w:eastAsia="楷体" w:hAnsi="Times New Roman" w:cs="Times New Roman" w:hint="eastAsia"/>
          <w:sz w:val="21"/>
          <w:szCs w:val="21"/>
          <w:vertAlign w:val="superscript"/>
          <w14:ligatures w14:val="none"/>
        </w:rPr>
        <w:t>1</w:t>
      </w:r>
      <w:r w:rsidRPr="009B0CD7">
        <w:rPr>
          <w:rFonts w:ascii="Times New Roman" w:eastAsia="楷体" w:hAnsi="Times New Roman" w:cs="Times New Roman" w:hint="eastAsia"/>
          <w:sz w:val="21"/>
          <w:szCs w:val="21"/>
          <w14:ligatures w14:val="none"/>
        </w:rPr>
        <w:t>, YOU Jinjun</w:t>
      </w:r>
      <w:r w:rsidRPr="009B0CD7">
        <w:rPr>
          <w:rFonts w:ascii="Times New Roman" w:eastAsia="楷体" w:hAnsi="Times New Roman" w:cs="Times New Roman" w:hint="eastAsia"/>
          <w:sz w:val="21"/>
          <w:szCs w:val="21"/>
          <w:vertAlign w:val="superscript"/>
          <w14:ligatures w14:val="none"/>
        </w:rPr>
        <w:t>1</w:t>
      </w:r>
      <w:r w:rsidRPr="009B0CD7">
        <w:rPr>
          <w:rFonts w:ascii="Times New Roman" w:eastAsia="楷体" w:hAnsi="Times New Roman" w:cs="Times New Roman" w:hint="eastAsia"/>
          <w:sz w:val="21"/>
          <w:szCs w:val="21"/>
          <w14:ligatures w14:val="none"/>
        </w:rPr>
        <w:t>, MA Zhenzhen</w:t>
      </w:r>
      <w:r w:rsidRPr="009B0CD7">
        <w:rPr>
          <w:rFonts w:ascii="Times New Roman" w:eastAsia="楷体" w:hAnsi="Times New Roman" w:cs="Times New Roman" w:hint="eastAsia"/>
          <w:sz w:val="21"/>
          <w:szCs w:val="21"/>
          <w:vertAlign w:val="superscript"/>
          <w14:ligatures w14:val="none"/>
        </w:rPr>
        <w:t>1</w:t>
      </w:r>
      <w:r w:rsidRPr="009B0CD7">
        <w:rPr>
          <w:rFonts w:ascii="Times New Roman" w:eastAsia="楷体" w:hAnsi="Times New Roman" w:cs="Times New Roman" w:hint="eastAsia"/>
          <w:sz w:val="21"/>
          <w:szCs w:val="21"/>
          <w14:ligatures w14:val="none"/>
        </w:rPr>
        <w:t>, WANG Lizhen</w:t>
      </w:r>
      <w:r w:rsidRPr="009B0CD7">
        <w:rPr>
          <w:rFonts w:ascii="Times New Roman" w:eastAsia="楷体" w:hAnsi="Times New Roman" w:cs="Times New Roman" w:hint="eastAsia"/>
          <w:sz w:val="21"/>
          <w:szCs w:val="21"/>
          <w:vertAlign w:val="superscript"/>
          <w14:ligatures w14:val="none"/>
        </w:rPr>
        <w:t>1,2</w:t>
      </w:r>
      <w:r w:rsidRPr="009B0CD7">
        <w:rPr>
          <w:rFonts w:ascii="Times New Roman" w:eastAsia="楷体" w:hAnsi="Times New Roman" w:cs="Times New Roman" w:hint="eastAsia"/>
          <w:sz w:val="21"/>
          <w:szCs w:val="21"/>
          <w14:ligatures w14:val="none"/>
        </w:rPr>
        <w:t>, LIN Pengfei</w:t>
      </w:r>
      <w:r w:rsidRPr="009B0CD7">
        <w:rPr>
          <w:rFonts w:ascii="Times New Roman" w:eastAsia="楷体" w:hAnsi="Times New Roman" w:cs="Times New Roman" w:hint="eastAsia"/>
          <w:sz w:val="21"/>
          <w:szCs w:val="21"/>
          <w:vertAlign w:val="superscript"/>
          <w14:ligatures w14:val="none"/>
        </w:rPr>
        <w:t>1</w:t>
      </w:r>
      <w:r w:rsidRPr="009B0CD7">
        <w:rPr>
          <w:rFonts w:ascii="Times New Roman" w:eastAsia="楷体" w:hAnsi="Times New Roman" w:cs="Times New Roman" w:hint="eastAsia"/>
          <w:sz w:val="21"/>
          <w:szCs w:val="21"/>
          <w14:ligatures w14:val="none"/>
        </w:rPr>
        <w:t>, BO Yingjie</w:t>
      </w:r>
      <w:r w:rsidRPr="009B0CD7">
        <w:rPr>
          <w:rFonts w:ascii="Times New Roman" w:eastAsia="楷体" w:hAnsi="Times New Roman" w:cs="Times New Roman" w:hint="eastAsia"/>
          <w:sz w:val="21"/>
          <w:szCs w:val="21"/>
          <w:vertAlign w:val="superscript"/>
          <w14:ligatures w14:val="none"/>
        </w:rPr>
        <w:t>1</w:t>
      </w:r>
      <w:r w:rsidRPr="009B0CD7">
        <w:rPr>
          <w:rFonts w:ascii="Times New Roman" w:eastAsia="楷体" w:hAnsi="Times New Roman" w:cs="Times New Roman" w:hint="eastAsia"/>
          <w:sz w:val="21"/>
          <w:szCs w:val="21"/>
          <w14:ligatures w14:val="none"/>
        </w:rPr>
        <w:t>, HE Sizhong</w:t>
      </w:r>
      <w:r w:rsidRPr="009B0CD7">
        <w:rPr>
          <w:rFonts w:ascii="Times New Roman" w:eastAsia="楷体" w:hAnsi="Times New Roman" w:cs="Times New Roman" w:hint="eastAsia"/>
          <w:sz w:val="21"/>
          <w:szCs w:val="21"/>
          <w:vertAlign w:val="superscript"/>
          <w14:ligatures w14:val="none"/>
        </w:rPr>
        <w:t>1</w:t>
      </w:r>
    </w:p>
    <w:p w14:paraId="7108C6AB" w14:textId="77777777" w:rsidR="0081344D" w:rsidRPr="009B0CD7" w:rsidRDefault="00000000">
      <w:pPr>
        <w:spacing w:after="0" w:line="240" w:lineRule="auto"/>
        <w:jc w:val="center"/>
        <w:rPr>
          <w:rFonts w:ascii="Times New Roman" w:eastAsia="宋体" w:hAnsi="Times New Roman" w:cs="Times New Roman"/>
          <w:sz w:val="18"/>
          <w:szCs w:val="18"/>
          <w14:ligatures w14:val="none"/>
        </w:rPr>
      </w:pPr>
      <w:r w:rsidRPr="009B0CD7">
        <w:rPr>
          <w:rFonts w:ascii="Times New Roman" w:eastAsia="宋体" w:hAnsi="Times New Roman" w:cs="Times New Roman" w:hint="eastAsia"/>
          <w:sz w:val="18"/>
          <w:szCs w:val="18"/>
          <w14:ligatures w14:val="none"/>
        </w:rPr>
        <w:t xml:space="preserve">(1. State Key Laboratory of Water Cycle and Water Security, </w:t>
      </w:r>
      <w:r w:rsidRPr="009B0CD7">
        <w:rPr>
          <w:rFonts w:ascii="Times New Roman" w:eastAsia="宋体" w:hAnsi="Times New Roman" w:cs="Times New Roman"/>
          <w:sz w:val="18"/>
          <w:szCs w:val="18"/>
          <w14:ligatures w14:val="none"/>
        </w:rPr>
        <w:t>China Institute of Water Resources and Hydropower Research,</w:t>
      </w:r>
      <w:r w:rsidRPr="009B0CD7">
        <w:rPr>
          <w:rFonts w:ascii="Times New Roman" w:eastAsia="宋体" w:hAnsi="Times New Roman" w:cs="Times New Roman" w:hint="eastAsia"/>
          <w:sz w:val="18"/>
          <w:szCs w:val="18"/>
          <w14:ligatures w14:val="none"/>
        </w:rPr>
        <w:t xml:space="preserve"> Beijing  100038, China; 2. </w:t>
      </w:r>
      <w:r w:rsidRPr="009B0CD7">
        <w:rPr>
          <w:rFonts w:ascii="Times New Roman" w:eastAsia="宋体" w:hAnsi="Times New Roman" w:cs="Times New Roman"/>
          <w:sz w:val="18"/>
          <w:szCs w:val="18"/>
          <w14:ligatures w14:val="none"/>
        </w:rPr>
        <w:t>Laboratory of Ecological Protection and High Quality Development in the Upper Yellow River, School of Civil Engineering and Water Resources</w:t>
      </w:r>
      <w:r w:rsidRPr="009B0CD7">
        <w:rPr>
          <w:rFonts w:ascii="Times New Roman" w:eastAsia="宋体" w:hAnsi="Times New Roman" w:cs="Times New Roman" w:hint="eastAsia"/>
          <w:sz w:val="18"/>
          <w:szCs w:val="18"/>
          <w14:ligatures w14:val="none"/>
        </w:rPr>
        <w:t xml:space="preserve">, </w:t>
      </w:r>
      <w:r w:rsidRPr="009B0CD7">
        <w:rPr>
          <w:rFonts w:ascii="Times New Roman" w:eastAsia="宋体" w:hAnsi="Times New Roman" w:cs="Times New Roman"/>
          <w:sz w:val="18"/>
          <w:szCs w:val="18"/>
          <w14:ligatures w14:val="none"/>
        </w:rPr>
        <w:t>Qinghai University</w:t>
      </w:r>
      <w:r w:rsidRPr="009B0CD7">
        <w:rPr>
          <w:rFonts w:ascii="Times New Roman" w:eastAsia="宋体" w:hAnsi="Times New Roman" w:cs="Times New Roman" w:hint="eastAsia"/>
          <w:sz w:val="18"/>
          <w:szCs w:val="18"/>
          <w14:ligatures w14:val="none"/>
        </w:rPr>
        <w:t>, Xining  810016, Qinghai, China)</w:t>
      </w:r>
    </w:p>
    <w:p w14:paraId="78BA9284" w14:textId="77777777" w:rsidR="0081344D" w:rsidRPr="009B0CD7" w:rsidRDefault="0081344D">
      <w:pPr>
        <w:spacing w:after="0" w:line="240" w:lineRule="auto"/>
        <w:jc w:val="center"/>
        <w:rPr>
          <w:rFonts w:ascii="Times New Roman" w:eastAsia="宋体" w:hAnsi="Times New Roman" w:cs="Times New Roman"/>
          <w:sz w:val="18"/>
          <w:szCs w:val="18"/>
          <w14:ligatures w14:val="none"/>
        </w:rPr>
      </w:pPr>
    </w:p>
    <w:p w14:paraId="2893D0A9" w14:textId="77777777" w:rsidR="0081344D" w:rsidRPr="009B0CD7" w:rsidRDefault="00000000">
      <w:pPr>
        <w:spacing w:after="0" w:line="240" w:lineRule="auto"/>
        <w:jc w:val="both"/>
        <w:outlineLvl w:val="0"/>
        <w:rPr>
          <w:rFonts w:ascii="Times New Roman" w:eastAsia="宋体" w:hAnsi="Times New Roman" w:cs="Times New Roman"/>
          <w:bCs/>
          <w:sz w:val="21"/>
          <w:szCs w:val="21"/>
          <w14:ligatures w14:val="none"/>
        </w:rPr>
      </w:pPr>
      <w:r w:rsidRPr="009B0CD7">
        <w:rPr>
          <w:rStyle w:val="af1"/>
          <w:rFonts w:ascii="Times New Roman" w:eastAsia="宋体" w:hAnsi="Times New Roman" w:cs="Times New Roman"/>
          <w:sz w:val="21"/>
          <w:szCs w:val="22"/>
          <w14:ligatures w14:val="none"/>
        </w:rPr>
        <w:t>Abstract</w:t>
      </w:r>
      <w:r w:rsidRPr="009B0CD7">
        <w:rPr>
          <w:rStyle w:val="af1"/>
          <w:rFonts w:ascii="Times New Roman" w:hAnsi="Times New Roman" w:cs="Times New Roman"/>
        </w:rPr>
        <w:t>：</w:t>
      </w:r>
      <w:r w:rsidRPr="009B0CD7">
        <w:rPr>
          <w:rFonts w:ascii="Times New Roman" w:eastAsia="宋体" w:hAnsi="Times New Roman" w:cs="Times New Roman"/>
          <w:sz w:val="21"/>
          <w:szCs w:val="21"/>
          <w14:ligatures w14:val="none"/>
        </w:rPr>
        <w:t>[Objective]</w:t>
      </w:r>
      <w:r w:rsidRPr="009B0CD7">
        <w:rPr>
          <w:rFonts w:ascii="Times New Roman" w:eastAsia="宋体" w:hAnsi="Times New Roman" w:cs="Times New Roman" w:hint="eastAsia"/>
          <w:bCs/>
          <w:sz w:val="21"/>
          <w:szCs w:val="21"/>
          <w14:ligatures w14:val="none"/>
        </w:rPr>
        <w:t xml:space="preserve"> </w:t>
      </w:r>
      <w:r w:rsidRPr="009B0CD7">
        <w:rPr>
          <w:rFonts w:ascii="Times New Roman" w:eastAsia="宋体" w:hAnsi="Times New Roman" w:cs="Times New Roman"/>
          <w:bCs/>
          <w:sz w:val="21"/>
          <w:szCs w:val="21"/>
          <w14:ligatures w14:val="none"/>
        </w:rPr>
        <w:t>To address the limitation of traditional static risk models in characterizing the non-stationary joint drought response of multi-source water systems under changing environments, a “dual non-stationary” dynamic analysis framework coupling non-stationary marginal distributions with time-varying dependence structures</w:t>
      </w:r>
      <w:r w:rsidRPr="009B0CD7">
        <w:rPr>
          <w:rFonts w:ascii="Times New Roman" w:eastAsia="宋体" w:hAnsi="Times New Roman" w:cs="Times New Roman" w:hint="eastAsia"/>
          <w:bCs/>
          <w:sz w:val="21"/>
          <w:szCs w:val="21"/>
          <w14:ligatures w14:val="none"/>
        </w:rPr>
        <w:t xml:space="preserve"> is proposed</w:t>
      </w:r>
      <w:r w:rsidRPr="009B0CD7">
        <w:rPr>
          <w:rFonts w:ascii="Times New Roman" w:eastAsia="宋体" w:hAnsi="Times New Roman" w:cs="Times New Roman"/>
          <w:bCs/>
          <w:sz w:val="21"/>
          <w:szCs w:val="21"/>
          <w14:ligatures w14:val="none"/>
        </w:rPr>
        <w:t>. The Datong River–</w:t>
      </w:r>
      <w:r w:rsidRPr="009B0CD7">
        <w:rPr>
          <w:rFonts w:ascii="Times New Roman" w:eastAsia="宋体" w:hAnsi="Times New Roman" w:cs="Times New Roman"/>
          <w:bCs/>
          <w:sz w:val="21"/>
          <w:szCs w:val="21"/>
          <w14:ligatures w14:val="none"/>
        </w:rPr>
        <w:lastRenderedPageBreak/>
        <w:t xml:space="preserve">Huangshui River dual-source system of the Yinda-Jihuang Project in Qinghai Province is used as a case study to reveal the dynamic evolution </w:t>
      </w:r>
      <w:r w:rsidRPr="009B0CD7">
        <w:rPr>
          <w:rFonts w:ascii="Times New Roman" w:eastAsia="宋体" w:hAnsi="Times New Roman" w:cs="Times New Roman" w:hint="eastAsia"/>
          <w:bCs/>
          <w:sz w:val="21"/>
          <w:szCs w:val="21"/>
          <w14:ligatures w14:val="none"/>
        </w:rPr>
        <w:t xml:space="preserve">patterns </w:t>
      </w:r>
      <w:r w:rsidRPr="009B0CD7">
        <w:rPr>
          <w:rFonts w:ascii="Times New Roman" w:eastAsia="宋体" w:hAnsi="Times New Roman" w:cs="Times New Roman"/>
          <w:bCs/>
          <w:sz w:val="21"/>
          <w:szCs w:val="21"/>
          <w14:ligatures w14:val="none"/>
        </w:rPr>
        <w:t xml:space="preserve">of its joint drought risk. </w:t>
      </w:r>
      <w:r w:rsidRPr="009B0CD7">
        <w:rPr>
          <w:rFonts w:ascii="Times New Roman" w:eastAsia="宋体" w:hAnsi="Times New Roman" w:cs="Times New Roman"/>
          <w:sz w:val="21"/>
          <w:szCs w:val="21"/>
          <w14:ligatures w14:val="none"/>
        </w:rPr>
        <w:t>[Methods]</w:t>
      </w:r>
      <w:r w:rsidRPr="009B0CD7">
        <w:rPr>
          <w:rFonts w:ascii="Times New Roman" w:eastAsia="宋体" w:hAnsi="Times New Roman" w:cs="Times New Roman" w:hint="eastAsia"/>
          <w:b/>
          <w:sz w:val="21"/>
          <w:szCs w:val="21"/>
          <w14:ligatures w14:val="none"/>
        </w:rPr>
        <w:t xml:space="preserve"> </w:t>
      </w:r>
      <w:r w:rsidRPr="009B0CD7">
        <w:rPr>
          <w:rFonts w:ascii="Times New Roman" w:eastAsia="宋体" w:hAnsi="Times New Roman" w:cs="Times New Roman"/>
          <w:bCs/>
          <w:sz w:val="21"/>
          <w:szCs w:val="21"/>
          <w14:ligatures w14:val="none"/>
        </w:rPr>
        <w:t>Based on monthly runoff series from 1956 to 2010, the generalized additive model</w:t>
      </w:r>
      <w:r w:rsidRPr="009B0CD7">
        <w:rPr>
          <w:rFonts w:ascii="Times New Roman" w:eastAsia="宋体" w:hAnsi="Times New Roman" w:cs="Times New Roman" w:hint="eastAsia"/>
          <w:bCs/>
          <w:sz w:val="21"/>
          <w:szCs w:val="21"/>
          <w14:ligatures w14:val="none"/>
        </w:rPr>
        <w:t>s</w:t>
      </w:r>
      <w:r w:rsidRPr="009B0CD7">
        <w:rPr>
          <w:rFonts w:ascii="Times New Roman" w:eastAsia="宋体" w:hAnsi="Times New Roman" w:cs="Times New Roman"/>
          <w:bCs/>
          <w:sz w:val="21"/>
          <w:szCs w:val="21"/>
          <w14:ligatures w14:val="none"/>
        </w:rPr>
        <w:t xml:space="preserve"> for location, scale</w:t>
      </w:r>
      <w:r w:rsidRPr="009B0CD7">
        <w:rPr>
          <w:rFonts w:ascii="Times New Roman" w:eastAsia="宋体" w:hAnsi="Times New Roman" w:cs="Times New Roman" w:hint="eastAsia"/>
          <w:bCs/>
          <w:sz w:val="21"/>
          <w:szCs w:val="21"/>
          <w14:ligatures w14:val="none"/>
        </w:rPr>
        <w:t>,</w:t>
      </w:r>
      <w:r w:rsidRPr="009B0CD7">
        <w:rPr>
          <w:rFonts w:ascii="Times New Roman" w:eastAsia="宋体" w:hAnsi="Times New Roman" w:cs="Times New Roman"/>
          <w:bCs/>
          <w:sz w:val="21"/>
          <w:szCs w:val="21"/>
          <w14:ligatures w14:val="none"/>
        </w:rPr>
        <w:t xml:space="preserve"> and shape (GAMLSS) w</w:t>
      </w:r>
      <w:r w:rsidRPr="009B0CD7">
        <w:rPr>
          <w:rFonts w:ascii="Times New Roman" w:eastAsia="宋体" w:hAnsi="Times New Roman" w:cs="Times New Roman" w:hint="eastAsia"/>
          <w:bCs/>
          <w:sz w:val="21"/>
          <w:szCs w:val="21"/>
          <w14:ligatures w14:val="none"/>
        </w:rPr>
        <w:t>ere</w:t>
      </w:r>
      <w:r w:rsidRPr="009B0CD7">
        <w:rPr>
          <w:rFonts w:ascii="Times New Roman" w:eastAsia="宋体" w:hAnsi="Times New Roman" w:cs="Times New Roman"/>
          <w:bCs/>
          <w:sz w:val="21"/>
          <w:szCs w:val="21"/>
          <w14:ligatures w14:val="none"/>
        </w:rPr>
        <w:t xml:space="preserve"> first used to construct optimal marginal distribution models for monthly runoff series of the two water sources and to identify their non-stationary structures. Probability integral transform (PIT) was then applied to the runoff series of the two water sources using the optimal marginal distribution functions to obtain standard uniform probability variables. Static and time-varying Copula models were further developed, </w:t>
      </w:r>
      <w:r w:rsidRPr="009B0CD7">
        <w:rPr>
          <w:rFonts w:ascii="Times New Roman" w:eastAsia="宋体" w:hAnsi="Times New Roman" w:cs="Times New Roman" w:hint="eastAsia"/>
          <w:bCs/>
          <w:sz w:val="21"/>
          <w:szCs w:val="21"/>
          <w14:ligatures w14:val="none"/>
        </w:rPr>
        <w:t>and</w:t>
      </w:r>
      <w:r w:rsidRPr="009B0CD7">
        <w:rPr>
          <w:rFonts w:ascii="Times New Roman" w:eastAsia="宋体" w:hAnsi="Times New Roman" w:cs="Times New Roman"/>
          <w:bCs/>
          <w:sz w:val="21"/>
          <w:szCs w:val="21"/>
          <w14:ligatures w14:val="none"/>
        </w:rPr>
        <w:t xml:space="preserve"> climatic indices (NAO, PDO</w:t>
      </w:r>
      <w:r w:rsidRPr="009B0CD7">
        <w:rPr>
          <w:rFonts w:ascii="Times New Roman" w:eastAsia="宋体" w:hAnsi="Times New Roman" w:cs="Times New Roman" w:hint="eastAsia"/>
          <w:bCs/>
          <w:sz w:val="21"/>
          <w:szCs w:val="21"/>
          <w14:ligatures w14:val="none"/>
        </w:rPr>
        <w:t>,</w:t>
      </w:r>
      <w:r w:rsidRPr="009B0CD7">
        <w:rPr>
          <w:rFonts w:ascii="Times New Roman" w:eastAsia="宋体" w:hAnsi="Times New Roman" w:cs="Times New Roman"/>
          <w:bCs/>
          <w:sz w:val="21"/>
          <w:szCs w:val="21"/>
          <w14:ligatures w14:val="none"/>
        </w:rPr>
        <w:t xml:space="preserve"> and NINO3.4) and the regional drought index </w:t>
      </w:r>
      <w:r w:rsidRPr="009B0CD7">
        <w:rPr>
          <w:rFonts w:ascii="Times New Roman" w:eastAsia="楷体" w:hAnsi="Times New Roman" w:cs="Times New Roman" w:hint="eastAsia"/>
          <w:i/>
          <w:iCs/>
          <w:sz w:val="21"/>
          <w:szCs w:val="21"/>
          <w14:ligatures w14:val="none"/>
        </w:rPr>
        <w:t>SPEI-3</w:t>
      </w:r>
      <w:r w:rsidRPr="009B0CD7">
        <w:rPr>
          <w:rFonts w:ascii="Times New Roman" w:eastAsia="宋体" w:hAnsi="Times New Roman" w:cs="Times New Roman"/>
          <w:bCs/>
          <w:sz w:val="21"/>
          <w:szCs w:val="21"/>
          <w14:ligatures w14:val="none"/>
        </w:rPr>
        <w:t xml:space="preserve"> </w:t>
      </w:r>
      <w:r w:rsidRPr="009B0CD7">
        <w:rPr>
          <w:rFonts w:ascii="Times New Roman" w:eastAsia="宋体" w:hAnsi="Times New Roman" w:cs="Times New Roman" w:hint="eastAsia"/>
          <w:bCs/>
          <w:sz w:val="21"/>
          <w:szCs w:val="21"/>
          <w14:ligatures w14:val="none"/>
        </w:rPr>
        <w:t xml:space="preserve">were </w:t>
      </w:r>
      <w:r w:rsidRPr="009B0CD7">
        <w:rPr>
          <w:rFonts w:ascii="Times New Roman" w:eastAsia="宋体" w:hAnsi="Times New Roman" w:cs="Times New Roman"/>
          <w:bCs/>
          <w:sz w:val="21"/>
          <w:szCs w:val="21"/>
          <w14:ligatures w14:val="none"/>
        </w:rPr>
        <w:t>introduced as covariates to characterize dynamic changes in the dependence structure</w:t>
      </w:r>
      <w:r w:rsidRPr="009B0CD7">
        <w:rPr>
          <w:rFonts w:ascii="Times New Roman" w:eastAsia="宋体" w:hAnsi="Times New Roman" w:cs="Times New Roman" w:hint="eastAsia"/>
          <w:bCs/>
          <w:sz w:val="21"/>
          <w:szCs w:val="21"/>
          <w14:ligatures w14:val="none"/>
        </w:rPr>
        <w:t xml:space="preserve"> </w:t>
      </w:r>
      <w:r w:rsidRPr="009B0CD7">
        <w:rPr>
          <w:rFonts w:ascii="Times New Roman" w:eastAsia="宋体" w:hAnsi="Times New Roman" w:cs="Times New Roman"/>
          <w:bCs/>
          <w:sz w:val="21"/>
          <w:szCs w:val="21"/>
          <w14:ligatures w14:val="none"/>
        </w:rPr>
        <w:t>between the two water sources. Finally, the joint probability of synchronous low-flow events</w:t>
      </w:r>
      <w:r w:rsidRPr="009B0CD7">
        <w:rPr>
          <w:rFonts w:ascii="Times New Roman" w:eastAsia="宋体" w:hAnsi="Times New Roman" w:cs="Times New Roman" w:hint="eastAsia"/>
          <w:bCs/>
          <w:sz w:val="21"/>
          <w:szCs w:val="21"/>
          <w14:ligatures w14:val="none"/>
        </w:rPr>
        <w:t xml:space="preserve"> of the two water sources,</w:t>
      </w:r>
      <w:r w:rsidRPr="009B0CD7">
        <w:rPr>
          <w:rFonts w:ascii="Times New Roman" w:eastAsia="宋体" w:hAnsi="Times New Roman" w:cs="Times New Roman"/>
          <w:bCs/>
          <w:sz w:val="21"/>
          <w:szCs w:val="21"/>
          <w14:ligatures w14:val="none"/>
        </w:rPr>
        <w:t xml:space="preserve"> referred to as dual</w:t>
      </w:r>
      <w:r w:rsidRPr="009B0CD7">
        <w:rPr>
          <w:rFonts w:ascii="Times New Roman" w:eastAsia="宋体" w:hAnsi="Times New Roman" w:cs="Times New Roman" w:hint="eastAsia"/>
          <w:bCs/>
          <w:sz w:val="21"/>
          <w:szCs w:val="21"/>
          <w14:ligatures w14:val="none"/>
        </w:rPr>
        <w:t>-</w:t>
      </w:r>
      <w:r w:rsidRPr="009B0CD7">
        <w:rPr>
          <w:rFonts w:ascii="Times New Roman" w:eastAsia="宋体" w:hAnsi="Times New Roman" w:cs="Times New Roman"/>
          <w:bCs/>
          <w:sz w:val="21"/>
          <w:szCs w:val="21"/>
          <w14:ligatures w14:val="none"/>
        </w:rPr>
        <w:t>drought, was calculated to quantify the joint drought risk of the system.</w:t>
      </w:r>
      <w:r w:rsidRPr="009B0CD7">
        <w:rPr>
          <w:rFonts w:ascii="Times New Roman" w:eastAsia="宋体" w:hAnsi="Times New Roman" w:cs="Times New Roman" w:hint="eastAsia"/>
          <w:b/>
          <w:sz w:val="21"/>
          <w:szCs w:val="21"/>
          <w14:ligatures w14:val="none"/>
        </w:rPr>
        <w:t xml:space="preserve"> </w:t>
      </w:r>
      <w:r w:rsidRPr="009B0CD7">
        <w:rPr>
          <w:rFonts w:ascii="Times New Roman" w:eastAsia="宋体" w:hAnsi="Times New Roman" w:cs="Times New Roman"/>
          <w:sz w:val="21"/>
          <w:szCs w:val="21"/>
          <w14:ligatures w14:val="none"/>
        </w:rPr>
        <w:t>[Results]</w:t>
      </w:r>
      <w:r w:rsidRPr="009B0CD7">
        <w:rPr>
          <w:rFonts w:ascii="Times New Roman" w:eastAsia="宋体" w:hAnsi="Times New Roman" w:cs="Times New Roman" w:hint="eastAsia"/>
          <w:b/>
          <w:sz w:val="21"/>
          <w:szCs w:val="21"/>
          <w14:ligatures w14:val="none"/>
        </w:rPr>
        <w:t xml:space="preserve"> </w:t>
      </w:r>
      <w:r w:rsidRPr="009B0CD7">
        <w:rPr>
          <w:rFonts w:ascii="Times New Roman" w:eastAsia="宋体" w:hAnsi="Times New Roman" w:cs="Times New Roman"/>
          <w:bCs/>
          <w:sz w:val="21"/>
          <w:szCs w:val="21"/>
          <w14:ligatures w14:val="none"/>
        </w:rPr>
        <w:t>The results showed that non-stationary models accounted for 54.2% of the 24 monthly</w:t>
      </w:r>
      <w:r w:rsidRPr="009B0CD7">
        <w:t xml:space="preserve"> </w:t>
      </w:r>
      <w:r w:rsidRPr="009B0CD7">
        <w:rPr>
          <w:rFonts w:ascii="Times New Roman" w:eastAsia="宋体" w:hAnsi="Times New Roman" w:cs="Times New Roman"/>
          <w:bCs/>
          <w:sz w:val="21"/>
          <w:szCs w:val="21"/>
          <w14:ligatures w14:val="none"/>
        </w:rPr>
        <w:t>runoff series. The dependence between the two water sources exhibited significant seasonal variability, with Gaussian Copula being the dominant Copula</w:t>
      </w:r>
      <w:r w:rsidRPr="009B0CD7">
        <w:rPr>
          <w:rFonts w:ascii="Times New Roman" w:eastAsia="宋体" w:hAnsi="Times New Roman" w:cs="Times New Roman" w:hint="eastAsia"/>
          <w:bCs/>
          <w:sz w:val="21"/>
          <w:szCs w:val="21"/>
          <w14:ligatures w14:val="none"/>
        </w:rPr>
        <w:t xml:space="preserve"> </w:t>
      </w:r>
      <w:r w:rsidRPr="009B0CD7">
        <w:rPr>
          <w:rFonts w:ascii="Times New Roman" w:eastAsia="宋体" w:hAnsi="Times New Roman" w:cs="Times New Roman"/>
          <w:bCs/>
          <w:sz w:val="21"/>
          <w:szCs w:val="21"/>
          <w14:ligatures w14:val="none"/>
        </w:rPr>
        <w:t>family. Time-varying models were preferred in eight months, accounting for 66.7% of the year, indicating pronounced dynamics in the dependence structure</w:t>
      </w:r>
      <w:r w:rsidRPr="009B0CD7">
        <w:rPr>
          <w:rFonts w:ascii="Times New Roman" w:eastAsia="宋体" w:hAnsi="Times New Roman" w:cs="Times New Roman" w:hint="eastAsia"/>
          <w:bCs/>
          <w:sz w:val="21"/>
          <w:szCs w:val="21"/>
          <w14:ligatures w14:val="none"/>
        </w:rPr>
        <w:t xml:space="preserve"> </w:t>
      </w:r>
      <w:r w:rsidRPr="009B0CD7">
        <w:rPr>
          <w:rFonts w:ascii="Times New Roman" w:eastAsia="宋体" w:hAnsi="Times New Roman" w:cs="Times New Roman"/>
          <w:bCs/>
          <w:sz w:val="21"/>
          <w:szCs w:val="21"/>
          <w14:ligatures w14:val="none"/>
        </w:rPr>
        <w:t xml:space="preserve">between the two water sources. </w:t>
      </w:r>
      <w:r w:rsidRPr="009B0CD7">
        <w:rPr>
          <w:rFonts w:ascii="Times New Roman" w:eastAsia="楷体" w:hAnsi="Times New Roman" w:cs="Times New Roman" w:hint="eastAsia"/>
          <w:i/>
          <w:iCs/>
          <w:sz w:val="21"/>
          <w:szCs w:val="21"/>
          <w14:ligatures w14:val="none"/>
        </w:rPr>
        <w:t>SPEI-3</w:t>
      </w:r>
      <w:r w:rsidRPr="009B0CD7">
        <w:rPr>
          <w:rFonts w:ascii="Times New Roman" w:eastAsia="宋体" w:hAnsi="Times New Roman" w:cs="Times New Roman"/>
          <w:bCs/>
          <w:sz w:val="21"/>
          <w:szCs w:val="21"/>
          <w14:ligatures w14:val="none"/>
        </w:rPr>
        <w:t xml:space="preserve"> showed strong explanatory power for dual-drought risk identification in several key months, with the best performance occurring in May (</w:t>
      </w:r>
      <w:r w:rsidRPr="009B0CD7">
        <w:rPr>
          <w:rFonts w:ascii="Times New Roman" w:eastAsia="楷体" w:hAnsi="Times New Roman" w:cs="Times New Roman"/>
          <w:i/>
          <w:iCs/>
          <w:sz w:val="21"/>
          <w:szCs w:val="21"/>
          <w14:ligatures w14:val="none"/>
        </w:rPr>
        <w:t>AUC</w:t>
      </w:r>
      <w:r w:rsidRPr="009B0CD7">
        <w:rPr>
          <w:rFonts w:ascii="Times New Roman" w:eastAsia="楷体" w:hAnsi="Times New Roman" w:cs="Times New Roman" w:hint="eastAsia"/>
          <w:i/>
          <w:iCs/>
          <w:sz w:val="21"/>
          <w:szCs w:val="21"/>
          <w14:ligatures w14:val="none"/>
        </w:rPr>
        <w:t xml:space="preserve"> </w:t>
      </w:r>
      <w:r w:rsidRPr="009B0CD7">
        <w:rPr>
          <w:rFonts w:ascii="Times New Roman" w:eastAsia="楷体" w:hAnsi="Times New Roman" w:cs="Times New Roman"/>
          <w:sz w:val="21"/>
          <w:szCs w:val="21"/>
          <w14:ligatures w14:val="none"/>
        </w:rPr>
        <w:t>=</w:t>
      </w:r>
      <w:r w:rsidRPr="009B0CD7">
        <w:rPr>
          <w:rFonts w:ascii="Times New Roman" w:eastAsia="楷体" w:hAnsi="Times New Roman" w:cs="Times New Roman" w:hint="eastAsia"/>
          <w:sz w:val="21"/>
          <w:szCs w:val="21"/>
          <w14:ligatures w14:val="none"/>
        </w:rPr>
        <w:t xml:space="preserve"> </w:t>
      </w:r>
      <w:r w:rsidRPr="009B0CD7">
        <w:rPr>
          <w:rFonts w:ascii="Times New Roman" w:eastAsia="楷体" w:hAnsi="Times New Roman" w:cs="Times New Roman"/>
          <w:sz w:val="21"/>
          <w:szCs w:val="21"/>
          <w14:ligatures w14:val="none"/>
        </w:rPr>
        <w:t>0.78</w:t>
      </w:r>
      <w:r w:rsidRPr="009B0CD7">
        <w:rPr>
          <w:rFonts w:ascii="Times New Roman" w:eastAsia="宋体" w:hAnsi="Times New Roman" w:cs="Times New Roman"/>
          <w:bCs/>
          <w:sz w:val="21"/>
          <w:szCs w:val="21"/>
          <w14:ligatures w14:val="none"/>
        </w:rPr>
        <w:t xml:space="preserve">). Overall, dual-drought risk was higher in summer and autumn and lower in winter and spring. </w:t>
      </w:r>
      <w:r w:rsidRPr="009B0CD7">
        <w:rPr>
          <w:rFonts w:ascii="Times New Roman" w:eastAsia="宋体" w:hAnsi="Times New Roman" w:cs="Times New Roman"/>
          <w:sz w:val="21"/>
          <w:szCs w:val="21"/>
          <w14:ligatures w14:val="none"/>
        </w:rPr>
        <w:t>[Conclusion]</w:t>
      </w:r>
      <w:r w:rsidRPr="009B0CD7">
        <w:rPr>
          <w:rFonts w:ascii="Times New Roman" w:eastAsia="宋体" w:hAnsi="Times New Roman" w:cs="Times New Roman" w:hint="eastAsia"/>
          <w:bCs/>
          <w:sz w:val="21"/>
          <w:szCs w:val="21"/>
          <w14:ligatures w14:val="none"/>
        </w:rPr>
        <w:t xml:space="preserve"> </w:t>
      </w:r>
      <w:r w:rsidRPr="009B0CD7">
        <w:rPr>
          <w:rFonts w:ascii="Times New Roman" w:eastAsia="宋体" w:hAnsi="Times New Roman" w:cs="Times New Roman"/>
          <w:bCs/>
          <w:sz w:val="21"/>
          <w:szCs w:val="21"/>
          <w14:ligatures w14:val="none"/>
        </w:rPr>
        <w:t>The proposed dual non-stationary coupling framework overcomes the limitation of static dependence assumption</w:t>
      </w:r>
      <w:r w:rsidRPr="009B0CD7">
        <w:rPr>
          <w:rFonts w:ascii="Times New Roman" w:eastAsia="宋体" w:hAnsi="Times New Roman" w:cs="Times New Roman" w:hint="eastAsia"/>
          <w:bCs/>
          <w:sz w:val="21"/>
          <w:szCs w:val="21"/>
          <w14:ligatures w14:val="none"/>
        </w:rPr>
        <w:t>s</w:t>
      </w:r>
      <w:r w:rsidRPr="009B0CD7">
        <w:rPr>
          <w:rFonts w:ascii="Times New Roman" w:eastAsia="宋体" w:hAnsi="Times New Roman" w:cs="Times New Roman"/>
          <w:bCs/>
          <w:sz w:val="21"/>
          <w:szCs w:val="21"/>
          <w14:ligatures w14:val="none"/>
        </w:rPr>
        <w:t xml:space="preserve"> in traditional Copula models and effectively captures the dynamic joint risk response of multi-source water systems under changing environments, providing methodological support and quantitative evidence for adaptive operation and water supply security early warning in inter-basin water transfer projects.</w:t>
      </w:r>
    </w:p>
    <w:p w14:paraId="49B89CDD" w14:textId="77777777" w:rsidR="0081344D" w:rsidRPr="009B0CD7" w:rsidRDefault="00000000">
      <w:pPr>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b/>
          <w:bCs/>
          <w:sz w:val="21"/>
          <w:szCs w:val="21"/>
        </w:rPr>
        <w:t xml:space="preserve">Keywords: </w:t>
      </w:r>
      <w:r w:rsidRPr="009B0CD7">
        <w:rPr>
          <w:rFonts w:ascii="Times New Roman" w:eastAsia="宋体" w:hAnsi="Times New Roman" w:cs="Times New Roman" w:hint="eastAsia"/>
          <w:sz w:val="21"/>
          <w:szCs w:val="21"/>
        </w:rPr>
        <w:t>n</w:t>
      </w:r>
      <w:r w:rsidRPr="009B0CD7">
        <w:rPr>
          <w:rFonts w:ascii="Times New Roman" w:eastAsia="宋体" w:hAnsi="Times New Roman" w:cs="Times New Roman"/>
          <w:sz w:val="21"/>
          <w:szCs w:val="21"/>
        </w:rPr>
        <w:t xml:space="preserve">on-stationarity; GAMLSS; </w:t>
      </w:r>
      <w:r w:rsidRPr="009B0CD7">
        <w:rPr>
          <w:rFonts w:ascii="Times New Roman" w:eastAsia="宋体" w:hAnsi="Times New Roman" w:cs="Times New Roman" w:hint="eastAsia"/>
          <w:sz w:val="21"/>
          <w:szCs w:val="21"/>
        </w:rPr>
        <w:t>t</w:t>
      </w:r>
      <w:r w:rsidRPr="009B0CD7">
        <w:rPr>
          <w:rFonts w:ascii="Times New Roman" w:eastAsia="宋体" w:hAnsi="Times New Roman" w:cs="Times New Roman"/>
          <w:sz w:val="21"/>
          <w:szCs w:val="21"/>
        </w:rPr>
        <w:t xml:space="preserve">ime-varying Copula; </w:t>
      </w:r>
      <w:r w:rsidRPr="009B0CD7">
        <w:rPr>
          <w:rFonts w:ascii="Times New Roman" w:eastAsia="宋体" w:hAnsi="Times New Roman" w:cs="Times New Roman" w:hint="eastAsia"/>
          <w:sz w:val="21"/>
          <w:szCs w:val="21"/>
        </w:rPr>
        <w:t>joint</w:t>
      </w:r>
      <w:r w:rsidRPr="009B0CD7">
        <w:rPr>
          <w:rFonts w:ascii="Times New Roman" w:eastAsia="宋体" w:hAnsi="Times New Roman" w:cs="Times New Roman"/>
          <w:sz w:val="21"/>
          <w:szCs w:val="21"/>
        </w:rPr>
        <w:t xml:space="preserve"> drought risk; </w:t>
      </w:r>
      <w:r w:rsidRPr="009B0CD7">
        <w:rPr>
          <w:rFonts w:ascii="Times New Roman" w:eastAsia="宋体" w:hAnsi="Times New Roman" w:cs="Times New Roman" w:hint="eastAsia"/>
          <w:sz w:val="21"/>
          <w:szCs w:val="21"/>
        </w:rPr>
        <w:t>inter-basin water transfer; m</w:t>
      </w:r>
      <w:r w:rsidRPr="009B0CD7">
        <w:rPr>
          <w:rFonts w:ascii="Times New Roman" w:eastAsia="宋体" w:hAnsi="Times New Roman" w:cs="Times New Roman"/>
          <w:sz w:val="21"/>
          <w:szCs w:val="21"/>
        </w:rPr>
        <w:t xml:space="preserve">ulti-source water system; </w:t>
      </w:r>
      <w:r w:rsidRPr="009B0CD7">
        <w:rPr>
          <w:rFonts w:ascii="Times New Roman" w:eastAsia="宋体" w:hAnsi="Times New Roman" w:cs="Times New Roman"/>
          <w:i/>
          <w:iCs/>
          <w:sz w:val="21"/>
          <w:szCs w:val="21"/>
        </w:rPr>
        <w:t>SPEI</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Yinda-Jihuang Project</w:t>
      </w:r>
    </w:p>
    <w:p w14:paraId="4A66B056" w14:textId="77777777" w:rsidR="0081344D" w:rsidRPr="009B0CD7" w:rsidRDefault="00000000">
      <w:pPr>
        <w:pStyle w:val="ac"/>
        <w:snapToGrid/>
        <w:jc w:val="both"/>
        <w:rPr>
          <w:rFonts w:ascii="Times New Roman" w:eastAsia="黑体" w:hAnsi="Times New Roman" w:cs="Times New Roman"/>
          <w:b/>
          <w:bCs/>
          <w:kern w:val="0"/>
          <w:szCs w:val="18"/>
          <w:u w:val="single"/>
        </w:rPr>
      </w:pPr>
      <w:r w:rsidRPr="009B0CD7">
        <w:rPr>
          <w:rFonts w:ascii="Times New Roman" w:eastAsia="黑体" w:hAnsi="Times New Roman" w:cs="Times New Roman"/>
          <w:b/>
          <w:bCs/>
          <w:szCs w:val="18"/>
          <w:u w:val="single"/>
        </w:rPr>
        <w:t xml:space="preserve">                                      </w:t>
      </w:r>
    </w:p>
    <w:p w14:paraId="6087BC37" w14:textId="77777777" w:rsidR="0081344D" w:rsidRPr="009B0CD7" w:rsidRDefault="00000000">
      <w:pPr>
        <w:pStyle w:val="ac"/>
        <w:snapToGrid/>
        <w:jc w:val="both"/>
        <w:rPr>
          <w:rFonts w:ascii="Times New Roman" w:hAnsi="Times New Roman" w:cs="Times New Roman"/>
          <w:b/>
          <w:szCs w:val="18"/>
        </w:rPr>
      </w:pPr>
      <w:r w:rsidRPr="009B0CD7">
        <w:rPr>
          <w:rFonts w:ascii="Times New Roman" w:eastAsia="黑体" w:hAnsi="Times New Roman" w:cs="Times New Roman"/>
          <w:b/>
          <w:bCs/>
          <w:szCs w:val="18"/>
        </w:rPr>
        <w:t>收稿日期：</w:t>
      </w:r>
      <w:r w:rsidRPr="009B0CD7">
        <w:rPr>
          <w:rFonts w:ascii="Times New Roman" w:hAnsi="Times New Roman" w:cs="Times New Roman" w:hint="eastAsia"/>
          <w:szCs w:val="18"/>
        </w:rPr>
        <w:t>2026-07-13</w:t>
      </w:r>
      <w:r w:rsidRPr="009B0CD7">
        <w:rPr>
          <w:rFonts w:ascii="Times New Roman" w:hAnsi="Times New Roman" w:cs="Times New Roman"/>
          <w:szCs w:val="18"/>
        </w:rPr>
        <w:t>；</w:t>
      </w:r>
      <w:r w:rsidRPr="009B0CD7">
        <w:rPr>
          <w:rFonts w:ascii="Times New Roman" w:eastAsia="黑体" w:hAnsi="Times New Roman" w:cs="Times New Roman"/>
          <w:b/>
          <w:bCs/>
          <w:szCs w:val="18"/>
        </w:rPr>
        <w:t>修回日期：</w:t>
      </w:r>
      <w:r w:rsidRPr="009B0CD7">
        <w:rPr>
          <w:rFonts w:ascii="Times New Roman" w:hAnsi="Times New Roman" w:cs="Times New Roman" w:hint="eastAsia"/>
          <w:szCs w:val="18"/>
        </w:rPr>
        <w:t>2026-09-18</w:t>
      </w:r>
      <w:r w:rsidRPr="009B0CD7">
        <w:rPr>
          <w:rFonts w:ascii="Times New Roman" w:hAnsi="Times New Roman" w:cs="Times New Roman"/>
          <w:szCs w:val="18"/>
        </w:rPr>
        <w:t>；</w:t>
      </w:r>
      <w:r w:rsidRPr="009B0CD7">
        <w:rPr>
          <w:rFonts w:ascii="Times New Roman" w:eastAsia="黑体" w:hAnsi="Times New Roman" w:cs="Times New Roman"/>
          <w:b/>
          <w:bCs/>
          <w:szCs w:val="18"/>
        </w:rPr>
        <w:t>录用日期：</w:t>
      </w:r>
      <w:r w:rsidRPr="009B0CD7">
        <w:rPr>
          <w:rFonts w:ascii="Times New Roman" w:hAnsi="Times New Roman" w:cs="Times New Roman" w:hint="eastAsia"/>
          <w:szCs w:val="18"/>
        </w:rPr>
        <w:t>2026-09-20</w:t>
      </w:r>
      <w:r w:rsidRPr="009B0CD7">
        <w:rPr>
          <w:rFonts w:ascii="Times New Roman" w:hAnsi="Times New Roman" w:cs="Times New Roman"/>
          <w:szCs w:val="18"/>
        </w:rPr>
        <w:t>；</w:t>
      </w:r>
      <w:r w:rsidRPr="009B0CD7">
        <w:rPr>
          <w:rFonts w:ascii="Times New Roman" w:eastAsia="黑体" w:hAnsi="Times New Roman" w:cs="Times New Roman"/>
          <w:b/>
          <w:bCs/>
          <w:szCs w:val="18"/>
        </w:rPr>
        <w:t>网络出版日期：</w:t>
      </w:r>
      <w:r w:rsidRPr="009B0CD7">
        <w:rPr>
          <w:rFonts w:ascii="Times New Roman" w:hAnsi="Times New Roman" w:cs="Times New Roman" w:hint="eastAsia"/>
          <w:szCs w:val="18"/>
        </w:rPr>
        <w:t xml:space="preserve">    </w:t>
      </w:r>
    </w:p>
    <w:p w14:paraId="524C762D" w14:textId="77777777" w:rsidR="0081344D" w:rsidRPr="009B0CD7" w:rsidRDefault="00000000">
      <w:pPr>
        <w:pStyle w:val="ac"/>
        <w:jc w:val="both"/>
        <w:rPr>
          <w:rFonts w:ascii="Times New Roman" w:hAnsi="Times New Roman" w:cs="Times New Roman"/>
          <w:szCs w:val="18"/>
        </w:rPr>
      </w:pPr>
      <w:r w:rsidRPr="009B0CD7">
        <w:rPr>
          <w:rFonts w:ascii="Times New Roman" w:eastAsia="黑体" w:hAnsi="Times New Roman" w:cs="Times New Roman"/>
          <w:b/>
          <w:bCs/>
          <w:spacing w:val="-2"/>
          <w:szCs w:val="18"/>
        </w:rPr>
        <w:t>基金项目：</w:t>
      </w:r>
      <w:r w:rsidRPr="009B0CD7">
        <w:rPr>
          <w:rFonts w:ascii="Times New Roman" w:hAnsi="Times New Roman" w:cs="Times New Roman" w:hint="eastAsia"/>
          <w:szCs w:val="18"/>
        </w:rPr>
        <w:t>国家</w:t>
      </w:r>
      <w:r w:rsidRPr="009B0CD7">
        <w:rPr>
          <w:rFonts w:ascii="Times New Roman" w:hAnsi="Times New Roman" w:cs="Times New Roman"/>
          <w:szCs w:val="18"/>
        </w:rPr>
        <w:t>自然</w:t>
      </w:r>
      <w:r w:rsidRPr="009B0CD7">
        <w:rPr>
          <w:rFonts w:ascii="Times New Roman" w:hAnsi="Times New Roman" w:cs="Times New Roman" w:hint="eastAsia"/>
          <w:szCs w:val="18"/>
        </w:rPr>
        <w:t>科学</w:t>
      </w:r>
      <w:r w:rsidRPr="009B0CD7">
        <w:rPr>
          <w:rFonts w:ascii="Times New Roman" w:hAnsi="Times New Roman" w:cs="Times New Roman"/>
          <w:szCs w:val="18"/>
        </w:rPr>
        <w:t>基金</w:t>
      </w:r>
      <w:r w:rsidRPr="009B0CD7">
        <w:rPr>
          <w:rFonts w:ascii="Times New Roman" w:hAnsi="Times New Roman" w:cs="Times New Roman" w:hint="eastAsia"/>
          <w:szCs w:val="18"/>
        </w:rPr>
        <w:t>项目</w:t>
      </w:r>
      <w:r w:rsidRPr="009B0CD7">
        <w:rPr>
          <w:rFonts w:ascii="Times New Roman" w:hAnsi="Times New Roman" w:cs="Times New Roman" w:hint="eastAsia"/>
          <w:szCs w:val="18"/>
        </w:rPr>
        <w:t>(</w:t>
      </w:r>
      <w:r w:rsidRPr="009B0CD7">
        <w:rPr>
          <w:rFonts w:ascii="Times New Roman" w:hAnsi="Times New Roman" w:cs="Times New Roman"/>
          <w:szCs w:val="18"/>
        </w:rPr>
        <w:t>52079143</w:t>
      </w:r>
      <w:r w:rsidRPr="009B0CD7">
        <w:rPr>
          <w:rFonts w:ascii="Times New Roman" w:hAnsi="Times New Roman" w:cs="Times New Roman" w:hint="eastAsia"/>
          <w:szCs w:val="18"/>
        </w:rPr>
        <w:t>)</w:t>
      </w:r>
      <w:r w:rsidRPr="009B0CD7">
        <w:rPr>
          <w:rFonts w:ascii="Times New Roman" w:hAnsi="Times New Roman" w:cs="Times New Roman"/>
          <w:szCs w:val="18"/>
        </w:rPr>
        <w:t>；青海省自然科学基金项目</w:t>
      </w:r>
      <w:r w:rsidRPr="009B0CD7">
        <w:rPr>
          <w:rFonts w:ascii="Times New Roman" w:hAnsi="Times New Roman" w:cs="Times New Roman" w:hint="eastAsia"/>
          <w:szCs w:val="18"/>
        </w:rPr>
        <w:t>(</w:t>
      </w:r>
      <w:r w:rsidRPr="009B0CD7">
        <w:rPr>
          <w:rFonts w:ascii="Times New Roman" w:hAnsi="Times New Roman" w:cs="Times New Roman"/>
          <w:szCs w:val="18"/>
        </w:rPr>
        <w:t>2025-ZJ-908Q</w:t>
      </w:r>
      <w:r w:rsidRPr="009B0CD7">
        <w:rPr>
          <w:rFonts w:ascii="Times New Roman" w:hAnsi="Times New Roman" w:cs="Times New Roman" w:hint="eastAsia"/>
          <w:szCs w:val="18"/>
        </w:rPr>
        <w:t>)</w:t>
      </w:r>
      <w:r w:rsidRPr="009B0CD7">
        <w:rPr>
          <w:rFonts w:ascii="Times New Roman" w:hAnsi="Times New Roman" w:cs="Times New Roman" w:hint="eastAsia"/>
          <w:szCs w:val="18"/>
        </w:rPr>
        <w:t>；</w:t>
      </w:r>
      <w:r w:rsidRPr="009B0CD7">
        <w:rPr>
          <w:rFonts w:ascii="Times New Roman" w:hAnsi="Times New Roman" w:cs="Times New Roman"/>
          <w:szCs w:val="18"/>
        </w:rPr>
        <w:t>国家重点研发计划</w:t>
      </w:r>
      <w:r w:rsidRPr="009B0CD7">
        <w:rPr>
          <w:rFonts w:ascii="Times New Roman" w:hAnsi="Times New Roman" w:cs="Times New Roman" w:hint="eastAsia"/>
          <w:szCs w:val="18"/>
        </w:rPr>
        <w:t>项目</w:t>
      </w:r>
      <w:r w:rsidRPr="009B0CD7">
        <w:rPr>
          <w:rFonts w:ascii="Times New Roman" w:hAnsi="Times New Roman" w:cs="Times New Roman" w:hint="eastAsia"/>
          <w:szCs w:val="18"/>
        </w:rPr>
        <w:t>(</w:t>
      </w:r>
      <w:r w:rsidRPr="009B0CD7">
        <w:rPr>
          <w:rFonts w:ascii="Times New Roman" w:hAnsi="Times New Roman" w:cs="Times New Roman"/>
          <w:szCs w:val="18"/>
        </w:rPr>
        <w:t>2022YFC3204601</w:t>
      </w:r>
      <w:r w:rsidRPr="009B0CD7">
        <w:rPr>
          <w:rFonts w:ascii="Times New Roman" w:hAnsi="Times New Roman" w:cs="Times New Roman" w:hint="eastAsia"/>
          <w:szCs w:val="18"/>
        </w:rPr>
        <w:t>，</w:t>
      </w:r>
      <w:r w:rsidRPr="009B0CD7">
        <w:rPr>
          <w:rFonts w:ascii="Times New Roman" w:hAnsi="Times New Roman" w:cs="Times New Roman"/>
          <w:szCs w:val="18"/>
        </w:rPr>
        <w:t>2024YFC3210901</w:t>
      </w:r>
      <w:r w:rsidRPr="009B0CD7">
        <w:rPr>
          <w:rFonts w:ascii="Times New Roman" w:hAnsi="Times New Roman" w:cs="Times New Roman" w:hint="eastAsia"/>
          <w:szCs w:val="18"/>
        </w:rPr>
        <w:t>)</w:t>
      </w:r>
    </w:p>
    <w:p w14:paraId="5A5E8146" w14:textId="77777777" w:rsidR="0081344D" w:rsidRPr="009B0CD7" w:rsidRDefault="00000000">
      <w:pPr>
        <w:wordWrap w:val="0"/>
        <w:spacing w:after="0" w:line="240" w:lineRule="auto"/>
        <w:rPr>
          <w:rFonts w:ascii="Times New Roman" w:eastAsia="宋体" w:hAnsi="Times New Roman" w:cs="Times New Roman"/>
          <w:spacing w:val="4"/>
          <w:sz w:val="18"/>
          <w:szCs w:val="18"/>
        </w:rPr>
      </w:pPr>
      <w:r w:rsidRPr="009B0CD7">
        <w:rPr>
          <w:rFonts w:ascii="Times New Roman" w:eastAsia="黑体" w:hAnsi="Times New Roman" w:cs="Times New Roman"/>
          <w:b/>
          <w:bCs/>
          <w:spacing w:val="-2"/>
          <w:sz w:val="18"/>
          <w:szCs w:val="18"/>
        </w:rPr>
        <w:t>作者简介：</w:t>
      </w:r>
      <w:r w:rsidRPr="009B0CD7">
        <w:rPr>
          <w:rFonts w:ascii="Times New Roman" w:eastAsia="宋体" w:hAnsi="Times New Roman" w:cs="Times New Roman"/>
          <w:sz w:val="18"/>
          <w:szCs w:val="18"/>
        </w:rPr>
        <w:t>王钰升（</w:t>
      </w:r>
      <w:r w:rsidRPr="009B0CD7">
        <w:rPr>
          <w:rFonts w:ascii="Times New Roman" w:eastAsia="宋体" w:hAnsi="Times New Roman" w:cs="Times New Roman"/>
          <w:spacing w:val="4"/>
          <w:sz w:val="18"/>
          <w:szCs w:val="18"/>
        </w:rPr>
        <w:t>1996</w:t>
      </w:r>
      <w:r w:rsidRPr="009B0CD7">
        <w:rPr>
          <w:rFonts w:ascii="Times New Roman" w:eastAsia="宋体" w:hAnsi="Times New Roman" w:cs="Times New Roman"/>
          <w:sz w:val="18"/>
          <w:szCs w:val="18"/>
        </w:rPr>
        <w:t>—</w:t>
      </w:r>
      <w:r w:rsidRPr="009B0CD7">
        <w:rPr>
          <w:rFonts w:ascii="Times New Roman" w:eastAsia="宋体" w:hAnsi="Times New Roman" w:cs="Times New Roman"/>
          <w:sz w:val="18"/>
          <w:szCs w:val="18"/>
        </w:rPr>
        <w:t>），</w:t>
      </w:r>
      <w:r w:rsidRPr="009B0CD7">
        <w:rPr>
          <w:rFonts w:ascii="Times New Roman" w:eastAsia="宋体" w:hAnsi="Times New Roman" w:cs="Times New Roman"/>
          <w:spacing w:val="4"/>
          <w:sz w:val="18"/>
          <w:szCs w:val="18"/>
        </w:rPr>
        <w:t>男，博士研究生，主要从事水文水资源研究。</w:t>
      </w:r>
      <w:r w:rsidRPr="009B0CD7">
        <w:rPr>
          <w:rFonts w:ascii="Times New Roman" w:eastAsia="宋体" w:hAnsi="Times New Roman" w:cs="Times New Roman"/>
          <w:spacing w:val="4"/>
          <w:sz w:val="18"/>
          <w:szCs w:val="18"/>
        </w:rPr>
        <w:t>E-mail</w:t>
      </w:r>
      <w:r w:rsidRPr="009B0CD7">
        <w:rPr>
          <w:rFonts w:ascii="Times New Roman" w:eastAsia="宋体" w:hAnsi="Times New Roman" w:cs="Times New Roman"/>
          <w:spacing w:val="4"/>
          <w:sz w:val="18"/>
          <w:szCs w:val="18"/>
        </w:rPr>
        <w:t>：</w:t>
      </w:r>
      <w:r w:rsidRPr="009B0CD7">
        <w:rPr>
          <w:rFonts w:ascii="Times New Roman" w:eastAsia="宋体" w:hAnsi="Times New Roman" w:cs="Times New Roman"/>
          <w:spacing w:val="4"/>
          <w:sz w:val="18"/>
          <w:szCs w:val="18"/>
        </w:rPr>
        <w:t>echowys2021@163.com</w:t>
      </w:r>
    </w:p>
    <w:p w14:paraId="76924DF7" w14:textId="77777777" w:rsidR="0081344D" w:rsidRPr="009B0CD7" w:rsidRDefault="00000000">
      <w:pPr>
        <w:wordWrap w:val="0"/>
        <w:spacing w:after="0" w:line="240" w:lineRule="auto"/>
        <w:rPr>
          <w:rFonts w:ascii="Times New Roman" w:eastAsia="宋体" w:hAnsi="Times New Roman" w:cs="Times New Roman"/>
          <w:spacing w:val="4"/>
          <w:sz w:val="18"/>
          <w:szCs w:val="18"/>
        </w:rPr>
      </w:pPr>
      <w:r w:rsidRPr="009B0CD7">
        <w:rPr>
          <w:rFonts w:ascii="Times New Roman" w:eastAsia="黑体" w:hAnsi="Times New Roman" w:cs="Times New Roman"/>
          <w:b/>
          <w:bCs/>
          <w:spacing w:val="-2"/>
          <w:sz w:val="18"/>
          <w:szCs w:val="18"/>
        </w:rPr>
        <w:t>通信作者：</w:t>
      </w:r>
      <w:r w:rsidRPr="009B0CD7">
        <w:rPr>
          <w:rFonts w:ascii="Times New Roman" w:eastAsia="宋体" w:hAnsi="Times New Roman" w:cs="Times New Roman"/>
          <w:sz w:val="18"/>
          <w:szCs w:val="18"/>
        </w:rPr>
        <w:t>游进军</w:t>
      </w:r>
      <w:r w:rsidRPr="009B0CD7">
        <w:rPr>
          <w:rFonts w:ascii="Times New Roman" w:eastAsia="宋体" w:hAnsi="Times New Roman" w:cs="Times New Roman"/>
          <w:spacing w:val="4"/>
          <w:sz w:val="18"/>
          <w:szCs w:val="18"/>
        </w:rPr>
        <w:t>（</w:t>
      </w:r>
      <w:r w:rsidRPr="009B0CD7">
        <w:rPr>
          <w:rFonts w:ascii="Times New Roman" w:eastAsia="宋体" w:hAnsi="Times New Roman" w:cs="Times New Roman"/>
          <w:spacing w:val="4"/>
          <w:sz w:val="18"/>
          <w:szCs w:val="18"/>
        </w:rPr>
        <w:t>1977—</w:t>
      </w:r>
      <w:r w:rsidRPr="009B0CD7">
        <w:rPr>
          <w:rFonts w:ascii="Times New Roman" w:eastAsia="宋体" w:hAnsi="Times New Roman" w:cs="Times New Roman"/>
          <w:spacing w:val="4"/>
          <w:sz w:val="18"/>
          <w:szCs w:val="18"/>
        </w:rPr>
        <w:t>），男，正高级工程师，博士，</w:t>
      </w:r>
      <w:r w:rsidRPr="009B0CD7">
        <w:rPr>
          <w:rFonts w:ascii="Times New Roman" w:eastAsia="宋体" w:hAnsi="Times New Roman" w:cs="Times New Roman" w:hint="eastAsia"/>
          <w:spacing w:val="4"/>
          <w:sz w:val="18"/>
          <w:szCs w:val="18"/>
        </w:rPr>
        <w:t>博士研究生导师，</w:t>
      </w:r>
      <w:r w:rsidRPr="009B0CD7">
        <w:rPr>
          <w:rFonts w:ascii="Times New Roman" w:eastAsia="宋体" w:hAnsi="Times New Roman" w:cs="Times New Roman"/>
          <w:spacing w:val="4"/>
          <w:sz w:val="18"/>
          <w:szCs w:val="18"/>
        </w:rPr>
        <w:t>主要从事水文水资源研究。</w:t>
      </w:r>
      <w:r w:rsidRPr="009B0CD7">
        <w:rPr>
          <w:rFonts w:ascii="Times New Roman" w:eastAsia="宋体" w:hAnsi="Times New Roman" w:cs="Times New Roman"/>
          <w:spacing w:val="4"/>
          <w:sz w:val="18"/>
          <w:szCs w:val="18"/>
        </w:rPr>
        <w:t>E-mail</w:t>
      </w:r>
      <w:r w:rsidRPr="009B0CD7">
        <w:rPr>
          <w:rFonts w:ascii="Times New Roman" w:eastAsia="宋体" w:hAnsi="Times New Roman" w:cs="Times New Roman"/>
          <w:spacing w:val="4"/>
          <w:sz w:val="18"/>
          <w:szCs w:val="18"/>
        </w:rPr>
        <w:t>：</w:t>
      </w:r>
      <w:r w:rsidRPr="009B0CD7">
        <w:rPr>
          <w:rFonts w:ascii="Times New Roman" w:eastAsia="宋体" w:hAnsi="Times New Roman" w:cs="Times New Roman"/>
          <w:spacing w:val="4"/>
          <w:sz w:val="18"/>
          <w:szCs w:val="18"/>
        </w:rPr>
        <w:t>youjj@iwhr.com</w:t>
      </w:r>
    </w:p>
    <w:p w14:paraId="65C60061" w14:textId="77777777" w:rsidR="0081344D" w:rsidRPr="009B0CD7" w:rsidRDefault="0081344D">
      <w:pPr>
        <w:pStyle w:val="a4"/>
        <w:spacing w:after="0"/>
        <w:rPr>
          <w:rFonts w:ascii="Times New Roman" w:hAnsi="Times New Roman" w:cs="Times New Roman"/>
        </w:rPr>
      </w:pPr>
    </w:p>
    <w:p w14:paraId="7809689E" w14:textId="77777777" w:rsidR="0081344D" w:rsidRPr="009B0CD7" w:rsidRDefault="00000000">
      <w:pPr>
        <w:pStyle w:val="1"/>
        <w:spacing w:before="0" w:after="0" w:line="240" w:lineRule="auto"/>
        <w:jc w:val="both"/>
        <w:rPr>
          <w:rFonts w:ascii="Times New Roman" w:eastAsia="黑体" w:hAnsi="Times New Roman" w:cs="Times New Roman"/>
          <w:b/>
          <w:bCs/>
          <w:color w:val="auto"/>
          <w:kern w:val="44"/>
          <w:sz w:val="28"/>
          <w:szCs w:val="44"/>
          <w14:ligatures w14:val="none"/>
        </w:rPr>
      </w:pPr>
      <w:r w:rsidRPr="009B0CD7">
        <w:rPr>
          <w:rFonts w:ascii="Times New Roman" w:eastAsia="黑体" w:hAnsi="Times New Roman" w:cs="Times New Roman" w:hint="eastAsia"/>
          <w:b/>
          <w:bCs/>
          <w:color w:val="auto"/>
          <w:kern w:val="44"/>
          <w:sz w:val="28"/>
          <w:szCs w:val="44"/>
          <w14:ligatures w14:val="none"/>
        </w:rPr>
        <w:t xml:space="preserve">0 </w:t>
      </w:r>
      <w:r w:rsidRPr="009B0CD7">
        <w:rPr>
          <w:rFonts w:ascii="Times New Roman" w:eastAsia="黑体" w:hAnsi="Times New Roman" w:cs="Times New Roman" w:hint="eastAsia"/>
          <w:b/>
          <w:bCs/>
          <w:color w:val="auto"/>
          <w:kern w:val="44"/>
          <w:sz w:val="28"/>
          <w:szCs w:val="44"/>
          <w14:ligatures w14:val="none"/>
        </w:rPr>
        <w:t>引</w:t>
      </w:r>
      <w:r w:rsidRPr="009B0CD7">
        <w:rPr>
          <w:rFonts w:ascii="Times New Roman" w:hAnsi="Times New Roman" w:cs="Times New Roman"/>
          <w:color w:val="auto"/>
        </w:rPr>
        <w:t xml:space="preserve">  </w:t>
      </w:r>
      <w:r w:rsidRPr="009B0CD7">
        <w:rPr>
          <w:rFonts w:ascii="Times New Roman" w:eastAsia="黑体" w:hAnsi="Times New Roman" w:cs="Times New Roman" w:hint="eastAsia"/>
          <w:b/>
          <w:bCs/>
          <w:color w:val="auto"/>
          <w:kern w:val="44"/>
          <w:sz w:val="28"/>
          <w:szCs w:val="44"/>
          <w14:ligatures w14:val="none"/>
        </w:rPr>
        <w:t>言</w:t>
      </w:r>
    </w:p>
    <w:p w14:paraId="1BFF7E5F" w14:textId="77777777" w:rsidR="0081344D" w:rsidRPr="009B0CD7" w:rsidRDefault="00000000">
      <w:pPr>
        <w:spacing w:after="0" w:line="240" w:lineRule="auto"/>
        <w:ind w:firstLineChars="200" w:firstLine="420"/>
        <w:jc w:val="both"/>
        <w:rPr>
          <w:rFonts w:ascii="Times New Roman" w:eastAsia="宋体" w:hAnsi="Times New Roman" w:cs="Times New Roman"/>
        </w:rPr>
      </w:pPr>
      <w:r w:rsidRPr="009B0CD7">
        <w:rPr>
          <w:rFonts w:ascii="Times New Roman" w:eastAsia="宋体" w:hAnsi="Times New Roman" w:cs="Times New Roman" w:hint="eastAsia"/>
          <w:sz w:val="21"/>
          <w:szCs w:val="22"/>
          <w14:ligatures w14:val="none"/>
        </w:rPr>
        <w:t>在全球气候变化的背景下，水文循环过程正经历深刻调整，极端水文事件（如干旱与洪水）的发生频率与强度呈显著上升趋势</w:t>
      </w:r>
      <w:r w:rsidRPr="009B0CD7">
        <w:rPr>
          <w:rFonts w:ascii="Times New Roman" w:hAnsi="Times New Roman" w:cs="Times New Roman"/>
          <w:kern w:val="0"/>
          <w:szCs w:val="22"/>
          <w:vertAlign w:val="superscript"/>
        </w:rPr>
        <w:t>[1</w:t>
      </w:r>
      <w:r w:rsidRPr="009B0CD7">
        <w:rPr>
          <w:rFonts w:ascii="Times New Roman" w:hAnsi="Times New Roman" w:cs="Times New Roman" w:hint="eastAsia"/>
          <w:kern w:val="0"/>
          <w:szCs w:val="22"/>
          <w:vertAlign w:val="superscript"/>
        </w:rPr>
        <w:t>-</w:t>
      </w:r>
      <w:r w:rsidRPr="009B0CD7">
        <w:rPr>
          <w:rFonts w:ascii="Times New Roman" w:hAnsi="Times New Roman" w:cs="Times New Roman"/>
          <w:kern w:val="0"/>
          <w:szCs w:val="22"/>
          <w:vertAlign w:val="superscript"/>
        </w:rPr>
        <w:t>2]</w:t>
      </w:r>
      <w:r w:rsidRPr="009B0CD7">
        <w:rPr>
          <w:rFonts w:ascii="Times New Roman" w:eastAsia="宋体" w:hAnsi="Times New Roman" w:cs="Times New Roman" w:hint="eastAsia"/>
          <w:sz w:val="21"/>
          <w:szCs w:val="22"/>
          <w14:ligatures w14:val="none"/>
        </w:rPr>
        <w:t>。干旱作为一种波及范围最广、经济损失最重的自然灾害之一，对区域水资源安全、粮食生产及生态系统稳定构成严重威胁</w:t>
      </w:r>
      <w:r w:rsidRPr="009B0CD7">
        <w:rPr>
          <w:rFonts w:ascii="Times New Roman" w:hAnsi="Times New Roman" w:cs="Times New Roman"/>
          <w:kern w:val="0"/>
          <w:szCs w:val="22"/>
          <w:vertAlign w:val="superscript"/>
        </w:rPr>
        <w:t>[3</w:t>
      </w:r>
      <w:r w:rsidRPr="009B0CD7">
        <w:rPr>
          <w:rFonts w:ascii="Times New Roman" w:hAnsi="Times New Roman" w:cs="Times New Roman" w:hint="eastAsia"/>
          <w:kern w:val="0"/>
          <w:szCs w:val="22"/>
          <w:vertAlign w:val="superscript"/>
        </w:rPr>
        <w:t>-</w:t>
      </w:r>
      <w:r w:rsidRPr="009B0CD7">
        <w:rPr>
          <w:rFonts w:ascii="Times New Roman" w:hAnsi="Times New Roman" w:cs="Times New Roman"/>
          <w:kern w:val="0"/>
          <w:szCs w:val="22"/>
          <w:vertAlign w:val="superscript"/>
        </w:rPr>
        <w:t>4]</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干旱还可通过水资源短缺、农业减产及相关经济活动受限等途径造成显著社会经济损失；与此同时，变化环境下水文干旱的统计特征可能呈现明显非平稳变化</w:t>
      </w:r>
      <w:r w:rsidRPr="009B0CD7">
        <w:rPr>
          <w:rFonts w:ascii="Times New Roman" w:hAnsi="Times New Roman" w:cs="Times New Roman"/>
          <w:kern w:val="0"/>
          <w:szCs w:val="22"/>
          <w:vertAlign w:val="superscript"/>
        </w:rPr>
        <w:t>[5</w:t>
      </w:r>
      <w:r w:rsidRPr="009B0CD7">
        <w:rPr>
          <w:rFonts w:ascii="Times New Roman" w:hAnsi="Times New Roman" w:cs="Times New Roman" w:hint="eastAsia"/>
          <w:kern w:val="0"/>
          <w:szCs w:val="22"/>
          <w:vertAlign w:val="superscript"/>
        </w:rPr>
        <w:t>-</w:t>
      </w:r>
      <w:r w:rsidRPr="009B0CD7">
        <w:rPr>
          <w:rFonts w:ascii="Times New Roman" w:hAnsi="Times New Roman" w:cs="Times New Roman"/>
          <w:kern w:val="0"/>
          <w:szCs w:val="22"/>
          <w:vertAlign w:val="superscript"/>
        </w:rPr>
        <w:t>6]</w:t>
      </w:r>
      <w:r w:rsidRPr="009B0CD7">
        <w:rPr>
          <w:rFonts w:ascii="Times New Roman" w:eastAsia="宋体" w:hAnsi="Times New Roman" w:cs="Times New Roman" w:hint="eastAsia"/>
          <w:sz w:val="21"/>
          <w:szCs w:val="22"/>
          <w14:ligatures w14:val="none"/>
        </w:rPr>
        <w:t>。在此背景下，如何科学评估变化环境下的干旱风险，成为水文水资源领域亟待解决的关键科学问题。</w:t>
      </w:r>
    </w:p>
    <w:p w14:paraId="339FB77D" w14:textId="77777777" w:rsidR="0081344D" w:rsidRPr="009B0CD7" w:rsidRDefault="00000000">
      <w:pPr>
        <w:spacing w:after="0" w:line="240" w:lineRule="auto"/>
        <w:ind w:firstLineChars="200" w:firstLine="420"/>
        <w:jc w:val="both"/>
        <w:rPr>
          <w:rFonts w:ascii="Times New Roman" w:eastAsia="宋体" w:hAnsi="Times New Roman" w:cs="Times New Roman"/>
        </w:rPr>
      </w:pPr>
      <w:r w:rsidRPr="009B0CD7">
        <w:rPr>
          <w:rFonts w:ascii="Times New Roman" w:eastAsia="宋体" w:hAnsi="Times New Roman" w:cs="Times New Roman" w:hint="eastAsia"/>
          <w:sz w:val="21"/>
          <w:szCs w:val="22"/>
          <w14:ligatures w14:val="none"/>
        </w:rPr>
        <w:t>传统水文频率分析建立在“平稳性假设”基础之上，即认为水文时间序列的统计特征（如均值、方差）在时间上保持恒定，不随外界条件改变而发生系统性变化</w:t>
      </w:r>
      <w:r w:rsidRPr="009B0CD7">
        <w:rPr>
          <w:rFonts w:ascii="Times New Roman" w:hAnsi="Times New Roman" w:cs="Times New Roman"/>
          <w:kern w:val="0"/>
          <w:szCs w:val="22"/>
          <w:vertAlign w:val="superscript"/>
        </w:rPr>
        <w:t>[7]</w:t>
      </w:r>
      <w:r w:rsidRPr="009B0CD7">
        <w:rPr>
          <w:rFonts w:ascii="Times New Roman" w:eastAsia="宋体" w:hAnsi="Times New Roman" w:cs="Times New Roman" w:hint="eastAsia"/>
          <w:sz w:val="21"/>
          <w:szCs w:val="22"/>
          <w14:ligatures w14:val="none"/>
        </w:rPr>
        <w:t>。然而近年来，大</w:t>
      </w:r>
      <w:r w:rsidRPr="009B0CD7">
        <w:rPr>
          <w:rFonts w:ascii="Times New Roman" w:eastAsia="宋体" w:hAnsi="Times New Roman" w:cs="Times New Roman" w:hint="eastAsia"/>
          <w:sz w:val="21"/>
          <w:szCs w:val="22"/>
          <w14:ligatures w14:val="none"/>
        </w:rPr>
        <w:lastRenderedPageBreak/>
        <w:t>量研究证实，受气候变化与人类活动的双重影响，全球许多流域的径流序列已呈现出显著的非平稳特征，其统计规律发生了不可逆的改变</w:t>
      </w:r>
      <w:r w:rsidRPr="009B0CD7">
        <w:rPr>
          <w:rFonts w:ascii="Times New Roman" w:hAnsi="Times New Roman" w:cs="Times New Roman"/>
          <w:kern w:val="0"/>
          <w:szCs w:val="22"/>
          <w:vertAlign w:val="superscript"/>
        </w:rPr>
        <w:t>[7-11]</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KUNDZEWIC</w:t>
      </w:r>
      <w:r w:rsidRPr="009B0CD7">
        <w:rPr>
          <w:rFonts w:ascii="Times New Roman" w:eastAsia="宋体" w:hAnsi="Times New Roman" w:cs="Times New Roman" w:hint="eastAsia"/>
          <w:sz w:val="21"/>
          <w:szCs w:val="22"/>
          <w14:ligatures w14:val="none"/>
        </w:rPr>
        <w:t>Z</w:t>
      </w:r>
      <w:r w:rsidRPr="009B0CD7">
        <w:rPr>
          <w:rFonts w:ascii="Times New Roman" w:eastAsia="宋体" w:hAnsi="Times New Roman" w:cs="Times New Roman" w:hint="eastAsia"/>
          <w:sz w:val="21"/>
          <w:szCs w:val="22"/>
          <w14:ligatures w14:val="none"/>
        </w:rPr>
        <w:t>等</w:t>
      </w:r>
      <w:r w:rsidRPr="009B0CD7">
        <w:rPr>
          <w:rFonts w:ascii="Times New Roman" w:hAnsi="Times New Roman" w:cs="Times New Roman"/>
          <w:kern w:val="0"/>
          <w:szCs w:val="22"/>
          <w:vertAlign w:val="superscript"/>
        </w:rPr>
        <w:t>[12]</w:t>
      </w:r>
      <w:r w:rsidRPr="009B0CD7">
        <w:rPr>
          <w:rFonts w:ascii="Times New Roman" w:eastAsia="宋体" w:hAnsi="Times New Roman" w:cs="Times New Roman"/>
          <w:sz w:val="21"/>
          <w:szCs w:val="22"/>
          <w14:ligatures w14:val="none"/>
        </w:rPr>
        <w:t>系统总结了水文序列变化检测方法，</w:t>
      </w:r>
      <w:r w:rsidRPr="009B0CD7">
        <w:rPr>
          <w:rFonts w:ascii="Times New Roman" w:eastAsia="宋体" w:hAnsi="Times New Roman" w:cs="Times New Roman"/>
          <w:sz w:val="21"/>
          <w:szCs w:val="22"/>
          <w14:ligatures w14:val="none"/>
        </w:rPr>
        <w:t>VILLARINI</w:t>
      </w:r>
      <w:r w:rsidRPr="009B0CD7">
        <w:rPr>
          <w:rFonts w:ascii="Times New Roman" w:eastAsia="宋体" w:hAnsi="Times New Roman" w:cs="Times New Roman"/>
          <w:sz w:val="21"/>
          <w:szCs w:val="22"/>
          <w14:ligatures w14:val="none"/>
        </w:rPr>
        <w:t>等</w:t>
      </w:r>
      <w:r w:rsidRPr="009B0CD7">
        <w:rPr>
          <w:rFonts w:ascii="Times New Roman" w:hAnsi="Times New Roman" w:cs="Times New Roman"/>
          <w:kern w:val="0"/>
          <w:szCs w:val="22"/>
          <w:vertAlign w:val="superscript"/>
        </w:rPr>
        <w:t>[13]</w:t>
      </w:r>
      <w:r w:rsidRPr="009B0CD7">
        <w:rPr>
          <w:rFonts w:ascii="Times New Roman" w:eastAsia="宋体" w:hAnsi="Times New Roman" w:cs="Times New Roman"/>
          <w:sz w:val="21"/>
          <w:szCs w:val="22"/>
          <w14:ligatures w14:val="none"/>
        </w:rPr>
        <w:t>基于美国长系列洪峰资料分析了年最大流量序列的平稳性，</w:t>
      </w:r>
      <w:r w:rsidRPr="009B0CD7">
        <w:rPr>
          <w:rFonts w:ascii="Times New Roman" w:eastAsia="宋体" w:hAnsi="Times New Roman" w:cs="Times New Roman"/>
          <w:sz w:val="21"/>
          <w:szCs w:val="22"/>
          <w14:ligatures w14:val="none"/>
        </w:rPr>
        <w:t>SERINALDI</w:t>
      </w:r>
      <w:r w:rsidRPr="009B0CD7">
        <w:rPr>
          <w:rFonts w:ascii="Times New Roman" w:eastAsia="宋体" w:hAnsi="Times New Roman" w:cs="Times New Roman" w:hint="eastAsia"/>
          <w:sz w:val="21"/>
          <w:szCs w:val="22"/>
          <w14:ligatures w14:val="none"/>
        </w:rPr>
        <w:t>等</w:t>
      </w:r>
      <w:r w:rsidRPr="009B0CD7">
        <w:rPr>
          <w:rFonts w:ascii="Times New Roman" w:hAnsi="Times New Roman" w:cs="Times New Roman"/>
          <w:kern w:val="0"/>
          <w:szCs w:val="22"/>
          <w:vertAlign w:val="superscript"/>
        </w:rPr>
        <w:t>[11]</w:t>
      </w:r>
      <w:r w:rsidRPr="009B0CD7">
        <w:rPr>
          <w:rFonts w:ascii="Times New Roman" w:eastAsia="宋体" w:hAnsi="Times New Roman" w:cs="Times New Roman"/>
          <w:sz w:val="21"/>
          <w:szCs w:val="22"/>
          <w14:ligatures w14:val="none"/>
        </w:rPr>
        <w:t>进一步指出极端事件频率分析中的不确定性与非平稳问题不容忽视。针对非平稳水文序列，广义加性位置尺度形状模型（</w:t>
      </w:r>
      <w:r w:rsidRPr="009B0CD7">
        <w:rPr>
          <w:rFonts w:ascii="Times New Roman" w:eastAsia="宋体" w:hAnsi="Times New Roman" w:cs="Times New Roman"/>
          <w:sz w:val="21"/>
          <w:szCs w:val="22"/>
          <w14:ligatures w14:val="none"/>
        </w:rPr>
        <w:t>Generalized Additive Models for Location, Scale and Shape</w:t>
      </w:r>
      <w:r w:rsidRPr="009B0CD7">
        <w:rPr>
          <w:rFonts w:ascii="Times New Roman" w:eastAsia="宋体" w:hAnsi="Times New Roman" w:cs="Times New Roman"/>
          <w:sz w:val="21"/>
          <w:szCs w:val="22"/>
          <w14:ligatures w14:val="none"/>
        </w:rPr>
        <w:t>，</w:t>
      </w:r>
      <w:r w:rsidRPr="009B0CD7">
        <w:rPr>
          <w:rFonts w:ascii="Times New Roman" w:eastAsia="宋体" w:hAnsi="Times New Roman" w:cs="Times New Roman"/>
          <w:sz w:val="21"/>
          <w:szCs w:val="22"/>
          <w14:ligatures w14:val="none"/>
        </w:rPr>
        <w:t>GAMLSS</w:t>
      </w:r>
      <w:r w:rsidRPr="009B0CD7">
        <w:rPr>
          <w:rFonts w:ascii="Times New Roman" w:eastAsia="宋体" w:hAnsi="Times New Roman" w:cs="Times New Roman"/>
          <w:sz w:val="21"/>
          <w:szCs w:val="22"/>
          <w14:ligatures w14:val="none"/>
        </w:rPr>
        <w:t>）因能够将分布参数表示为时间或外部协变量的函数，被广泛应用于径流、洪水、降水和干旱等水文气象要素的非平稳建模</w:t>
      </w:r>
      <w:r w:rsidRPr="009B0CD7">
        <w:rPr>
          <w:rFonts w:ascii="Times New Roman" w:hAnsi="Times New Roman" w:cs="Times New Roman"/>
          <w:kern w:val="0"/>
          <w:szCs w:val="22"/>
          <w:vertAlign w:val="superscript"/>
        </w:rPr>
        <w:t>[14-16]</w:t>
      </w:r>
      <w:r w:rsidRPr="009B0CD7">
        <w:rPr>
          <w:rFonts w:ascii="Times New Roman" w:eastAsia="宋体" w:hAnsi="Times New Roman" w:cs="Times New Roman"/>
          <w:sz w:val="21"/>
          <w:szCs w:val="22"/>
          <w14:ligatures w14:val="none"/>
        </w:rPr>
        <w:t>。</w:t>
      </w:r>
      <w:r w:rsidRPr="009B0CD7">
        <w:rPr>
          <w:rFonts w:ascii="Times New Roman" w:eastAsia="宋体" w:hAnsi="Times New Roman" w:cs="Times New Roman"/>
          <w:sz w:val="21"/>
          <w:szCs w:val="22"/>
          <w14:ligatures w14:val="none"/>
        </w:rPr>
        <w:t>TWINOMUHANGI</w:t>
      </w:r>
      <w:r w:rsidRPr="009B0CD7">
        <w:rPr>
          <w:rFonts w:ascii="Times New Roman" w:eastAsia="宋体" w:hAnsi="Times New Roman" w:cs="Times New Roman"/>
          <w:sz w:val="21"/>
          <w:szCs w:val="22"/>
          <w14:ligatures w14:val="none"/>
        </w:rPr>
        <w:t>等</w:t>
      </w:r>
      <w:r w:rsidRPr="009B0CD7">
        <w:rPr>
          <w:rFonts w:ascii="Times New Roman" w:hAnsi="Times New Roman" w:cs="Times New Roman"/>
          <w:kern w:val="0"/>
          <w:szCs w:val="22"/>
          <w:vertAlign w:val="superscript"/>
        </w:rPr>
        <w:t>[9]</w:t>
      </w:r>
      <w:r w:rsidRPr="009B0CD7">
        <w:rPr>
          <w:rFonts w:ascii="Times New Roman" w:eastAsia="宋体" w:hAnsi="Times New Roman" w:cs="Times New Roman"/>
          <w:sz w:val="21"/>
          <w:szCs w:val="22"/>
          <w14:ligatures w14:val="none"/>
        </w:rPr>
        <w:t>系统回顾了全球非平稳水文极值的研究进展，发现</w:t>
      </w:r>
      <w:r w:rsidRPr="009B0CD7">
        <w:rPr>
          <w:rFonts w:ascii="Times New Roman" w:eastAsia="宋体" w:hAnsi="Times New Roman" w:cs="Times New Roman"/>
          <w:sz w:val="21"/>
          <w:szCs w:val="22"/>
          <w14:ligatures w14:val="none"/>
        </w:rPr>
        <w:t>71.7%</w:t>
      </w:r>
      <w:r w:rsidRPr="009B0CD7">
        <w:rPr>
          <w:rFonts w:ascii="Times New Roman" w:eastAsia="宋体" w:hAnsi="Times New Roman" w:cs="Times New Roman"/>
          <w:sz w:val="21"/>
          <w:szCs w:val="22"/>
          <w14:ligatures w14:val="none"/>
        </w:rPr>
        <w:t>的研究应用年最大序列（</w:t>
      </w:r>
      <w:r w:rsidRPr="009B0CD7">
        <w:rPr>
          <w:rFonts w:ascii="Times New Roman" w:eastAsia="宋体" w:hAnsi="Times New Roman" w:cs="Times New Roman"/>
          <w:sz w:val="21"/>
          <w:szCs w:val="22"/>
          <w14:ligatures w14:val="none"/>
        </w:rPr>
        <w:t>AMS</w:t>
      </w:r>
      <w:r w:rsidRPr="009B0CD7">
        <w:rPr>
          <w:rFonts w:ascii="Times New Roman" w:eastAsia="宋体" w:hAnsi="Times New Roman" w:cs="Times New Roman"/>
          <w:sz w:val="21"/>
          <w:szCs w:val="22"/>
          <w14:ligatures w14:val="none"/>
        </w:rPr>
        <w:t>），</w:t>
      </w:r>
      <w:r w:rsidRPr="009B0CD7">
        <w:rPr>
          <w:rFonts w:ascii="Times New Roman" w:eastAsia="宋体" w:hAnsi="Times New Roman" w:cs="Times New Roman"/>
          <w:sz w:val="21"/>
          <w:szCs w:val="22"/>
          <w14:ligatures w14:val="none"/>
        </w:rPr>
        <w:t>70.8%</w:t>
      </w:r>
      <w:r w:rsidRPr="009B0CD7">
        <w:rPr>
          <w:rFonts w:ascii="Times New Roman" w:eastAsia="宋体" w:hAnsi="Times New Roman" w:cs="Times New Roman"/>
          <w:sz w:val="21"/>
          <w:szCs w:val="22"/>
          <w14:ligatures w14:val="none"/>
        </w:rPr>
        <w:t>使用</w:t>
      </w:r>
      <w:r w:rsidRPr="009B0CD7">
        <w:rPr>
          <w:rFonts w:ascii="Times New Roman" w:eastAsia="宋体" w:hAnsi="Times New Roman" w:cs="Times New Roman"/>
          <w:sz w:val="21"/>
          <w:szCs w:val="22"/>
          <w14:ligatures w14:val="none"/>
        </w:rPr>
        <w:t>Mann-Kendall</w:t>
      </w:r>
      <w:r w:rsidRPr="009B0CD7">
        <w:rPr>
          <w:rFonts w:ascii="Times New Roman" w:eastAsia="宋体" w:hAnsi="Times New Roman" w:cs="Times New Roman"/>
          <w:sz w:val="21"/>
          <w:szCs w:val="22"/>
          <w14:ligatures w14:val="none"/>
        </w:rPr>
        <w:t>趋势检验，而</w:t>
      </w:r>
      <w:r w:rsidRPr="009B0CD7">
        <w:rPr>
          <w:rFonts w:ascii="Times New Roman" w:eastAsia="宋体" w:hAnsi="Times New Roman" w:cs="Times New Roman"/>
          <w:sz w:val="21"/>
          <w:szCs w:val="22"/>
          <w14:ligatures w14:val="none"/>
        </w:rPr>
        <w:t>GAMLSS</w:t>
      </w:r>
      <w:r w:rsidRPr="009B0CD7">
        <w:rPr>
          <w:rFonts w:ascii="Times New Roman" w:eastAsia="宋体" w:hAnsi="Times New Roman" w:cs="Times New Roman"/>
          <w:sz w:val="21"/>
          <w:szCs w:val="22"/>
          <w14:ligatures w14:val="none"/>
        </w:rPr>
        <w:t>框架已成为非平稳分析的主流工具</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国内外相关研究表明，</w:t>
      </w:r>
      <w:r w:rsidRPr="009B0CD7">
        <w:rPr>
          <w:rFonts w:ascii="Times New Roman" w:eastAsia="宋体" w:hAnsi="Times New Roman" w:cs="Times New Roman"/>
          <w:sz w:val="21"/>
          <w:szCs w:val="22"/>
          <w14:ligatures w14:val="none"/>
        </w:rPr>
        <w:t>GAMLSS</w:t>
      </w:r>
      <w:r w:rsidRPr="009B0CD7">
        <w:rPr>
          <w:rFonts w:ascii="Times New Roman" w:eastAsia="宋体" w:hAnsi="Times New Roman" w:cs="Times New Roman"/>
          <w:sz w:val="21"/>
          <w:szCs w:val="22"/>
          <w14:ligatures w14:val="none"/>
        </w:rPr>
        <w:t>模型能够较好描述变化环境下水文序列分布参数的动态演化特征，为非平稳频率分析和干旱风险评估提供了有效工具</w:t>
      </w:r>
      <w:r w:rsidRPr="009B0CD7">
        <w:rPr>
          <w:rFonts w:ascii="Times New Roman" w:hAnsi="Times New Roman" w:cs="Times New Roman"/>
          <w:kern w:val="0"/>
          <w:szCs w:val="22"/>
          <w:vertAlign w:val="superscript"/>
        </w:rPr>
        <w:t>[6, 9</w:t>
      </w:r>
      <w:r w:rsidRPr="009B0CD7">
        <w:rPr>
          <w:rFonts w:ascii="Times New Roman" w:hAnsi="Times New Roman" w:cs="Times New Roman" w:hint="eastAsia"/>
          <w:kern w:val="0"/>
          <w:szCs w:val="22"/>
          <w:vertAlign w:val="superscript"/>
        </w:rPr>
        <w:t>-</w:t>
      </w:r>
      <w:r w:rsidRPr="009B0CD7">
        <w:rPr>
          <w:rFonts w:ascii="Times New Roman" w:hAnsi="Times New Roman" w:cs="Times New Roman"/>
          <w:kern w:val="0"/>
          <w:szCs w:val="22"/>
          <w:vertAlign w:val="superscript"/>
        </w:rPr>
        <w:t>10, 17</w:t>
      </w:r>
      <w:r w:rsidRPr="009B0CD7">
        <w:rPr>
          <w:rFonts w:ascii="Times New Roman" w:hAnsi="Times New Roman" w:cs="Times New Roman" w:hint="eastAsia"/>
          <w:kern w:val="0"/>
          <w:szCs w:val="22"/>
          <w:vertAlign w:val="superscript"/>
        </w:rPr>
        <w:t>-</w:t>
      </w:r>
      <w:r w:rsidRPr="009B0CD7">
        <w:rPr>
          <w:rFonts w:ascii="Times New Roman" w:hAnsi="Times New Roman" w:cs="Times New Roman"/>
          <w:kern w:val="0"/>
          <w:szCs w:val="22"/>
          <w:vertAlign w:val="superscript"/>
        </w:rPr>
        <w:t>18]</w:t>
      </w:r>
      <w:r w:rsidRPr="009B0CD7">
        <w:rPr>
          <w:rFonts w:ascii="Times New Roman" w:eastAsia="宋体" w:hAnsi="Times New Roman" w:cs="Times New Roman"/>
          <w:sz w:val="21"/>
          <w:szCs w:val="22"/>
          <w14:ligatures w14:val="none"/>
        </w:rPr>
        <w:t>。</w:t>
      </w:r>
    </w:p>
    <w:p w14:paraId="114EFA00"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2"/>
          <w14:ligatures w14:val="none"/>
        </w:rPr>
      </w:pPr>
      <w:r w:rsidRPr="009B0CD7">
        <w:rPr>
          <w:rFonts w:ascii="Times New Roman" w:eastAsia="宋体" w:hAnsi="Times New Roman" w:cs="Times New Roman"/>
          <w:sz w:val="21"/>
          <w:szCs w:val="22"/>
          <w14:ligatures w14:val="none"/>
        </w:rPr>
        <w:t>跨流域调水工程作为实现水资源时空再分配的关键基础设施，其调度运行高度依赖多水源（如调入区与调出区）径流过程的协调配合</w:t>
      </w:r>
      <w:r w:rsidRPr="009B0CD7">
        <w:rPr>
          <w:rFonts w:ascii="Times New Roman" w:hAnsi="Times New Roman" w:cs="Times New Roman"/>
          <w:kern w:val="0"/>
          <w:szCs w:val="22"/>
          <w:vertAlign w:val="superscript"/>
        </w:rPr>
        <w:t>[19-21]</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当工程面临双水源同时偏枯（即</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双枯</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遭遇）时，供水系统的脆弱性将急剧放大，形成联合干旱风险。</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函数能够将边缘分布与相依结构分离建模，适用于描述多变量水文事件的非线性相依关系和尾部依赖特征，尤其能够刻画多个水文变量在极端偏丰或偏枯状态下同步发生的概率关系，因而被广泛用于洪水、干旱、降水及多水源丰枯遭遇风险分析</w:t>
      </w:r>
      <w:r w:rsidRPr="009B0CD7">
        <w:rPr>
          <w:rFonts w:ascii="Times New Roman" w:hAnsi="Times New Roman" w:cs="Times New Roman"/>
          <w:kern w:val="0"/>
          <w:szCs w:val="22"/>
          <w:vertAlign w:val="superscript"/>
        </w:rPr>
        <w:t>[22-24]</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例如，</w:t>
      </w:r>
      <w:r w:rsidRPr="009B0CD7">
        <w:rPr>
          <w:rFonts w:ascii="Times New Roman" w:eastAsia="宋体" w:hAnsi="Times New Roman" w:cs="Times New Roman"/>
          <w:sz w:val="21"/>
          <w:szCs w:val="22"/>
          <w14:ligatures w14:val="none"/>
        </w:rPr>
        <w:t>SHIAU</w:t>
      </w:r>
      <w:r w:rsidRPr="009B0CD7">
        <w:rPr>
          <w:rFonts w:ascii="Times New Roman" w:hAnsi="Times New Roman" w:cs="Times New Roman"/>
          <w:kern w:val="0"/>
          <w:szCs w:val="22"/>
          <w:vertAlign w:val="superscript"/>
        </w:rPr>
        <w:t>[25]</w:t>
      </w:r>
      <w:r w:rsidRPr="009B0CD7">
        <w:rPr>
          <w:rFonts w:ascii="Times New Roman" w:eastAsia="宋体" w:hAnsi="Times New Roman" w:cs="Times New Roman"/>
          <w:sz w:val="21"/>
          <w:szCs w:val="22"/>
          <w14:ligatures w14:val="none"/>
        </w:rPr>
        <w:t>利用二维</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模型分析干旱历时与烈度的联合分布，</w:t>
      </w:r>
      <w:r w:rsidRPr="009B0CD7">
        <w:rPr>
          <w:rFonts w:ascii="Times New Roman" w:eastAsia="宋体" w:hAnsi="Times New Roman" w:cs="Times New Roman"/>
          <w:sz w:val="21"/>
          <w:szCs w:val="22"/>
          <w14:ligatures w14:val="none"/>
        </w:rPr>
        <w:t>MIRABBASI</w:t>
      </w:r>
      <w:r w:rsidRPr="009B0CD7">
        <w:rPr>
          <w:rFonts w:ascii="Times New Roman" w:eastAsia="宋体" w:hAnsi="Times New Roman" w:cs="Times New Roman"/>
          <w:sz w:val="21"/>
          <w:szCs w:val="22"/>
          <w14:ligatures w14:val="none"/>
        </w:rPr>
        <w:t>等</w:t>
      </w:r>
      <w:r w:rsidRPr="009B0CD7">
        <w:rPr>
          <w:rFonts w:ascii="Times New Roman" w:hAnsi="Times New Roman" w:cs="Times New Roman"/>
          <w:kern w:val="0"/>
          <w:szCs w:val="22"/>
          <w:vertAlign w:val="superscript"/>
        </w:rPr>
        <w:t>[24]</w:t>
      </w:r>
      <w:r w:rsidRPr="009B0CD7">
        <w:rPr>
          <w:rFonts w:ascii="Times New Roman" w:eastAsia="宋体" w:hAnsi="Times New Roman" w:cs="Times New Roman"/>
          <w:sz w:val="21"/>
          <w:szCs w:val="22"/>
          <w14:ligatures w14:val="none"/>
        </w:rPr>
        <w:t>开展了基于</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的双变量干旱频率分析，</w:t>
      </w:r>
      <w:r w:rsidRPr="009B0CD7">
        <w:rPr>
          <w:rFonts w:ascii="Times New Roman" w:eastAsia="宋体" w:hAnsi="Times New Roman" w:cs="Times New Roman"/>
          <w:sz w:val="21"/>
          <w:szCs w:val="22"/>
          <w14:ligatures w14:val="none"/>
        </w:rPr>
        <w:t>K</w:t>
      </w:r>
      <w:r w:rsidRPr="009B0CD7">
        <w:rPr>
          <w:rFonts w:ascii="Times New Roman" w:eastAsia="宋体" w:hAnsi="Times New Roman" w:cs="Times New Roman" w:hint="eastAsia"/>
          <w:sz w:val="21"/>
          <w:szCs w:val="22"/>
          <w14:ligatures w14:val="none"/>
        </w:rPr>
        <w:t>IM</w:t>
      </w:r>
      <w:r w:rsidRPr="009B0CD7">
        <w:rPr>
          <w:rFonts w:ascii="Times New Roman" w:eastAsia="宋体" w:hAnsi="Times New Roman" w:cs="Times New Roman"/>
          <w:sz w:val="21"/>
          <w:szCs w:val="22"/>
          <w14:ligatures w14:val="none"/>
        </w:rPr>
        <w:t>等</w:t>
      </w:r>
      <w:r w:rsidRPr="009B0CD7">
        <w:rPr>
          <w:rFonts w:ascii="Times New Roman" w:hAnsi="Times New Roman" w:cs="Times New Roman"/>
          <w:kern w:val="0"/>
          <w:szCs w:val="22"/>
          <w:vertAlign w:val="superscript"/>
        </w:rPr>
        <w:t>[26]</w:t>
      </w:r>
      <w:r w:rsidRPr="009B0CD7">
        <w:rPr>
          <w:rFonts w:ascii="Times New Roman" w:eastAsia="宋体" w:hAnsi="Times New Roman" w:cs="Times New Roman"/>
          <w:sz w:val="21"/>
          <w:szCs w:val="22"/>
          <w14:ligatures w14:val="none"/>
        </w:rPr>
        <w:t>从联合概率角度构建了二维</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评估框架</w:t>
      </w:r>
      <w:r w:rsidRPr="009B0CD7">
        <w:rPr>
          <w:rFonts w:ascii="Times New Roman" w:eastAsia="宋体" w:hAnsi="Times New Roman" w:cs="Times New Roman" w:hint="eastAsia"/>
          <w:sz w:val="21"/>
          <w:szCs w:val="22"/>
          <w14:ligatures w14:val="none"/>
        </w:rPr>
        <w:t>来</w:t>
      </w:r>
      <w:r w:rsidRPr="009B0CD7">
        <w:rPr>
          <w:rFonts w:ascii="Times New Roman" w:eastAsia="宋体" w:hAnsi="Times New Roman" w:cs="Times New Roman"/>
          <w:sz w:val="21"/>
          <w:szCs w:val="22"/>
          <w14:ligatures w14:val="none"/>
        </w:rPr>
        <w:t>刻画干旱风险对供水系统安全的影响，</w:t>
      </w:r>
      <w:r w:rsidRPr="009B0CD7">
        <w:rPr>
          <w:rFonts w:ascii="Times New Roman" w:eastAsia="宋体" w:hAnsi="Times New Roman" w:cs="Times New Roman"/>
          <w:sz w:val="21"/>
          <w:szCs w:val="22"/>
          <w14:ligatures w14:val="none"/>
        </w:rPr>
        <w:t>H</w:t>
      </w:r>
      <w:r w:rsidRPr="009B0CD7">
        <w:rPr>
          <w:rFonts w:ascii="Times New Roman" w:eastAsia="宋体" w:hAnsi="Times New Roman" w:cs="Times New Roman" w:hint="eastAsia"/>
          <w:sz w:val="21"/>
          <w:szCs w:val="22"/>
          <w14:ligatures w14:val="none"/>
        </w:rPr>
        <w:t>AO</w:t>
      </w:r>
      <w:r w:rsidRPr="009B0CD7">
        <w:rPr>
          <w:rFonts w:ascii="Times New Roman" w:eastAsia="宋体" w:hAnsi="Times New Roman" w:cs="Times New Roman" w:hint="eastAsia"/>
          <w:sz w:val="21"/>
          <w:szCs w:val="22"/>
          <w14:ligatures w14:val="none"/>
        </w:rPr>
        <w:t>等</w:t>
      </w:r>
      <w:r w:rsidRPr="009B0CD7">
        <w:rPr>
          <w:rFonts w:ascii="Times New Roman" w:hAnsi="Times New Roman" w:cs="Times New Roman"/>
          <w:kern w:val="0"/>
          <w:szCs w:val="22"/>
          <w:vertAlign w:val="superscript"/>
        </w:rPr>
        <w:t>[27]</w:t>
      </w:r>
      <w:r w:rsidRPr="009B0CD7">
        <w:rPr>
          <w:rFonts w:ascii="Times New Roman" w:eastAsia="宋体" w:hAnsi="Times New Roman" w:cs="Times New Roman"/>
          <w:sz w:val="21"/>
          <w:szCs w:val="22"/>
          <w14:ligatures w14:val="none"/>
        </w:rPr>
        <w:t>提出多变量标准化干旱指数以综合刻画不同干旱变量之间的相互作用。近年来，</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方法进一步由传统静态联合分布分析拓展至多变量干旱监测、动态风险识别和非平稳相依结构刻画</w:t>
      </w:r>
      <w:r w:rsidRPr="009B0CD7">
        <w:rPr>
          <w:rFonts w:ascii="Times New Roman" w:hAnsi="Times New Roman" w:cs="Times New Roman"/>
          <w:kern w:val="0"/>
          <w:szCs w:val="22"/>
          <w:vertAlign w:val="superscript"/>
        </w:rPr>
        <w:t>[27-30]</w:t>
      </w:r>
      <w:r w:rsidRPr="009B0CD7">
        <w:rPr>
          <w:rFonts w:ascii="Times New Roman" w:eastAsia="宋体" w:hAnsi="Times New Roman" w:cs="Times New Roman"/>
          <w:sz w:val="21"/>
          <w:szCs w:val="22"/>
          <w14:ligatures w14:val="none"/>
        </w:rPr>
        <w:t>。然而，现有跨流域调水工程研究多侧重于调度规则优化、供水过程模拟或静态丰枯遭遇分析</w:t>
      </w:r>
      <w:r w:rsidRPr="009B0CD7">
        <w:rPr>
          <w:rFonts w:ascii="Times New Roman" w:hAnsi="Times New Roman" w:cs="Times New Roman"/>
          <w:kern w:val="0"/>
          <w:szCs w:val="22"/>
          <w:vertAlign w:val="superscript"/>
        </w:rPr>
        <w:t>[19-22, 31</w:t>
      </w:r>
      <w:r w:rsidRPr="009B0CD7">
        <w:rPr>
          <w:rFonts w:ascii="Times New Roman" w:hAnsi="Times New Roman" w:cs="Times New Roman" w:hint="eastAsia"/>
          <w:kern w:val="0"/>
          <w:szCs w:val="22"/>
          <w:vertAlign w:val="superscript"/>
        </w:rPr>
        <w:t>-</w:t>
      </w:r>
      <w:r w:rsidRPr="009B0CD7">
        <w:rPr>
          <w:rFonts w:ascii="Times New Roman" w:hAnsi="Times New Roman" w:cs="Times New Roman"/>
          <w:kern w:val="0"/>
          <w:szCs w:val="22"/>
          <w:vertAlign w:val="superscript"/>
        </w:rPr>
        <w:t>32]</w:t>
      </w:r>
      <w:r w:rsidRPr="009B0CD7">
        <w:rPr>
          <w:rFonts w:ascii="Times New Roman" w:eastAsia="宋体" w:hAnsi="Times New Roman" w:cs="Times New Roman"/>
          <w:sz w:val="21"/>
          <w:szCs w:val="22"/>
          <w14:ligatures w14:val="none"/>
        </w:rPr>
        <w:t>，对于</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边缘分布非平稳</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与</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相依结构时变</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的耦合刻画仍显不足，尚缺乏能够同时识别水文变量自身统计特征变化及多水源协同关系动态演化的联合风险评估框架。</w:t>
      </w:r>
    </w:p>
    <w:p w14:paraId="1DD97F56"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2"/>
          <w14:ligatures w14:val="none"/>
        </w:rPr>
      </w:pPr>
      <w:r w:rsidRPr="009B0CD7">
        <w:rPr>
          <w:rFonts w:ascii="Times New Roman" w:eastAsia="宋体" w:hAnsi="Times New Roman" w:cs="Times New Roman"/>
          <w:sz w:val="21"/>
          <w:szCs w:val="22"/>
          <w14:ligatures w14:val="none"/>
        </w:rPr>
        <w:t>为弥补上述研究不足，本研究以青海省引大济湟工程</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大通河</w:t>
      </w:r>
      <w:r w:rsidRPr="009B0CD7">
        <w:rPr>
          <w:rFonts w:ascii="Times New Roman" w:hAnsi="Times New Roman" w:cs="Times New Roman"/>
          <w:szCs w:val="21"/>
        </w:rPr>
        <w:t>—</w:t>
      </w:r>
      <w:r w:rsidRPr="009B0CD7">
        <w:rPr>
          <w:rFonts w:ascii="Times New Roman" w:eastAsia="宋体" w:hAnsi="Times New Roman" w:cs="Times New Roman"/>
          <w:sz w:val="21"/>
          <w:szCs w:val="22"/>
          <w14:ligatures w14:val="none"/>
        </w:rPr>
        <w:t>湟水</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双水源系统为研究对象，构建耦合非平稳边缘分布与时变相依结构的</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双重非平稳</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动态风险分析框架</w:t>
      </w:r>
      <w:r w:rsidRPr="009B0CD7">
        <w:rPr>
          <w:rFonts w:ascii="Times New Roman" w:eastAsia="宋体" w:hAnsi="Times New Roman" w:cs="Times New Roman" w:hint="eastAsia"/>
          <w:sz w:val="21"/>
          <w:szCs w:val="22"/>
          <w14:ligatures w14:val="none"/>
        </w:rPr>
        <w:t>（见图</w:t>
      </w:r>
      <w:r w:rsidRPr="009B0CD7">
        <w:rPr>
          <w:rFonts w:ascii="Times New Roman" w:eastAsia="宋体" w:hAnsi="Times New Roman" w:cs="Times New Roman" w:hint="eastAsia"/>
          <w:sz w:val="21"/>
          <w:szCs w:val="22"/>
          <w14:ligatures w14:val="none"/>
        </w:rPr>
        <w:t>1</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。其中，</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双重非平稳</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主要体现在两个方面：一是分别刻画石头峡水库和黑泉水库径流边缘分布随时间变化的非平稳特征；二是刻画双水源径流联合相依关系在外部气候与干旱条件驱动下的动态变化。具体而言，首先采用</w:t>
      </w:r>
      <w:r w:rsidRPr="009B0CD7">
        <w:rPr>
          <w:rFonts w:ascii="Times New Roman" w:eastAsia="宋体" w:hAnsi="Times New Roman" w:cs="Times New Roman"/>
          <w:sz w:val="21"/>
          <w:szCs w:val="22"/>
          <w14:ligatures w14:val="none"/>
        </w:rPr>
        <w:t>GAMLSS</w:t>
      </w:r>
      <w:r w:rsidRPr="009B0CD7">
        <w:rPr>
          <w:rFonts w:ascii="Times New Roman" w:eastAsia="宋体" w:hAnsi="Times New Roman" w:cs="Times New Roman"/>
          <w:sz w:val="21"/>
          <w:szCs w:val="22"/>
          <w14:ligatures w14:val="none"/>
        </w:rPr>
        <w:t>模型，以月份为基本建模单元、以年份为时间协变量，分别识别并拟合双水源同月跨年径流序列的非平稳边缘分布，构建参数随年份变化的月尺度条件边缘分布函数；其次，基于上述边缘分布函数对径流观测序列进行概率积分变换（</w:t>
      </w:r>
      <w:r w:rsidRPr="009B0CD7">
        <w:rPr>
          <w:rFonts w:ascii="Times New Roman" w:eastAsia="宋体" w:hAnsi="Times New Roman" w:cs="Times New Roman"/>
          <w:sz w:val="21"/>
          <w:szCs w:val="22"/>
          <w14:ligatures w14:val="none"/>
        </w:rPr>
        <w:t>Probability Integral Transform</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PIT</w:t>
      </w:r>
      <w:r w:rsidRPr="009B0CD7">
        <w:rPr>
          <w:rFonts w:ascii="Times New Roman" w:eastAsia="宋体" w:hAnsi="Times New Roman" w:cs="Times New Roman"/>
          <w:sz w:val="21"/>
          <w:szCs w:val="22"/>
          <w14:ligatures w14:val="none"/>
        </w:rPr>
        <w:t>），将两个水源的径流过程转换为标准均匀概率变量，从而为</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联合建模提供统一概率基础；在此基础上，构建静态</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Static Model</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hint="eastAsia"/>
          <w:sz w:val="21"/>
          <w:szCs w:val="22"/>
          <w14:ligatures w14:val="none"/>
        </w:rPr>
        <w:t>STA</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与时变</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Time-Varying Model</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hint="eastAsia"/>
          <w:sz w:val="21"/>
          <w:szCs w:val="22"/>
          <w14:ligatures w14:val="none"/>
        </w:rPr>
        <w:t>TV</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模型，刻画双水源径流之间的联合相依关系，并引入大尺度气候指数和</w:t>
      </w:r>
      <w:r w:rsidRPr="009B0CD7">
        <w:rPr>
          <w:rFonts w:ascii="Times New Roman" w:eastAsia="宋体" w:hAnsi="Times New Roman" w:cs="Times New Roman"/>
          <w:i/>
          <w:iCs/>
          <w:sz w:val="21"/>
          <w:szCs w:val="22"/>
          <w14:ligatures w14:val="none"/>
        </w:rPr>
        <w:t>SPEI-3</w:t>
      </w:r>
      <w:r w:rsidRPr="009B0CD7">
        <w:rPr>
          <w:rFonts w:ascii="Times New Roman" w:eastAsia="宋体" w:hAnsi="Times New Roman" w:cs="Times New Roman"/>
          <w:sz w:val="21"/>
          <w:szCs w:val="22"/>
          <w14:ligatures w14:val="none"/>
        </w:rPr>
        <w:t>局地干旱指标作为协变量，识别外部驱动因子对相依结构动态变化的影响；最后，基于最优</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模型计算双水源同步偏枯联合概率，量化变化环境下双枯风险的季节差异与年际演变特征。本研究旨在从</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边缘分布非平稳</w:t>
      </w:r>
      <w:r w:rsidRPr="009B0CD7">
        <w:rPr>
          <w:rFonts w:ascii="Times New Roman" w:hAnsi="Times New Roman" w:cs="Times New Roman"/>
          <w:szCs w:val="21"/>
        </w:rPr>
        <w:t>—</w:t>
      </w:r>
      <w:r w:rsidRPr="009B0CD7">
        <w:rPr>
          <w:rFonts w:ascii="Times New Roman" w:eastAsia="宋体" w:hAnsi="Times New Roman" w:cs="Times New Roman"/>
          <w:sz w:val="21"/>
          <w:szCs w:val="22"/>
          <w14:ligatures w14:val="none"/>
        </w:rPr>
        <w:t>相依结构时变</w:t>
      </w:r>
      <w:r w:rsidRPr="009B0CD7">
        <w:rPr>
          <w:rFonts w:ascii="Times New Roman" w:hAnsi="Times New Roman" w:cs="Times New Roman"/>
          <w:szCs w:val="21"/>
        </w:rPr>
        <w:t>—</w:t>
      </w:r>
      <w:r w:rsidRPr="009B0CD7">
        <w:rPr>
          <w:rFonts w:ascii="Times New Roman" w:eastAsia="宋体" w:hAnsi="Times New Roman" w:cs="Times New Roman"/>
          <w:sz w:val="21"/>
          <w:szCs w:val="22"/>
          <w14:ligatures w14:val="none"/>
        </w:rPr>
        <w:t>联合风险动态量化</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的递进逻辑出发，解决变化环境下多水源系统联合干旱风险识别与量化问题，为引大济湟工程及类似跨流域调水系统的适应性调度与干旱风险管理提供科学依据</w:t>
      </w:r>
      <w:r w:rsidRPr="009B0CD7">
        <w:rPr>
          <w:rFonts w:ascii="Times New Roman" w:eastAsia="宋体" w:hAnsi="Times New Roman" w:cs="Times New Roman" w:hint="eastAsia"/>
          <w:sz w:val="21"/>
          <w:szCs w:val="22"/>
          <w14:ligatures w14:val="none"/>
        </w:rPr>
        <w:t>。</w:t>
      </w:r>
    </w:p>
    <w:p w14:paraId="3BF6B599" w14:textId="77777777" w:rsidR="0081344D" w:rsidRPr="009B0CD7" w:rsidRDefault="00000000">
      <w:pPr>
        <w:spacing w:after="0" w:line="240" w:lineRule="auto"/>
        <w:jc w:val="center"/>
        <w:rPr>
          <w:rFonts w:ascii="Times New Roman" w:eastAsia="宋体" w:hAnsi="Times New Roman" w:cs="Times New Roman"/>
        </w:rPr>
      </w:pPr>
      <w:r w:rsidRPr="009B0CD7">
        <w:rPr>
          <w:noProof/>
        </w:rPr>
        <w:lastRenderedPageBreak/>
        <w:drawing>
          <wp:inline distT="0" distB="0" distL="0" distR="0" wp14:anchorId="6D312A18" wp14:editId="1228DA40">
            <wp:extent cx="5274310" cy="4065905"/>
            <wp:effectExtent l="0" t="0" r="2540" b="0"/>
            <wp:docPr id="1101302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0260" name="图片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4065905"/>
                    </a:xfrm>
                    <a:prstGeom prst="rect">
                      <a:avLst/>
                    </a:prstGeom>
                    <a:noFill/>
                    <a:ln>
                      <a:noFill/>
                    </a:ln>
                  </pic:spPr>
                </pic:pic>
              </a:graphicData>
            </a:graphic>
          </wp:inline>
        </w:drawing>
      </w:r>
    </w:p>
    <w:p w14:paraId="02A180A2" w14:textId="690BD608"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3" w:name="_Ref234595103"/>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1</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hint="eastAsia"/>
          <w:sz w:val="18"/>
          <w:szCs w:val="18"/>
          <w14:ligatures w14:val="none"/>
        </w:rPr>
        <w:t>技术路线</w:t>
      </w:r>
      <w:bookmarkEnd w:id="3"/>
    </w:p>
    <w:p w14:paraId="08D0765C" w14:textId="269CAE70"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 xml:space="preserve">Fig.1 </w:t>
      </w:r>
      <w:r w:rsidRPr="009B0CD7">
        <w:rPr>
          <w:rFonts w:ascii="Times New Roman" w:eastAsia="黑体" w:hAnsi="Times New Roman" w:cs="Times New Roman"/>
          <w:bCs/>
          <w:sz w:val="18"/>
          <w:szCs w:val="18"/>
          <w14:ligatures w14:val="none"/>
        </w:rPr>
        <w:t xml:space="preserve"> Technical approach</w:t>
      </w:r>
    </w:p>
    <w:p w14:paraId="4059610B" w14:textId="77777777" w:rsidR="0081344D" w:rsidRPr="009B0CD7" w:rsidRDefault="00000000">
      <w:pPr>
        <w:ind w:firstLineChars="200" w:firstLine="420"/>
        <w:jc w:val="both"/>
        <w:rPr>
          <w:rFonts w:ascii="Times New Roman" w:eastAsia="宋体" w:hAnsi="Times New Roman" w:cs="Times New Roman"/>
          <w:sz w:val="21"/>
          <w:szCs w:val="22"/>
          <w14:ligatures w14:val="none"/>
        </w:rPr>
      </w:pPr>
      <w:r w:rsidRPr="009B0CD7">
        <w:rPr>
          <w:rFonts w:ascii="Times New Roman" w:eastAsia="宋体" w:hAnsi="Times New Roman" w:cs="Times New Roman"/>
          <w:sz w:val="21"/>
          <w:szCs w:val="22"/>
          <w14:ligatures w14:val="none"/>
        </w:rPr>
        <w:t>相较于传统静态丰枯遭遇分析，本文的主要创新体现在三个方面</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一是将</w:t>
      </w:r>
      <w:r w:rsidRPr="009B0CD7">
        <w:rPr>
          <w:rFonts w:ascii="Times New Roman" w:eastAsia="宋体" w:hAnsi="Times New Roman" w:cs="Times New Roman"/>
          <w:sz w:val="21"/>
          <w:szCs w:val="22"/>
          <w14:ligatures w14:val="none"/>
        </w:rPr>
        <w:t>GAMLSS</w:t>
      </w:r>
      <w:r w:rsidRPr="009B0CD7">
        <w:rPr>
          <w:rFonts w:ascii="Times New Roman" w:eastAsia="宋体" w:hAnsi="Times New Roman" w:cs="Times New Roman"/>
          <w:sz w:val="21"/>
          <w:szCs w:val="22"/>
          <w14:ligatures w14:val="none"/>
        </w:rPr>
        <w:t>非平稳边缘分布与时变</w:t>
      </w:r>
      <w:r w:rsidRPr="009B0CD7">
        <w:rPr>
          <w:rFonts w:ascii="Times New Roman" w:eastAsia="宋体" w:hAnsi="Times New Roman" w:cs="Times New Roman"/>
          <w:sz w:val="21"/>
          <w:szCs w:val="22"/>
          <w14:ligatures w14:val="none"/>
        </w:rPr>
        <w:t>Copula</w:t>
      </w:r>
      <w:r w:rsidRPr="009B0CD7">
        <w:rPr>
          <w:rFonts w:ascii="Times New Roman" w:eastAsia="宋体" w:hAnsi="Times New Roman" w:cs="Times New Roman"/>
          <w:sz w:val="21"/>
          <w:szCs w:val="22"/>
          <w14:ligatures w14:val="none"/>
        </w:rPr>
        <w:t>相依结构耦合，形成同时刻画单水源边缘变化和双水源相依结构动态演化的</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双重非平稳</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分析框架</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二是引入大尺度气候指数和区域</w:t>
      </w:r>
      <w:r w:rsidRPr="009B0CD7">
        <w:rPr>
          <w:rFonts w:ascii="Times New Roman" w:eastAsia="宋体" w:hAnsi="Times New Roman" w:cs="Times New Roman"/>
          <w:i/>
          <w:iCs/>
          <w:sz w:val="21"/>
          <w:szCs w:val="22"/>
          <w14:ligatures w14:val="none"/>
        </w:rPr>
        <w:t>SPEI-3</w:t>
      </w:r>
      <w:r w:rsidRPr="009B0CD7">
        <w:rPr>
          <w:rFonts w:ascii="Times New Roman" w:eastAsia="宋体" w:hAnsi="Times New Roman" w:cs="Times New Roman"/>
          <w:sz w:val="21"/>
          <w:szCs w:val="22"/>
          <w14:ligatures w14:val="none"/>
        </w:rPr>
        <w:t>干旱指标作为相依结构协变量，识别双水源联合风险的季节性驱动信息差异</w:t>
      </w:r>
      <w:r w:rsidRPr="009B0CD7">
        <w:rPr>
          <w:rFonts w:ascii="Times New Roman" w:eastAsia="宋体" w:hAnsi="Times New Roman" w:cs="Times New Roman" w:hint="eastAsia"/>
          <w:sz w:val="21"/>
          <w:szCs w:val="22"/>
          <w14:ligatures w14:val="none"/>
        </w:rPr>
        <w:t>；</w:t>
      </w:r>
      <w:r w:rsidRPr="009B0CD7">
        <w:rPr>
          <w:rFonts w:ascii="Times New Roman" w:eastAsia="宋体" w:hAnsi="Times New Roman" w:cs="Times New Roman"/>
          <w:sz w:val="21"/>
          <w:szCs w:val="22"/>
          <w14:ligatures w14:val="none"/>
        </w:rPr>
        <w:t>三是将</w:t>
      </w:r>
      <w:r w:rsidRPr="009B0CD7">
        <w:rPr>
          <w:rFonts w:ascii="Times New Roman" w:eastAsia="宋体" w:hAnsi="Times New Roman" w:cs="Times New Roman"/>
          <w:i/>
          <w:iCs/>
          <w:sz w:val="21"/>
          <w:szCs w:val="22"/>
          <w14:ligatures w14:val="none"/>
        </w:rPr>
        <w:t>AUC</w:t>
      </w:r>
      <w:r w:rsidRPr="009B0CD7">
        <w:rPr>
          <w:rFonts w:ascii="Times New Roman" w:eastAsia="宋体" w:hAnsi="Times New Roman" w:cs="Times New Roman"/>
          <w:sz w:val="21"/>
          <w:szCs w:val="22"/>
          <w14:ligatures w14:val="none"/>
        </w:rPr>
        <w:t>、</w:t>
      </w:r>
      <m:oMath>
        <m:r>
          <w:rPr>
            <w:rFonts w:ascii="Cambria Math" w:eastAsia="宋体" w:hAnsi="Cambria Math" w:cs="Times New Roman"/>
            <w:sz w:val="21"/>
            <w:szCs w:val="21"/>
          </w:rPr>
          <m:t>ΔP</m:t>
        </m:r>
      </m:oMath>
      <w:r w:rsidRPr="009B0CD7">
        <w:rPr>
          <w:rFonts w:ascii="Times New Roman" w:eastAsia="宋体" w:hAnsi="Times New Roman" w:cs="Times New Roman"/>
          <w:sz w:val="21"/>
          <w:szCs w:val="22"/>
          <w14:ligatures w14:val="none"/>
        </w:rPr>
        <w:t>、平均双枯概率误差和尾部依赖指标引入模型推荐与风险诊断过程，使模型评价从单纯统计拟合扩展到面向双枯事件识别的风险导向评价。</w:t>
      </w:r>
    </w:p>
    <w:p w14:paraId="3FECC79E" w14:textId="77777777" w:rsidR="0081344D" w:rsidRPr="009B0CD7" w:rsidRDefault="00000000">
      <w:pPr>
        <w:pStyle w:val="1"/>
        <w:spacing w:before="0" w:after="0" w:line="240" w:lineRule="auto"/>
        <w:jc w:val="both"/>
        <w:rPr>
          <w:rFonts w:ascii="Times New Roman" w:eastAsia="宋体" w:hAnsi="Times New Roman" w:cs="Times New Roman"/>
          <w:color w:val="auto"/>
          <w:sz w:val="28"/>
          <w:szCs w:val="28"/>
          <w14:ligatures w14:val="none"/>
        </w:rPr>
      </w:pPr>
      <w:r w:rsidRPr="009B0CD7">
        <w:rPr>
          <w:rFonts w:ascii="Times New Roman" w:eastAsia="宋体" w:hAnsi="Times New Roman" w:cs="Times New Roman" w:hint="eastAsia"/>
          <w:color w:val="auto"/>
          <w:sz w:val="28"/>
          <w:szCs w:val="28"/>
          <w14:ligatures w14:val="none"/>
        </w:rPr>
        <w:t>1</w:t>
      </w:r>
      <w:r w:rsidRPr="009B0CD7">
        <w:rPr>
          <w:rFonts w:ascii="Times New Roman" w:eastAsia="宋体" w:hAnsi="Times New Roman" w:cs="Times New Roman"/>
          <w:color w:val="auto"/>
          <w:sz w:val="28"/>
          <w:szCs w:val="28"/>
          <w14:ligatures w14:val="none"/>
        </w:rPr>
        <w:t xml:space="preserve"> </w:t>
      </w:r>
      <w:r w:rsidRPr="009B0CD7">
        <w:rPr>
          <w:rFonts w:ascii="Times New Roman" w:eastAsia="宋体" w:hAnsi="Times New Roman" w:cs="Times New Roman"/>
          <w:color w:val="auto"/>
          <w:sz w:val="28"/>
          <w:szCs w:val="28"/>
          <w14:ligatures w14:val="none"/>
        </w:rPr>
        <w:t>研究区概况与数据方法</w:t>
      </w:r>
    </w:p>
    <w:p w14:paraId="79B2C0C7" w14:textId="77777777" w:rsidR="0081344D" w:rsidRPr="009B0CD7" w:rsidRDefault="00000000">
      <w:pPr>
        <w:spacing w:after="0" w:line="240" w:lineRule="auto"/>
        <w:jc w:val="both"/>
        <w:outlineLvl w:val="1"/>
        <w:rPr>
          <w:rFonts w:ascii="Times New Roman" w:eastAsia="黑体" w:hAnsi="Times New Roman" w:cs="Times New Roman"/>
          <w:sz w:val="21"/>
          <w:szCs w:val="22"/>
          <w14:ligatures w14:val="none"/>
        </w:rPr>
      </w:pPr>
      <w:r w:rsidRPr="009B0CD7">
        <w:rPr>
          <w:rFonts w:ascii="Times New Roman" w:eastAsia="黑体" w:hAnsi="Times New Roman" w:cs="Times New Roman" w:hint="eastAsia"/>
          <w:sz w:val="21"/>
          <w:szCs w:val="22"/>
          <w14:ligatures w14:val="none"/>
        </w:rPr>
        <w:t>1</w:t>
      </w:r>
      <w:r w:rsidRPr="009B0CD7">
        <w:rPr>
          <w:rFonts w:ascii="Times New Roman" w:eastAsia="黑体" w:hAnsi="Times New Roman" w:cs="Times New Roman"/>
          <w:sz w:val="21"/>
          <w:szCs w:val="22"/>
          <w14:ligatures w14:val="none"/>
        </w:rPr>
        <w:t xml:space="preserve">.1 </w:t>
      </w:r>
      <w:r w:rsidRPr="009B0CD7">
        <w:rPr>
          <w:rFonts w:ascii="Times New Roman" w:eastAsia="黑体" w:hAnsi="Times New Roman" w:cs="Times New Roman"/>
          <w:sz w:val="21"/>
          <w:szCs w:val="22"/>
          <w14:ligatures w14:val="none"/>
        </w:rPr>
        <w:t>研究区与数据</w:t>
      </w:r>
    </w:p>
    <w:p w14:paraId="599A7DF7" w14:textId="77777777" w:rsidR="0081344D" w:rsidRPr="009B0CD7" w:rsidRDefault="00000000">
      <w:pPr>
        <w:tabs>
          <w:tab w:val="left" w:pos="144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引大济湟工程（约</w:t>
      </w:r>
      <w:r w:rsidRPr="009B0CD7">
        <w:rPr>
          <w:rFonts w:ascii="Times New Roman" w:eastAsia="宋体" w:hAnsi="Times New Roman" w:cs="Times New Roman"/>
          <w:sz w:val="21"/>
          <w:szCs w:val="21"/>
        </w:rPr>
        <w:t>98°E</w:t>
      </w:r>
      <w:r w:rsidRPr="009B0CD7">
        <w:rPr>
          <w:rFonts w:ascii="Times New Roman" w:hAnsi="Times New Roman" w:cs="Times New Roman"/>
          <w:szCs w:val="21"/>
        </w:rPr>
        <w:t>—</w:t>
      </w:r>
      <w:r w:rsidRPr="009B0CD7">
        <w:rPr>
          <w:rFonts w:ascii="Times New Roman" w:eastAsia="宋体" w:hAnsi="Times New Roman" w:cs="Times New Roman"/>
          <w:sz w:val="21"/>
          <w:szCs w:val="21"/>
        </w:rPr>
        <w:t>103°E</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36°N</w:t>
      </w:r>
      <w:r w:rsidRPr="009B0CD7">
        <w:rPr>
          <w:rFonts w:ascii="Times New Roman" w:hAnsi="Times New Roman" w:cs="Times New Roman"/>
          <w:szCs w:val="21"/>
        </w:rPr>
        <w:t>—</w:t>
      </w:r>
      <w:r w:rsidRPr="009B0CD7">
        <w:rPr>
          <w:rFonts w:ascii="Times New Roman" w:eastAsia="宋体" w:hAnsi="Times New Roman" w:cs="Times New Roman"/>
          <w:sz w:val="21"/>
          <w:szCs w:val="21"/>
        </w:rPr>
        <w:t>38°N</w:t>
      </w:r>
      <w:r w:rsidRPr="009B0CD7">
        <w:rPr>
          <w:rFonts w:ascii="Times New Roman" w:eastAsia="宋体" w:hAnsi="Times New Roman" w:cs="Times New Roman"/>
          <w:sz w:val="21"/>
          <w:szCs w:val="21"/>
        </w:rPr>
        <w:t>）位于青藏高原东北缘的青海省东部，由大通河（外调水源）与湟水（本地水源）共同构成双水源供水系统，是青海省规模最大的跨流域调水工程。大通河流域面积约</w:t>
      </w:r>
      <w:r w:rsidRPr="009B0CD7">
        <w:rPr>
          <w:rFonts w:ascii="Times New Roman" w:eastAsia="宋体" w:hAnsi="Times New Roman" w:cs="Times New Roman"/>
          <w:sz w:val="21"/>
          <w:szCs w:val="21"/>
        </w:rPr>
        <w:t>1.5</w:t>
      </w:r>
      <w:r w:rsidRPr="009B0CD7">
        <w:rPr>
          <w:rFonts w:ascii="Times New Roman" w:eastAsia="宋体" w:hAnsi="Times New Roman" w:cs="Times New Roman"/>
          <w:sz w:val="21"/>
          <w:szCs w:val="21"/>
        </w:rPr>
        <w:t>万</w:t>
      </w:r>
      <w:r w:rsidRPr="009B0CD7">
        <w:rPr>
          <w:rFonts w:ascii="Times New Roman" w:eastAsia="宋体" w:hAnsi="Times New Roman" w:cs="Times New Roman"/>
          <w:sz w:val="21"/>
          <w:szCs w:val="21"/>
        </w:rPr>
        <w:t>km²</w:t>
      </w:r>
      <w:r w:rsidRPr="009B0CD7">
        <w:rPr>
          <w:rFonts w:ascii="Times New Roman" w:eastAsia="宋体" w:hAnsi="Times New Roman" w:cs="Times New Roman"/>
          <w:sz w:val="21"/>
          <w:szCs w:val="21"/>
        </w:rPr>
        <w:t>，多年平均径流量约</w:t>
      </w:r>
      <w:r w:rsidRPr="009B0CD7">
        <w:rPr>
          <w:rFonts w:ascii="Times New Roman" w:eastAsia="宋体" w:hAnsi="Times New Roman" w:cs="Times New Roman"/>
          <w:sz w:val="21"/>
          <w:szCs w:val="21"/>
        </w:rPr>
        <w:t>28.0</w:t>
      </w:r>
      <w:r w:rsidRPr="009B0CD7">
        <w:rPr>
          <w:rFonts w:ascii="Times New Roman" w:eastAsia="宋体" w:hAnsi="Times New Roman" w:cs="Times New Roman"/>
          <w:sz w:val="21"/>
          <w:szCs w:val="21"/>
        </w:rPr>
        <w:t>亿</w:t>
      </w:r>
      <w:r w:rsidRPr="009B0CD7">
        <w:rPr>
          <w:rFonts w:ascii="Times New Roman" w:eastAsia="宋体" w:hAnsi="Times New Roman" w:cs="Times New Roman"/>
          <w:sz w:val="21"/>
          <w:szCs w:val="21"/>
        </w:rPr>
        <w:t>m³</w:t>
      </w:r>
      <w:r w:rsidRPr="009B0CD7">
        <w:rPr>
          <w:rFonts w:ascii="Times New Roman" w:hAnsi="Times New Roman" w:cs="Times New Roman"/>
          <w:kern w:val="0"/>
          <w:sz w:val="21"/>
          <w:szCs w:val="21"/>
          <w:vertAlign w:val="superscript"/>
        </w:rPr>
        <w:t>[33]</w:t>
      </w:r>
      <w:r w:rsidRPr="009B0CD7">
        <w:rPr>
          <w:rFonts w:ascii="Times New Roman" w:eastAsia="宋体" w:hAnsi="Times New Roman" w:cs="Times New Roman"/>
          <w:sz w:val="21"/>
          <w:szCs w:val="21"/>
        </w:rPr>
        <w:t>，径流以降水补给为主、融雪补给为辅；其干流上的石头峡水库总库容</w:t>
      </w:r>
      <w:r w:rsidRPr="009B0CD7">
        <w:rPr>
          <w:rFonts w:ascii="Times New Roman" w:eastAsia="宋体" w:hAnsi="Times New Roman" w:cs="Times New Roman"/>
          <w:sz w:val="21"/>
          <w:szCs w:val="21"/>
        </w:rPr>
        <w:t>9.85</w:t>
      </w:r>
      <w:r w:rsidRPr="009B0CD7">
        <w:rPr>
          <w:rFonts w:ascii="Times New Roman" w:eastAsia="宋体" w:hAnsi="Times New Roman" w:cs="Times New Roman"/>
          <w:sz w:val="21"/>
          <w:szCs w:val="21"/>
        </w:rPr>
        <w:t>亿</w:t>
      </w:r>
      <w:r w:rsidRPr="009B0CD7">
        <w:rPr>
          <w:rFonts w:ascii="Times New Roman" w:eastAsia="宋体" w:hAnsi="Times New Roman" w:cs="Times New Roman"/>
          <w:sz w:val="21"/>
          <w:szCs w:val="21"/>
        </w:rPr>
        <w:t>m³</w:t>
      </w:r>
      <w:r w:rsidRPr="009B0CD7">
        <w:rPr>
          <w:rFonts w:ascii="Times New Roman" w:eastAsia="宋体" w:hAnsi="Times New Roman" w:cs="Times New Roman"/>
          <w:sz w:val="21"/>
          <w:szCs w:val="21"/>
        </w:rPr>
        <w:t>，是工程的核心调蓄水库。湟水为黄河上游最大支流，流域面积约</w:t>
      </w:r>
      <w:r w:rsidRPr="009B0CD7">
        <w:rPr>
          <w:rFonts w:ascii="Times New Roman" w:eastAsia="宋体" w:hAnsi="Times New Roman" w:cs="Times New Roman"/>
          <w:sz w:val="21"/>
          <w:szCs w:val="21"/>
        </w:rPr>
        <w:t>3.3</w:t>
      </w:r>
      <w:r w:rsidRPr="009B0CD7">
        <w:rPr>
          <w:rFonts w:ascii="Times New Roman" w:eastAsia="宋体" w:hAnsi="Times New Roman" w:cs="Times New Roman"/>
          <w:sz w:val="21"/>
          <w:szCs w:val="21"/>
        </w:rPr>
        <w:t>万</w:t>
      </w:r>
      <w:r w:rsidRPr="009B0CD7">
        <w:rPr>
          <w:rFonts w:ascii="Times New Roman" w:eastAsia="宋体" w:hAnsi="Times New Roman" w:cs="Times New Roman"/>
          <w:sz w:val="21"/>
          <w:szCs w:val="21"/>
        </w:rPr>
        <w:t>km²</w:t>
      </w:r>
      <w:r w:rsidRPr="009B0CD7">
        <w:rPr>
          <w:rFonts w:ascii="Times New Roman" w:eastAsia="宋体" w:hAnsi="Times New Roman" w:cs="Times New Roman"/>
          <w:sz w:val="21"/>
          <w:szCs w:val="21"/>
        </w:rPr>
        <w:t>，多年平均径流量约</w:t>
      </w:r>
      <w:r w:rsidRPr="009B0CD7">
        <w:rPr>
          <w:rFonts w:ascii="Times New Roman" w:eastAsia="宋体" w:hAnsi="Times New Roman" w:cs="Times New Roman"/>
          <w:sz w:val="21"/>
          <w:szCs w:val="21"/>
        </w:rPr>
        <w:t>21.5</w:t>
      </w:r>
      <w:r w:rsidRPr="009B0CD7">
        <w:rPr>
          <w:rFonts w:ascii="Times New Roman" w:eastAsia="宋体" w:hAnsi="Times New Roman" w:cs="Times New Roman"/>
          <w:sz w:val="21"/>
          <w:szCs w:val="21"/>
        </w:rPr>
        <w:t>亿</w:t>
      </w:r>
      <w:r w:rsidRPr="009B0CD7">
        <w:rPr>
          <w:rFonts w:ascii="Times New Roman" w:eastAsia="宋体" w:hAnsi="Times New Roman" w:cs="Times New Roman"/>
          <w:sz w:val="21"/>
          <w:szCs w:val="21"/>
        </w:rPr>
        <w:t>m³</w:t>
      </w:r>
      <w:r w:rsidRPr="009B0CD7">
        <w:rPr>
          <w:rFonts w:ascii="Times New Roman" w:hAnsi="Times New Roman" w:cs="Times New Roman"/>
          <w:kern w:val="0"/>
          <w:sz w:val="21"/>
          <w:szCs w:val="21"/>
          <w:vertAlign w:val="superscript"/>
        </w:rPr>
        <w:t>[34]</w:t>
      </w:r>
      <w:r w:rsidRPr="009B0CD7">
        <w:rPr>
          <w:rFonts w:ascii="Times New Roman" w:eastAsia="宋体" w:hAnsi="Times New Roman" w:cs="Times New Roman"/>
          <w:sz w:val="21"/>
          <w:szCs w:val="21"/>
        </w:rPr>
        <w:t>，以降水补给为主，兼有春季融雪补给；其干流上的黑泉水库总库容</w:t>
      </w:r>
      <w:r w:rsidRPr="009B0CD7">
        <w:rPr>
          <w:rFonts w:ascii="Times New Roman" w:eastAsia="宋体" w:hAnsi="Times New Roman" w:cs="Times New Roman"/>
          <w:sz w:val="21"/>
          <w:szCs w:val="21"/>
        </w:rPr>
        <w:t>1.82</w:t>
      </w:r>
      <w:r w:rsidRPr="009B0CD7">
        <w:rPr>
          <w:rFonts w:ascii="Times New Roman" w:eastAsia="宋体" w:hAnsi="Times New Roman" w:cs="Times New Roman"/>
          <w:sz w:val="21"/>
          <w:szCs w:val="21"/>
        </w:rPr>
        <w:t>亿</w:t>
      </w:r>
      <w:r w:rsidRPr="009B0CD7">
        <w:rPr>
          <w:rFonts w:ascii="Times New Roman" w:eastAsia="宋体" w:hAnsi="Times New Roman" w:cs="Times New Roman"/>
          <w:sz w:val="21"/>
          <w:szCs w:val="21"/>
        </w:rPr>
        <w:t>m³</w:t>
      </w:r>
      <w:r w:rsidRPr="009B0CD7">
        <w:rPr>
          <w:rFonts w:ascii="Times New Roman" w:eastAsia="宋体" w:hAnsi="Times New Roman" w:cs="Times New Roman"/>
          <w:sz w:val="21"/>
          <w:szCs w:val="21"/>
        </w:rPr>
        <w:t>，承担向湟水谷地供水的调节任务。两水源同处东亚季风与高原季风交汇区，干湿季分明，水资源时空分布不均，径流过程对气候变化高度敏感，研究区及双水源空间位置如</w:t>
      </w:r>
      <w:r w:rsidRPr="009B0CD7">
        <w:rPr>
          <w:rFonts w:ascii="Times New Roman" w:eastAsia="宋体" w:hAnsi="Times New Roman" w:cs="Times New Roman" w:hint="eastAsia"/>
          <w:sz w:val="21"/>
          <w:szCs w:val="21"/>
        </w:rPr>
        <w:t>图</w:t>
      </w:r>
      <w:r w:rsidRPr="009B0CD7">
        <w:rPr>
          <w:rFonts w:ascii="Times New Roman" w:eastAsia="宋体" w:hAnsi="Times New Roman" w:cs="Times New Roman" w:hint="eastAsia"/>
          <w:sz w:val="21"/>
          <w:szCs w:val="21"/>
        </w:rPr>
        <w:t>2</w:t>
      </w:r>
      <w:r w:rsidRPr="009B0CD7">
        <w:rPr>
          <w:rFonts w:ascii="Times New Roman" w:eastAsia="宋体" w:hAnsi="Times New Roman" w:cs="Times New Roman" w:hint="eastAsia"/>
          <w:sz w:val="21"/>
          <w:szCs w:val="21"/>
        </w:rPr>
        <w:t>所示</w:t>
      </w:r>
      <w:r w:rsidRPr="009B0CD7">
        <w:rPr>
          <w:rFonts w:ascii="Times New Roman" w:eastAsia="宋体" w:hAnsi="Times New Roman" w:cs="Times New Roman"/>
          <w:sz w:val="21"/>
          <w:szCs w:val="21"/>
        </w:rPr>
        <w:t>。本文以石头峡水库和黑泉水库构成的双水源系统为研究对象，开展非平稳动态干旱风险耦合研究。</w:t>
      </w:r>
    </w:p>
    <w:p w14:paraId="16DF4752" w14:textId="77777777" w:rsidR="0081344D" w:rsidRPr="009B0CD7" w:rsidRDefault="00000000">
      <w:pPr>
        <w:tabs>
          <w:tab w:val="left" w:pos="144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本研究采用的水文数据为大通河石头峡水库与湟水黑泉水库</w:t>
      </w:r>
      <w:r w:rsidRPr="009B0CD7">
        <w:rPr>
          <w:rFonts w:ascii="Times New Roman" w:eastAsia="宋体" w:hAnsi="Times New Roman" w:cs="Times New Roman"/>
          <w:sz w:val="21"/>
          <w:szCs w:val="21"/>
        </w:rPr>
        <w:t>1956</w:t>
      </w:r>
      <w:r w:rsidRPr="009B0CD7">
        <w:rPr>
          <w:rFonts w:ascii="Times New Roman" w:eastAsia="宋体" w:hAnsi="Times New Roman" w:cs="Times New Roman"/>
          <w:sz w:val="21"/>
          <w:szCs w:val="21"/>
        </w:rPr>
        <w:t>年</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月至</w:t>
      </w:r>
      <w:r w:rsidRPr="009B0CD7">
        <w:rPr>
          <w:rFonts w:ascii="Times New Roman" w:eastAsia="宋体" w:hAnsi="Times New Roman" w:cs="Times New Roman"/>
          <w:sz w:val="21"/>
          <w:szCs w:val="21"/>
        </w:rPr>
        <w:t>2010</w:t>
      </w:r>
      <w:r w:rsidRPr="009B0CD7">
        <w:rPr>
          <w:rFonts w:ascii="Times New Roman" w:eastAsia="宋体" w:hAnsi="Times New Roman" w:cs="Times New Roman"/>
          <w:sz w:val="21"/>
          <w:szCs w:val="21"/>
        </w:rPr>
        <w:t>年</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月逐月径流序列（</w:t>
      </w:r>
      <w:r w:rsidRPr="009B0CD7">
        <w:rPr>
          <w:rFonts w:ascii="Times New Roman" w:eastAsia="宋体" w:hAnsi="Times New Roman" w:cs="Times New Roman" w:hint="eastAsia"/>
          <w:sz w:val="21"/>
          <w:szCs w:val="21"/>
        </w:rPr>
        <w:t>源自</w:t>
      </w:r>
      <w:r w:rsidRPr="009B0CD7">
        <w:rPr>
          <w:rFonts w:ascii="Times New Roman" w:eastAsia="宋体" w:hAnsi="Times New Roman" w:cs="Times New Roman"/>
          <w:sz w:val="21"/>
          <w:szCs w:val="21"/>
        </w:rPr>
        <w:t>青海省水文水资源勘测局），序列长度</w:t>
      </w:r>
      <w:r w:rsidRPr="009B0CD7">
        <w:rPr>
          <w:rFonts w:ascii="Times New Roman" w:eastAsia="宋体" w:hAnsi="Times New Roman" w:cs="Times New Roman"/>
          <w:sz w:val="21"/>
          <w:szCs w:val="21"/>
        </w:rPr>
        <w:t>55</w:t>
      </w:r>
      <w:r w:rsidRPr="009B0CD7">
        <w:rPr>
          <w:rFonts w:ascii="Times New Roman" w:eastAsia="宋体" w:hAnsi="Times New Roman" w:cs="Times New Roman" w:hint="eastAsia"/>
          <w:sz w:val="21"/>
          <w:szCs w:val="21"/>
        </w:rPr>
        <w:t>a</w:t>
      </w:r>
      <w:r w:rsidRPr="009B0CD7">
        <w:rPr>
          <w:rFonts w:ascii="Times New Roman" w:eastAsia="宋体" w:hAnsi="Times New Roman" w:cs="Times New Roman"/>
          <w:sz w:val="21"/>
          <w:szCs w:val="21"/>
        </w:rPr>
        <w:t>，该序列具有较长时间跨度</w:t>
      </w:r>
      <w:r w:rsidRPr="009B0CD7">
        <w:rPr>
          <w:rFonts w:ascii="Times New Roman" w:eastAsia="宋体" w:hAnsi="Times New Roman" w:cs="Times New Roman"/>
          <w:sz w:val="21"/>
          <w:szCs w:val="21"/>
        </w:rPr>
        <w:lastRenderedPageBreak/>
        <w:t>和较好连续性，可为识别双水源径流边缘分布非平稳性及相依结构变化提供基础数据支撑</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但受资料获取和一致性整编限制，</w:t>
      </w:r>
      <w:r w:rsidRPr="009B0CD7">
        <w:rPr>
          <w:rFonts w:ascii="Times New Roman" w:eastAsia="宋体" w:hAnsi="Times New Roman" w:cs="Times New Roman"/>
          <w:sz w:val="21"/>
          <w:szCs w:val="21"/>
        </w:rPr>
        <w:t>2011</w:t>
      </w:r>
      <w:r w:rsidRPr="009B0CD7">
        <w:rPr>
          <w:rFonts w:ascii="Times New Roman" w:eastAsia="宋体" w:hAnsi="Times New Roman" w:cs="Times New Roman"/>
          <w:sz w:val="21"/>
          <w:szCs w:val="21"/>
        </w:rPr>
        <w:t>年以后径流资料暂未纳入本文建模。气候指数数据来源于美国国家海洋和大气管理局（</w:t>
      </w:r>
      <w:r w:rsidRPr="009B0CD7">
        <w:rPr>
          <w:rFonts w:ascii="Times New Roman" w:eastAsia="宋体" w:hAnsi="Times New Roman" w:cs="Times New Roman"/>
          <w:sz w:val="21"/>
          <w:szCs w:val="21"/>
        </w:rPr>
        <w:t>NOAA</w:t>
      </w:r>
      <w:r w:rsidRPr="009B0CD7">
        <w:rPr>
          <w:rFonts w:ascii="Times New Roman" w:eastAsia="宋体" w:hAnsi="Times New Roman" w:cs="Times New Roman"/>
          <w:sz w:val="21"/>
          <w:szCs w:val="21"/>
        </w:rPr>
        <w:t>）物理科学实验室（</w:t>
      </w:r>
      <w:r w:rsidRPr="009B0CD7">
        <w:rPr>
          <w:rFonts w:ascii="Times New Roman" w:eastAsia="宋体" w:hAnsi="Times New Roman" w:cs="Times New Roman"/>
          <w:sz w:val="21"/>
          <w:szCs w:val="21"/>
        </w:rPr>
        <w:t>https://psl.noaa.gov/data/climateindices/list/</w:t>
      </w:r>
      <w:r w:rsidRPr="009B0CD7">
        <w:rPr>
          <w:rFonts w:ascii="Times New Roman" w:eastAsia="宋体" w:hAnsi="Times New Roman" w:cs="Times New Roman"/>
          <w:sz w:val="21"/>
          <w:szCs w:val="21"/>
        </w:rPr>
        <w:t>），本文选取北大西洋涛动指数（</w:t>
      </w:r>
      <w:r w:rsidRPr="009B0CD7">
        <w:rPr>
          <w:rFonts w:ascii="Times New Roman" w:eastAsia="宋体" w:hAnsi="Times New Roman" w:cs="Times New Roman"/>
          <w:sz w:val="21"/>
          <w:szCs w:val="21"/>
        </w:rPr>
        <w:t>NAO</w:t>
      </w:r>
      <w:r w:rsidRPr="009B0CD7">
        <w:rPr>
          <w:rFonts w:ascii="Times New Roman" w:eastAsia="宋体" w:hAnsi="Times New Roman" w:cs="Times New Roman"/>
          <w:sz w:val="21"/>
          <w:szCs w:val="21"/>
        </w:rPr>
        <w:t>）、太平洋年代际振荡指数（</w:t>
      </w:r>
      <w:r w:rsidRPr="009B0CD7">
        <w:rPr>
          <w:rFonts w:ascii="Times New Roman" w:eastAsia="宋体" w:hAnsi="Times New Roman" w:cs="Times New Roman"/>
          <w:sz w:val="21"/>
          <w:szCs w:val="21"/>
        </w:rPr>
        <w:t>PDO</w:t>
      </w:r>
      <w:r w:rsidRPr="009B0CD7">
        <w:rPr>
          <w:rFonts w:ascii="Times New Roman" w:eastAsia="宋体" w:hAnsi="Times New Roman" w:cs="Times New Roman"/>
          <w:sz w:val="21"/>
          <w:szCs w:val="21"/>
        </w:rPr>
        <w:t>）及厄尔尼诺</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南方涛动指数（</w:t>
      </w:r>
      <w:r w:rsidRPr="009B0CD7">
        <w:rPr>
          <w:rFonts w:ascii="Times New Roman" w:eastAsia="宋体" w:hAnsi="Times New Roman" w:cs="Times New Roman"/>
          <w:sz w:val="21"/>
          <w:szCs w:val="21"/>
        </w:rPr>
        <w:t>NINO3.4</w:t>
      </w:r>
      <w:r w:rsidRPr="009B0CD7">
        <w:rPr>
          <w:rFonts w:ascii="Times New Roman" w:eastAsia="宋体" w:hAnsi="Times New Roman" w:cs="Times New Roman"/>
          <w:sz w:val="21"/>
          <w:szCs w:val="21"/>
        </w:rPr>
        <w:t>）作为大尺度气候遥相关因子，用于表征可能影响研究区降水、气温及径流过程的外部气候背景。</w:t>
      </w:r>
      <w:r w:rsidRPr="009B0CD7">
        <w:rPr>
          <w:rFonts w:ascii="Times New Roman" w:eastAsia="宋体" w:hAnsi="Times New Roman" w:cs="Times New Roman" w:hint="eastAsia"/>
          <w:sz w:val="21"/>
          <w:szCs w:val="21"/>
        </w:rPr>
        <w:t>为消除不同指数波动幅度差异的影响，本文对</w:t>
      </w:r>
      <w:r w:rsidRPr="009B0CD7">
        <w:rPr>
          <w:rFonts w:ascii="Times New Roman" w:eastAsia="宋体" w:hAnsi="Times New Roman" w:cs="Times New Roman" w:hint="eastAsia"/>
          <w:sz w:val="21"/>
          <w:szCs w:val="21"/>
        </w:rPr>
        <w:t>NAO</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hint="eastAsia"/>
          <w:sz w:val="21"/>
          <w:szCs w:val="21"/>
        </w:rPr>
        <w:t>PDO</w:t>
      </w:r>
      <w:r w:rsidRPr="009B0CD7">
        <w:rPr>
          <w:rFonts w:ascii="Times New Roman" w:eastAsia="宋体" w:hAnsi="Times New Roman" w:cs="Times New Roman" w:hint="eastAsia"/>
          <w:sz w:val="21"/>
          <w:szCs w:val="21"/>
        </w:rPr>
        <w:t>和</w:t>
      </w:r>
      <w:r w:rsidRPr="009B0CD7">
        <w:rPr>
          <w:rFonts w:ascii="Times New Roman" w:eastAsia="宋体" w:hAnsi="Times New Roman" w:cs="Times New Roman" w:hint="eastAsia"/>
          <w:sz w:val="21"/>
          <w:szCs w:val="21"/>
        </w:rPr>
        <w:t>NINO3.4</w:t>
      </w:r>
      <w:r w:rsidRPr="009B0CD7">
        <w:rPr>
          <w:rFonts w:ascii="Times New Roman" w:eastAsia="宋体" w:hAnsi="Times New Roman" w:cs="Times New Roman" w:hint="eastAsia"/>
          <w:sz w:val="21"/>
          <w:szCs w:val="21"/>
        </w:rPr>
        <w:t>的月尺度指数序列进行标准化处理，并将其作为时变</w:t>
      </w:r>
      <w:r w:rsidRPr="009B0CD7">
        <w:rPr>
          <w:rFonts w:ascii="Times New Roman" w:eastAsia="宋体" w:hAnsi="Times New Roman" w:cs="Times New Roman" w:hint="eastAsia"/>
          <w:sz w:val="21"/>
          <w:szCs w:val="21"/>
        </w:rPr>
        <w:t>Copula</w:t>
      </w:r>
      <w:r w:rsidRPr="009B0CD7">
        <w:rPr>
          <w:rFonts w:ascii="Times New Roman" w:eastAsia="宋体" w:hAnsi="Times New Roman" w:cs="Times New Roman" w:hint="eastAsia"/>
          <w:sz w:val="21"/>
          <w:szCs w:val="21"/>
        </w:rPr>
        <w:t>模型的候选协变量。</w:t>
      </w:r>
    </w:p>
    <w:p w14:paraId="0EBFDF6C" w14:textId="77777777" w:rsidR="0081344D" w:rsidRPr="009B0CD7" w:rsidRDefault="00000000">
      <w:pPr>
        <w:tabs>
          <w:tab w:val="left" w:pos="144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区域干旱状态采用标准化降水蒸散发指数（</w:t>
      </w:r>
      <w:r w:rsidRPr="009B0CD7">
        <w:rPr>
          <w:rFonts w:ascii="Times New Roman" w:eastAsia="宋体" w:hAnsi="Times New Roman" w:cs="Times New Roman"/>
          <w:i/>
          <w:iCs/>
          <w:sz w:val="21"/>
          <w:szCs w:val="21"/>
        </w:rPr>
        <w:t>SPEI</w:t>
      </w:r>
      <w:r w:rsidRPr="009B0CD7">
        <w:rPr>
          <w:rFonts w:ascii="Times New Roman" w:eastAsia="宋体" w:hAnsi="Times New Roman" w:cs="Times New Roman"/>
          <w:sz w:val="21"/>
          <w:szCs w:val="21"/>
        </w:rPr>
        <w:t>）表征。本文选取</w:t>
      </w:r>
      <w:r w:rsidRPr="009B0CD7">
        <w:rPr>
          <w:rFonts w:ascii="Times New Roman" w:eastAsia="宋体" w:hAnsi="Times New Roman" w:cs="Times New Roman"/>
          <w:sz w:val="21"/>
          <w:szCs w:val="21"/>
        </w:rPr>
        <w:t>SPEIbase v.2.10</w:t>
      </w:r>
      <w:r w:rsidRPr="009B0CD7">
        <w:rPr>
          <w:rFonts w:ascii="Times New Roman" w:eastAsia="宋体" w:hAnsi="Times New Roman" w:cs="Times New Roman"/>
          <w:sz w:val="21"/>
          <w:szCs w:val="21"/>
        </w:rPr>
        <w:t>数据库（</w:t>
      </w:r>
      <w:r w:rsidRPr="009B0CD7">
        <w:rPr>
          <w:rFonts w:ascii="Times New Roman" w:eastAsia="宋体" w:hAnsi="Times New Roman" w:cs="Times New Roman"/>
          <w:sz w:val="21"/>
          <w:szCs w:val="21"/>
        </w:rPr>
        <w:t>https://digital.csic.es/</w:t>
      </w:r>
      <w:r w:rsidRPr="009B0CD7">
        <w:rPr>
          <w:rFonts w:ascii="Times New Roman" w:eastAsia="宋体" w:hAnsi="Times New Roman" w:cs="Times New Roman"/>
          <w:sz w:val="21"/>
          <w:szCs w:val="21"/>
        </w:rPr>
        <w:t>）中</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个月时间尺度</w:t>
      </w:r>
      <w:r w:rsidRPr="009B0CD7">
        <w:rPr>
          <w:rFonts w:ascii="Times New Roman" w:eastAsia="宋体" w:hAnsi="Times New Roman" w:cs="Times New Roman"/>
          <w:i/>
          <w:iCs/>
          <w:sz w:val="21"/>
          <w:szCs w:val="21"/>
        </w:rPr>
        <w:t>SPEI</w:t>
      </w:r>
      <w:r w:rsidRPr="009B0CD7">
        <w:rPr>
          <w:rFonts w:ascii="Times New Roman" w:eastAsia="宋体" w:hAnsi="Times New Roman" w:cs="Times New Roman"/>
          <w:sz w:val="21"/>
          <w:szCs w:val="21"/>
        </w:rPr>
        <w:t>产品，即</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表示以</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个月累积水分盈亏为基础计算得到的标准化干旱指数，可反映径流对前期水分亏缺的短期累积响应</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该数据库基于</w:t>
      </w:r>
      <w:r w:rsidRPr="009B0CD7">
        <w:rPr>
          <w:rFonts w:ascii="Times New Roman" w:eastAsia="宋体" w:hAnsi="Times New Roman" w:cs="Times New Roman"/>
          <w:sz w:val="21"/>
          <w:szCs w:val="21"/>
        </w:rPr>
        <w:t>CRU TS 4.08</w:t>
      </w:r>
      <w:r w:rsidRPr="009B0CD7">
        <w:rPr>
          <w:rFonts w:ascii="Times New Roman" w:eastAsia="宋体" w:hAnsi="Times New Roman" w:cs="Times New Roman"/>
          <w:sz w:val="21"/>
          <w:szCs w:val="21"/>
        </w:rPr>
        <w:t>气象数据，采用</w:t>
      </w:r>
      <w:r w:rsidRPr="009B0CD7">
        <w:rPr>
          <w:rFonts w:ascii="Times New Roman" w:eastAsia="宋体" w:hAnsi="Times New Roman" w:cs="Times New Roman"/>
          <w:sz w:val="21"/>
          <w:szCs w:val="21"/>
        </w:rPr>
        <w:t>Penman-Monteith</w:t>
      </w:r>
      <w:r w:rsidRPr="009B0CD7">
        <w:rPr>
          <w:rFonts w:ascii="Times New Roman" w:eastAsia="宋体" w:hAnsi="Times New Roman" w:cs="Times New Roman"/>
          <w:sz w:val="21"/>
          <w:szCs w:val="21"/>
        </w:rPr>
        <w:t>方法计算潜在蒸散发，提供了</w:t>
      </w:r>
      <w:r w:rsidRPr="009B0CD7">
        <w:rPr>
          <w:rFonts w:ascii="Times New Roman" w:eastAsia="宋体" w:hAnsi="Times New Roman" w:cs="Times New Roman"/>
          <w:sz w:val="21"/>
          <w:szCs w:val="21"/>
        </w:rPr>
        <w:t>1901—2023</w:t>
      </w:r>
      <w:r w:rsidRPr="009B0CD7">
        <w:rPr>
          <w:rFonts w:ascii="Times New Roman" w:eastAsia="宋体" w:hAnsi="Times New Roman" w:cs="Times New Roman"/>
          <w:sz w:val="21"/>
          <w:szCs w:val="21"/>
        </w:rPr>
        <w:t>年全球</w:t>
      </w:r>
      <w:r w:rsidRPr="009B0CD7">
        <w:rPr>
          <w:rFonts w:ascii="Times New Roman" w:eastAsia="宋体" w:hAnsi="Times New Roman" w:cs="Times New Roman"/>
          <w:sz w:val="21"/>
          <w:szCs w:val="21"/>
        </w:rPr>
        <w:t>0.5°×0.5°</w:t>
      </w:r>
      <w:r w:rsidRPr="009B0CD7">
        <w:rPr>
          <w:rFonts w:ascii="Times New Roman" w:eastAsia="宋体" w:hAnsi="Times New Roman" w:cs="Times New Roman"/>
          <w:sz w:val="21"/>
          <w:szCs w:val="21"/>
        </w:rPr>
        <w:t>分辨率的多时间尺度</w:t>
      </w:r>
      <w:r w:rsidRPr="009B0CD7">
        <w:rPr>
          <w:rFonts w:ascii="Times New Roman" w:eastAsia="宋体" w:hAnsi="Times New Roman" w:cs="Times New Roman"/>
          <w:i/>
          <w:iCs/>
          <w:sz w:val="21"/>
          <w:szCs w:val="21"/>
        </w:rPr>
        <w:t>SPEI</w:t>
      </w:r>
      <w:r w:rsidRPr="009B0CD7">
        <w:rPr>
          <w:rFonts w:ascii="Times New Roman" w:eastAsia="宋体" w:hAnsi="Times New Roman" w:cs="Times New Roman"/>
          <w:sz w:val="21"/>
          <w:szCs w:val="21"/>
        </w:rPr>
        <w:t>产品，提供了全球范围长期、可靠的干旱状况信息</w:t>
      </w:r>
      <w:r w:rsidRPr="009B0CD7">
        <w:rPr>
          <w:rFonts w:ascii="Times New Roman" w:hAnsi="Times New Roman" w:cs="Times New Roman"/>
          <w:kern w:val="0"/>
          <w:sz w:val="21"/>
          <w:szCs w:val="21"/>
          <w:vertAlign w:val="superscript"/>
        </w:rPr>
        <w:t>[35-38]</w:t>
      </w:r>
      <w:r w:rsidRPr="009B0CD7">
        <w:rPr>
          <w:rFonts w:ascii="Times New Roman" w:eastAsia="宋体" w:hAnsi="Times New Roman" w:cs="Times New Roman"/>
          <w:sz w:val="21"/>
          <w:szCs w:val="21"/>
        </w:rPr>
        <w:t>。本文提取两水库对应格点的月尺度</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序列，用于构造区域干旱协变量并驱动时变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模型的相依结构分析。</w:t>
      </w:r>
    </w:p>
    <w:p w14:paraId="71EAE269"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rPr>
      </w:pPr>
      <w:r w:rsidRPr="009B0CD7">
        <w:rPr>
          <w:noProof/>
        </w:rPr>
        <w:drawing>
          <wp:inline distT="0" distB="0" distL="0" distR="0" wp14:anchorId="444982B8" wp14:editId="5328B2E5">
            <wp:extent cx="4323080" cy="3242310"/>
            <wp:effectExtent l="0" t="0" r="1270" b="0"/>
            <wp:docPr id="1872198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9846"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325522" cy="3244403"/>
                    </a:xfrm>
                    <a:prstGeom prst="rect">
                      <a:avLst/>
                    </a:prstGeom>
                    <a:noFill/>
                    <a:ln>
                      <a:noFill/>
                    </a:ln>
                  </pic:spPr>
                </pic:pic>
              </a:graphicData>
            </a:graphic>
          </wp:inline>
        </w:drawing>
      </w:r>
    </w:p>
    <w:p w14:paraId="5AFCCE7A" w14:textId="498FD89D"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4" w:name="_Ref234595113"/>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2</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hint="eastAsia"/>
          <w:sz w:val="18"/>
          <w:szCs w:val="18"/>
          <w14:ligatures w14:val="none"/>
        </w:rPr>
        <w:t>研究区</w:t>
      </w:r>
      <w:bookmarkEnd w:id="4"/>
    </w:p>
    <w:p w14:paraId="2F8A13BC" w14:textId="63DCBC47"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Fig.2  Study</w:t>
      </w:r>
      <w:r w:rsidRPr="009B0CD7">
        <w:rPr>
          <w:rFonts w:ascii="Times New Roman" w:eastAsia="黑体" w:hAnsi="Times New Roman" w:cs="Times New Roman"/>
          <w:bCs/>
          <w:sz w:val="18"/>
          <w:szCs w:val="18"/>
          <w14:ligatures w14:val="none"/>
        </w:rPr>
        <w:t xml:space="preserve"> </w:t>
      </w:r>
      <w:r w:rsidRPr="009B0CD7">
        <w:rPr>
          <w:rFonts w:ascii="Times New Roman" w:eastAsia="黑体" w:hAnsi="Times New Roman" w:cs="Times New Roman" w:hint="eastAsia"/>
          <w:bCs/>
          <w:sz w:val="18"/>
          <w:szCs w:val="18"/>
          <w14:ligatures w14:val="none"/>
        </w:rPr>
        <w:t>area</w:t>
      </w:r>
    </w:p>
    <w:p w14:paraId="5F23DEF9" w14:textId="77777777" w:rsidR="0081344D" w:rsidRPr="009B0CD7" w:rsidRDefault="00000000">
      <w:pPr>
        <w:spacing w:after="0" w:line="240" w:lineRule="auto"/>
        <w:jc w:val="both"/>
        <w:outlineLvl w:val="1"/>
        <w:rPr>
          <w:rFonts w:ascii="Times New Roman" w:eastAsia="黑体" w:hAnsi="Times New Roman" w:cs="Times New Roman"/>
          <w:sz w:val="21"/>
          <w:szCs w:val="22"/>
          <w14:ligatures w14:val="none"/>
        </w:rPr>
      </w:pPr>
      <w:r w:rsidRPr="009B0CD7">
        <w:rPr>
          <w:rFonts w:ascii="Times New Roman" w:eastAsia="黑体" w:hAnsi="Times New Roman" w:cs="Times New Roman" w:hint="eastAsia"/>
          <w:sz w:val="21"/>
          <w:szCs w:val="22"/>
          <w14:ligatures w14:val="none"/>
        </w:rPr>
        <w:t>1</w:t>
      </w:r>
      <w:r w:rsidRPr="009B0CD7">
        <w:rPr>
          <w:rFonts w:ascii="Times New Roman" w:eastAsia="黑体" w:hAnsi="Times New Roman" w:cs="Times New Roman"/>
          <w:sz w:val="21"/>
          <w:szCs w:val="22"/>
          <w14:ligatures w14:val="none"/>
        </w:rPr>
        <w:t xml:space="preserve">.2 </w:t>
      </w:r>
      <w:r w:rsidRPr="009B0CD7">
        <w:rPr>
          <w:rFonts w:ascii="Times New Roman" w:eastAsia="黑体" w:hAnsi="Times New Roman" w:cs="Times New Roman"/>
          <w:sz w:val="21"/>
          <w:szCs w:val="22"/>
          <w14:ligatures w14:val="none"/>
        </w:rPr>
        <w:t>研究方法</w:t>
      </w:r>
    </w:p>
    <w:p w14:paraId="7E2DE1D3" w14:textId="77777777" w:rsidR="0081344D" w:rsidRPr="009B0CD7" w:rsidRDefault="00000000">
      <w:pPr>
        <w:tabs>
          <w:tab w:val="left" w:pos="1440"/>
        </w:tabs>
        <w:adjustRightInd w:val="0"/>
        <w:snapToGrid w:val="0"/>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围绕跨流域调水双水源系统</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边缘分布非平稳</w:t>
      </w:r>
      <w:r w:rsidRPr="009B0CD7">
        <w:rPr>
          <w:rFonts w:ascii="Times New Roman" w:hAnsi="Times New Roman" w:cs="Times New Roman"/>
          <w:szCs w:val="21"/>
        </w:rPr>
        <w:t>—</w:t>
      </w:r>
      <w:r w:rsidRPr="009B0CD7">
        <w:rPr>
          <w:rFonts w:ascii="Times New Roman" w:eastAsia="宋体" w:hAnsi="Times New Roman" w:cs="Times New Roman"/>
          <w:sz w:val="21"/>
          <w:szCs w:val="21"/>
        </w:rPr>
        <w:t>相依结构时变</w:t>
      </w:r>
      <w:r w:rsidRPr="009B0CD7">
        <w:rPr>
          <w:rFonts w:ascii="Times New Roman" w:hAnsi="Times New Roman" w:cs="Times New Roman"/>
          <w:szCs w:val="21"/>
        </w:rPr>
        <w:t>—</w:t>
      </w:r>
      <w:r w:rsidRPr="009B0CD7">
        <w:rPr>
          <w:rFonts w:ascii="Times New Roman" w:eastAsia="宋体" w:hAnsi="Times New Roman" w:cs="Times New Roman"/>
          <w:sz w:val="21"/>
          <w:szCs w:val="21"/>
        </w:rPr>
        <w:t>联合风险动态量化</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的分析需求，本文研究方法由</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非平稳边缘分布建模、时变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动态耦合建模和双枯风险量化评价三个部分组成。首先，在月尺度上分别建立石头峡水库和黑泉水库径流序列的</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边缘分布模型，识别不同月份径流分布参数的非平稳变化特征；其次，基于最优边缘分布函数进行</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转换，并以转换后的标准均匀变量作为</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建模输入，构建静态与时变相依模型；最后，结合双枯事件定义、联合概率计算和历史事件识别指标，对双水源同步偏枯风险进行综合评价。</w:t>
      </w:r>
    </w:p>
    <w:p w14:paraId="413D6705" w14:textId="77777777" w:rsidR="0081344D" w:rsidRPr="009B0CD7" w:rsidRDefault="00000000">
      <w:pPr>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t>1</w:t>
      </w:r>
      <w:r w:rsidRPr="009B0CD7">
        <w:rPr>
          <w:rFonts w:ascii="Times New Roman" w:eastAsia="楷体" w:hAnsi="Times New Roman" w:cs="Times New Roman"/>
          <w:sz w:val="21"/>
          <w:szCs w:val="22"/>
          <w14:ligatures w14:val="none"/>
        </w:rPr>
        <w:t>.2.1 GAMLSS</w:t>
      </w:r>
      <w:r w:rsidRPr="009B0CD7">
        <w:rPr>
          <w:rFonts w:ascii="Times New Roman" w:eastAsia="楷体" w:hAnsi="Times New Roman" w:cs="Times New Roman"/>
          <w:sz w:val="21"/>
          <w:szCs w:val="22"/>
          <w14:ligatures w14:val="none"/>
        </w:rPr>
        <w:t>非平稳边缘分布建模</w:t>
      </w:r>
    </w:p>
    <w:p w14:paraId="6BA5FEF5" w14:textId="77777777" w:rsidR="0081344D" w:rsidRPr="009B0CD7" w:rsidRDefault="00000000">
      <w:pPr>
        <w:tabs>
          <w:tab w:val="left" w:pos="1440"/>
        </w:tabs>
        <w:adjustRightInd w:val="0"/>
        <w:snapToGrid w:val="0"/>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是由</w:t>
      </w:r>
      <w:r w:rsidRPr="009B0CD7">
        <w:rPr>
          <w:rFonts w:ascii="Times New Roman" w:eastAsia="宋体" w:hAnsi="Times New Roman" w:cs="Times New Roman"/>
          <w:sz w:val="21"/>
          <w:szCs w:val="21"/>
        </w:rPr>
        <w:t>R</w:t>
      </w:r>
      <w:r w:rsidRPr="009B0CD7">
        <w:rPr>
          <w:rFonts w:ascii="Times New Roman" w:eastAsia="宋体" w:hAnsi="Times New Roman" w:cs="Times New Roman" w:hint="eastAsia"/>
          <w:sz w:val="21"/>
          <w:szCs w:val="21"/>
        </w:rPr>
        <w:t>IGBY</w:t>
      </w:r>
      <w:r w:rsidRPr="009B0CD7">
        <w:rPr>
          <w:rFonts w:ascii="Times New Roman" w:eastAsia="宋体" w:hAnsi="Times New Roman" w:cs="Times New Roman" w:hint="eastAsia"/>
          <w:sz w:val="21"/>
          <w:szCs w:val="21"/>
        </w:rPr>
        <w:t>等</w:t>
      </w:r>
      <w:r w:rsidRPr="009B0CD7">
        <w:rPr>
          <w:rFonts w:ascii="Times New Roman" w:hAnsi="Times New Roman" w:cs="Times New Roman"/>
          <w:kern w:val="0"/>
          <w:sz w:val="21"/>
          <w:szCs w:val="21"/>
          <w:vertAlign w:val="superscript"/>
        </w:rPr>
        <w:t>[16]</w:t>
      </w:r>
      <w:r w:rsidRPr="009B0CD7">
        <w:rPr>
          <w:rFonts w:ascii="Times New Roman" w:eastAsia="宋体" w:hAnsi="Times New Roman" w:cs="Times New Roman"/>
          <w:sz w:val="21"/>
          <w:szCs w:val="21"/>
        </w:rPr>
        <w:t>提出的一种半参数回归建模框架，允许对响应变量分布的多个参数（位置、尺度、形状）进行灵活建模，而不仅限于均值。设第</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年径流变量</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y</m:t>
            </m:r>
          </m:e>
          <m:sub>
            <m:r>
              <w:rPr>
                <w:rFonts w:ascii="Cambria Math" w:eastAsia="宋体" w:hAnsi="Cambria Math" w:cs="Times New Roman"/>
                <w:sz w:val="21"/>
                <w:szCs w:val="21"/>
              </w:rPr>
              <m:t>t</m:t>
            </m:r>
          </m:sub>
        </m:sSub>
      </m:oMath>
      <w:r w:rsidRPr="009B0CD7">
        <w:rPr>
          <w:rFonts w:ascii="Times New Roman" w:eastAsia="宋体" w:hAnsi="Times New Roman" w:cs="Times New Roman"/>
          <w:sz w:val="21"/>
          <w:szCs w:val="21"/>
        </w:rPr>
        <w:t>服从分布</w:t>
      </w:r>
      <m:oMath>
        <m:r>
          <w:rPr>
            <w:rFonts w:ascii="Cambria Math" w:eastAsia="宋体" w:hAnsi="Cambria Math" w:cs="Times New Roman"/>
            <w:sz w:val="21"/>
            <w:szCs w:val="21"/>
          </w:rPr>
          <m:t>F</m:t>
        </m:r>
        <m:d>
          <m:dPr>
            <m:ctrlPr>
              <w:rPr>
                <w:rFonts w:ascii="Cambria Math" w:eastAsia="宋体" w:hAnsi="Cambria Math" w:cs="Times New Roman"/>
                <w:i/>
                <w:sz w:val="21"/>
                <w:szCs w:val="21"/>
              </w:rPr>
            </m:ctrlPr>
          </m:dPr>
          <m:e>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y</m:t>
                </m:r>
              </m:e>
              <m:sub>
                <m:r>
                  <w:rPr>
                    <w:rFonts w:ascii="Cambria Math" w:eastAsia="宋体" w:hAnsi="Cambria Math" w:cs="Times New Roman"/>
                    <w:sz w:val="21"/>
                    <w:szCs w:val="21"/>
                  </w:rPr>
                  <m:t>t</m:t>
                </m:r>
              </m:sub>
            </m:sSub>
            <m:r>
              <m:rPr>
                <m:sty m:val="p"/>
              </m:rP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m:rPr>
                    <m:sty m:val="bi"/>
                  </m:rPr>
                  <w:rPr>
                    <w:rFonts w:ascii="Cambria Math" w:eastAsia="宋体" w:hAnsi="Cambria Math" w:cs="Times New Roman"/>
                    <w:sz w:val="21"/>
                    <w:szCs w:val="21"/>
                  </w:rPr>
                  <m:t>θ</m:t>
                </m:r>
              </m:e>
              <m:sub>
                <m:r>
                  <w:rPr>
                    <w:rFonts w:ascii="Cambria Math" w:eastAsia="宋体" w:hAnsi="Cambria Math" w:cs="Times New Roman"/>
                    <w:sz w:val="21"/>
                    <w:szCs w:val="21"/>
                  </w:rPr>
                  <m:t>t</m:t>
                </m:r>
              </m:sub>
            </m:sSub>
          </m:e>
        </m:d>
      </m:oMath>
      <w:r w:rsidRPr="009B0CD7">
        <w:rPr>
          <w:rFonts w:ascii="Times New Roman" w:eastAsia="宋体" w:hAnsi="Times New Roman" w:cs="Times New Roman"/>
          <w:sz w:val="21"/>
          <w:szCs w:val="21"/>
        </w:rPr>
        <w:t>，其中</w:t>
      </w:r>
      <m:oMath>
        <m:sSub>
          <m:sSubPr>
            <m:ctrlPr>
              <w:rPr>
                <w:rFonts w:ascii="Cambria Math" w:eastAsia="宋体" w:hAnsi="Cambria Math" w:cs="Times New Roman"/>
                <w:i/>
                <w:sz w:val="21"/>
                <w:szCs w:val="21"/>
              </w:rPr>
            </m:ctrlPr>
          </m:sSubPr>
          <m:e>
            <m:r>
              <m:rPr>
                <m:sty m:val="bi"/>
              </m:rPr>
              <w:rPr>
                <w:rFonts w:ascii="Cambria Math" w:eastAsia="宋体" w:hAnsi="Cambria Math" w:cs="Times New Roman"/>
                <w:sz w:val="21"/>
                <w:szCs w:val="21"/>
              </w:rPr>
              <m:t>θ</m:t>
            </m:r>
          </m:e>
          <m:sub>
            <m:r>
              <w:rPr>
                <w:rFonts w:ascii="Cambria Math" w:eastAsia="宋体" w:hAnsi="Cambria Math" w:cs="Times New Roman"/>
                <w:sz w:val="21"/>
                <w:szCs w:val="21"/>
              </w:rPr>
              <m:t>t</m:t>
            </m:r>
          </m:sub>
        </m:sSub>
      </m:oMath>
      <w:r w:rsidRPr="009B0CD7">
        <w:rPr>
          <w:rFonts w:ascii="Times New Roman" w:eastAsia="宋体" w:hAnsi="Times New Roman" w:cs="Times New Roman"/>
          <w:sz w:val="21"/>
          <w:szCs w:val="21"/>
        </w:rPr>
        <w:t>为分布参数向量。本文重点考虑位置参数</w:t>
      </w:r>
      <m:oMath>
        <m:r>
          <w:rPr>
            <w:rFonts w:ascii="Cambria Math" w:eastAsia="宋体" w:hAnsi="Cambria Math" w:cs="Times New Roman"/>
            <w:sz w:val="21"/>
            <w:szCs w:val="21"/>
          </w:rPr>
          <m:t>μ</m:t>
        </m:r>
      </m:oMath>
      <w:r w:rsidRPr="009B0CD7">
        <w:rPr>
          <w:rFonts w:ascii="Times New Roman" w:eastAsia="宋体" w:hAnsi="Times New Roman" w:cs="Times New Roman"/>
          <w:sz w:val="21"/>
          <w:szCs w:val="21"/>
        </w:rPr>
        <w:t>和尺度参数</w:t>
      </w:r>
      <m:oMath>
        <m:r>
          <w:rPr>
            <w:rFonts w:ascii="Cambria Math" w:eastAsia="宋体" w:hAnsi="Cambria Math" w:cs="Times New Roman"/>
            <w:sz w:val="21"/>
            <w:szCs w:val="21"/>
          </w:rPr>
          <m:t>σ</m:t>
        </m:r>
      </m:oMath>
      <w:r w:rsidRPr="009B0CD7">
        <w:rPr>
          <w:rFonts w:ascii="Times New Roman" w:eastAsia="宋体" w:hAnsi="Times New Roman" w:cs="Times New Roman"/>
          <w:sz w:val="21"/>
          <w:szCs w:val="21"/>
        </w:rPr>
        <w:t>的时间变化，</w:t>
      </w:r>
      <w:r w:rsidRPr="009B0CD7">
        <w:rPr>
          <w:rFonts w:ascii="Times New Roman" w:eastAsia="宋体" w:hAnsi="Times New Roman" w:cs="Times New Roman"/>
          <w:sz w:val="21"/>
          <w:szCs w:val="21"/>
        </w:rPr>
        <w:lastRenderedPageBreak/>
        <w:t>并采用时间</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作为解释变量。为避免样本量有限条件下模型过度复杂，本文仅考虑参数关于时间的一阶线性变化，并设置三类参数结构：</w:t>
      </w:r>
      <w:r w:rsidRPr="009B0CD7">
        <w:rPr>
          <w:rFonts w:ascii="Times New Roman" w:eastAsia="宋体" w:hAnsi="Times New Roman" w:cs="Times New Roman"/>
          <w:sz w:val="21"/>
          <w:szCs w:val="21"/>
        </w:rPr>
        <w:t>M0</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M1</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M2</w:t>
      </w:r>
      <w:r w:rsidRPr="009B0CD7">
        <w:rPr>
          <w:rFonts w:ascii="Times New Roman" w:eastAsia="宋体" w:hAnsi="Times New Roman" w:cs="Times New Roman"/>
          <w:sz w:val="21"/>
          <w:szCs w:val="21"/>
        </w:rPr>
        <w:t>。其中，</w:t>
      </w:r>
      <w:r w:rsidRPr="009B0CD7">
        <w:rPr>
          <w:rFonts w:ascii="Times New Roman" w:eastAsia="宋体" w:hAnsi="Times New Roman" w:cs="Times New Roman"/>
          <w:sz w:val="21"/>
          <w:szCs w:val="21"/>
        </w:rPr>
        <w:t>M0</w:t>
      </w:r>
      <w:r w:rsidRPr="009B0CD7">
        <w:rPr>
          <w:rFonts w:ascii="Times New Roman" w:eastAsia="宋体" w:hAnsi="Times New Roman" w:cs="Times New Roman"/>
          <w:sz w:val="21"/>
          <w:szCs w:val="21"/>
        </w:rPr>
        <w:t>表示</w:t>
      </w:r>
      <m:oMath>
        <m:r>
          <w:rPr>
            <w:rFonts w:ascii="Cambria Math" w:eastAsia="宋体" w:hAnsi="Cambria Math" w:cs="Times New Roman"/>
            <w:sz w:val="21"/>
            <w:szCs w:val="21"/>
          </w:rPr>
          <m:t>μ</m:t>
        </m:r>
      </m:oMath>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σ</m:t>
        </m:r>
      </m:oMath>
      <w:r w:rsidRPr="009B0CD7">
        <w:rPr>
          <w:rFonts w:ascii="Times New Roman" w:eastAsia="宋体" w:hAnsi="Times New Roman" w:cs="Times New Roman"/>
          <w:sz w:val="21"/>
          <w:szCs w:val="21"/>
        </w:rPr>
        <w:t>均不随时间变化；</w:t>
      </w:r>
      <w:r w:rsidRPr="009B0CD7">
        <w:rPr>
          <w:rFonts w:ascii="Times New Roman" w:eastAsia="宋体" w:hAnsi="Times New Roman" w:cs="Times New Roman"/>
          <w:sz w:val="21"/>
          <w:szCs w:val="21"/>
        </w:rPr>
        <w:t>M1</w:t>
      </w:r>
      <w:r w:rsidRPr="009B0CD7">
        <w:rPr>
          <w:rFonts w:ascii="Times New Roman" w:eastAsia="宋体" w:hAnsi="Times New Roman" w:cs="Times New Roman"/>
          <w:sz w:val="21"/>
          <w:szCs w:val="21"/>
        </w:rPr>
        <w:t>表示</w:t>
      </w:r>
      <m:oMath>
        <m:r>
          <w:rPr>
            <w:rFonts w:ascii="Cambria Math" w:eastAsia="宋体" w:hAnsi="Cambria Math" w:cs="Times New Roman"/>
            <w:sz w:val="21"/>
            <w:szCs w:val="21"/>
          </w:rPr>
          <m:t>μ</m:t>
        </m:r>
      </m:oMath>
      <w:r w:rsidRPr="009B0CD7">
        <w:rPr>
          <w:rFonts w:ascii="Times New Roman" w:eastAsia="宋体" w:hAnsi="Times New Roman" w:cs="Times New Roman"/>
          <w:sz w:val="21"/>
          <w:szCs w:val="21"/>
        </w:rPr>
        <w:t>随时间线性变化而</w:t>
      </w:r>
      <m:oMath>
        <m:r>
          <w:rPr>
            <w:rFonts w:ascii="Cambria Math" w:eastAsia="宋体" w:hAnsi="Cambria Math" w:cs="Times New Roman"/>
            <w:sz w:val="21"/>
            <w:szCs w:val="21"/>
          </w:rPr>
          <m:t>σ</m:t>
        </m:r>
      </m:oMath>
      <w:r w:rsidRPr="009B0CD7">
        <w:rPr>
          <w:rFonts w:ascii="Times New Roman" w:eastAsia="宋体" w:hAnsi="Times New Roman" w:cs="Times New Roman"/>
          <w:sz w:val="21"/>
          <w:szCs w:val="21"/>
        </w:rPr>
        <w:t>保持不变；</w:t>
      </w:r>
      <w:r w:rsidRPr="009B0CD7">
        <w:rPr>
          <w:rFonts w:ascii="Times New Roman" w:eastAsia="宋体" w:hAnsi="Times New Roman" w:cs="Times New Roman"/>
          <w:sz w:val="21"/>
          <w:szCs w:val="21"/>
        </w:rPr>
        <w:t>M2</w:t>
      </w:r>
      <w:r w:rsidRPr="009B0CD7">
        <w:rPr>
          <w:rFonts w:ascii="Times New Roman" w:eastAsia="宋体" w:hAnsi="Times New Roman" w:cs="Times New Roman"/>
          <w:sz w:val="21"/>
          <w:szCs w:val="21"/>
        </w:rPr>
        <w:t>表示</w:t>
      </w:r>
      <m:oMath>
        <m:r>
          <w:rPr>
            <w:rFonts w:ascii="Cambria Math" w:eastAsia="宋体" w:hAnsi="Cambria Math" w:cs="Times New Roman"/>
            <w:sz w:val="21"/>
            <w:szCs w:val="21"/>
          </w:rPr>
          <m:t>μ</m:t>
        </m:r>
      </m:oMath>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σ</m:t>
        </m:r>
      </m:oMath>
      <w:r w:rsidRPr="009B0CD7">
        <w:rPr>
          <w:rFonts w:ascii="Times New Roman" w:eastAsia="宋体" w:hAnsi="Times New Roman" w:cs="Times New Roman"/>
          <w:sz w:val="21"/>
          <w:szCs w:val="21"/>
        </w:rPr>
        <w:t>均随时间线性变化（</w:t>
      </w:r>
      <w:r w:rsidRPr="009B0CD7">
        <w:rPr>
          <w:rFonts w:ascii="Times New Roman" w:eastAsia="宋体" w:hAnsi="Times New Roman" w:cs="Times New Roman" w:hint="eastAsia"/>
          <w:sz w:val="21"/>
          <w:szCs w:val="21"/>
        </w:rPr>
        <w:t>见表</w:t>
      </w:r>
      <w:r w:rsidRPr="009B0CD7">
        <w:rPr>
          <w:rFonts w:ascii="Times New Roman" w:eastAsia="宋体" w:hAnsi="Times New Roman" w:cs="Times New Roman" w:hint="eastAsia"/>
          <w:sz w:val="21"/>
          <w:szCs w:val="21"/>
        </w:rPr>
        <w:t>1</w:t>
      </w:r>
      <w:r w:rsidRPr="009B0CD7">
        <w:rPr>
          <w:rFonts w:ascii="Times New Roman" w:eastAsia="宋体" w:hAnsi="Times New Roman" w:cs="Times New Roman"/>
          <w:sz w:val="21"/>
          <w:szCs w:val="21"/>
        </w:rPr>
        <w:t>）。</w:t>
      </w:r>
    </w:p>
    <w:p w14:paraId="5A32FC88" w14:textId="605A087C"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5" w:name="_Ref234595248"/>
      <w:r w:rsidRPr="009B0CD7">
        <w:rPr>
          <w:rFonts w:ascii="Times New Roman" w:eastAsia="黑体" w:hAnsi="Times New Roman" w:cs="Times New Roman" w:hint="eastAsia"/>
          <w:sz w:val="18"/>
          <w:szCs w:val="18"/>
          <w14:ligatures w14:val="none"/>
        </w:rPr>
        <w:t>表</w:t>
      </w:r>
      <w:r w:rsidRPr="009B0CD7">
        <w:rPr>
          <w:rFonts w:ascii="Times New Roman" w:eastAsia="黑体" w:hAnsi="Times New Roman" w:cs="Times New Roman" w:hint="eastAsia"/>
          <w:sz w:val="18"/>
          <w:szCs w:val="18"/>
          <w14:ligatures w14:val="none"/>
        </w:rPr>
        <w:t>1</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hint="eastAsia"/>
          <w:sz w:val="18"/>
          <w:szCs w:val="18"/>
          <w14:ligatures w14:val="none"/>
        </w:rPr>
        <w:t>GAMLSS</w:t>
      </w:r>
      <w:r w:rsidRPr="009B0CD7">
        <w:rPr>
          <w:rFonts w:ascii="Times New Roman" w:eastAsia="黑体" w:hAnsi="Times New Roman" w:cs="Times New Roman" w:hint="eastAsia"/>
          <w:sz w:val="18"/>
          <w:szCs w:val="18"/>
          <w14:ligatures w14:val="none"/>
        </w:rPr>
        <w:t>边缘</w:t>
      </w:r>
      <w:r w:rsidRPr="009B0CD7">
        <w:rPr>
          <w:rFonts w:ascii="Times New Roman" w:eastAsia="黑体" w:hAnsi="Times New Roman" w:cs="Times New Roman"/>
          <w:sz w:val="18"/>
          <w:szCs w:val="18"/>
          <w14:ligatures w14:val="none"/>
        </w:rPr>
        <w:t>分布</w:t>
      </w:r>
      <w:r w:rsidRPr="009B0CD7">
        <w:rPr>
          <w:rFonts w:ascii="Times New Roman" w:eastAsia="黑体" w:hAnsi="Times New Roman" w:cs="Times New Roman" w:hint="eastAsia"/>
          <w:sz w:val="18"/>
          <w:szCs w:val="18"/>
          <w14:ligatures w14:val="none"/>
        </w:rPr>
        <w:t>候选模型组合</w:t>
      </w:r>
      <w:bookmarkEnd w:id="5"/>
    </w:p>
    <w:p w14:paraId="710ECD3D" w14:textId="77777777"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r w:rsidRPr="009B0CD7">
        <w:rPr>
          <w:rFonts w:ascii="Times New Roman" w:eastAsia="黑体" w:hAnsi="Times New Roman" w:cs="Times New Roman" w:hint="eastAsia"/>
          <w:sz w:val="18"/>
          <w:szCs w:val="18"/>
          <w14:ligatures w14:val="none"/>
        </w:rPr>
        <w:t xml:space="preserve">Table 1 </w:t>
      </w:r>
      <w:r w:rsidRPr="009B0CD7">
        <w:rPr>
          <w:rFonts w:ascii="Times New Roman" w:eastAsia="黑体" w:hAnsi="Times New Roman" w:cs="Times New Roman"/>
          <w:sz w:val="18"/>
          <w:szCs w:val="18"/>
          <w14:ligatures w14:val="none"/>
        </w:rPr>
        <w:t>Candidate model combinations for GAMLSS marginal distributions</w:t>
      </w:r>
    </w:p>
    <w:tbl>
      <w:tblPr>
        <w:tblStyle w:val="af0"/>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693"/>
        <w:gridCol w:w="4190"/>
      </w:tblGrid>
      <w:tr w:rsidR="0081344D" w:rsidRPr="009B0CD7" w14:paraId="3DBF736F" w14:textId="77777777">
        <w:tc>
          <w:tcPr>
            <w:tcW w:w="1413" w:type="dxa"/>
            <w:tcBorders>
              <w:top w:val="single" w:sz="12" w:space="0" w:color="auto"/>
              <w:bottom w:val="single" w:sz="4" w:space="0" w:color="auto"/>
              <w:right w:val="single" w:sz="4" w:space="0" w:color="auto"/>
            </w:tcBorders>
            <w:vAlign w:val="center"/>
          </w:tcPr>
          <w:p w14:paraId="5FE48336"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模型结构</w:t>
            </w:r>
          </w:p>
        </w:tc>
        <w:tc>
          <w:tcPr>
            <w:tcW w:w="2693" w:type="dxa"/>
            <w:tcBorders>
              <w:top w:val="single" w:sz="12" w:space="0" w:color="auto"/>
              <w:left w:val="single" w:sz="4" w:space="0" w:color="auto"/>
              <w:bottom w:val="single" w:sz="4" w:space="0" w:color="auto"/>
              <w:right w:val="single" w:sz="4" w:space="0" w:color="auto"/>
            </w:tcBorders>
            <w:vAlign w:val="center"/>
          </w:tcPr>
          <w:p w14:paraId="5C8A97BD"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参数变化形式</w:t>
            </w:r>
          </w:p>
        </w:tc>
        <w:tc>
          <w:tcPr>
            <w:tcW w:w="4190" w:type="dxa"/>
            <w:tcBorders>
              <w:top w:val="single" w:sz="12" w:space="0" w:color="auto"/>
              <w:left w:val="single" w:sz="4" w:space="0" w:color="auto"/>
              <w:bottom w:val="single" w:sz="4" w:space="0" w:color="auto"/>
            </w:tcBorders>
            <w:vAlign w:val="center"/>
          </w:tcPr>
          <w:p w14:paraId="4BEC27CB"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含义</w:t>
            </w:r>
          </w:p>
        </w:tc>
      </w:tr>
      <w:tr w:rsidR="0081344D" w:rsidRPr="009B0CD7" w14:paraId="798E6B1F" w14:textId="77777777">
        <w:tc>
          <w:tcPr>
            <w:tcW w:w="1413" w:type="dxa"/>
            <w:tcBorders>
              <w:top w:val="single" w:sz="4" w:space="0" w:color="auto"/>
              <w:right w:val="single" w:sz="4" w:space="0" w:color="auto"/>
            </w:tcBorders>
            <w:vAlign w:val="center"/>
          </w:tcPr>
          <w:p w14:paraId="74BC373F"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2693" w:type="dxa"/>
            <w:tcBorders>
              <w:top w:val="single" w:sz="4" w:space="0" w:color="auto"/>
              <w:left w:val="single" w:sz="4" w:space="0" w:color="auto"/>
              <w:right w:val="single" w:sz="4" w:space="0" w:color="auto"/>
            </w:tcBorders>
            <w:vAlign w:val="center"/>
          </w:tcPr>
          <w:p w14:paraId="73A0687D"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m:oMathPara>
              <m:oMath>
                <m:r>
                  <w:rPr>
                    <w:rFonts w:ascii="Cambria Math" w:eastAsia="宋体" w:hAnsi="Cambria Math" w:cs="Times New Roman"/>
                    <w:sz w:val="15"/>
                    <w:szCs w:val="15"/>
                  </w:rPr>
                  <m:t>μ=</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10</m:t>
                    </m:r>
                  </m:sub>
                </m:sSub>
                <m:r>
                  <w:rPr>
                    <w:rFonts w:ascii="Cambria Math" w:eastAsia="宋体" w:hAnsi="Cambria Math" w:cs="Times New Roman"/>
                    <w:sz w:val="15"/>
                    <w:szCs w:val="15"/>
                  </w:rPr>
                  <m:t>,</m:t>
                </m:r>
                <m:r>
                  <m:rPr>
                    <m:lit/>
                    <m:sty m:val="p"/>
                  </m:rPr>
                  <w:rPr>
                    <w:rFonts w:ascii="Cambria Math" w:eastAsia="宋体" w:hAnsi="Cambria Math" w:cs="Times New Roman"/>
                    <w:sz w:val="15"/>
                    <w:szCs w:val="15"/>
                  </w:rPr>
                  <m:t xml:space="preserve"> </m:t>
                </m:r>
                <m:r>
                  <m:rPr>
                    <m:sty m:val="p"/>
                  </m:rPr>
                  <w:rPr>
                    <w:rFonts w:ascii="Cambria Math" w:eastAsia="宋体" w:hAnsi="Cambria Math" w:cs="Times New Roman"/>
                    <w:sz w:val="15"/>
                    <w:szCs w:val="15"/>
                  </w:rPr>
                  <m:t>σ=</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20</m:t>
                    </m:r>
                  </m:sub>
                </m:sSub>
              </m:oMath>
            </m:oMathPara>
          </w:p>
        </w:tc>
        <w:tc>
          <w:tcPr>
            <w:tcW w:w="4190" w:type="dxa"/>
            <w:tcBorders>
              <w:top w:val="single" w:sz="4" w:space="0" w:color="auto"/>
              <w:left w:val="single" w:sz="4" w:space="0" w:color="auto"/>
            </w:tcBorders>
            <w:vAlign w:val="center"/>
          </w:tcPr>
          <w:p w14:paraId="6BD5864F" w14:textId="77777777" w:rsidR="0081344D" w:rsidRPr="009B0CD7" w:rsidRDefault="00000000">
            <w:pPr>
              <w:tabs>
                <w:tab w:val="left" w:pos="1440"/>
              </w:tabs>
              <w:adjustRightInd w:val="0"/>
              <w:snapToGrid w:val="0"/>
              <w:spacing w:after="0" w:line="240" w:lineRule="auto"/>
              <w:rPr>
                <w:rFonts w:ascii="Times New Roman" w:eastAsia="宋体" w:hAnsi="Times New Roman" w:cs="Times New Roman"/>
                <w:sz w:val="15"/>
                <w:szCs w:val="15"/>
              </w:rPr>
            </w:pPr>
            <w:r w:rsidRPr="009B0CD7">
              <w:rPr>
                <w:rFonts w:ascii="Times New Roman" w:eastAsia="宋体" w:hAnsi="Times New Roman" w:cs="Times New Roman"/>
                <w:sz w:val="15"/>
                <w:szCs w:val="15"/>
              </w:rPr>
              <w:t>平稳边缘分布，位置参数和尺度参数均保持不变</w:t>
            </w:r>
          </w:p>
        </w:tc>
      </w:tr>
      <w:tr w:rsidR="0081344D" w:rsidRPr="009B0CD7" w14:paraId="4C71A26F" w14:textId="77777777">
        <w:tc>
          <w:tcPr>
            <w:tcW w:w="1413" w:type="dxa"/>
            <w:tcBorders>
              <w:right w:val="single" w:sz="4" w:space="0" w:color="auto"/>
            </w:tcBorders>
            <w:vAlign w:val="center"/>
          </w:tcPr>
          <w:p w14:paraId="67B09027"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2693" w:type="dxa"/>
            <w:tcBorders>
              <w:left w:val="single" w:sz="4" w:space="0" w:color="auto"/>
              <w:right w:val="single" w:sz="4" w:space="0" w:color="auto"/>
            </w:tcBorders>
            <w:vAlign w:val="center"/>
          </w:tcPr>
          <w:p w14:paraId="7B9706CD"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m:oMathPara>
              <m:oMath>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g</m:t>
                    </m:r>
                  </m:e>
                  <m:sub>
                    <m:r>
                      <w:rPr>
                        <w:rFonts w:ascii="Cambria Math" w:eastAsia="宋体" w:hAnsi="Cambria Math" w:cs="Times New Roman"/>
                        <w:sz w:val="15"/>
                        <w:szCs w:val="15"/>
                      </w:rPr>
                      <m:t>1</m:t>
                    </m:r>
                    <m:d>
                      <m:dPr>
                        <m:ctrlPr>
                          <w:rPr>
                            <w:rFonts w:ascii="Cambria Math" w:eastAsia="宋体" w:hAnsi="Cambria Math" w:cs="Times New Roman"/>
                            <w:i/>
                            <w:sz w:val="15"/>
                            <w:szCs w:val="15"/>
                          </w:rPr>
                        </m:ctrlPr>
                      </m:dPr>
                      <m:e>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μ</m:t>
                            </m:r>
                          </m:e>
                          <m:sub>
                            <m:r>
                              <w:rPr>
                                <w:rFonts w:ascii="Cambria Math" w:eastAsia="宋体" w:hAnsi="Cambria Math" w:cs="Times New Roman"/>
                                <w:sz w:val="15"/>
                                <w:szCs w:val="15"/>
                              </w:rPr>
                              <m:t>t</m:t>
                            </m:r>
                          </m:sub>
                        </m:sSub>
                      </m:e>
                    </m:d>
                  </m:sub>
                </m:sSub>
                <m:r>
                  <w:rPr>
                    <w:rFonts w:ascii="Cambria Math" w:eastAsia="宋体" w:hAnsi="Cambria Math" w:cs="Times New Roman"/>
                    <w:sz w:val="15"/>
                    <w:szCs w:val="15"/>
                  </w:rPr>
                  <m:t>=</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10</m:t>
                    </m:r>
                  </m:sub>
                </m:sSub>
                <m:r>
                  <w:rPr>
                    <w:rFonts w:ascii="Cambria Math" w:eastAsia="宋体" w:hAnsi="Cambria Math" w:cs="Times New Roman"/>
                    <w:sz w:val="15"/>
                    <w:szCs w:val="15"/>
                  </w:rPr>
                  <m:t>+</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11</m:t>
                    </m:r>
                  </m:sub>
                </m:sSub>
                <m:r>
                  <w:rPr>
                    <w:rFonts w:ascii="Cambria Math" w:eastAsia="宋体" w:hAnsi="Cambria Math" w:cs="Times New Roman"/>
                    <w:sz w:val="15"/>
                    <w:szCs w:val="15"/>
                  </w:rPr>
                  <m:t>t,</m:t>
                </m:r>
                <m:r>
                  <m:rPr>
                    <m:lit/>
                    <m:sty m:val="p"/>
                  </m:rPr>
                  <w:rPr>
                    <w:rFonts w:ascii="Cambria Math" w:eastAsia="宋体" w:hAnsi="Cambria Math" w:cs="Times New Roman"/>
                    <w:sz w:val="15"/>
                    <w:szCs w:val="15"/>
                  </w:rPr>
                  <m:t xml:space="preserve"> </m:t>
                </m:r>
              </m:oMath>
            </m:oMathPara>
          </w:p>
          <w:p w14:paraId="6BECD01F"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m:oMathPara>
              <m:oMath>
                <m:r>
                  <w:rPr>
                    <w:rFonts w:ascii="Cambria Math" w:eastAsia="宋体" w:hAnsi="Cambria Math" w:cs="Times New Roman"/>
                    <w:sz w:val="15"/>
                    <w:szCs w:val="15"/>
                  </w:rPr>
                  <m:t>σ=</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20</m:t>
                    </m:r>
                  </m:sub>
                </m:sSub>
              </m:oMath>
            </m:oMathPara>
          </w:p>
        </w:tc>
        <w:tc>
          <w:tcPr>
            <w:tcW w:w="4190" w:type="dxa"/>
            <w:tcBorders>
              <w:left w:val="single" w:sz="4" w:space="0" w:color="auto"/>
            </w:tcBorders>
            <w:vAlign w:val="center"/>
          </w:tcPr>
          <w:p w14:paraId="76F91398" w14:textId="77777777" w:rsidR="0081344D" w:rsidRPr="009B0CD7" w:rsidRDefault="00000000">
            <w:pPr>
              <w:tabs>
                <w:tab w:val="left" w:pos="1440"/>
              </w:tabs>
              <w:adjustRightInd w:val="0"/>
              <w:snapToGrid w:val="0"/>
              <w:spacing w:after="0" w:line="240" w:lineRule="auto"/>
              <w:rPr>
                <w:rFonts w:ascii="Times New Roman" w:eastAsia="宋体" w:hAnsi="Times New Roman" w:cs="Times New Roman"/>
                <w:sz w:val="15"/>
                <w:szCs w:val="15"/>
              </w:rPr>
            </w:pPr>
            <w:r w:rsidRPr="009B0CD7">
              <w:rPr>
                <w:rFonts w:ascii="Times New Roman" w:eastAsia="宋体" w:hAnsi="Times New Roman" w:cs="Times New Roman"/>
                <w:sz w:val="15"/>
                <w:szCs w:val="15"/>
              </w:rPr>
              <w:t>位置参数非平稳，主要反映径流均值水平随时间变化</w:t>
            </w:r>
          </w:p>
        </w:tc>
      </w:tr>
      <w:tr w:rsidR="0081344D" w:rsidRPr="009B0CD7" w14:paraId="5ED0C553" w14:textId="77777777">
        <w:tc>
          <w:tcPr>
            <w:tcW w:w="1413" w:type="dxa"/>
            <w:tcBorders>
              <w:bottom w:val="single" w:sz="12" w:space="0" w:color="auto"/>
              <w:right w:val="single" w:sz="4" w:space="0" w:color="auto"/>
            </w:tcBorders>
            <w:vAlign w:val="center"/>
          </w:tcPr>
          <w:p w14:paraId="3E714BAC"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M2</w:t>
            </w:r>
          </w:p>
        </w:tc>
        <w:tc>
          <w:tcPr>
            <w:tcW w:w="2693" w:type="dxa"/>
            <w:tcBorders>
              <w:left w:val="single" w:sz="4" w:space="0" w:color="auto"/>
              <w:bottom w:val="single" w:sz="12" w:space="0" w:color="auto"/>
              <w:right w:val="single" w:sz="4" w:space="0" w:color="auto"/>
            </w:tcBorders>
            <w:vAlign w:val="center"/>
          </w:tcPr>
          <w:p w14:paraId="1B70ED0A"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m:oMathPara>
              <m:oMath>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g</m:t>
                    </m:r>
                  </m:e>
                  <m:sub>
                    <m:r>
                      <w:rPr>
                        <w:rFonts w:ascii="Cambria Math" w:eastAsia="宋体" w:hAnsi="Cambria Math" w:cs="Times New Roman"/>
                        <w:sz w:val="15"/>
                        <w:szCs w:val="15"/>
                      </w:rPr>
                      <m:t>1</m:t>
                    </m:r>
                    <m:d>
                      <m:dPr>
                        <m:ctrlPr>
                          <w:rPr>
                            <w:rFonts w:ascii="Cambria Math" w:eastAsia="宋体" w:hAnsi="Cambria Math" w:cs="Times New Roman"/>
                            <w:i/>
                            <w:sz w:val="15"/>
                            <w:szCs w:val="15"/>
                          </w:rPr>
                        </m:ctrlPr>
                      </m:dPr>
                      <m:e>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μ</m:t>
                            </m:r>
                          </m:e>
                          <m:sub>
                            <m:r>
                              <w:rPr>
                                <w:rFonts w:ascii="Cambria Math" w:eastAsia="宋体" w:hAnsi="Cambria Math" w:cs="Times New Roman"/>
                                <w:sz w:val="15"/>
                                <w:szCs w:val="15"/>
                              </w:rPr>
                              <m:t>t</m:t>
                            </m:r>
                          </m:sub>
                        </m:sSub>
                      </m:e>
                    </m:d>
                  </m:sub>
                </m:sSub>
                <m:r>
                  <w:rPr>
                    <w:rFonts w:ascii="Cambria Math" w:eastAsia="宋体" w:hAnsi="Cambria Math" w:cs="Times New Roman"/>
                    <w:sz w:val="15"/>
                    <w:szCs w:val="15"/>
                  </w:rPr>
                  <m:t>=</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10</m:t>
                    </m:r>
                  </m:sub>
                </m:sSub>
                <m:r>
                  <w:rPr>
                    <w:rFonts w:ascii="Cambria Math" w:eastAsia="宋体" w:hAnsi="Cambria Math" w:cs="Times New Roman"/>
                    <w:sz w:val="15"/>
                    <w:szCs w:val="15"/>
                  </w:rPr>
                  <m:t>+</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11</m:t>
                    </m:r>
                  </m:sub>
                </m:sSub>
                <m:r>
                  <w:rPr>
                    <w:rFonts w:ascii="Cambria Math" w:eastAsia="宋体" w:hAnsi="Cambria Math" w:cs="Times New Roman"/>
                    <w:sz w:val="15"/>
                    <w:szCs w:val="15"/>
                  </w:rPr>
                  <m:t>t,</m:t>
                </m:r>
              </m:oMath>
            </m:oMathPara>
          </w:p>
          <w:p w14:paraId="56424D28" w14:textId="77777777" w:rsidR="0081344D" w:rsidRPr="009B0CD7" w:rsidRDefault="00000000">
            <w:pPr>
              <w:tabs>
                <w:tab w:val="left" w:pos="1440"/>
              </w:tabs>
              <w:adjustRightInd w:val="0"/>
              <w:snapToGrid w:val="0"/>
              <w:spacing w:after="0" w:line="240" w:lineRule="auto"/>
              <w:jc w:val="center"/>
              <w:rPr>
                <w:rFonts w:ascii="Times New Roman" w:eastAsia="宋体" w:hAnsi="Times New Roman" w:cs="Times New Roman"/>
                <w:sz w:val="15"/>
                <w:szCs w:val="15"/>
              </w:rPr>
            </w:pPr>
            <m:oMathPara>
              <m:oMath>
                <m:r>
                  <m:rPr>
                    <m:lit/>
                  </m:rPr>
                  <w:rPr>
                    <w:rFonts w:ascii="Cambria Math" w:eastAsia="宋体" w:hAnsi="Cambria Math" w:cs="Times New Roman"/>
                    <w:sz w:val="15"/>
                    <w:szCs w:val="15"/>
                  </w:rPr>
                  <m:t xml:space="preserve"> </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g</m:t>
                    </m:r>
                  </m:e>
                  <m:sub>
                    <m:r>
                      <w:rPr>
                        <w:rFonts w:ascii="Cambria Math" w:eastAsia="宋体" w:hAnsi="Cambria Math" w:cs="Times New Roman"/>
                        <w:sz w:val="15"/>
                        <w:szCs w:val="15"/>
                      </w:rPr>
                      <m:t>2</m:t>
                    </m:r>
                    <m:d>
                      <m:dPr>
                        <m:ctrlPr>
                          <w:rPr>
                            <w:rFonts w:ascii="Cambria Math" w:eastAsia="宋体" w:hAnsi="Cambria Math" w:cs="Times New Roman"/>
                            <w:i/>
                            <w:sz w:val="15"/>
                            <w:szCs w:val="15"/>
                          </w:rPr>
                        </m:ctrlPr>
                      </m:dPr>
                      <m:e>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σ</m:t>
                            </m:r>
                          </m:e>
                          <m:sub>
                            <m:r>
                              <w:rPr>
                                <w:rFonts w:ascii="Cambria Math" w:eastAsia="宋体" w:hAnsi="Cambria Math" w:cs="Times New Roman"/>
                                <w:sz w:val="15"/>
                                <w:szCs w:val="15"/>
                              </w:rPr>
                              <m:t>t</m:t>
                            </m:r>
                          </m:sub>
                        </m:sSub>
                      </m:e>
                    </m:d>
                  </m:sub>
                </m:sSub>
                <m:r>
                  <w:rPr>
                    <w:rFonts w:ascii="Cambria Math" w:eastAsia="宋体" w:hAnsi="Cambria Math" w:cs="Times New Roman"/>
                    <w:sz w:val="15"/>
                    <w:szCs w:val="15"/>
                  </w:rPr>
                  <m:t>=</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20</m:t>
                    </m:r>
                  </m:sub>
                </m:sSub>
                <m:r>
                  <w:rPr>
                    <w:rFonts w:ascii="Cambria Math" w:eastAsia="宋体" w:hAnsi="Cambria Math" w:cs="Times New Roman"/>
                    <w:sz w:val="15"/>
                    <w:szCs w:val="15"/>
                  </w:rPr>
                  <m:t>+</m:t>
                </m:r>
                <m:sSub>
                  <m:sSubPr>
                    <m:ctrlPr>
                      <w:rPr>
                        <w:rFonts w:ascii="Cambria Math" w:eastAsia="宋体" w:hAnsi="Cambria Math" w:cs="Times New Roman"/>
                        <w:i/>
                        <w:sz w:val="15"/>
                        <w:szCs w:val="15"/>
                      </w:rPr>
                    </m:ctrlPr>
                  </m:sSubPr>
                  <m:e>
                    <m:r>
                      <w:rPr>
                        <w:rFonts w:ascii="Cambria Math" w:eastAsia="宋体" w:hAnsi="Cambria Math" w:cs="Times New Roman"/>
                        <w:sz w:val="15"/>
                        <w:szCs w:val="15"/>
                      </w:rPr>
                      <m:t>β</m:t>
                    </m:r>
                  </m:e>
                  <m:sub>
                    <m:r>
                      <w:rPr>
                        <w:rFonts w:ascii="Cambria Math" w:eastAsia="宋体" w:hAnsi="Cambria Math" w:cs="Times New Roman"/>
                        <w:sz w:val="15"/>
                        <w:szCs w:val="15"/>
                      </w:rPr>
                      <m:t>21</m:t>
                    </m:r>
                  </m:sub>
                </m:sSub>
                <m:r>
                  <w:rPr>
                    <w:rFonts w:ascii="Cambria Math" w:eastAsia="宋体" w:hAnsi="Cambria Math" w:cs="Times New Roman"/>
                    <w:sz w:val="15"/>
                    <w:szCs w:val="15"/>
                  </w:rPr>
                  <m:t>t</m:t>
                </m:r>
              </m:oMath>
            </m:oMathPara>
          </w:p>
        </w:tc>
        <w:tc>
          <w:tcPr>
            <w:tcW w:w="4190" w:type="dxa"/>
            <w:tcBorders>
              <w:left w:val="single" w:sz="4" w:space="0" w:color="auto"/>
              <w:bottom w:val="single" w:sz="12" w:space="0" w:color="auto"/>
            </w:tcBorders>
            <w:vAlign w:val="center"/>
          </w:tcPr>
          <w:p w14:paraId="4896DE08" w14:textId="77777777" w:rsidR="0081344D" w:rsidRPr="009B0CD7" w:rsidRDefault="00000000">
            <w:pPr>
              <w:tabs>
                <w:tab w:val="left" w:pos="1440"/>
              </w:tabs>
              <w:adjustRightInd w:val="0"/>
              <w:snapToGrid w:val="0"/>
              <w:spacing w:after="0" w:line="240" w:lineRule="auto"/>
              <w:rPr>
                <w:rFonts w:ascii="Times New Roman" w:eastAsia="宋体" w:hAnsi="Times New Roman" w:cs="Times New Roman"/>
                <w:sz w:val="15"/>
                <w:szCs w:val="15"/>
              </w:rPr>
            </w:pPr>
            <w:r w:rsidRPr="009B0CD7">
              <w:rPr>
                <w:rFonts w:ascii="Times New Roman" w:eastAsia="宋体" w:hAnsi="Times New Roman" w:cs="Times New Roman"/>
                <w:sz w:val="15"/>
                <w:szCs w:val="15"/>
              </w:rPr>
              <w:t>位置</w:t>
            </w:r>
            <w:r w:rsidRPr="009B0CD7">
              <w:rPr>
                <w:rFonts w:ascii="Times New Roman" w:eastAsia="宋体" w:hAnsi="Times New Roman" w:cs="Times New Roman"/>
                <w:sz w:val="15"/>
                <w:szCs w:val="15"/>
              </w:rPr>
              <w:t>-</w:t>
            </w:r>
            <w:r w:rsidRPr="009B0CD7">
              <w:rPr>
                <w:rFonts w:ascii="Times New Roman" w:eastAsia="宋体" w:hAnsi="Times New Roman" w:cs="Times New Roman"/>
                <w:sz w:val="15"/>
                <w:szCs w:val="15"/>
              </w:rPr>
              <w:t>尺度参数非平稳，同时反映径流均值水平与变异性变化</w:t>
            </w:r>
          </w:p>
        </w:tc>
      </w:tr>
    </w:tbl>
    <w:p w14:paraId="0A2EFAFD" w14:textId="77777777" w:rsidR="0081344D" w:rsidRPr="009B0CD7" w:rsidRDefault="00000000">
      <w:pPr>
        <w:tabs>
          <w:tab w:val="left" w:pos="1440"/>
        </w:tabs>
        <w:adjustRightInd w:val="0"/>
        <w:snapToGrid w:val="0"/>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为充分刻画径流序列的概率分布特征，选取</w:t>
      </w:r>
      <w:r w:rsidRPr="009B0CD7">
        <w:rPr>
          <w:rFonts w:ascii="Times New Roman" w:eastAsia="宋体" w:hAnsi="Times New Roman" w:cs="Times New Roman"/>
          <w:sz w:val="21"/>
          <w:szCs w:val="21"/>
        </w:rPr>
        <w:t>Gamma</w:t>
      </w:r>
      <w:r w:rsidRPr="009B0CD7">
        <w:rPr>
          <w:rFonts w:ascii="Times New Roman" w:eastAsia="宋体" w:hAnsi="Times New Roman" w:cs="Times New Roman"/>
          <w:sz w:val="21"/>
          <w:szCs w:val="21"/>
        </w:rPr>
        <w:t>分布（</w:t>
      </w:r>
      <w:r w:rsidRPr="009B0CD7">
        <w:rPr>
          <w:rFonts w:ascii="Times New Roman" w:eastAsia="宋体" w:hAnsi="Times New Roman" w:cs="Times New Roman"/>
          <w:sz w:val="21"/>
          <w:szCs w:val="21"/>
        </w:rPr>
        <w:t>GA</w:t>
      </w:r>
      <w:r w:rsidRPr="009B0CD7">
        <w:rPr>
          <w:rFonts w:ascii="Times New Roman" w:eastAsia="宋体" w:hAnsi="Times New Roman" w:cs="Times New Roman"/>
          <w:sz w:val="21"/>
          <w:szCs w:val="21"/>
        </w:rPr>
        <w:t>）、对数正态分布（</w:t>
      </w:r>
      <w:r w:rsidRPr="009B0CD7">
        <w:rPr>
          <w:rFonts w:ascii="Times New Roman" w:eastAsia="宋体" w:hAnsi="Times New Roman" w:cs="Times New Roman"/>
          <w:sz w:val="21"/>
          <w:szCs w:val="21"/>
        </w:rPr>
        <w:t>LOGNO</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Weibull</w:t>
      </w:r>
      <w:r w:rsidRPr="009B0CD7">
        <w:rPr>
          <w:rFonts w:ascii="Times New Roman" w:eastAsia="宋体" w:hAnsi="Times New Roman" w:cs="Times New Roman"/>
          <w:sz w:val="21"/>
          <w:szCs w:val="21"/>
        </w:rPr>
        <w:t>分布（</w:t>
      </w:r>
      <w:r w:rsidRPr="009B0CD7">
        <w:rPr>
          <w:rFonts w:ascii="Times New Roman" w:eastAsia="宋体" w:hAnsi="Times New Roman" w:cs="Times New Roman"/>
          <w:sz w:val="21"/>
          <w:szCs w:val="21"/>
        </w:rPr>
        <w:t>WEI</w:t>
      </w:r>
      <w:r w:rsidRPr="009B0CD7">
        <w:rPr>
          <w:rFonts w:ascii="Times New Roman" w:eastAsia="宋体" w:hAnsi="Times New Roman" w:cs="Times New Roman"/>
          <w:sz w:val="21"/>
          <w:szCs w:val="21"/>
        </w:rPr>
        <w:t>）、反高斯分布（</w:t>
      </w:r>
      <w:r w:rsidRPr="009B0CD7">
        <w:rPr>
          <w:rFonts w:ascii="Times New Roman" w:eastAsia="宋体" w:hAnsi="Times New Roman" w:cs="Times New Roman"/>
          <w:sz w:val="21"/>
          <w:szCs w:val="21"/>
        </w:rPr>
        <w:t>IG</w:t>
      </w:r>
      <w:r w:rsidRPr="009B0CD7">
        <w:rPr>
          <w:rFonts w:ascii="Times New Roman" w:eastAsia="宋体" w:hAnsi="Times New Roman" w:cs="Times New Roman"/>
          <w:sz w:val="21"/>
          <w:szCs w:val="21"/>
        </w:rPr>
        <w:t>）和正态分布（</w:t>
      </w:r>
      <w:r w:rsidRPr="009B0CD7">
        <w:rPr>
          <w:rFonts w:ascii="Times New Roman" w:eastAsia="宋体" w:hAnsi="Times New Roman" w:cs="Times New Roman"/>
          <w:sz w:val="21"/>
          <w:szCs w:val="21"/>
        </w:rPr>
        <w:t>NO</w:t>
      </w:r>
      <w:r w:rsidRPr="009B0CD7">
        <w:rPr>
          <w:rFonts w:ascii="Times New Roman" w:eastAsia="宋体" w:hAnsi="Times New Roman" w:cs="Times New Roman"/>
          <w:sz w:val="21"/>
          <w:szCs w:val="21"/>
        </w:rPr>
        <w:t>）作为候选分布族。上述分布能够较好适应径流序列非负、偏态和离散程度差异较大的统计特征。每一候选分布族均分别与</w:t>
      </w:r>
      <w:r w:rsidRPr="009B0CD7">
        <w:rPr>
          <w:rFonts w:ascii="Times New Roman" w:eastAsia="宋体" w:hAnsi="Times New Roman" w:cs="Times New Roman"/>
          <w:sz w:val="21"/>
          <w:szCs w:val="21"/>
        </w:rPr>
        <w:t>M0</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M1</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M2</w:t>
      </w:r>
      <w:r w:rsidRPr="009B0CD7">
        <w:rPr>
          <w:rFonts w:ascii="Times New Roman" w:eastAsia="宋体" w:hAnsi="Times New Roman" w:cs="Times New Roman"/>
          <w:sz w:val="21"/>
          <w:szCs w:val="21"/>
        </w:rPr>
        <w:t>三类参数结构组合，形成</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候选分布族</w:t>
      </w:r>
      <w:r w:rsidRPr="009B0CD7">
        <w:rPr>
          <w:rFonts w:ascii="Times New Roman" w:hAnsi="Times New Roman" w:cs="Times New Roman"/>
          <w:szCs w:val="21"/>
        </w:rPr>
        <w:t>—</w:t>
      </w:r>
      <w:r w:rsidRPr="009B0CD7">
        <w:rPr>
          <w:rFonts w:ascii="Times New Roman" w:eastAsia="宋体" w:hAnsi="Times New Roman" w:cs="Times New Roman"/>
          <w:sz w:val="21"/>
          <w:szCs w:val="21"/>
        </w:rPr>
        <w:t>参数结构</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的</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边缘模型集合。</w:t>
      </w:r>
    </w:p>
    <w:p w14:paraId="475F7CB9" w14:textId="77777777" w:rsidR="0081344D" w:rsidRPr="009B0CD7" w:rsidRDefault="00000000">
      <w:pPr>
        <w:tabs>
          <w:tab w:val="left" w:pos="1440"/>
        </w:tabs>
        <w:adjustRightInd w:val="0"/>
        <w:snapToGrid w:val="0"/>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本文在相同月尺度样本下对上述候选模型进行统一拟合，模型优选主要依据赤池信息准则（</w:t>
      </w:r>
      <w:r w:rsidRPr="009B0CD7">
        <w:rPr>
          <w:rFonts w:ascii="Times New Roman" w:eastAsia="宋体" w:hAnsi="Times New Roman" w:cs="Times New Roman"/>
          <w:sz w:val="21"/>
          <w:szCs w:val="21"/>
        </w:rPr>
        <w:t>Akaike Information Criterion</w:t>
      </w:r>
      <w:r w:rsidRPr="009B0CD7">
        <w:rPr>
          <w:rFonts w:ascii="Times New Roman" w:eastAsia="宋体" w:hAnsi="Times New Roman" w:cs="Times New Roman"/>
          <w:sz w:val="21"/>
          <w:szCs w:val="21"/>
        </w:rPr>
        <w:t>，</w:t>
      </w:r>
      <m:oMath>
        <m:r>
          <w:rPr>
            <w:rFonts w:ascii="Cambria Math" w:eastAsia="宋体" w:hAnsi="Cambria Math" w:cs="Times New Roman"/>
            <w:sz w:val="21"/>
            <w:szCs w:val="21"/>
          </w:rPr>
          <m:t>AIC</m:t>
        </m:r>
      </m:oMath>
      <w:r w:rsidRPr="009B0CD7">
        <w:rPr>
          <w:rFonts w:ascii="Times New Roman" w:eastAsia="宋体" w:hAnsi="Times New Roman" w:cs="Times New Roman"/>
          <w:sz w:val="21"/>
          <w:szCs w:val="21"/>
        </w:rPr>
        <w:t>）</w:t>
      </w:r>
      <w:r w:rsidRPr="009B0CD7">
        <w:rPr>
          <w:rFonts w:ascii="Times New Roman" w:hAnsi="Times New Roman" w:cs="Times New Roman"/>
          <w:kern w:val="0"/>
          <w:sz w:val="21"/>
          <w:szCs w:val="21"/>
          <w:vertAlign w:val="superscript"/>
        </w:rPr>
        <w:t>[39]</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并结合正态</w:t>
      </w:r>
      <w:r w:rsidRPr="009B0CD7">
        <w:rPr>
          <w:rFonts w:ascii="Times New Roman" w:eastAsia="宋体" w:hAnsi="Times New Roman" w:cs="Times New Roman"/>
          <w:sz w:val="21"/>
          <w:szCs w:val="21"/>
        </w:rPr>
        <w:t>Q-Q</w:t>
      </w:r>
      <w:r w:rsidRPr="009B0CD7">
        <w:rPr>
          <w:rFonts w:ascii="Times New Roman" w:eastAsia="宋体" w:hAnsi="Times New Roman" w:cs="Times New Roman"/>
          <w:sz w:val="21"/>
          <w:szCs w:val="21"/>
        </w:rPr>
        <w:t>图和</w:t>
      </w:r>
      <w:r w:rsidRPr="009B0CD7">
        <w:rPr>
          <w:rFonts w:ascii="Times New Roman" w:eastAsia="宋体" w:hAnsi="Times New Roman" w:cs="Times New Roman"/>
          <w:sz w:val="21"/>
          <w:szCs w:val="21"/>
        </w:rPr>
        <w:t>Worm</w:t>
      </w:r>
      <w:r w:rsidRPr="009B0CD7">
        <w:rPr>
          <w:rFonts w:ascii="Times New Roman" w:eastAsia="宋体" w:hAnsi="Times New Roman" w:cs="Times New Roman"/>
          <w:sz w:val="21"/>
          <w:szCs w:val="21"/>
        </w:rPr>
        <w:t>图进行残差诊断。</w:t>
      </w:r>
      <m:oMath>
        <m:r>
          <w:rPr>
            <w:rFonts w:ascii="Cambria Math" w:eastAsia="宋体" w:hAnsi="Cambria Math" w:cs="Times New Roman"/>
            <w:sz w:val="21"/>
            <w:szCs w:val="21"/>
          </w:rPr>
          <m:t>AIC</m:t>
        </m:r>
      </m:oMath>
      <w:r w:rsidRPr="009B0CD7">
        <w:rPr>
          <w:rFonts w:ascii="Times New Roman" w:eastAsia="宋体" w:hAnsi="Times New Roman" w:cs="Times New Roman"/>
          <w:sz w:val="21"/>
          <w:szCs w:val="21"/>
        </w:rPr>
        <w:t>可表示为</w:t>
      </w:r>
    </w:p>
    <w:p w14:paraId="3540A39E" w14:textId="77777777" w:rsidR="0081344D" w:rsidRPr="009B0CD7" w:rsidRDefault="00000000">
      <w:pPr>
        <w:tabs>
          <w:tab w:val="left" w:pos="1440"/>
        </w:tabs>
        <w:adjustRightInd w:val="0"/>
        <w:snapToGrid w:val="0"/>
        <w:spacing w:after="0" w:line="240" w:lineRule="auto"/>
        <w:jc w:val="right"/>
        <w:rPr>
          <w:rFonts w:ascii="Times New Roman" w:eastAsia="宋体" w:hAnsi="Times New Roman" w:cs="Times New Roman"/>
          <w:sz w:val="21"/>
          <w:szCs w:val="21"/>
        </w:rPr>
      </w:pPr>
      <m:oMath>
        <m:r>
          <w:rPr>
            <w:rFonts w:ascii="Cambria Math" w:eastAsia="宋体" w:hAnsi="Cambria Math" w:cs="Times New Roman"/>
            <w:sz w:val="21"/>
            <w:szCs w:val="21"/>
          </w:rPr>
          <m:t>AIC=-2</m:t>
        </m:r>
        <m:func>
          <m:funcPr>
            <m:ctrlPr>
              <w:rPr>
                <w:rFonts w:ascii="Cambria Math" w:eastAsia="宋体" w:hAnsi="Cambria Math" w:cs="Times New Roman"/>
                <w:sz w:val="21"/>
                <w:szCs w:val="21"/>
              </w:rPr>
            </m:ctrlPr>
          </m:funcPr>
          <m:fName>
            <m:r>
              <m:rPr>
                <m:sty m:val="p"/>
              </m:rPr>
              <w:rPr>
                <w:rFonts w:ascii="Cambria Math" w:eastAsia="宋体" w:hAnsi="Cambria Math" w:cs="Times New Roman"/>
                <w:sz w:val="21"/>
                <w:szCs w:val="21"/>
              </w:rPr>
              <m:t>ln</m:t>
            </m:r>
          </m:fName>
          <m:e>
            <m:d>
              <m:dPr>
                <m:ctrlPr>
                  <w:rPr>
                    <w:rFonts w:ascii="Cambria Math" w:eastAsia="宋体" w:hAnsi="Cambria Math" w:cs="Times New Roman"/>
                    <w:i/>
                    <w:sz w:val="21"/>
                    <w:szCs w:val="21"/>
                  </w:rPr>
                </m:ctrlPr>
              </m:dPr>
              <m:e>
                <m:r>
                  <w:rPr>
                    <w:rFonts w:ascii="Cambria Math" w:eastAsia="宋体" w:hAnsi="Cambria Math" w:cs="Times New Roman"/>
                    <w:sz w:val="21"/>
                    <w:szCs w:val="21"/>
                  </w:rPr>
                  <m:t>L</m:t>
                </m:r>
              </m:e>
            </m:d>
          </m:e>
        </m:func>
        <m:r>
          <w:rPr>
            <w:rFonts w:ascii="Cambria Math" w:eastAsia="宋体" w:hAnsi="Cambria Math" w:cs="Times New Roman"/>
            <w:sz w:val="21"/>
            <w:szCs w:val="21"/>
          </w:rPr>
          <m:t>+2k</m:t>
        </m:r>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w:t>
      </w:r>
    </w:p>
    <w:p w14:paraId="0BD1B925" w14:textId="77777777" w:rsidR="0081344D" w:rsidRPr="009B0CD7" w:rsidRDefault="00000000">
      <w:pPr>
        <w:tabs>
          <w:tab w:val="left" w:pos="1440"/>
        </w:tabs>
        <w:adjustRightInd w:val="0"/>
        <w:snapToGrid w:val="0"/>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式中</w:t>
      </w:r>
      <w:r w:rsidRPr="009B0CD7">
        <w:rPr>
          <w:rFonts w:ascii="Times New Roman" w:eastAsia="宋体" w:hAnsi="Times New Roman" w:cs="Times New Roman" w:hint="eastAsia"/>
          <w:sz w:val="21"/>
          <w:szCs w:val="21"/>
        </w:rPr>
        <w:t>，</w:t>
      </w:r>
      <m:oMath>
        <m:r>
          <w:rPr>
            <w:rFonts w:ascii="Cambria Math" w:eastAsia="宋体" w:hAnsi="Cambria Math" w:cs="Times New Roman"/>
            <w:sz w:val="21"/>
            <w:szCs w:val="21"/>
          </w:rPr>
          <m:t>L</m:t>
        </m:r>
      </m:oMath>
      <w:r w:rsidRPr="009B0CD7">
        <w:rPr>
          <w:rFonts w:ascii="Times New Roman" w:eastAsia="宋体" w:hAnsi="Times New Roman" w:cs="Times New Roman"/>
          <w:sz w:val="21"/>
          <w:szCs w:val="21"/>
        </w:rPr>
        <w:t>为模型的最大似然值；</w:t>
      </w:r>
      <m:oMath>
        <m:r>
          <w:rPr>
            <w:rFonts w:ascii="Cambria Math" w:eastAsia="宋体" w:hAnsi="Cambria Math" w:cs="Times New Roman"/>
            <w:sz w:val="21"/>
            <w:szCs w:val="21"/>
          </w:rPr>
          <m:t>k</m:t>
        </m:r>
      </m:oMath>
      <w:r w:rsidRPr="009B0CD7">
        <w:rPr>
          <w:rFonts w:ascii="Times New Roman" w:eastAsia="宋体" w:hAnsi="Times New Roman" w:cs="Times New Roman"/>
          <w:sz w:val="21"/>
          <w:szCs w:val="21"/>
        </w:rPr>
        <w:t>为模型参数个数。</w:t>
      </w:r>
      <m:oMath>
        <m:r>
          <w:rPr>
            <w:rFonts w:ascii="Cambria Math" w:eastAsia="宋体" w:hAnsi="Cambria Math" w:cs="Times New Roman"/>
            <w:sz w:val="21"/>
            <w:szCs w:val="21"/>
          </w:rPr>
          <m:t>AIC</m:t>
        </m:r>
      </m:oMath>
      <w:r w:rsidRPr="009B0CD7">
        <w:rPr>
          <w:rFonts w:ascii="Times New Roman" w:eastAsia="宋体" w:hAnsi="Times New Roman" w:cs="Times New Roman"/>
          <w:sz w:val="21"/>
          <w:szCs w:val="21"/>
        </w:rPr>
        <w:t>越小，说明模型在拟合效果与参数复杂度之间的综合表现越优。</w:t>
      </w:r>
      <w:r w:rsidRPr="009B0CD7">
        <w:rPr>
          <w:rFonts w:ascii="Times New Roman" w:eastAsia="宋体" w:hAnsi="Times New Roman" w:cs="Times New Roman" w:hint="eastAsia"/>
          <w:sz w:val="21"/>
          <w:szCs w:val="21"/>
        </w:rPr>
        <w:t>在同一月份内，若</w:t>
      </w:r>
      <w:r w:rsidRPr="009B0CD7">
        <w:rPr>
          <w:rFonts w:ascii="Times New Roman" w:eastAsia="宋体" w:hAnsi="Times New Roman" w:cs="Times New Roman" w:hint="eastAsia"/>
          <w:sz w:val="21"/>
          <w:szCs w:val="21"/>
        </w:rPr>
        <w:t>M1</w:t>
      </w:r>
      <w:r w:rsidRPr="009B0CD7">
        <w:rPr>
          <w:rFonts w:ascii="Times New Roman" w:eastAsia="宋体" w:hAnsi="Times New Roman" w:cs="Times New Roman" w:hint="eastAsia"/>
          <w:sz w:val="21"/>
          <w:szCs w:val="21"/>
        </w:rPr>
        <w:t>或</w:t>
      </w:r>
      <w:r w:rsidRPr="009B0CD7">
        <w:rPr>
          <w:rFonts w:ascii="Times New Roman" w:eastAsia="宋体" w:hAnsi="Times New Roman" w:cs="Times New Roman" w:hint="eastAsia"/>
          <w:sz w:val="21"/>
          <w:szCs w:val="21"/>
        </w:rPr>
        <w:t>M2</w:t>
      </w:r>
      <w:r w:rsidRPr="009B0CD7">
        <w:rPr>
          <w:rFonts w:ascii="Times New Roman" w:eastAsia="宋体" w:hAnsi="Times New Roman" w:cs="Times New Roman" w:hint="eastAsia"/>
          <w:sz w:val="21"/>
          <w:szCs w:val="21"/>
        </w:rPr>
        <w:t>的</w:t>
      </w:r>
      <m:oMath>
        <m:r>
          <w:rPr>
            <w:rFonts w:ascii="Cambria Math" w:eastAsia="宋体" w:hAnsi="Cambria Math" w:cs="Times New Roman"/>
            <w:sz w:val="21"/>
            <w:szCs w:val="21"/>
          </w:rPr>
          <m:t>AIC</m:t>
        </m:r>
      </m:oMath>
      <w:r w:rsidRPr="009B0CD7">
        <w:rPr>
          <w:rFonts w:ascii="Times New Roman" w:eastAsia="宋体" w:hAnsi="Times New Roman" w:cs="Times New Roman" w:hint="eastAsia"/>
          <w:sz w:val="21"/>
          <w:szCs w:val="21"/>
        </w:rPr>
        <w:t>小于相应候选平稳模型</w:t>
      </w:r>
      <w:r w:rsidRPr="009B0CD7">
        <w:rPr>
          <w:rFonts w:ascii="Times New Roman" w:eastAsia="宋体" w:hAnsi="Times New Roman" w:cs="Times New Roman" w:hint="eastAsia"/>
          <w:sz w:val="21"/>
          <w:szCs w:val="21"/>
        </w:rPr>
        <w:t>M0</w:t>
      </w:r>
      <w:r w:rsidRPr="009B0CD7">
        <w:rPr>
          <w:rFonts w:ascii="Times New Roman" w:eastAsia="宋体" w:hAnsi="Times New Roman" w:cs="Times New Roman" w:hint="eastAsia"/>
          <w:sz w:val="21"/>
          <w:szCs w:val="21"/>
        </w:rPr>
        <w:t>，则表明引入时变参数能够改善该月径流边缘分布拟合效果，该月份被识别为具有非平稳边缘分布特征。</w:t>
      </w:r>
    </w:p>
    <w:p w14:paraId="07B884A1" w14:textId="77777777" w:rsidR="0081344D" w:rsidRPr="009B0CD7" w:rsidRDefault="00000000">
      <w:pPr>
        <w:tabs>
          <w:tab w:val="left" w:pos="1440"/>
        </w:tabs>
        <w:adjustRightInd w:val="0"/>
        <w:snapToGrid w:val="0"/>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在获得最优边缘分布模型后，进一步采用概率积分变换（</w:t>
      </w:r>
      <w:r w:rsidRPr="009B0CD7">
        <w:rPr>
          <w:rFonts w:ascii="Times New Roman" w:eastAsia="宋体" w:hAnsi="Times New Roman" w:cs="Times New Roman"/>
          <w:sz w:val="21"/>
          <w:szCs w:val="21"/>
        </w:rPr>
        <w:t>Probability Integral Transform</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）将原始径流序列转换为标准均匀分布变量</w:t>
      </w:r>
      <w:r w:rsidRPr="009B0CD7">
        <w:rPr>
          <w:rFonts w:ascii="Times New Roman" w:eastAsia="宋体" w:hAnsi="Times New Roman" w:cs="Times New Roman" w:hint="eastAsia"/>
          <w:sz w:val="21"/>
          <w:szCs w:val="21"/>
        </w:rPr>
        <w:t>为</w:t>
      </w:r>
    </w:p>
    <w:p w14:paraId="4CC4D334" w14:textId="77777777" w:rsidR="0081344D" w:rsidRPr="009B0CD7" w:rsidRDefault="00000000">
      <w:pPr>
        <w:tabs>
          <w:tab w:val="left" w:pos="1440"/>
        </w:tabs>
        <w:adjustRightInd w:val="0"/>
        <w:snapToGrid w:val="0"/>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sz w:val="21"/>
                <w:szCs w:val="21"/>
              </w:rPr>
              <m:t>m,t</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m:t>
            </m:r>
          </m:sub>
        </m:sSub>
        <m:d>
          <m:dPr>
            <m:ctrlPr>
              <w:rPr>
                <w:rFonts w:ascii="Cambria Math" w:eastAsia="宋体" w:hAnsi="Cambria Math" w:cs="Times New Roman"/>
                <w:i/>
                <w:sz w:val="21"/>
                <w:szCs w:val="21"/>
              </w:rPr>
            </m:ctrlPr>
          </m:dPr>
          <m:e>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x</m:t>
                </m:r>
              </m:e>
              <m:sub>
                <m:r>
                  <w:rPr>
                    <w:rFonts w:ascii="Cambria Math" w:eastAsia="宋体" w:hAnsi="Cambria Math" w:cs="Times New Roman"/>
                    <w:sz w:val="21"/>
                    <w:szCs w:val="21"/>
                  </w:rPr>
                  <m:t>m,t</m:t>
                </m:r>
              </m:sub>
            </m:sSub>
            <m:r>
              <m:rPr>
                <m:sty m:val="p"/>
              </m:rP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acc>
                  <m:accPr>
                    <m:ctrlPr>
                      <w:rPr>
                        <w:rFonts w:ascii="Cambria Math" w:eastAsia="宋体" w:hAnsi="Cambria Math" w:cs="Times New Roman"/>
                        <w:b/>
                        <w:bCs/>
                        <w:i/>
                        <w:sz w:val="21"/>
                        <w:szCs w:val="21"/>
                      </w:rPr>
                    </m:ctrlPr>
                  </m:accPr>
                  <m:e>
                    <m:r>
                      <m:rPr>
                        <m:sty m:val="bi"/>
                      </m:rPr>
                      <w:rPr>
                        <w:rFonts w:ascii="Cambria Math" w:eastAsia="宋体" w:hAnsi="Cambria Math" w:cs="Times New Roman"/>
                        <w:sz w:val="21"/>
                        <w:szCs w:val="21"/>
                      </w:rPr>
                      <m:t>θ</m:t>
                    </m:r>
                  </m:e>
                </m:acc>
              </m:e>
              <m:sub>
                <m:r>
                  <w:rPr>
                    <w:rFonts w:ascii="Cambria Math" w:eastAsia="宋体" w:hAnsi="Cambria Math" w:cs="Times New Roman"/>
                    <w:sz w:val="21"/>
                    <w:szCs w:val="21"/>
                  </w:rPr>
                  <m:t>X,m,t</m:t>
                </m:r>
              </m:sub>
            </m:sSub>
          </m:e>
        </m:d>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2</w:t>
      </w:r>
      <w:r w:rsidRPr="009B0CD7">
        <w:rPr>
          <w:rFonts w:ascii="Times New Roman" w:eastAsia="宋体" w:hAnsi="Times New Roman" w:cs="Times New Roman"/>
          <w:sz w:val="21"/>
          <w:szCs w:val="21"/>
        </w:rPr>
        <w:t>）</w:t>
      </w:r>
    </w:p>
    <w:p w14:paraId="35E74D01" w14:textId="77777777" w:rsidR="0081344D" w:rsidRPr="009B0CD7" w:rsidRDefault="00000000">
      <w:pPr>
        <w:tabs>
          <w:tab w:val="left" w:pos="1440"/>
        </w:tabs>
        <w:adjustRightInd w:val="0"/>
        <w:snapToGrid w:val="0"/>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sz w:val="21"/>
                <w:szCs w:val="21"/>
              </w:rPr>
              <m:t>m,t</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m:t>
            </m:r>
          </m:sub>
        </m:sSub>
        <m:d>
          <m:dPr>
            <m:ctrlPr>
              <w:rPr>
                <w:rFonts w:ascii="Cambria Math" w:eastAsia="宋体" w:hAnsi="Cambria Math" w:cs="Times New Roman"/>
                <w:i/>
                <w:sz w:val="21"/>
                <w:szCs w:val="21"/>
              </w:rPr>
            </m:ctrlPr>
          </m:dPr>
          <m:e>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y</m:t>
                </m:r>
              </m:e>
              <m:sub>
                <m:r>
                  <w:rPr>
                    <w:rFonts w:ascii="Cambria Math" w:eastAsia="宋体" w:hAnsi="Cambria Math" w:cs="Times New Roman"/>
                    <w:sz w:val="21"/>
                    <w:szCs w:val="21"/>
                  </w:rPr>
                  <m:t>m,t</m:t>
                </m:r>
              </m:sub>
            </m:sSub>
            <m:r>
              <m:rPr>
                <m:sty m:val="p"/>
              </m:rP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acc>
                  <m:accPr>
                    <m:ctrlPr>
                      <w:rPr>
                        <w:rFonts w:ascii="Cambria Math" w:eastAsia="宋体" w:hAnsi="Cambria Math" w:cs="Times New Roman"/>
                        <w:i/>
                        <w:sz w:val="21"/>
                        <w:szCs w:val="21"/>
                      </w:rPr>
                    </m:ctrlPr>
                  </m:accPr>
                  <m:e>
                    <m:r>
                      <m:rPr>
                        <m:sty m:val="bi"/>
                      </m:rPr>
                      <w:rPr>
                        <w:rFonts w:ascii="Cambria Math" w:eastAsia="宋体" w:hAnsi="Cambria Math" w:cs="Times New Roman"/>
                        <w:sz w:val="21"/>
                        <w:szCs w:val="21"/>
                      </w:rPr>
                      <m:t>θ</m:t>
                    </m:r>
                  </m:e>
                </m:acc>
              </m:e>
              <m:sub>
                <m:r>
                  <w:rPr>
                    <w:rFonts w:ascii="Cambria Math" w:eastAsia="宋体" w:hAnsi="Cambria Math" w:cs="Times New Roman"/>
                    <w:sz w:val="21"/>
                    <w:szCs w:val="21"/>
                  </w:rPr>
                  <m:t>Y,m,t</m:t>
                </m:r>
              </m:sub>
            </m:sSub>
          </m:e>
        </m:d>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w:t>
      </w:r>
    </w:p>
    <w:p w14:paraId="0581F469" w14:textId="77777777" w:rsidR="0081344D" w:rsidRPr="009B0CD7" w:rsidRDefault="00000000">
      <w:pPr>
        <w:tabs>
          <w:tab w:val="left" w:pos="1440"/>
        </w:tabs>
        <w:adjustRightInd w:val="0"/>
        <w:snapToGrid w:val="0"/>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式中</w:t>
      </w:r>
      <w:r w:rsidRPr="009B0CD7">
        <w:rPr>
          <w:rFonts w:ascii="Times New Roman" w:eastAsia="宋体" w:hAnsi="Times New Roman" w:cs="Times New Roman" w:hint="eastAsia"/>
          <w:sz w:val="21"/>
          <w:szCs w:val="21"/>
        </w:rPr>
        <w:t>，</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x</m:t>
            </m:r>
          </m:e>
          <m:sub>
            <m:r>
              <w:rPr>
                <w:rFonts w:ascii="Cambria Math" w:eastAsia="宋体" w:hAnsi="Cambria Math" w:cs="Times New Roman"/>
                <w:sz w:val="21"/>
                <w:szCs w:val="21"/>
              </w:rPr>
              <m:t>m,t</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y</m:t>
            </m:r>
          </m:e>
          <m:sub>
            <m:r>
              <w:rPr>
                <w:rFonts w:ascii="Cambria Math" w:eastAsia="宋体" w:hAnsi="Cambria Math" w:cs="Times New Roman"/>
                <w:sz w:val="21"/>
                <w:szCs w:val="21"/>
              </w:rPr>
              <m:t>m,t</m:t>
            </m:r>
          </m:sub>
        </m:sSub>
      </m:oMath>
      <w:r w:rsidRPr="009B0CD7">
        <w:rPr>
          <w:rFonts w:ascii="Times New Roman" w:eastAsia="宋体" w:hAnsi="Times New Roman" w:cs="Times New Roman"/>
          <w:sz w:val="21"/>
          <w:szCs w:val="21"/>
        </w:rPr>
        <w:t>分别表示石头峡水库和黑泉水库第</w:t>
      </w:r>
      <m:oMath>
        <m:r>
          <w:rPr>
            <w:rFonts w:ascii="Cambria Math" w:eastAsia="宋体" w:hAnsi="Cambria Math" w:cs="Times New Roman"/>
            <w:sz w:val="21"/>
            <w:szCs w:val="21"/>
          </w:rPr>
          <m:t>m</m:t>
        </m:r>
      </m:oMath>
      <w:r w:rsidRPr="009B0CD7">
        <w:rPr>
          <w:rFonts w:ascii="Times New Roman" w:eastAsia="宋体" w:hAnsi="Times New Roman" w:cs="Times New Roman"/>
          <w:sz w:val="21"/>
          <w:szCs w:val="21"/>
        </w:rPr>
        <w:t>月第</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年径流观测值；</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m:t>
            </m:r>
          </m:sub>
        </m:sSub>
      </m:oMath>
      <w:r w:rsidRPr="009B0CD7">
        <w:rPr>
          <w:rFonts w:ascii="Times New Roman" w:eastAsia="宋体" w:hAnsi="Times New Roman" w:cs="Times New Roman" w:hint="eastAsia"/>
          <w:sz w:val="21"/>
          <w:szCs w:val="21"/>
        </w:rPr>
        <w:t>表示</w:t>
      </w:r>
      <w:r w:rsidRPr="009B0CD7">
        <w:rPr>
          <w:rFonts w:ascii="Times New Roman" w:eastAsia="宋体" w:hAnsi="Times New Roman" w:cs="Times New Roman"/>
          <w:sz w:val="21"/>
          <w:szCs w:val="21"/>
        </w:rPr>
        <w:t>第</w:t>
      </w:r>
      <m:oMath>
        <m:r>
          <w:rPr>
            <w:rFonts w:ascii="Cambria Math" w:eastAsia="宋体" w:hAnsi="Cambria Math" w:cs="Times New Roman"/>
            <w:sz w:val="21"/>
            <w:szCs w:val="21"/>
          </w:rPr>
          <m:t>m</m:t>
        </m:r>
      </m:oMath>
      <w:r w:rsidRPr="009B0CD7">
        <w:rPr>
          <w:rFonts w:ascii="Times New Roman" w:eastAsia="宋体" w:hAnsi="Times New Roman" w:cs="Times New Roman"/>
          <w:sz w:val="21"/>
          <w:szCs w:val="21"/>
        </w:rPr>
        <w:t>月在第</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年条件下的最优</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边缘分布函数</w:t>
      </w:r>
      <w:r w:rsidRPr="009B0CD7">
        <w:rPr>
          <w:rFonts w:ascii="Times New Roman" w:eastAsia="宋体" w:hAnsi="Times New Roman" w:cs="Times New Roman" w:hint="eastAsia"/>
          <w:sz w:val="21"/>
          <w:szCs w:val="21"/>
        </w:rPr>
        <w:t>；</w:t>
      </w:r>
      <m:oMath>
        <m:sSub>
          <m:sSubPr>
            <m:ctrlPr>
              <w:rPr>
                <w:rFonts w:ascii="Cambria Math" w:eastAsia="宋体" w:hAnsi="Cambria Math" w:cs="Times New Roman"/>
                <w:i/>
                <w:sz w:val="21"/>
                <w:szCs w:val="21"/>
              </w:rPr>
            </m:ctrlPr>
          </m:sSubPr>
          <m:e>
            <m:acc>
              <m:accPr>
                <m:ctrlPr>
                  <w:rPr>
                    <w:rFonts w:ascii="Cambria Math" w:eastAsia="宋体" w:hAnsi="Cambria Math" w:cs="Times New Roman"/>
                    <w:i/>
                    <w:sz w:val="21"/>
                    <w:szCs w:val="21"/>
                  </w:rPr>
                </m:ctrlPr>
              </m:accPr>
              <m:e>
                <m:r>
                  <m:rPr>
                    <m:sty m:val="bi"/>
                  </m:rPr>
                  <w:rPr>
                    <w:rFonts w:ascii="Cambria Math" w:eastAsia="宋体" w:hAnsi="Cambria Math" w:cs="Times New Roman"/>
                    <w:sz w:val="21"/>
                    <w:szCs w:val="21"/>
                  </w:rPr>
                  <m:t>θ</m:t>
                </m:r>
              </m:e>
            </m:acc>
          </m:e>
          <m:sub>
            <m:r>
              <w:rPr>
                <w:rFonts w:ascii="Cambria Math" w:eastAsia="宋体" w:hAnsi="Cambria Math" w:cs="Times New Roman"/>
                <w:sz w:val="21"/>
                <w:szCs w:val="21"/>
              </w:rPr>
              <m:t>X,m,t</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sz w:val="21"/>
                <w:szCs w:val="21"/>
              </w:rPr>
            </m:ctrlPr>
          </m:sSubPr>
          <m:e>
            <m:acc>
              <m:accPr>
                <m:ctrlPr>
                  <w:rPr>
                    <w:rFonts w:ascii="Cambria Math" w:eastAsia="宋体" w:hAnsi="Cambria Math" w:cs="Times New Roman"/>
                    <w:i/>
                    <w:sz w:val="21"/>
                    <w:szCs w:val="21"/>
                  </w:rPr>
                </m:ctrlPr>
              </m:accPr>
              <m:e>
                <m:r>
                  <m:rPr>
                    <m:sty m:val="bi"/>
                  </m:rPr>
                  <w:rPr>
                    <w:rFonts w:ascii="Cambria Math" w:eastAsia="宋体" w:hAnsi="Cambria Math" w:cs="Times New Roman"/>
                    <w:sz w:val="21"/>
                    <w:szCs w:val="21"/>
                  </w:rPr>
                  <m:t>θ</m:t>
                </m:r>
              </m:e>
            </m:acc>
          </m:e>
          <m:sub>
            <m:r>
              <w:rPr>
                <w:rFonts w:ascii="Cambria Math" w:eastAsia="宋体" w:hAnsi="Cambria Math" w:cs="Times New Roman"/>
                <w:sz w:val="21"/>
                <w:szCs w:val="21"/>
              </w:rPr>
              <m:t>Y,m,t</m:t>
            </m:r>
          </m:sub>
        </m:sSub>
      </m:oMath>
      <w:r w:rsidRPr="009B0CD7">
        <w:rPr>
          <w:rFonts w:ascii="Times New Roman" w:eastAsia="宋体" w:hAnsi="Times New Roman" w:cs="Times New Roman"/>
          <w:sz w:val="21"/>
          <w:szCs w:val="21"/>
        </w:rPr>
        <w:t>分别表示相应边缘分布</w:t>
      </w:r>
      <w:r w:rsidRPr="009B0CD7">
        <w:rPr>
          <w:rFonts w:ascii="Times New Roman" w:eastAsia="宋体" w:hAnsi="Times New Roman" w:cs="Times New Roman" w:hint="eastAsia"/>
          <w:sz w:val="21"/>
          <w:szCs w:val="21"/>
        </w:rPr>
        <w:t>在第</w:t>
      </w:r>
      <m:oMath>
        <m:r>
          <w:rPr>
            <w:rFonts w:ascii="Cambria Math" w:eastAsia="宋体" w:hAnsi="Cambria Math" w:cs="Times New Roman"/>
            <w:sz w:val="21"/>
            <w:szCs w:val="21"/>
          </w:rPr>
          <m:t>m</m:t>
        </m:r>
      </m:oMath>
      <w:r w:rsidRPr="009B0CD7">
        <w:rPr>
          <w:rFonts w:ascii="Times New Roman" w:eastAsia="宋体" w:hAnsi="Times New Roman" w:cs="Times New Roman" w:hint="eastAsia"/>
          <w:sz w:val="21"/>
          <w:szCs w:val="21"/>
        </w:rPr>
        <w:t>月第</w:t>
      </w:r>
      <m:oMath>
        <m:r>
          <w:rPr>
            <w:rFonts w:ascii="Cambria Math" w:eastAsia="宋体" w:hAnsi="Cambria Math" w:cs="Times New Roman"/>
            <w:sz w:val="21"/>
            <w:szCs w:val="21"/>
          </w:rPr>
          <m:t>t</m:t>
        </m:r>
      </m:oMath>
      <w:r w:rsidRPr="009B0CD7">
        <w:rPr>
          <w:rFonts w:ascii="Times New Roman" w:eastAsia="宋体" w:hAnsi="Times New Roman" w:cs="Times New Roman" w:hint="eastAsia"/>
          <w:sz w:val="21"/>
          <w:szCs w:val="21"/>
        </w:rPr>
        <w:t>年条件下的估计</w:t>
      </w:r>
      <w:r w:rsidRPr="009B0CD7">
        <w:rPr>
          <w:rFonts w:ascii="Times New Roman" w:eastAsia="宋体" w:hAnsi="Times New Roman" w:cs="Times New Roman"/>
          <w:sz w:val="21"/>
          <w:szCs w:val="21"/>
        </w:rPr>
        <w:t>参数向量，包括位置参数</w:t>
      </w:r>
      <m:oMath>
        <m:r>
          <w:rPr>
            <w:rFonts w:ascii="Cambria Math" w:eastAsia="宋体" w:hAnsi="Cambria Math" w:cs="Times New Roman"/>
            <w:sz w:val="21"/>
            <w:szCs w:val="21"/>
          </w:rPr>
          <m:t>μ</m:t>
        </m:r>
      </m:oMath>
      <w:r w:rsidRPr="009B0CD7">
        <w:rPr>
          <w:rFonts w:ascii="Times New Roman" w:eastAsia="宋体" w:hAnsi="Times New Roman" w:cs="Times New Roman"/>
          <w:sz w:val="21"/>
          <w:szCs w:val="21"/>
        </w:rPr>
        <w:t>和尺度参数</w:t>
      </w:r>
      <m:oMath>
        <m:r>
          <w:rPr>
            <w:rFonts w:ascii="Cambria Math" w:eastAsia="宋体" w:hAnsi="Cambria Math" w:cs="Times New Roman"/>
            <w:sz w:val="21"/>
            <w:szCs w:val="21"/>
          </w:rPr>
          <m:t>σ</m:t>
        </m:r>
      </m:oMath>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本文以月份为基本建模单元，即第</w:t>
      </w:r>
      <m:oMath>
        <m:r>
          <w:rPr>
            <w:rFonts w:ascii="Cambria Math" w:eastAsia="宋体" w:hAnsi="Cambria Math" w:cs="Times New Roman"/>
            <w:sz w:val="21"/>
            <w:szCs w:val="21"/>
          </w:rPr>
          <m:t>m</m:t>
        </m:r>
      </m:oMath>
      <w:r w:rsidRPr="009B0CD7">
        <w:rPr>
          <w:rFonts w:ascii="Times New Roman" w:eastAsia="宋体" w:hAnsi="Times New Roman" w:cs="Times New Roman"/>
          <w:sz w:val="21"/>
          <w:szCs w:val="21"/>
        </w:rPr>
        <w:t>月模型由</w:t>
      </w:r>
      <w:r w:rsidRPr="009B0CD7">
        <w:rPr>
          <w:rFonts w:ascii="Times New Roman" w:eastAsia="宋体" w:hAnsi="Times New Roman" w:cs="Times New Roman"/>
          <w:sz w:val="21"/>
          <w:szCs w:val="21"/>
        </w:rPr>
        <w:t>1956—2010</w:t>
      </w:r>
      <w:r w:rsidRPr="009B0CD7">
        <w:rPr>
          <w:rFonts w:ascii="Times New Roman" w:eastAsia="宋体" w:hAnsi="Times New Roman" w:cs="Times New Roman"/>
          <w:sz w:val="21"/>
          <w:szCs w:val="21"/>
        </w:rPr>
        <w:t>年同一月份的跨年样本构建。对于平稳模型</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m:t>
            </m:r>
          </m:sub>
        </m:sSub>
      </m:oMath>
      <w:r w:rsidRPr="009B0CD7">
        <w:rPr>
          <w:rFonts w:ascii="Times New Roman" w:eastAsia="宋体" w:hAnsi="Times New Roman" w:cs="Times New Roman" w:hint="eastAsia"/>
          <w:sz w:val="21"/>
          <w:szCs w:val="21"/>
        </w:rPr>
        <w:t>不随</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变化</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对于非平稳模型其位置参数或尺度参数为</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的函数，因此边缘分布函数随年份变化；</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sz w:val="21"/>
                <w:szCs w:val="21"/>
              </w:rPr>
              <m:t>m,t</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sz w:val="21"/>
                <w:szCs w:val="21"/>
              </w:rPr>
              <m:t>m,t</m:t>
            </m:r>
          </m:sub>
        </m:sSub>
      </m:oMath>
      <w:r w:rsidRPr="009B0CD7">
        <w:rPr>
          <w:rFonts w:ascii="Times New Roman" w:eastAsia="宋体" w:hAnsi="Times New Roman" w:cs="Times New Roman"/>
          <w:sz w:val="21"/>
          <w:szCs w:val="21"/>
        </w:rPr>
        <w:t>为</w:t>
      </w:r>
      <w:r w:rsidRPr="009B0CD7">
        <w:rPr>
          <w:rFonts w:ascii="Times New Roman" w:eastAsia="宋体" w:hAnsi="Times New Roman" w:cs="Times New Roman" w:hint="eastAsia"/>
          <w:sz w:val="21"/>
          <w:szCs w:val="21"/>
        </w:rPr>
        <w:t>经</w:t>
      </w:r>
      <w:r w:rsidRPr="009B0CD7">
        <w:rPr>
          <w:rFonts w:ascii="Times New Roman" w:eastAsia="宋体" w:hAnsi="Times New Roman" w:cs="Times New Roman"/>
          <w:sz w:val="21"/>
          <w:szCs w:val="21"/>
        </w:rPr>
        <w:t>PIT</w:t>
      </w:r>
      <w:r w:rsidRPr="009B0CD7">
        <w:rPr>
          <w:rFonts w:ascii="Times New Roman" w:eastAsia="宋体" w:hAnsi="Times New Roman" w:cs="Times New Roman" w:hint="eastAsia"/>
          <w:sz w:val="21"/>
          <w:szCs w:val="21"/>
        </w:rPr>
        <w:t>转换得到的标准均匀概率变量</w:t>
      </w:r>
      <w:r w:rsidRPr="009B0CD7">
        <w:rPr>
          <w:rFonts w:ascii="Times New Roman" w:eastAsia="宋体" w:hAnsi="Times New Roman" w:cs="Times New Roman"/>
          <w:sz w:val="21"/>
          <w:szCs w:val="21"/>
        </w:rPr>
        <w:t>。</w:t>
      </w:r>
    </w:p>
    <w:p w14:paraId="658A19D6" w14:textId="77777777" w:rsidR="0081344D" w:rsidRPr="009B0CD7" w:rsidRDefault="00000000">
      <w:pPr>
        <w:tabs>
          <w:tab w:val="left" w:pos="1440"/>
        </w:tabs>
        <w:adjustRightInd w:val="0"/>
        <w:snapToGrid w:val="0"/>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转换的基本思想是将原始径流观测值代入其对应的边缘累积分布函数，得到该观测值在边缘分布中的累积概率位置。若边缘分布模型拟合合理，则转换后的</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sz w:val="21"/>
                <w:szCs w:val="21"/>
              </w:rPr>
              <m:t>m,t</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sz w:val="21"/>
                <w:szCs w:val="21"/>
              </w:rPr>
              <m:t>m,t</m:t>
            </m:r>
          </m:sub>
        </m:sSub>
      </m:oMath>
      <w:r w:rsidRPr="009B0CD7">
        <w:rPr>
          <w:rFonts w:ascii="Times New Roman" w:eastAsia="宋体" w:hAnsi="Times New Roman" w:cs="Times New Roman"/>
          <w:sz w:val="21"/>
          <w:szCs w:val="21"/>
        </w:rPr>
        <w:t>应近似服从</w:t>
      </w:r>
      <m:oMath>
        <m:r>
          <w:rPr>
            <w:rFonts w:ascii="Cambria Math" w:eastAsia="宋体" w:hAnsi="Cambria Math" w:cs="Times New Roman"/>
            <w:sz w:val="21"/>
            <w:szCs w:val="21"/>
          </w:rPr>
          <m:t>U</m:t>
        </m:r>
        <m:d>
          <m:dPr>
            <m:ctrlPr>
              <w:rPr>
                <w:rFonts w:ascii="Cambria Math" w:eastAsia="宋体" w:hAnsi="Cambria Math" w:cs="Times New Roman"/>
                <w:i/>
                <w:sz w:val="21"/>
                <w:szCs w:val="21"/>
              </w:rPr>
            </m:ctrlPr>
          </m:dPr>
          <m:e>
            <m:r>
              <w:rPr>
                <w:rFonts w:ascii="Cambria Math" w:eastAsia="宋体" w:hAnsi="Cambria Math" w:cs="Times New Roman"/>
                <w:sz w:val="21"/>
                <w:szCs w:val="21"/>
              </w:rPr>
              <m:t>0,1</m:t>
            </m:r>
          </m:e>
        </m:d>
      </m:oMath>
      <w:r w:rsidRPr="009B0CD7">
        <w:rPr>
          <w:rFonts w:ascii="Times New Roman" w:eastAsia="宋体" w:hAnsi="Times New Roman" w:cs="Times New Roman"/>
          <w:sz w:val="21"/>
          <w:szCs w:val="21"/>
        </w:rPr>
        <w:t>分布。通过该转换，不同水源、不同月份和不同分布类型的径流序列可被统一到标准均匀概率空间中，从而剥离边缘分布差异对联合建模的影响，使</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模型能够专门刻画两水源之间的相依结构。</w:t>
      </w:r>
    </w:p>
    <w:p w14:paraId="7E0E21B2" w14:textId="77777777" w:rsidR="0081344D" w:rsidRPr="009B0CD7" w:rsidRDefault="00000000">
      <w:pPr>
        <w:keepNext/>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t>1</w:t>
      </w:r>
      <w:r w:rsidRPr="009B0CD7">
        <w:rPr>
          <w:rFonts w:ascii="Times New Roman" w:eastAsia="楷体" w:hAnsi="Times New Roman" w:cs="Times New Roman"/>
          <w:sz w:val="21"/>
          <w:szCs w:val="22"/>
          <w14:ligatures w14:val="none"/>
        </w:rPr>
        <w:t xml:space="preserve">.2.2 </w:t>
      </w:r>
      <w:r w:rsidRPr="009B0CD7">
        <w:rPr>
          <w:rFonts w:ascii="Times New Roman" w:eastAsia="楷体" w:hAnsi="Times New Roman" w:cs="Times New Roman"/>
          <w:sz w:val="21"/>
          <w:szCs w:val="22"/>
          <w14:ligatures w14:val="none"/>
        </w:rPr>
        <w:t>时变</w:t>
      </w:r>
      <w:r w:rsidRPr="009B0CD7">
        <w:rPr>
          <w:rFonts w:ascii="Times New Roman" w:eastAsia="楷体" w:hAnsi="Times New Roman" w:cs="Times New Roman"/>
          <w:sz w:val="21"/>
          <w:szCs w:val="22"/>
          <w14:ligatures w14:val="none"/>
        </w:rPr>
        <w:t>Copula</w:t>
      </w:r>
      <w:r w:rsidRPr="009B0CD7">
        <w:rPr>
          <w:rFonts w:ascii="Times New Roman" w:eastAsia="楷体" w:hAnsi="Times New Roman" w:cs="Times New Roman"/>
          <w:sz w:val="21"/>
          <w:szCs w:val="22"/>
          <w14:ligatures w14:val="none"/>
        </w:rPr>
        <w:t>动态耦合建模</w:t>
      </w:r>
    </w:p>
    <w:p w14:paraId="7F2FACA3" w14:textId="77777777" w:rsidR="0081344D" w:rsidRPr="009B0CD7" w:rsidRDefault="00000000">
      <w:pPr>
        <w:tabs>
          <w:tab w:val="left" w:pos="72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在获得两水源</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序列后，采用</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函数构建双变量联合概率模型。根据</w:t>
      </w:r>
      <w:r w:rsidRPr="009B0CD7">
        <w:rPr>
          <w:rFonts w:ascii="Times New Roman" w:eastAsia="宋体" w:hAnsi="Times New Roman" w:cs="Times New Roman"/>
          <w:sz w:val="21"/>
          <w:szCs w:val="21"/>
        </w:rPr>
        <w:t>Sklar</w:t>
      </w:r>
      <w:r w:rsidRPr="009B0CD7">
        <w:rPr>
          <w:rFonts w:ascii="Times New Roman" w:eastAsia="宋体" w:hAnsi="Times New Roman" w:cs="Times New Roman"/>
          <w:sz w:val="21"/>
          <w:szCs w:val="21"/>
        </w:rPr>
        <w:t>定理，对于任意连续随机变量</w:t>
      </w:r>
      <m:oMath>
        <m:r>
          <w:rPr>
            <w:rFonts w:ascii="Cambria Math" w:eastAsia="宋体" w:hAnsi="Cambria Math" w:cs="Times New Roman"/>
            <w:sz w:val="21"/>
            <w:szCs w:val="21"/>
          </w:rPr>
          <m:t>X</m:t>
        </m:r>
      </m:oMath>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Y</m:t>
        </m:r>
      </m:oMath>
      <w:r w:rsidRPr="009B0CD7">
        <w:rPr>
          <w:rFonts w:ascii="Times New Roman" w:eastAsia="宋体" w:hAnsi="Times New Roman" w:cs="Times New Roman"/>
          <w:sz w:val="21"/>
          <w:szCs w:val="21"/>
        </w:rPr>
        <w:t>，其联合分布函数可以表示为</w:t>
      </w:r>
    </w:p>
    <w:p w14:paraId="62FED689" w14:textId="77777777" w:rsidR="0081344D" w:rsidRPr="009B0CD7" w:rsidRDefault="00000000">
      <w:pPr>
        <w:tabs>
          <w:tab w:val="left" w:pos="720"/>
        </w:tabs>
        <w:spacing w:after="0" w:line="240" w:lineRule="auto"/>
        <w:jc w:val="right"/>
        <w:rPr>
          <w:rFonts w:ascii="Times New Roman" w:eastAsia="宋体" w:hAnsi="Times New Roman" w:cs="Times New Roman"/>
          <w:i/>
          <w:sz w:val="21"/>
          <w:szCs w:val="21"/>
        </w:rPr>
      </w:pPr>
      <m:oMath>
        <m:r>
          <w:rPr>
            <w:rFonts w:ascii="Cambria Math" w:eastAsia="宋体" w:hAnsi="Cambria Math" w:cs="Times New Roman"/>
            <w:sz w:val="21"/>
            <w:szCs w:val="21"/>
          </w:rPr>
          <m:t>F</m:t>
        </m:r>
        <m:d>
          <m:dPr>
            <m:ctrlPr>
              <w:rPr>
                <w:rFonts w:ascii="Cambria Math" w:eastAsia="宋体" w:hAnsi="Cambria Math" w:cs="Times New Roman"/>
                <w:i/>
                <w:sz w:val="21"/>
                <w:szCs w:val="21"/>
              </w:rPr>
            </m:ctrlPr>
          </m:dPr>
          <m:e>
            <m:r>
              <w:rPr>
                <w:rFonts w:ascii="Cambria Math" w:eastAsia="宋体" w:hAnsi="Cambria Math" w:cs="Times New Roman"/>
                <w:sz w:val="21"/>
                <w:szCs w:val="21"/>
              </w:rPr>
              <m:t>x,y</m:t>
            </m:r>
          </m:e>
        </m:d>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w:rPr>
                <w:rFonts w:ascii="Cambria Math" w:eastAsia="宋体" w:hAnsi="Cambria Math" w:cs="Times New Roman"/>
                <w:sz w:val="21"/>
                <w:szCs w:val="21"/>
              </w:rPr>
              <m:t>θ</m:t>
            </m:r>
          </m:sub>
        </m:sSub>
        <m:d>
          <m:dPr>
            <m:ctrlPr>
              <w:rPr>
                <w:rFonts w:ascii="Cambria Math" w:eastAsia="宋体" w:hAnsi="Cambria Math" w:cs="Times New Roman"/>
                <w:i/>
                <w:sz w:val="21"/>
                <w:szCs w:val="21"/>
              </w:rPr>
            </m:ctrlPr>
          </m:dPr>
          <m:e>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x</m:t>
                </m:r>
              </m:e>
            </m:d>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y</m:t>
                </m:r>
              </m:e>
            </m:d>
          </m:e>
        </m:d>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w:rPr>
                <w:rFonts w:ascii="Cambria Math" w:eastAsia="宋体" w:hAnsi="Cambria Math" w:cs="Times New Roman"/>
                <w:sz w:val="21"/>
                <w:szCs w:val="21"/>
              </w:rPr>
              <m:t>θ</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u,v</m:t>
            </m:r>
          </m:e>
        </m:d>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iCs/>
          <w:sz w:val="21"/>
          <w:szCs w:val="21"/>
        </w:rPr>
        <w:t>（</w:t>
      </w:r>
      <w:r w:rsidRPr="009B0CD7">
        <w:rPr>
          <w:rFonts w:ascii="Times New Roman" w:eastAsia="宋体" w:hAnsi="Times New Roman" w:cs="Times New Roman"/>
          <w:iCs/>
          <w:sz w:val="21"/>
          <w:szCs w:val="21"/>
        </w:rPr>
        <w:t>4</w:t>
      </w:r>
      <w:r w:rsidRPr="009B0CD7">
        <w:rPr>
          <w:rFonts w:ascii="Times New Roman" w:eastAsia="宋体" w:hAnsi="Times New Roman" w:cs="Times New Roman"/>
          <w:iCs/>
          <w:sz w:val="21"/>
          <w:szCs w:val="21"/>
        </w:rPr>
        <w:t>）</w:t>
      </w:r>
    </w:p>
    <w:p w14:paraId="65792035" w14:textId="77777777" w:rsidR="0081344D" w:rsidRPr="009B0CD7" w:rsidRDefault="00000000">
      <w:pPr>
        <w:tabs>
          <w:tab w:val="left" w:pos="720"/>
        </w:tabs>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式中，</w:t>
      </w:r>
      <m:oMath>
        <m:r>
          <w:rPr>
            <w:rFonts w:ascii="Cambria Math" w:eastAsia="宋体" w:hAnsi="Cambria Math" w:cs="Times New Roman"/>
            <w:sz w:val="21"/>
            <w:szCs w:val="21"/>
          </w:rPr>
          <m:t>C</m:t>
        </m:r>
      </m:oMath>
      <w:r w:rsidRPr="009B0CD7">
        <w:rPr>
          <w:rFonts w:ascii="Times New Roman" w:eastAsia="宋体" w:hAnsi="Times New Roman" w:cs="Times New Roman"/>
          <w:sz w:val="21"/>
          <w:szCs w:val="21"/>
        </w:rPr>
        <w:t>为</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函数；</w:t>
      </w:r>
      <m:oMath>
        <m:r>
          <w:rPr>
            <w:rFonts w:ascii="Cambria Math" w:eastAsia="宋体" w:hAnsi="Cambria Math" w:cs="Times New Roman"/>
            <w:sz w:val="21"/>
            <w:szCs w:val="21"/>
          </w:rPr>
          <m:t>θ</m:t>
        </m:r>
      </m:oMath>
      <w:r w:rsidRPr="009B0CD7">
        <w:rPr>
          <w:rFonts w:ascii="Times New Roman" w:eastAsia="宋体" w:hAnsi="Times New Roman" w:cs="Times New Roman"/>
          <w:sz w:val="21"/>
          <w:szCs w:val="21"/>
        </w:rPr>
        <w:t>为</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依赖</w:t>
      </w:r>
      <w:r w:rsidRPr="009B0CD7">
        <w:rPr>
          <w:rFonts w:ascii="Times New Roman" w:eastAsia="宋体" w:hAnsi="Times New Roman" w:cs="Times New Roman"/>
          <w:sz w:val="21"/>
          <w:szCs w:val="21"/>
        </w:rPr>
        <w:t>参数；</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x</m:t>
            </m:r>
          </m:e>
        </m:d>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y</m:t>
            </m:r>
          </m:e>
        </m:d>
      </m:oMath>
      <w:r w:rsidRPr="009B0CD7">
        <w:rPr>
          <w:rFonts w:ascii="Times New Roman" w:eastAsia="宋体" w:hAnsi="Times New Roman" w:cs="Times New Roman"/>
          <w:sz w:val="21"/>
          <w:szCs w:val="21"/>
        </w:rPr>
        <w:t>分别表示</w:t>
      </w:r>
      <w:r w:rsidRPr="009B0CD7">
        <w:rPr>
          <w:rFonts w:ascii="Times New Roman" w:eastAsia="宋体" w:hAnsi="Times New Roman" w:cs="Times New Roman" w:hint="eastAsia"/>
          <w:sz w:val="21"/>
          <w:szCs w:val="21"/>
        </w:rPr>
        <w:t>原始径流</w:t>
      </w:r>
      <w:r w:rsidRPr="009B0CD7">
        <w:rPr>
          <w:rFonts w:ascii="Times New Roman" w:eastAsia="宋体" w:hAnsi="Times New Roman" w:cs="Times New Roman"/>
          <w:sz w:val="21"/>
          <w:szCs w:val="21"/>
        </w:rPr>
        <w:t>随机变量</w:t>
      </w:r>
      <m:oMath>
        <m:r>
          <w:rPr>
            <w:rFonts w:ascii="Cambria Math" w:eastAsia="宋体" w:hAnsi="Cambria Math" w:cs="Times New Roman"/>
            <w:sz w:val="21"/>
            <w:szCs w:val="21"/>
          </w:rPr>
          <m:t>X</m:t>
        </m:r>
      </m:oMath>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Y</m:t>
        </m:r>
      </m:oMath>
      <w:r w:rsidRPr="009B0CD7">
        <w:rPr>
          <w:rFonts w:ascii="Times New Roman" w:eastAsia="宋体" w:hAnsi="Times New Roman" w:cs="Times New Roman"/>
          <w:sz w:val="21"/>
          <w:szCs w:val="21"/>
        </w:rPr>
        <w:t>的边缘</w:t>
      </w:r>
      <w:r w:rsidRPr="009B0CD7">
        <w:rPr>
          <w:rFonts w:ascii="Times New Roman" w:eastAsia="宋体" w:hAnsi="Times New Roman" w:cs="Times New Roman" w:hint="eastAsia"/>
          <w:sz w:val="21"/>
          <w:szCs w:val="21"/>
        </w:rPr>
        <w:t>累积</w:t>
      </w:r>
      <w:r w:rsidRPr="009B0CD7">
        <w:rPr>
          <w:rFonts w:ascii="Times New Roman" w:eastAsia="宋体" w:hAnsi="Times New Roman" w:cs="Times New Roman"/>
          <w:sz w:val="21"/>
          <w:szCs w:val="21"/>
        </w:rPr>
        <w:t>分布函数</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其函数值分别记为</w:t>
      </w:r>
      <m:oMath>
        <m:r>
          <w:rPr>
            <w:rFonts w:ascii="Cambria Math" w:eastAsia="宋体" w:hAnsi="Cambria Math" w:cs="Times New Roman"/>
            <w:sz w:val="21"/>
            <w:szCs w:val="21"/>
          </w:rPr>
          <m:t>u=</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x</m:t>
            </m:r>
          </m:e>
        </m:d>
      </m:oMath>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v=</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y</m:t>
            </m:r>
          </m:e>
        </m:d>
      </m:oMath>
      <w:r w:rsidRPr="009B0CD7">
        <w:rPr>
          <w:rFonts w:ascii="Times New Roman" w:eastAsia="宋体" w:hAnsi="Times New Roman" w:cs="Times New Roman"/>
          <w:sz w:val="21"/>
          <w:szCs w:val="21"/>
        </w:rPr>
        <w:t>。</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
            </m:r>
          </m:sub>
        </m:sSub>
      </m:oMath>
      <w:r w:rsidRPr="009B0CD7">
        <w:rPr>
          <w:rFonts w:ascii="Times New Roman" w:eastAsia="宋体" w:hAnsi="Times New Roman" w:cs="Times New Roman"/>
          <w:sz w:val="21"/>
          <w:szCs w:val="21"/>
        </w:rPr>
        <w:t>本身并非均匀分布</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根据概率积分变换，当边缘分布模型拟合合理时，由其映射得到的随机变量</w:t>
      </w:r>
      <m:oMath>
        <m:r>
          <w:rPr>
            <w:rFonts w:ascii="Cambria Math" w:eastAsia="宋体" w:hAnsi="Cambria Math" w:cs="Times New Roman"/>
            <w:sz w:val="21"/>
            <w:szCs w:val="21"/>
          </w:rPr>
          <m:t>U=</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X</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X</m:t>
            </m:r>
          </m:e>
        </m:d>
      </m:oMath>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V=</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F</m:t>
            </m:r>
          </m:e>
          <m:sub>
            <m:r>
              <w:rPr>
                <w:rFonts w:ascii="Cambria Math" w:eastAsia="宋体" w:hAnsi="Cambria Math" w:cs="Times New Roman"/>
                <w:sz w:val="21"/>
                <w:szCs w:val="21"/>
              </w:rPr>
              <m:t>Y</m:t>
            </m:r>
          </m:sub>
        </m:sSub>
        <m:d>
          <m:dPr>
            <m:ctrlPr>
              <w:rPr>
                <w:rFonts w:ascii="Cambria Math" w:eastAsia="宋体" w:hAnsi="Cambria Math" w:cs="Times New Roman"/>
                <w:i/>
                <w:sz w:val="21"/>
                <w:szCs w:val="21"/>
              </w:rPr>
            </m:ctrlPr>
          </m:dPr>
          <m:e>
            <m:r>
              <w:rPr>
                <w:rFonts w:ascii="Cambria Math" w:eastAsia="宋体" w:hAnsi="Cambria Math" w:cs="Times New Roman"/>
                <w:sz w:val="21"/>
                <w:szCs w:val="21"/>
              </w:rPr>
              <m:t>Y</m:t>
            </m:r>
          </m:e>
        </m:d>
      </m:oMath>
      <w:r w:rsidRPr="009B0CD7">
        <w:rPr>
          <w:rFonts w:ascii="Times New Roman" w:eastAsia="宋体" w:hAnsi="Times New Roman" w:cs="Times New Roman"/>
          <w:sz w:val="21"/>
          <w:szCs w:val="21"/>
        </w:rPr>
        <w:t>近似服从</w:t>
      </w:r>
      <w:r w:rsidRPr="009B0CD7">
        <w:rPr>
          <w:rFonts w:ascii="Times New Roman" w:eastAsia="宋体" w:hAnsi="Times New Roman" w:cs="Times New Roman" w:hint="eastAsia"/>
          <w:sz w:val="21"/>
          <w:szCs w:val="21"/>
        </w:rPr>
        <w:t>标准均匀分布</w:t>
      </w:r>
      <w:r w:rsidRPr="009B0CD7">
        <w:rPr>
          <w:rFonts w:ascii="Times New Roman" w:eastAsia="宋体" w:hAnsi="Times New Roman" w:cs="Times New Roman"/>
          <w:sz w:val="21"/>
          <w:szCs w:val="21"/>
        </w:rPr>
        <w:t>。因此，后续</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建模在标准均匀概率空间</w:t>
      </w:r>
      <m:oMath>
        <m:d>
          <m:dPr>
            <m:ctrlPr>
              <w:rPr>
                <w:rFonts w:ascii="Cambria Math" w:eastAsia="宋体" w:hAnsi="Cambria Math" w:cs="Times New Roman"/>
                <w:i/>
                <w:sz w:val="21"/>
                <w:szCs w:val="21"/>
              </w:rPr>
            </m:ctrlPr>
          </m:dPr>
          <m:e>
            <m:r>
              <w:rPr>
                <w:rFonts w:ascii="Cambria Math" w:eastAsia="宋体" w:hAnsi="Cambria Math" w:cs="Times New Roman"/>
                <w:sz w:val="21"/>
                <w:szCs w:val="21"/>
              </w:rPr>
              <m:t>u,v</m:t>
            </m:r>
          </m:e>
        </m:d>
      </m:oMath>
      <w:r w:rsidRPr="009B0CD7">
        <w:rPr>
          <w:rFonts w:ascii="Times New Roman" w:eastAsia="宋体" w:hAnsi="Times New Roman" w:cs="Times New Roman"/>
          <w:sz w:val="21"/>
          <w:szCs w:val="21"/>
        </w:rPr>
        <w:t>中刻画两水源径流的相依结构。</w:t>
      </w:r>
    </w:p>
    <w:p w14:paraId="72D5744E" w14:textId="77777777" w:rsidR="0081344D" w:rsidRPr="009B0CD7" w:rsidRDefault="00000000">
      <w:pPr>
        <w:tabs>
          <w:tab w:val="left" w:pos="72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两水源径流在概率空间中的联合变化并不一定表现为简单线性同步，而可能在不同概率</w:t>
      </w:r>
      <w:r w:rsidRPr="009B0CD7">
        <w:rPr>
          <w:rFonts w:ascii="Times New Roman" w:eastAsia="宋体" w:hAnsi="Times New Roman" w:cs="Times New Roman"/>
          <w:sz w:val="21"/>
          <w:szCs w:val="21"/>
        </w:rPr>
        <w:lastRenderedPageBreak/>
        <w:t>区间呈现不同强度和方向的相关性。为刻画这种非线性相依关系</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本文选取</w:t>
      </w:r>
      <w:r w:rsidRPr="009B0CD7">
        <w:rPr>
          <w:rFonts w:ascii="Times New Roman" w:eastAsia="宋体" w:hAnsi="Times New Roman" w:cs="Times New Roman"/>
          <w:sz w:val="21"/>
          <w:szCs w:val="21"/>
        </w:rPr>
        <w:t>Gaussian Copula</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GAU</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Frank Copula</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FRK</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Gumbel Copula</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GUM</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Clayton Copula</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CLA</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Student’s t Copula</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TC</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以及</w:t>
      </w:r>
      <w:r w:rsidRPr="009B0CD7">
        <w:rPr>
          <w:rFonts w:ascii="Times New Roman" w:eastAsia="宋体" w:hAnsi="Times New Roman" w:cs="Times New Roman"/>
          <w:sz w:val="21"/>
          <w:szCs w:val="21"/>
        </w:rPr>
        <w:t>Survival Gumbel Copula</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SG</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作为候选</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族，以刻画不同</w:t>
      </w:r>
      <w:r w:rsidRPr="009B0CD7">
        <w:rPr>
          <w:rFonts w:ascii="Times New Roman" w:eastAsia="宋体" w:hAnsi="Times New Roman" w:cs="Times New Roman" w:hint="eastAsia"/>
          <w:sz w:val="21"/>
          <w:szCs w:val="21"/>
        </w:rPr>
        <w:t>非线性</w:t>
      </w:r>
      <w:r w:rsidRPr="009B0CD7">
        <w:rPr>
          <w:rFonts w:ascii="Times New Roman" w:eastAsia="宋体" w:hAnsi="Times New Roman" w:cs="Times New Roman"/>
          <w:sz w:val="21"/>
          <w:szCs w:val="21"/>
        </w:rPr>
        <w:t>相依结构。</w:t>
      </w:r>
    </w:p>
    <w:p w14:paraId="01DBD97D" w14:textId="77777777" w:rsidR="0081344D" w:rsidRPr="009B0CD7" w:rsidRDefault="00000000">
      <w:pPr>
        <w:tabs>
          <w:tab w:val="left" w:pos="72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为进一步刻画不同</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族对极端联合事件的描述能力，本文采用尾部依赖系数表征双水源在极端高流量或极端低流量状态下同步发生的倾向。设</w:t>
      </w:r>
      <w:r w:rsidRPr="009B0CD7">
        <w:rPr>
          <w:rFonts w:ascii="Times New Roman" w:eastAsia="宋体" w:hAnsi="Times New Roman" w:cs="Times New Roman" w:hint="eastAsia"/>
          <w:sz w:val="21"/>
          <w:szCs w:val="21"/>
        </w:rPr>
        <w:t>U</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V</w:t>
      </w:r>
      <w:r w:rsidRPr="009B0CD7">
        <w:rPr>
          <w:rFonts w:ascii="Times New Roman" w:eastAsia="宋体" w:hAnsi="Times New Roman" w:cs="Times New Roman"/>
          <w:sz w:val="21"/>
          <w:szCs w:val="21"/>
        </w:rPr>
        <w:t>分别为两水源径流经</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转换后的标准均匀变量，</w:t>
      </w:r>
      <m:oMath>
        <m:r>
          <w:rPr>
            <w:rFonts w:ascii="Cambria Math" w:eastAsia="宋体" w:hAnsi="Cambria Math" w:cs="Times New Roman"/>
            <w:sz w:val="21"/>
            <w:szCs w:val="21"/>
          </w:rPr>
          <m:t>C</m:t>
        </m:r>
        <m:d>
          <m:dPr>
            <m:ctrlPr>
              <w:rPr>
                <w:rFonts w:ascii="Cambria Math" w:eastAsia="宋体" w:hAnsi="Cambria Math" w:cs="Times New Roman"/>
                <w:i/>
                <w:sz w:val="21"/>
                <w:szCs w:val="21"/>
              </w:rPr>
            </m:ctrlPr>
          </m:dPr>
          <m:e>
            <m:r>
              <w:rPr>
                <w:rFonts w:ascii="Cambria Math" w:eastAsia="宋体" w:hAnsi="Cambria Math" w:cs="Times New Roman" w:hint="eastAsia"/>
                <w:sz w:val="21"/>
                <w:szCs w:val="21"/>
              </w:rPr>
              <m:t>u</m:t>
            </m:r>
            <m:r>
              <w:rPr>
                <w:rFonts w:ascii="Cambria Math" w:eastAsia="宋体" w:hAnsi="Cambria Math" w:cs="Times New Roman"/>
                <w:sz w:val="21"/>
                <w:szCs w:val="21"/>
              </w:rPr>
              <m:t>,</m:t>
            </m:r>
            <m:r>
              <w:rPr>
                <w:rFonts w:ascii="Cambria Math" w:eastAsia="宋体" w:hAnsi="Cambria Math" w:cs="Times New Roman" w:hint="eastAsia"/>
                <w:sz w:val="21"/>
                <w:szCs w:val="21"/>
              </w:rPr>
              <m:t>v</m:t>
            </m:r>
          </m:e>
        </m:d>
      </m:oMath>
      <w:r w:rsidRPr="009B0CD7">
        <w:rPr>
          <w:rFonts w:ascii="Times New Roman" w:eastAsia="宋体" w:hAnsi="Times New Roman" w:cs="Times New Roman"/>
          <w:sz w:val="21"/>
          <w:szCs w:val="21"/>
        </w:rPr>
        <w:t>为二元</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联合分布函数，</w:t>
      </w:r>
      <m:oMath>
        <m:r>
          <w:rPr>
            <w:rFonts w:ascii="Cambria Math" w:eastAsia="宋体" w:hAnsi="Cambria Math" w:cs="Times New Roman" w:hint="eastAsia"/>
            <w:sz w:val="21"/>
            <w:szCs w:val="21"/>
          </w:rPr>
          <m:t>q</m:t>
        </m:r>
        <m:r>
          <w:rPr>
            <w:rFonts w:ascii="Cambria Math" w:eastAsia="宋体" w:hAnsi="Cambria Math" w:cs="Times New Roman"/>
            <w:sz w:val="21"/>
            <w:szCs w:val="21"/>
          </w:rPr>
          <m:t>∈(0,1)</m:t>
        </m:r>
      </m:oMath>
      <w:r w:rsidRPr="009B0CD7">
        <w:rPr>
          <w:rFonts w:ascii="Times New Roman" w:eastAsia="宋体" w:hAnsi="Times New Roman" w:cs="Times New Roman"/>
          <w:sz w:val="21"/>
          <w:szCs w:val="21"/>
        </w:rPr>
        <w:t>为标准均匀概率空间中的概率</w:t>
      </w:r>
      <w:r w:rsidRPr="009B0CD7">
        <w:rPr>
          <w:rFonts w:ascii="Times New Roman" w:eastAsia="宋体" w:hAnsi="Times New Roman" w:cs="Times New Roman" w:hint="eastAsia"/>
          <w:sz w:val="21"/>
          <w:szCs w:val="21"/>
        </w:rPr>
        <w:t>水平（</w:t>
      </w:r>
      <w:r w:rsidRPr="009B0CD7">
        <w:rPr>
          <w:rFonts w:ascii="Times New Roman" w:eastAsia="宋体" w:hAnsi="Times New Roman" w:cs="Times New Roman"/>
          <w:sz w:val="21"/>
          <w:szCs w:val="21"/>
        </w:rPr>
        <w:t>分位</w:t>
      </w:r>
      <w:r w:rsidRPr="009B0CD7">
        <w:rPr>
          <w:rFonts w:ascii="Times New Roman" w:eastAsia="宋体" w:hAnsi="Times New Roman" w:cs="Times New Roman" w:hint="eastAsia"/>
          <w:sz w:val="21"/>
          <w:szCs w:val="21"/>
        </w:rPr>
        <w:t>概率）</w:t>
      </w:r>
      <w:r w:rsidRPr="009B0CD7">
        <w:rPr>
          <w:rFonts w:ascii="Times New Roman" w:eastAsia="宋体" w:hAnsi="Times New Roman" w:cs="Times New Roman"/>
          <w:sz w:val="21"/>
          <w:szCs w:val="21"/>
        </w:rPr>
        <w:t>，则下尾依赖系数</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L</m:t>
            </m:r>
          </m:sub>
        </m:sSub>
      </m:oMath>
      <w:r w:rsidRPr="009B0CD7">
        <w:rPr>
          <w:rFonts w:ascii="Times New Roman" w:eastAsia="宋体" w:hAnsi="Times New Roman" w:cs="Times New Roman"/>
          <w:sz w:val="21"/>
          <w:szCs w:val="21"/>
        </w:rPr>
        <w:t>和上尾依赖系数</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U</m:t>
            </m:r>
          </m:sub>
        </m:sSub>
      </m:oMath>
      <w:r w:rsidRPr="009B0CD7">
        <w:rPr>
          <w:rFonts w:ascii="Times New Roman" w:eastAsia="宋体" w:hAnsi="Times New Roman" w:cs="Times New Roman"/>
          <w:sz w:val="21"/>
          <w:szCs w:val="21"/>
        </w:rPr>
        <w:t>可分别表示为</w:t>
      </w:r>
    </w:p>
    <w:p w14:paraId="6A333B58" w14:textId="77777777" w:rsidR="0081344D" w:rsidRPr="009B0CD7" w:rsidRDefault="00000000">
      <w:pPr>
        <w:tabs>
          <w:tab w:val="left" w:pos="720"/>
        </w:tabs>
        <w:adjustRightInd w:val="0"/>
        <w:snapToGrid w:val="0"/>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L</m:t>
            </m:r>
          </m:sub>
        </m:sSub>
        <m:r>
          <w:rPr>
            <w:rFonts w:ascii="Cambria Math" w:eastAsia="宋体" w:hAnsi="Cambria Math" w:cs="Times New Roman"/>
            <w:sz w:val="21"/>
            <w:szCs w:val="21"/>
          </w:rPr>
          <m:t>=</m:t>
        </m:r>
        <m:func>
          <m:funcPr>
            <m:ctrlPr>
              <w:rPr>
                <w:rFonts w:ascii="Cambria Math" w:eastAsia="宋体" w:hAnsi="Cambria Math" w:cs="Times New Roman"/>
                <w:i/>
                <w:sz w:val="21"/>
                <w:szCs w:val="21"/>
              </w:rPr>
            </m:ctrlPr>
          </m:funcPr>
          <m:fName>
            <m:limLow>
              <m:limLowPr>
                <m:ctrlPr>
                  <w:rPr>
                    <w:rFonts w:ascii="Cambria Math" w:eastAsia="宋体" w:hAnsi="Cambria Math" w:cs="Times New Roman"/>
                    <w:i/>
                    <w:sz w:val="21"/>
                    <w:szCs w:val="21"/>
                  </w:rPr>
                </m:ctrlPr>
              </m:limLowPr>
              <m:e>
                <m:r>
                  <m:rPr>
                    <m:sty m:val="p"/>
                  </m:rPr>
                  <w:rPr>
                    <w:rFonts w:ascii="Cambria Math" w:eastAsia="宋体" w:hAnsi="Cambria Math" w:cs="Times New Roman"/>
                    <w:sz w:val="21"/>
                    <w:szCs w:val="21"/>
                  </w:rPr>
                  <m:t>lim</m:t>
                </m:r>
              </m:e>
              <m:lim>
                <m:r>
                  <w:rPr>
                    <w:rFonts w:ascii="Cambria Math" w:eastAsia="宋体" w:hAnsi="Cambria Math" w:cs="Times New Roman" w:hint="eastAsia"/>
                    <w:sz w:val="21"/>
                    <w:szCs w:val="21"/>
                  </w:rPr>
                  <m:t>q</m:t>
                </m:r>
                <m:r>
                  <w:rPr>
                    <w:rFonts w:ascii="Cambria Math" w:eastAsia="宋体" w:hAnsi="Cambria Math" w:cs="Times New Roman"/>
                    <w:sz w:val="21"/>
                    <w:szCs w:val="21"/>
                  </w:rPr>
                  <m:t>→</m:t>
                </m:r>
                <m:sSup>
                  <m:sSupPr>
                    <m:ctrlPr>
                      <w:rPr>
                        <w:rFonts w:ascii="Cambria Math" w:eastAsia="宋体" w:hAnsi="Cambria Math" w:cs="Times New Roman"/>
                        <w:i/>
                        <w:sz w:val="21"/>
                        <w:szCs w:val="21"/>
                      </w:rPr>
                    </m:ctrlPr>
                  </m:sSupPr>
                  <m:e>
                    <m:r>
                      <w:rPr>
                        <w:rFonts w:ascii="Cambria Math" w:eastAsia="宋体" w:hAnsi="Cambria Math" w:cs="Times New Roman"/>
                        <w:sz w:val="21"/>
                        <w:szCs w:val="21"/>
                      </w:rPr>
                      <m:t>0</m:t>
                    </m:r>
                  </m:e>
                  <m:sup>
                    <m:r>
                      <w:rPr>
                        <w:rFonts w:ascii="Cambria Math" w:eastAsia="宋体" w:hAnsi="Cambria Math" w:cs="Times New Roman"/>
                        <w:sz w:val="21"/>
                        <w:szCs w:val="21"/>
                      </w:rPr>
                      <m:t>+</m:t>
                    </m:r>
                  </m:sup>
                </m:sSup>
              </m:lim>
            </m:limLow>
          </m:fName>
          <m:e>
            <m:r>
              <w:rPr>
                <w:rFonts w:ascii="Cambria Math" w:eastAsia="宋体" w:hAnsi="Cambria Math" w:cs="Times New Roman"/>
                <w:sz w:val="21"/>
                <w:szCs w:val="21"/>
              </w:rPr>
              <m:t>C</m:t>
            </m:r>
            <m:d>
              <m:dPr>
                <m:ctrlPr>
                  <w:rPr>
                    <w:rFonts w:ascii="Cambria Math" w:eastAsia="宋体" w:hAnsi="Cambria Math" w:cs="Times New Roman"/>
                    <w:i/>
                    <w:sz w:val="21"/>
                    <w:szCs w:val="21"/>
                  </w:rPr>
                </m:ctrlPr>
              </m:dPr>
              <m:e>
                <m:r>
                  <w:rPr>
                    <w:rFonts w:ascii="Cambria Math" w:eastAsia="宋体" w:hAnsi="Cambria Math" w:cs="Times New Roman" w:hint="eastAsia"/>
                    <w:sz w:val="21"/>
                    <w:szCs w:val="21"/>
                  </w:rPr>
                  <m:t>q</m:t>
                </m:r>
                <m:r>
                  <w:rPr>
                    <w:rFonts w:ascii="Cambria Math" w:eastAsia="宋体" w:hAnsi="Cambria Math" w:cs="Times New Roman"/>
                    <w:sz w:val="21"/>
                    <w:szCs w:val="21"/>
                  </w:rPr>
                  <m:t>,</m:t>
                </m:r>
                <m:r>
                  <w:rPr>
                    <w:rFonts w:ascii="Cambria Math" w:eastAsia="宋体" w:hAnsi="Cambria Math" w:cs="Times New Roman" w:hint="eastAsia"/>
                    <w:sz w:val="21"/>
                    <w:szCs w:val="21"/>
                  </w:rPr>
                  <m:t>q</m:t>
                </m:r>
              </m:e>
            </m:d>
            <m:r>
              <w:rPr>
                <w:rFonts w:ascii="Cambria Math" w:eastAsia="宋体" w:hAnsi="Cambria Math" w:cs="Times New Roman"/>
                <w:sz w:val="21"/>
                <w:szCs w:val="21"/>
              </w:rPr>
              <m:t>/</m:t>
            </m:r>
            <m:r>
              <w:rPr>
                <w:rFonts w:ascii="Cambria Math" w:eastAsia="宋体" w:hAnsi="Cambria Math" w:cs="Times New Roman" w:hint="eastAsia"/>
                <w:sz w:val="21"/>
                <w:szCs w:val="21"/>
              </w:rPr>
              <m:t>q</m:t>
            </m:r>
          </m:e>
        </m:func>
      </m:oMath>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hint="eastAsia"/>
          <w:sz w:val="21"/>
          <w:szCs w:val="21"/>
        </w:rPr>
        <w:t>5</w:t>
      </w:r>
      <w:r w:rsidRPr="009B0CD7">
        <w:rPr>
          <w:rFonts w:ascii="Times New Roman" w:eastAsia="宋体" w:hAnsi="Times New Roman" w:cs="Times New Roman" w:hint="eastAsia"/>
          <w:sz w:val="21"/>
          <w:szCs w:val="21"/>
        </w:rPr>
        <w:t>）</w:t>
      </w:r>
    </w:p>
    <w:p w14:paraId="4A787BE2" w14:textId="77777777" w:rsidR="0081344D" w:rsidRPr="009B0CD7" w:rsidRDefault="00000000">
      <w:pPr>
        <w:tabs>
          <w:tab w:val="left" w:pos="720"/>
        </w:tabs>
        <w:adjustRightInd w:val="0"/>
        <w:snapToGrid w:val="0"/>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U</m:t>
            </m:r>
          </m:sub>
        </m:sSub>
        <m:r>
          <w:rPr>
            <w:rFonts w:ascii="Cambria Math" w:eastAsia="宋体" w:hAnsi="Cambria Math" w:cs="Times New Roman"/>
            <w:sz w:val="21"/>
            <w:szCs w:val="21"/>
          </w:rPr>
          <m:t>=</m:t>
        </m:r>
        <m:func>
          <m:funcPr>
            <m:ctrlPr>
              <w:rPr>
                <w:rFonts w:ascii="Cambria Math" w:eastAsia="宋体" w:hAnsi="Cambria Math" w:cs="Times New Roman"/>
                <w:i/>
                <w:sz w:val="21"/>
                <w:szCs w:val="21"/>
              </w:rPr>
            </m:ctrlPr>
          </m:funcPr>
          <m:fName>
            <m:limLow>
              <m:limLowPr>
                <m:ctrlPr>
                  <w:rPr>
                    <w:rFonts w:ascii="Cambria Math" w:eastAsia="宋体" w:hAnsi="Cambria Math" w:cs="Times New Roman"/>
                    <w:i/>
                    <w:sz w:val="21"/>
                    <w:szCs w:val="21"/>
                  </w:rPr>
                </m:ctrlPr>
              </m:limLowPr>
              <m:e>
                <m:r>
                  <m:rPr>
                    <m:sty m:val="p"/>
                  </m:rPr>
                  <w:rPr>
                    <w:rFonts w:ascii="Cambria Math" w:eastAsia="宋体" w:hAnsi="Cambria Math" w:cs="Times New Roman"/>
                    <w:sz w:val="21"/>
                    <w:szCs w:val="21"/>
                  </w:rPr>
                  <m:t>lim</m:t>
                </m:r>
              </m:e>
              <m:lim>
                <m:r>
                  <w:rPr>
                    <w:rFonts w:ascii="Cambria Math" w:eastAsia="宋体" w:hAnsi="Cambria Math" w:cs="Times New Roman" w:hint="eastAsia"/>
                    <w:sz w:val="21"/>
                    <w:szCs w:val="21"/>
                  </w:rPr>
                  <m:t>q</m:t>
                </m:r>
                <m:r>
                  <w:rPr>
                    <w:rFonts w:ascii="Cambria Math" w:eastAsia="宋体" w:hAnsi="Cambria Math" w:cs="Times New Roman"/>
                    <w:sz w:val="21"/>
                    <w:szCs w:val="21"/>
                  </w:rPr>
                  <m:t>→</m:t>
                </m:r>
                <m:sSup>
                  <m:sSupPr>
                    <m:ctrlPr>
                      <w:rPr>
                        <w:rFonts w:ascii="Cambria Math" w:eastAsia="宋体" w:hAnsi="Cambria Math" w:cs="Times New Roman"/>
                        <w:i/>
                        <w:sz w:val="21"/>
                        <w:szCs w:val="21"/>
                      </w:rPr>
                    </m:ctrlPr>
                  </m:sSupPr>
                  <m:e>
                    <m:r>
                      <w:rPr>
                        <w:rFonts w:ascii="Cambria Math" w:eastAsia="宋体" w:hAnsi="Cambria Math" w:cs="Times New Roman"/>
                        <w:sz w:val="21"/>
                        <w:szCs w:val="21"/>
                      </w:rPr>
                      <m:t>1</m:t>
                    </m:r>
                  </m:e>
                  <m:sup>
                    <m:r>
                      <w:rPr>
                        <w:rFonts w:ascii="Cambria Math" w:eastAsia="宋体" w:hAnsi="Cambria Math" w:cs="Times New Roman"/>
                        <w:sz w:val="21"/>
                        <w:szCs w:val="21"/>
                      </w:rPr>
                      <m:t>-</m:t>
                    </m:r>
                  </m:sup>
                </m:sSup>
              </m:lim>
            </m:limLow>
          </m:fName>
          <m:e>
            <m:d>
              <m:dPr>
                <m:begChr m:val="["/>
                <m:endChr m:val="]"/>
                <m:ctrlPr>
                  <w:rPr>
                    <w:rFonts w:ascii="Cambria Math" w:eastAsia="宋体" w:hAnsi="Cambria Math" w:cs="Times New Roman"/>
                    <w:i/>
                    <w:sz w:val="21"/>
                    <w:szCs w:val="21"/>
                  </w:rPr>
                </m:ctrlPr>
              </m:dPr>
              <m:e>
                <m:r>
                  <w:rPr>
                    <w:rFonts w:ascii="Cambria Math" w:eastAsia="宋体" w:hAnsi="Cambria Math" w:cs="Times New Roman"/>
                    <w:sz w:val="21"/>
                    <w:szCs w:val="21"/>
                  </w:rPr>
                  <m:t>1-2</m:t>
                </m:r>
                <m:r>
                  <w:rPr>
                    <w:rFonts w:ascii="Cambria Math" w:eastAsia="宋体" w:hAnsi="Cambria Math" w:cs="Times New Roman" w:hint="eastAsia"/>
                    <w:sz w:val="21"/>
                    <w:szCs w:val="21"/>
                  </w:rPr>
                  <m:t>q</m:t>
                </m:r>
                <m:r>
                  <w:rPr>
                    <w:rFonts w:ascii="Cambria Math" w:eastAsia="宋体" w:hAnsi="Cambria Math" w:cs="Times New Roman"/>
                    <w:sz w:val="21"/>
                    <w:szCs w:val="21"/>
                  </w:rPr>
                  <m:t>+C</m:t>
                </m:r>
                <m:d>
                  <m:dPr>
                    <m:ctrlPr>
                      <w:rPr>
                        <w:rFonts w:ascii="Cambria Math" w:eastAsia="宋体" w:hAnsi="Cambria Math" w:cs="Times New Roman"/>
                        <w:i/>
                        <w:sz w:val="21"/>
                        <w:szCs w:val="21"/>
                      </w:rPr>
                    </m:ctrlPr>
                  </m:dPr>
                  <m:e>
                    <m:r>
                      <w:rPr>
                        <w:rFonts w:ascii="Cambria Math" w:eastAsia="宋体" w:hAnsi="Cambria Math" w:cs="Times New Roman" w:hint="eastAsia"/>
                        <w:sz w:val="21"/>
                        <w:szCs w:val="21"/>
                      </w:rPr>
                      <m:t>q</m:t>
                    </m:r>
                    <m:r>
                      <w:rPr>
                        <w:rFonts w:ascii="Cambria Math" w:eastAsia="宋体" w:hAnsi="Cambria Math" w:cs="Times New Roman"/>
                        <w:sz w:val="21"/>
                        <w:szCs w:val="21"/>
                      </w:rPr>
                      <m:t>,</m:t>
                    </m:r>
                    <m:r>
                      <w:rPr>
                        <w:rFonts w:ascii="Cambria Math" w:eastAsia="宋体" w:hAnsi="Cambria Math" w:cs="Times New Roman" w:hint="eastAsia"/>
                        <w:sz w:val="21"/>
                        <w:szCs w:val="21"/>
                      </w:rPr>
                      <m:t>q</m:t>
                    </m:r>
                  </m:e>
                </m:d>
              </m:e>
            </m:d>
            <m:r>
              <w:rPr>
                <w:rFonts w:ascii="Cambria Math" w:eastAsia="宋体" w:hAnsi="Cambria Math" w:cs="Times New Roman"/>
                <w:sz w:val="21"/>
                <w:szCs w:val="21"/>
              </w:rPr>
              <m:t>/(1-</m:t>
            </m:r>
            <m:r>
              <w:rPr>
                <w:rFonts w:ascii="Cambria Math" w:eastAsia="宋体" w:hAnsi="Cambria Math" w:cs="Times New Roman" w:hint="eastAsia"/>
                <w:sz w:val="21"/>
                <w:szCs w:val="21"/>
              </w:rPr>
              <m:t>q</m:t>
            </m:r>
            <m:r>
              <w:rPr>
                <w:rFonts w:ascii="Cambria Math" w:eastAsia="宋体" w:hAnsi="Cambria Math" w:cs="Times New Roman"/>
                <w:sz w:val="21"/>
                <w:szCs w:val="21"/>
              </w:rPr>
              <m:t xml:space="preserve">) </m:t>
            </m:r>
          </m:e>
        </m:func>
      </m:oMath>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hint="eastAsia"/>
          <w:sz w:val="21"/>
          <w:szCs w:val="21"/>
        </w:rPr>
        <w:t>6</w:t>
      </w:r>
      <w:r w:rsidRPr="009B0CD7">
        <w:rPr>
          <w:rFonts w:ascii="Times New Roman" w:eastAsia="宋体" w:hAnsi="Times New Roman" w:cs="Times New Roman" w:hint="eastAsia"/>
          <w:sz w:val="21"/>
          <w:szCs w:val="21"/>
        </w:rPr>
        <w:t>）</w:t>
      </w:r>
    </w:p>
    <w:p w14:paraId="0B356093" w14:textId="77777777" w:rsidR="0081344D" w:rsidRPr="009B0CD7" w:rsidRDefault="00000000">
      <w:pPr>
        <w:tabs>
          <w:tab w:val="left" w:pos="720"/>
        </w:tabs>
        <w:spacing w:after="0" w:line="240" w:lineRule="auto"/>
        <w:jc w:val="both"/>
        <w:rPr>
          <w:rFonts w:ascii="Times New Roman" w:eastAsia="宋体" w:hAnsi="Times New Roman" w:cs="Times New Roman"/>
          <w:i/>
          <w:sz w:val="21"/>
          <w:szCs w:val="21"/>
        </w:rPr>
      </w:pPr>
      <w:r w:rsidRPr="009B0CD7">
        <w:rPr>
          <w:rFonts w:ascii="Times New Roman" w:eastAsia="宋体" w:hAnsi="Times New Roman" w:cs="Times New Roman" w:hint="eastAsia"/>
          <w:sz w:val="21"/>
          <w:szCs w:val="21"/>
        </w:rPr>
        <w:t>式中，</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L</m:t>
            </m:r>
          </m:sub>
        </m:sSub>
      </m:oMath>
      <w:r w:rsidRPr="009B0CD7">
        <w:rPr>
          <w:rFonts w:ascii="Times New Roman" w:eastAsia="宋体" w:hAnsi="Times New Roman" w:cs="Times New Roman" w:hint="eastAsia"/>
          <w:sz w:val="21"/>
          <w:szCs w:val="21"/>
        </w:rPr>
        <w:t>和</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U</m:t>
            </m:r>
          </m:sub>
        </m:sSub>
      </m:oMath>
      <w:r w:rsidRPr="009B0CD7">
        <w:rPr>
          <w:rFonts w:ascii="Times New Roman" w:eastAsia="宋体" w:hAnsi="Times New Roman" w:cs="Times New Roman" w:hint="eastAsia"/>
          <w:sz w:val="21"/>
          <w:szCs w:val="21"/>
        </w:rPr>
        <w:t>的取值范围均为</w:t>
      </w:r>
      <m:oMath>
        <m:r>
          <w:rPr>
            <w:rFonts w:ascii="Cambria Math" w:eastAsia="宋体" w:hAnsi="Cambria Math" w:cs="Times New Roman"/>
            <w:sz w:val="21"/>
            <w:szCs w:val="21"/>
          </w:rPr>
          <m:t>[0,1]</m:t>
        </m:r>
      </m:oMath>
      <w:r w:rsidRPr="009B0CD7">
        <w:rPr>
          <w:rFonts w:ascii="Times New Roman" w:eastAsia="宋体" w:hAnsi="Times New Roman" w:cs="Times New Roman" w:hint="eastAsia"/>
          <w:sz w:val="21"/>
          <w:szCs w:val="21"/>
        </w:rPr>
        <w:t>。当</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L</m:t>
            </m:r>
          </m:sub>
        </m:sSub>
        <m:r>
          <w:rPr>
            <w:rFonts w:ascii="Cambria Math" w:eastAsia="宋体" w:hAnsi="Cambria Math" w:cs="Times New Roman"/>
            <w:sz w:val="21"/>
            <w:szCs w:val="21"/>
          </w:rPr>
          <m:t>&gt;0</m:t>
        </m:r>
      </m:oMath>
      <w:r w:rsidRPr="009B0CD7">
        <w:rPr>
          <w:rFonts w:ascii="Times New Roman" w:eastAsia="宋体" w:hAnsi="Times New Roman" w:cs="Times New Roman" w:hint="eastAsia"/>
          <w:sz w:val="21"/>
          <w:szCs w:val="21"/>
        </w:rPr>
        <w:t>时，</w:t>
      </w:r>
      <w:r w:rsidRPr="009B0CD7">
        <w:rPr>
          <w:rFonts w:ascii="Times New Roman" w:eastAsia="宋体" w:hAnsi="Times New Roman" w:cs="Times New Roman"/>
          <w:sz w:val="21"/>
          <w:szCs w:val="21"/>
        </w:rPr>
        <w:t>表示两个变量存在渐近下尾依赖，数值越大表明极端低值同步发生的倾向越强</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当</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L</m:t>
            </m:r>
          </m:sub>
        </m:sSub>
        <m:r>
          <w:rPr>
            <w:rFonts w:ascii="Cambria Math" w:eastAsia="宋体" w:hAnsi="Cambria Math" w:cs="Times New Roman"/>
            <w:sz w:val="21"/>
            <w:szCs w:val="21"/>
          </w:rPr>
          <m:t>=0</m:t>
        </m:r>
      </m:oMath>
      <w:r w:rsidRPr="009B0CD7">
        <w:rPr>
          <w:rFonts w:ascii="Times New Roman" w:eastAsia="宋体" w:hAnsi="Times New Roman" w:cs="Times New Roman" w:hint="eastAsia"/>
          <w:sz w:val="21"/>
          <w:szCs w:val="21"/>
        </w:rPr>
        <w:t>时，</w:t>
      </w:r>
      <w:r w:rsidRPr="009B0CD7">
        <w:rPr>
          <w:rFonts w:ascii="Times New Roman" w:eastAsia="宋体" w:hAnsi="Times New Roman" w:cs="Times New Roman"/>
          <w:sz w:val="21"/>
          <w:szCs w:val="21"/>
        </w:rPr>
        <w:t>表示</w:t>
      </w:r>
      <w:r w:rsidRPr="009B0CD7">
        <w:rPr>
          <w:rFonts w:ascii="Times New Roman" w:eastAsia="宋体" w:hAnsi="Times New Roman" w:cs="Times New Roman" w:hint="eastAsia"/>
          <w:sz w:val="21"/>
          <w:szCs w:val="21"/>
        </w:rPr>
        <w:t>下尾渐近独立</w:t>
      </w:r>
      <w:r w:rsidRPr="009B0CD7">
        <w:rPr>
          <w:rFonts w:ascii="Times New Roman" w:eastAsia="宋体" w:hAnsi="Times New Roman" w:cs="Times New Roman"/>
          <w:sz w:val="21"/>
          <w:szCs w:val="21"/>
        </w:rPr>
        <w:t>。类似地</w:t>
      </w:r>
      <w:r w:rsidRPr="009B0CD7">
        <w:rPr>
          <w:rFonts w:ascii="Times New Roman" w:eastAsia="宋体" w:hAnsi="Times New Roman" w:cs="Times New Roman" w:hint="eastAsia"/>
          <w:sz w:val="21"/>
          <w:szCs w:val="21"/>
        </w:rPr>
        <w:t>，</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U</m:t>
            </m:r>
          </m:sub>
        </m:sSub>
        <m:r>
          <w:rPr>
            <w:rFonts w:ascii="Cambria Math" w:eastAsia="宋体" w:hAnsi="Cambria Math" w:cs="Times New Roman"/>
            <w:sz w:val="21"/>
            <w:szCs w:val="21"/>
          </w:rPr>
          <m:t>&gt;0</m:t>
        </m:r>
      </m:oMath>
      <w:r w:rsidRPr="009B0CD7">
        <w:rPr>
          <w:rFonts w:ascii="Times New Roman" w:eastAsia="宋体" w:hAnsi="Times New Roman" w:cs="Times New Roman" w:hint="eastAsia"/>
          <w:sz w:val="21"/>
          <w:szCs w:val="21"/>
        </w:rPr>
        <w:t>表示</w:t>
      </w:r>
      <w:r w:rsidRPr="009B0CD7">
        <w:rPr>
          <w:rFonts w:ascii="Times New Roman" w:eastAsia="宋体" w:hAnsi="Times New Roman" w:cs="Times New Roman"/>
          <w:sz w:val="21"/>
          <w:szCs w:val="21"/>
        </w:rPr>
        <w:t>存在渐近上尾依赖，</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λ</m:t>
            </m:r>
          </m:e>
          <m:sub>
            <m:r>
              <m:rPr>
                <m:sty m:val="p"/>
              </m:rPr>
              <w:rPr>
                <w:rFonts w:ascii="Cambria Math" w:eastAsia="宋体" w:hAnsi="Cambria Math" w:cs="Times New Roman"/>
                <w:sz w:val="21"/>
                <w:szCs w:val="21"/>
              </w:rPr>
              <m:t>U</m:t>
            </m:r>
          </m:sub>
        </m:sSub>
        <m:r>
          <w:rPr>
            <w:rFonts w:ascii="Cambria Math" w:eastAsia="宋体" w:hAnsi="Cambria Math" w:cs="Times New Roman"/>
            <w:sz w:val="21"/>
            <w:szCs w:val="21"/>
          </w:rPr>
          <m:t>=0</m:t>
        </m:r>
      </m:oMath>
      <w:r w:rsidRPr="009B0CD7">
        <w:rPr>
          <w:rFonts w:ascii="Times New Roman" w:eastAsia="宋体" w:hAnsi="Times New Roman" w:cs="Times New Roman"/>
          <w:sz w:val="21"/>
          <w:szCs w:val="21"/>
        </w:rPr>
        <w:t>表示</w:t>
      </w:r>
      <w:r w:rsidRPr="009B0CD7">
        <w:rPr>
          <w:rFonts w:ascii="Times New Roman" w:eastAsia="宋体" w:hAnsi="Times New Roman" w:cs="Times New Roman" w:hint="eastAsia"/>
          <w:sz w:val="21"/>
          <w:szCs w:val="21"/>
        </w:rPr>
        <w:t>上尾</w:t>
      </w:r>
      <w:r w:rsidRPr="009B0CD7">
        <w:rPr>
          <w:rFonts w:ascii="Times New Roman" w:eastAsia="宋体" w:hAnsi="Times New Roman" w:cs="Times New Roman"/>
          <w:sz w:val="21"/>
          <w:szCs w:val="21"/>
        </w:rPr>
        <w:t>渐近</w:t>
      </w:r>
      <w:r w:rsidRPr="009B0CD7">
        <w:rPr>
          <w:rFonts w:ascii="Times New Roman" w:eastAsia="宋体" w:hAnsi="Times New Roman" w:cs="Times New Roman" w:hint="eastAsia"/>
          <w:sz w:val="21"/>
          <w:szCs w:val="21"/>
        </w:rPr>
        <w:t>独立</w:t>
      </w:r>
      <w:r w:rsidRPr="009B0CD7">
        <w:rPr>
          <w:rFonts w:ascii="Times New Roman" w:eastAsia="宋体" w:hAnsi="Times New Roman" w:cs="Times New Roman"/>
          <w:sz w:val="21"/>
          <w:szCs w:val="21"/>
        </w:rPr>
        <w:t>。因此，本文以尾部依赖系数是否为</w:t>
      </w:r>
      <w:r w:rsidRPr="009B0CD7">
        <w:rPr>
          <w:rFonts w:ascii="Times New Roman" w:eastAsia="宋体" w:hAnsi="Times New Roman" w:cs="Times New Roman"/>
          <w:sz w:val="21"/>
          <w:szCs w:val="21"/>
        </w:rPr>
        <w:t>0</w:t>
      </w:r>
      <w:r w:rsidRPr="009B0CD7">
        <w:rPr>
          <w:rFonts w:ascii="Times New Roman" w:eastAsia="宋体" w:hAnsi="Times New Roman" w:cs="Times New Roman"/>
          <w:sz w:val="21"/>
          <w:szCs w:val="21"/>
        </w:rPr>
        <w:t>作为渐近尾部依赖的判定依据，不另设经验</w:t>
      </w:r>
      <w:r w:rsidRPr="009B0CD7">
        <w:rPr>
          <w:rFonts w:ascii="Times New Roman" w:eastAsia="宋体" w:hAnsi="Times New Roman" w:cs="Times New Roman" w:hint="eastAsia"/>
          <w:sz w:val="21"/>
          <w:szCs w:val="21"/>
        </w:rPr>
        <w:t>分级</w:t>
      </w:r>
      <w:r w:rsidRPr="009B0CD7">
        <w:rPr>
          <w:rFonts w:ascii="Times New Roman" w:eastAsia="宋体" w:hAnsi="Times New Roman" w:cs="Times New Roman"/>
          <w:sz w:val="21"/>
          <w:szCs w:val="21"/>
        </w:rPr>
        <w:t>阈值</w:t>
      </w:r>
      <w:r w:rsidRPr="009B0CD7">
        <w:rPr>
          <w:rFonts w:ascii="Times New Roman" w:hAnsi="Times New Roman" w:cs="Times New Roman"/>
          <w:kern w:val="0"/>
          <w:sz w:val="21"/>
          <w:szCs w:val="21"/>
          <w:vertAlign w:val="superscript"/>
        </w:rPr>
        <w:t>[40]</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不同</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族具有不同的尾部依赖特征，其中</w:t>
      </w:r>
      <w:r w:rsidRPr="009B0CD7">
        <w:rPr>
          <w:rFonts w:ascii="Times New Roman" w:eastAsia="宋体" w:hAnsi="Times New Roman" w:cs="Times New Roman"/>
          <w:sz w:val="21"/>
          <w:szCs w:val="21"/>
        </w:rPr>
        <w:t>Gumbel Copula</w:t>
      </w:r>
      <w:r w:rsidRPr="009B0CD7">
        <w:rPr>
          <w:rFonts w:ascii="Times New Roman" w:eastAsia="宋体" w:hAnsi="Times New Roman" w:cs="Times New Roman"/>
          <w:sz w:val="21"/>
          <w:szCs w:val="21"/>
        </w:rPr>
        <w:t>具有</w:t>
      </w:r>
      <w:r w:rsidRPr="009B0CD7">
        <w:rPr>
          <w:rFonts w:ascii="Times New Roman" w:eastAsia="宋体" w:hAnsi="Times New Roman" w:cs="Times New Roman" w:hint="eastAsia"/>
          <w:sz w:val="21"/>
          <w:szCs w:val="21"/>
        </w:rPr>
        <w:t>渐近</w:t>
      </w:r>
      <w:r w:rsidRPr="009B0CD7">
        <w:rPr>
          <w:rFonts w:ascii="Times New Roman" w:eastAsia="宋体" w:hAnsi="Times New Roman" w:cs="Times New Roman"/>
          <w:sz w:val="21"/>
          <w:szCs w:val="21"/>
        </w:rPr>
        <w:t>上尾依赖</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Clayton Copula</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Survival Gumbel Copula</w:t>
      </w:r>
      <w:r w:rsidRPr="009B0CD7">
        <w:rPr>
          <w:rFonts w:ascii="Times New Roman" w:eastAsia="宋体" w:hAnsi="Times New Roman" w:cs="Times New Roman"/>
          <w:sz w:val="21"/>
          <w:szCs w:val="21"/>
        </w:rPr>
        <w:t>具有</w:t>
      </w:r>
      <w:r w:rsidRPr="009B0CD7">
        <w:rPr>
          <w:rFonts w:ascii="Times New Roman" w:eastAsia="宋体" w:hAnsi="Times New Roman" w:cs="Times New Roman" w:hint="eastAsia"/>
          <w:sz w:val="21"/>
          <w:szCs w:val="21"/>
        </w:rPr>
        <w:t>渐近</w:t>
      </w:r>
      <w:r w:rsidRPr="009B0CD7">
        <w:rPr>
          <w:rFonts w:ascii="Times New Roman" w:eastAsia="宋体" w:hAnsi="Times New Roman" w:cs="Times New Roman"/>
          <w:sz w:val="21"/>
          <w:szCs w:val="21"/>
        </w:rPr>
        <w:t>下尾依赖</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Student’s t Copula</w:t>
      </w:r>
      <w:r w:rsidRPr="009B0CD7">
        <w:rPr>
          <w:rFonts w:ascii="Times New Roman" w:eastAsia="宋体" w:hAnsi="Times New Roman" w:cs="Times New Roman" w:hint="eastAsia"/>
          <w:sz w:val="21"/>
          <w:szCs w:val="21"/>
        </w:rPr>
        <w:t>可刻画</w:t>
      </w:r>
      <w:r w:rsidRPr="009B0CD7">
        <w:rPr>
          <w:rFonts w:ascii="Times New Roman" w:eastAsia="宋体" w:hAnsi="Times New Roman" w:cs="Times New Roman"/>
          <w:sz w:val="21"/>
          <w:szCs w:val="21"/>
        </w:rPr>
        <w:t>对称双尾依赖，而</w:t>
      </w:r>
      <w:r w:rsidRPr="009B0CD7">
        <w:rPr>
          <w:rFonts w:ascii="Times New Roman" w:eastAsia="宋体" w:hAnsi="Times New Roman" w:cs="Times New Roman"/>
          <w:sz w:val="21"/>
          <w:szCs w:val="21"/>
        </w:rPr>
        <w:t>Gaussian Copula</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Frank Copula</w:t>
      </w:r>
      <w:r w:rsidRPr="009B0CD7">
        <w:rPr>
          <w:rFonts w:ascii="Times New Roman" w:eastAsia="宋体" w:hAnsi="Times New Roman" w:cs="Times New Roman"/>
          <w:sz w:val="21"/>
          <w:szCs w:val="21"/>
        </w:rPr>
        <w:t>在渐近意义上不具有尾部依赖</w:t>
      </w:r>
      <w:r w:rsidRPr="009B0CD7">
        <w:rPr>
          <w:rFonts w:ascii="Times New Roman" w:hAnsi="Times New Roman" w:cs="Times New Roman"/>
          <w:kern w:val="0"/>
          <w:sz w:val="21"/>
          <w:szCs w:val="21"/>
          <w:vertAlign w:val="superscript"/>
        </w:rPr>
        <w:t>[22, 40]</w:t>
      </w:r>
      <w:r w:rsidRPr="009B0CD7">
        <w:rPr>
          <w:rFonts w:ascii="Times New Roman" w:eastAsia="宋体" w:hAnsi="Times New Roman" w:cs="Times New Roman"/>
          <w:sz w:val="21"/>
          <w:szCs w:val="21"/>
        </w:rPr>
        <w:t>。</w:t>
      </w:r>
    </w:p>
    <w:p w14:paraId="19C6A838" w14:textId="77777777" w:rsidR="0081344D" w:rsidRPr="009B0CD7" w:rsidRDefault="00000000">
      <w:pPr>
        <w:tabs>
          <w:tab w:val="left" w:pos="72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传统</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模型通常假设依赖参数在时间尺度上保持稳定，即</w:t>
      </w:r>
    </w:p>
    <w:p w14:paraId="75302463" w14:textId="77777777" w:rsidR="0081344D" w:rsidRPr="009B0CD7" w:rsidRDefault="00000000">
      <w:pPr>
        <w:tabs>
          <w:tab w:val="left" w:pos="720"/>
        </w:tabs>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θ</m:t>
            </m:r>
          </m:e>
          <m:sub>
            <m:r>
              <w:rPr>
                <w:rFonts w:ascii="Cambria Math" w:eastAsia="宋体" w:hAnsi="Cambria Math" w:cs="Times New Roman"/>
                <w:sz w:val="21"/>
                <w:szCs w:val="21"/>
              </w:rPr>
              <m:t>t</m:t>
            </m:r>
          </m:sub>
        </m:sSub>
        <m:r>
          <w:rPr>
            <w:rFonts w:ascii="Cambria Math" w:eastAsia="宋体" w:hAnsi="Cambria Math" w:cs="Times New Roman"/>
            <w:sz w:val="21"/>
            <w:szCs w:val="21"/>
          </w:rPr>
          <m:t>=θ</m:t>
        </m:r>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7</w:t>
      </w:r>
      <w:r w:rsidRPr="009B0CD7">
        <w:rPr>
          <w:rFonts w:ascii="Times New Roman" w:eastAsia="宋体" w:hAnsi="Times New Roman" w:cs="Times New Roman"/>
          <w:sz w:val="21"/>
          <w:szCs w:val="21"/>
        </w:rPr>
        <w:t>）</w:t>
      </w:r>
    </w:p>
    <w:p w14:paraId="52F0E512" w14:textId="77777777" w:rsidR="0081344D" w:rsidRPr="009B0CD7" w:rsidRDefault="00000000">
      <w:pPr>
        <w:tabs>
          <w:tab w:val="left" w:pos="72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然而在气候变化背景下，流域水文过程及其相互作用关系往往表现出显著非平稳特征，固定参数假设难以反映双水源系统相依结构随外部驱动因子变化而产生的动态调整过程。因此，本文进一步构建条件时变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模型，将依赖参数表示为协变量驱动下的动态函数</w:t>
      </w:r>
      <w:r w:rsidRPr="009B0CD7">
        <w:rPr>
          <w:rFonts w:ascii="Times New Roman" w:eastAsia="宋体" w:hAnsi="Times New Roman" w:cs="Times New Roman" w:hint="eastAsia"/>
          <w:sz w:val="21"/>
          <w:szCs w:val="21"/>
        </w:rPr>
        <w:t>为</w:t>
      </w:r>
    </w:p>
    <w:p w14:paraId="7E90CE29" w14:textId="77777777" w:rsidR="0081344D" w:rsidRPr="009B0CD7" w:rsidRDefault="00000000">
      <w:pPr>
        <w:tabs>
          <w:tab w:val="left" w:pos="720"/>
        </w:tabs>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θ</m:t>
            </m:r>
          </m:e>
          <m:sub>
            <m:r>
              <w:rPr>
                <w:rFonts w:ascii="Cambria Math" w:eastAsia="宋体" w:hAnsi="Cambria Math" w:cs="Times New Roman"/>
                <w:sz w:val="21"/>
                <w:szCs w:val="21"/>
              </w:rPr>
              <m:t>t</m:t>
            </m:r>
          </m:sub>
        </m:sSub>
        <m:r>
          <w:rPr>
            <w:rFonts w:ascii="Cambria Math" w:eastAsia="宋体" w:hAnsi="Cambria Math" w:cs="Times New Roman"/>
            <w:sz w:val="21"/>
            <w:szCs w:val="21"/>
          </w:rPr>
          <m:t>=</m:t>
        </m:r>
        <m:sSup>
          <m:sSupPr>
            <m:ctrlPr>
              <w:rPr>
                <w:rFonts w:ascii="Cambria Math" w:eastAsia="宋体" w:hAnsi="Cambria Math" w:cs="Times New Roman"/>
                <w:i/>
                <w:sz w:val="21"/>
                <w:szCs w:val="21"/>
              </w:rPr>
            </m:ctrlPr>
          </m:sSupPr>
          <m:e>
            <m:r>
              <w:rPr>
                <w:rFonts w:ascii="Cambria Math" w:eastAsia="宋体" w:hAnsi="Cambria Math" w:cs="Times New Roman"/>
                <w:sz w:val="21"/>
                <w:szCs w:val="21"/>
              </w:rPr>
              <m:t>g</m:t>
            </m:r>
          </m:e>
          <m:sup>
            <m:r>
              <w:rPr>
                <w:rFonts w:ascii="Cambria Math" w:eastAsia="宋体" w:hAnsi="Cambria Math" w:cs="Times New Roman"/>
                <w:sz w:val="21"/>
                <w:szCs w:val="21"/>
              </w:rPr>
              <m:t>-1</m:t>
            </m:r>
          </m:sup>
        </m:sSup>
        <m:d>
          <m:dPr>
            <m:ctrlPr>
              <w:rPr>
                <w:rFonts w:ascii="Cambria Math" w:eastAsia="宋体" w:hAnsi="Cambria Math" w:cs="Times New Roman"/>
                <w:i/>
                <w:sz w:val="21"/>
                <w:szCs w:val="21"/>
              </w:rPr>
            </m:ctrlPr>
          </m:dPr>
          <m:e>
            <m:r>
              <w:rPr>
                <w:rFonts w:ascii="Cambria Math" w:eastAsia="宋体" w:hAnsi="Cambria Math" w:cs="Times New Roman"/>
                <w:sz w:val="21"/>
                <w:szCs w:val="21"/>
              </w:rPr>
              <m:t>α+</m:t>
            </m:r>
            <m:sSup>
              <m:sSupPr>
                <m:ctrlPr>
                  <w:rPr>
                    <w:rFonts w:ascii="Cambria Math" w:eastAsia="宋体" w:hAnsi="Cambria Math" w:cs="Times New Roman"/>
                    <w:i/>
                    <w:sz w:val="21"/>
                    <w:szCs w:val="21"/>
                  </w:rPr>
                </m:ctrlPr>
              </m:sSupPr>
              <m:e>
                <m:r>
                  <m:rPr>
                    <m:sty m:val="bi"/>
                  </m:rPr>
                  <w:rPr>
                    <w:rFonts w:ascii="Cambria Math" w:eastAsia="宋体" w:hAnsi="Cambria Math" w:cs="Times New Roman"/>
                    <w:sz w:val="21"/>
                    <w:szCs w:val="21"/>
                  </w:rPr>
                  <m:t>β</m:t>
                </m:r>
              </m:e>
              <m:sup>
                <m:r>
                  <m:rPr>
                    <m:sty m:val="p"/>
                  </m:rPr>
                  <w:rPr>
                    <w:rFonts w:ascii="Cambria Math" w:eastAsia="宋体" w:hAnsi="Cambria Math" w:cs="Times New Roman"/>
                    <w:sz w:val="21"/>
                    <w:szCs w:val="21"/>
                  </w:rPr>
                  <m:t>T</m:t>
                </m:r>
              </m:sup>
            </m:sSup>
            <m:sSub>
              <m:sSubPr>
                <m:ctrlPr>
                  <w:rPr>
                    <w:rFonts w:ascii="Cambria Math" w:eastAsia="宋体" w:hAnsi="Cambria Math" w:cs="Times New Roman"/>
                    <w:i/>
                    <w:sz w:val="21"/>
                    <w:szCs w:val="21"/>
                  </w:rPr>
                </m:ctrlPr>
              </m:sSubPr>
              <m:e>
                <m:r>
                  <m:rPr>
                    <m:sty m:val="bi"/>
                  </m:rPr>
                  <w:rPr>
                    <w:rFonts w:ascii="Cambria Math" w:eastAsia="宋体" w:hAnsi="Cambria Math" w:cs="Times New Roman"/>
                    <w:sz w:val="21"/>
                    <w:szCs w:val="21"/>
                  </w:rPr>
                  <m:t>Z</m:t>
                </m:r>
              </m:e>
              <m:sub>
                <m:r>
                  <w:rPr>
                    <w:rFonts w:ascii="Cambria Math" w:eastAsia="宋体" w:hAnsi="Cambria Math" w:cs="Times New Roman"/>
                    <w:sz w:val="21"/>
                    <w:szCs w:val="21"/>
                  </w:rPr>
                  <m:t>t</m:t>
                </m:r>
              </m:sub>
            </m:sSub>
          </m:e>
        </m:d>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8</w:t>
      </w:r>
      <w:r w:rsidRPr="009B0CD7">
        <w:rPr>
          <w:rFonts w:ascii="Times New Roman" w:eastAsia="宋体" w:hAnsi="Times New Roman" w:cs="Times New Roman"/>
          <w:sz w:val="21"/>
          <w:szCs w:val="21"/>
        </w:rPr>
        <w:t>）</w:t>
      </w:r>
    </w:p>
    <w:p w14:paraId="1441E6F2" w14:textId="77777777" w:rsidR="0081344D" w:rsidRPr="009B0CD7" w:rsidRDefault="00000000">
      <w:pPr>
        <w:tabs>
          <w:tab w:val="left" w:pos="720"/>
        </w:tabs>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式中，</w:t>
      </w:r>
      <m:oMath>
        <m:sSub>
          <m:sSubPr>
            <m:ctrlPr>
              <w:rPr>
                <w:rFonts w:ascii="Cambria Math" w:eastAsia="宋体" w:hAnsi="Cambria Math" w:cs="Times New Roman"/>
                <w:i/>
                <w:sz w:val="21"/>
                <w:szCs w:val="21"/>
              </w:rPr>
            </m:ctrlPr>
          </m:sSubPr>
          <m:e>
            <m:r>
              <m:rPr>
                <m:sty m:val="bi"/>
              </m:rPr>
              <w:rPr>
                <w:rFonts w:ascii="Cambria Math" w:eastAsia="宋体" w:hAnsi="Cambria Math" w:cs="Times New Roman"/>
                <w:sz w:val="21"/>
                <w:szCs w:val="21"/>
              </w:rPr>
              <m:t>Z</m:t>
            </m:r>
          </m:e>
          <m:sub>
            <m:r>
              <w:rPr>
                <w:rFonts w:ascii="Cambria Math" w:eastAsia="宋体" w:hAnsi="Cambria Math" w:cs="Times New Roman"/>
                <w:sz w:val="21"/>
                <w:szCs w:val="21"/>
              </w:rPr>
              <m:t>t</m:t>
            </m:r>
          </m:sub>
        </m:sSub>
      </m:oMath>
      <w:r w:rsidRPr="009B0CD7">
        <w:rPr>
          <w:rFonts w:ascii="Times New Roman" w:eastAsia="宋体" w:hAnsi="Times New Roman" w:cs="Times New Roman"/>
          <w:sz w:val="21"/>
          <w:szCs w:val="21"/>
        </w:rPr>
        <w:t>表示第</w:t>
      </w:r>
      <m:oMath>
        <m:r>
          <w:rPr>
            <w:rFonts w:ascii="Cambria Math" w:eastAsia="宋体" w:hAnsi="Cambria Math" w:cs="Times New Roman" w:hint="eastAsia"/>
            <w:sz w:val="21"/>
            <w:szCs w:val="21"/>
          </w:rPr>
          <m:t>t</m:t>
        </m:r>
      </m:oMath>
      <w:r w:rsidRPr="009B0CD7">
        <w:rPr>
          <w:rFonts w:ascii="Times New Roman" w:eastAsia="宋体" w:hAnsi="Times New Roman" w:cs="Times New Roman"/>
          <w:sz w:val="21"/>
          <w:szCs w:val="21"/>
        </w:rPr>
        <w:t>年对应月份的协变量向量，可包括大尺度气候指数、</w:t>
      </w:r>
      <w:r w:rsidRPr="009B0CD7">
        <w:rPr>
          <w:rFonts w:ascii="Times New Roman" w:eastAsia="宋体" w:hAnsi="Times New Roman" w:cs="Times New Roman"/>
          <w:sz w:val="21"/>
          <w:szCs w:val="21"/>
        </w:rPr>
        <w:t>SPE</w:t>
      </w:r>
      <w:r w:rsidRPr="009B0CD7">
        <w:rPr>
          <w:rFonts w:ascii="Times New Roman" w:eastAsia="宋体" w:hAnsi="Times New Roman" w:cs="Times New Roman" w:hint="eastAsia"/>
          <w:sz w:val="21"/>
          <w:szCs w:val="21"/>
        </w:rPr>
        <w:t>I</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派生指标、时间趋势项、平方项和一阶滞后项等；</w:t>
      </w:r>
      <m:oMath>
        <m:r>
          <w:rPr>
            <w:rFonts w:ascii="Cambria Math" w:eastAsia="宋体" w:hAnsi="Cambria Math" w:cs="Times New Roman"/>
            <w:sz w:val="21"/>
            <w:szCs w:val="21"/>
          </w:rPr>
          <m:t>α</m:t>
        </m:r>
      </m:oMath>
      <w:r w:rsidRPr="009B0CD7">
        <w:rPr>
          <w:rFonts w:ascii="Times New Roman" w:eastAsia="宋体" w:hAnsi="Times New Roman" w:cs="Times New Roman"/>
          <w:sz w:val="21"/>
          <w:szCs w:val="21"/>
        </w:rPr>
        <w:t>和</w:t>
      </w:r>
      <m:oMath>
        <m:r>
          <m:rPr>
            <m:sty m:val="bi"/>
          </m:rPr>
          <w:rPr>
            <w:rFonts w:ascii="Cambria Math" w:eastAsia="宋体" w:hAnsi="Cambria Math" w:cs="Times New Roman"/>
            <w:sz w:val="21"/>
            <w:szCs w:val="21"/>
          </w:rPr>
          <m:t>β</m:t>
        </m:r>
      </m:oMath>
      <w:r w:rsidRPr="009B0CD7">
        <w:rPr>
          <w:rFonts w:ascii="Times New Roman" w:eastAsia="宋体" w:hAnsi="Times New Roman" w:cs="Times New Roman" w:hint="eastAsia"/>
          <w:sz w:val="21"/>
          <w:szCs w:val="21"/>
        </w:rPr>
        <w:t>分别</w:t>
      </w:r>
      <w:r w:rsidRPr="009B0CD7">
        <w:rPr>
          <w:rFonts w:ascii="Times New Roman" w:eastAsia="宋体" w:hAnsi="Times New Roman" w:cs="Times New Roman"/>
          <w:sz w:val="21"/>
          <w:szCs w:val="21"/>
        </w:rPr>
        <w:t>为</w:t>
      </w:r>
      <w:r w:rsidRPr="009B0CD7">
        <w:rPr>
          <w:rFonts w:ascii="Times New Roman" w:eastAsia="宋体" w:hAnsi="Times New Roman" w:cs="Times New Roman" w:hint="eastAsia"/>
          <w:sz w:val="21"/>
          <w:szCs w:val="21"/>
        </w:rPr>
        <w:t>截距和</w:t>
      </w:r>
      <w:r w:rsidRPr="009B0CD7">
        <w:rPr>
          <w:rFonts w:ascii="Times New Roman" w:eastAsia="宋体" w:hAnsi="Times New Roman" w:cs="Times New Roman"/>
          <w:sz w:val="21"/>
          <w:szCs w:val="21"/>
        </w:rPr>
        <w:t>待估参数；</w:t>
      </w:r>
      <m:oMath>
        <m:sSup>
          <m:sSupPr>
            <m:ctrlPr>
              <w:rPr>
                <w:rFonts w:ascii="Cambria Math" w:eastAsia="宋体" w:hAnsi="Cambria Math" w:cs="Times New Roman"/>
                <w:i/>
                <w:sz w:val="21"/>
                <w:szCs w:val="21"/>
              </w:rPr>
            </m:ctrlPr>
          </m:sSupPr>
          <m:e>
            <m:r>
              <w:rPr>
                <w:rFonts w:ascii="Cambria Math" w:eastAsia="宋体" w:hAnsi="Cambria Math" w:cs="Times New Roman"/>
                <w:sz w:val="21"/>
                <w:szCs w:val="21"/>
              </w:rPr>
              <m:t>g</m:t>
            </m:r>
          </m:e>
          <m:sup>
            <m:r>
              <w:rPr>
                <w:rFonts w:ascii="Cambria Math" w:eastAsia="宋体" w:hAnsi="Cambria Math" w:cs="Times New Roman"/>
                <w:sz w:val="21"/>
                <w:szCs w:val="21"/>
              </w:rPr>
              <m:t>-1</m:t>
            </m:r>
          </m:sup>
        </m:sSup>
        <m:d>
          <m:dPr>
            <m:ctrlPr>
              <w:rPr>
                <w:rFonts w:ascii="Cambria Math" w:eastAsia="宋体" w:hAnsi="Cambria Math" w:cs="Times New Roman"/>
                <w:sz w:val="21"/>
                <w:szCs w:val="21"/>
              </w:rPr>
            </m:ctrlPr>
          </m:dPr>
          <m:e>
            <m:r>
              <m:rPr>
                <m:sty m:val="p"/>
              </m:rPr>
              <w:rPr>
                <w:rFonts w:ascii="Cambria Math" w:eastAsia="宋体" w:hAnsi="Cambria Math" w:cs="Times New Roman"/>
                <w:sz w:val="21"/>
                <w:szCs w:val="21"/>
              </w:rPr>
              <m:t>⋅</m:t>
            </m:r>
          </m:e>
        </m:d>
      </m:oMath>
      <w:r w:rsidRPr="009B0CD7">
        <w:rPr>
          <w:rFonts w:ascii="Times New Roman" w:eastAsia="宋体" w:hAnsi="Times New Roman" w:cs="Times New Roman"/>
          <w:sz w:val="21"/>
          <w:szCs w:val="21"/>
        </w:rPr>
        <w:t>为连接函数，用于保证参数估计结果满足不同</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参数定义域约束。</w:t>
      </w:r>
    </w:p>
    <w:p w14:paraId="3F4582B1" w14:textId="77777777" w:rsidR="0081344D" w:rsidRPr="009B0CD7" w:rsidRDefault="00000000">
      <w:pPr>
        <w:tabs>
          <w:tab w:val="left" w:pos="72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为识别与双水源相依结构动态变化相关的潜在影响因子，本文分别选取大尺度气候遥相关指数（</w:t>
      </w:r>
      <w:r w:rsidRPr="009B0CD7">
        <w:rPr>
          <w:rFonts w:ascii="Times New Roman" w:eastAsia="宋体" w:hAnsi="Times New Roman" w:cs="Times New Roman"/>
          <w:sz w:val="21"/>
          <w:szCs w:val="21"/>
        </w:rPr>
        <w:t>NAO</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PDO</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NINO3.4</w:t>
      </w:r>
      <w:r w:rsidRPr="009B0CD7">
        <w:rPr>
          <w:rFonts w:ascii="Times New Roman" w:eastAsia="宋体" w:hAnsi="Times New Roman" w:cs="Times New Roman"/>
          <w:sz w:val="21"/>
          <w:szCs w:val="21"/>
        </w:rPr>
        <w:t>）以及区域干旱指数</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作为候选协变量。为刻画两水源共同干旱程度和干湿差异，在两水源区</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序列基础上构造共同干旱强度指标</w:t>
      </w:r>
      <m:oMath>
        <m:r>
          <w:rPr>
            <w:rFonts w:ascii="Cambria Math" w:eastAsia="宋体" w:hAnsi="Cambria Math" w:cs="Times New Roman"/>
            <w:sz w:val="21"/>
            <w:szCs w:val="21"/>
          </w:rPr>
          <m:t>SPEI</m:t>
        </m:r>
        <m:r>
          <m:rPr>
            <m:nor/>
          </m:rPr>
          <w:rPr>
            <w:rFonts w:ascii="Times New Roman" w:eastAsia="宋体" w:hAnsi="Times New Roman" w:cs="Times New Roman"/>
            <w:iCs/>
            <w:sz w:val="21"/>
            <w:szCs w:val="21"/>
          </w:rPr>
          <m:t>-</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JD</m:t>
            </m:r>
          </m:e>
          <m:sub>
            <m:r>
              <w:rPr>
                <w:rFonts w:ascii="Cambria Math" w:eastAsia="宋体" w:hAnsi="Cambria Math" w:cs="Times New Roman"/>
                <w:sz w:val="21"/>
                <w:szCs w:val="21"/>
              </w:rPr>
              <m:t>t</m:t>
            </m:r>
          </m:sub>
        </m:sSub>
      </m:oMath>
      <w:r w:rsidRPr="009B0CD7">
        <w:rPr>
          <w:rFonts w:ascii="Times New Roman" w:eastAsia="宋体" w:hAnsi="Times New Roman" w:cs="Times New Roman"/>
          <w:sz w:val="21"/>
          <w:szCs w:val="21"/>
        </w:rPr>
        <w:t>和干旱差异指标</w:t>
      </w:r>
      <m:oMath>
        <m:r>
          <w:rPr>
            <w:rFonts w:ascii="Cambria Math" w:eastAsia="宋体" w:hAnsi="Cambria Math" w:cs="Times New Roman"/>
            <w:sz w:val="21"/>
            <w:szCs w:val="21"/>
          </w:rPr>
          <m:t>SPEI</m:t>
        </m:r>
        <m:r>
          <m:rPr>
            <m:nor/>
          </m:rPr>
          <w:rPr>
            <w:rFonts w:ascii="Times New Roman" w:eastAsia="宋体" w:hAnsi="Times New Roman" w:cs="Times New Roman"/>
            <w:iCs/>
            <w:sz w:val="21"/>
            <w:szCs w:val="21"/>
          </w:rPr>
          <m:t>-</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D</m:t>
            </m:r>
          </m:e>
          <m:sub>
            <m:r>
              <w:rPr>
                <w:rFonts w:ascii="Cambria Math" w:eastAsia="宋体" w:hAnsi="Cambria Math" w:cs="Times New Roman"/>
                <w:sz w:val="21"/>
                <w:szCs w:val="21"/>
              </w:rPr>
              <m:t>t</m:t>
            </m:r>
          </m:sub>
        </m:sSub>
      </m:oMath>
      <w:r w:rsidRPr="009B0CD7">
        <w:rPr>
          <w:rFonts w:ascii="Times New Roman" w:eastAsia="宋体" w:hAnsi="Times New Roman" w:cs="Times New Roman" w:hint="eastAsia"/>
          <w:sz w:val="21"/>
          <w:szCs w:val="21"/>
        </w:rPr>
        <w:t>，其计算式分别为</w:t>
      </w:r>
    </w:p>
    <w:p w14:paraId="68B3A3A7" w14:textId="77777777" w:rsidR="0081344D" w:rsidRPr="009B0CD7" w:rsidRDefault="00000000">
      <w:pPr>
        <w:tabs>
          <w:tab w:val="left" w:pos="720"/>
        </w:tabs>
        <w:spacing w:after="0" w:line="240" w:lineRule="auto"/>
        <w:jc w:val="right"/>
        <w:rPr>
          <w:rFonts w:ascii="Times New Roman" w:eastAsia="宋体" w:hAnsi="Times New Roman" w:cs="Times New Roman"/>
          <w:iCs/>
          <w:sz w:val="21"/>
          <w:szCs w:val="21"/>
        </w:rPr>
      </w:pPr>
      <m:oMath>
        <m:r>
          <w:rPr>
            <w:rFonts w:ascii="Cambria Math" w:eastAsia="宋体" w:hAnsi="Cambria Math" w:cs="Times New Roman"/>
            <w:sz w:val="21"/>
            <w:szCs w:val="21"/>
          </w:rPr>
          <m:t>SPEI</m:t>
        </m:r>
        <m:r>
          <m:rPr>
            <m:nor/>
          </m:rPr>
          <w:rPr>
            <w:rFonts w:ascii="Times New Roman" w:eastAsia="宋体" w:hAnsi="Times New Roman" w:cs="Times New Roman"/>
            <w:iCs/>
            <w:sz w:val="21"/>
            <w:szCs w:val="21"/>
          </w:rPr>
          <m:t>-</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JD</m:t>
            </m:r>
          </m:e>
          <m:sub>
            <m:r>
              <w:rPr>
                <w:rFonts w:ascii="Cambria Math" w:eastAsia="宋体" w:hAnsi="Cambria Math" w:cs="Times New Roman"/>
                <w:sz w:val="21"/>
                <w:szCs w:val="21"/>
              </w:rPr>
              <m:t>t</m:t>
            </m:r>
          </m:sub>
        </m:sSub>
        <m:r>
          <w:rPr>
            <w:rFonts w:ascii="Cambria Math" w:eastAsia="宋体" w:hAnsi="Cambria Math" w:cs="Times New Roman"/>
            <w:sz w:val="21"/>
            <w:szCs w:val="21"/>
          </w:rPr>
          <m:t>=</m:t>
        </m:r>
        <m:func>
          <m:funcPr>
            <m:ctrlPr>
              <w:rPr>
                <w:rFonts w:ascii="Cambria Math" w:eastAsia="宋体" w:hAnsi="Cambria Math" w:cs="Times New Roman"/>
                <w:iCs/>
                <w:sz w:val="21"/>
                <w:szCs w:val="21"/>
              </w:rPr>
            </m:ctrlPr>
          </m:funcPr>
          <m:fName>
            <m:r>
              <m:rPr>
                <m:sty m:val="p"/>
              </m:rPr>
              <w:rPr>
                <w:rFonts w:ascii="Cambria Math" w:eastAsia="宋体" w:hAnsi="Cambria Math" w:cs="Times New Roman"/>
                <w:sz w:val="21"/>
                <w:szCs w:val="21"/>
              </w:rPr>
              <m:t>max</m:t>
            </m:r>
          </m:fName>
          <m:e>
            <m:d>
              <m:dPr>
                <m:ctrlPr>
                  <w:rPr>
                    <w:rFonts w:ascii="Cambria Math" w:eastAsia="宋体" w:hAnsi="Cambria Math" w:cs="Times New Roman"/>
                    <w:i/>
                    <w:iCs/>
                    <w:sz w:val="21"/>
                    <w:szCs w:val="21"/>
                  </w:rPr>
                </m:ctrlPr>
              </m:dPr>
              <m:e>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-SPEI</m:t>
                    </m:r>
                  </m:e>
                  <m:sub>
                    <m:r>
                      <w:rPr>
                        <w:rFonts w:ascii="Cambria Math" w:eastAsia="宋体" w:hAnsi="Cambria Math" w:cs="Times New Roman"/>
                        <w:sz w:val="21"/>
                        <w:szCs w:val="21"/>
                      </w:rPr>
                      <m:t>stx,t</m:t>
                    </m:r>
                  </m:sub>
                </m:sSub>
                <m:r>
                  <w:rPr>
                    <w:rFonts w:ascii="Cambria Math" w:eastAsia="宋体" w:hAnsi="Cambria Math" w:cs="Times New Roman"/>
                    <w:sz w:val="21"/>
                    <w:szCs w:val="21"/>
                  </w:rPr>
                  <m:t>,0</m:t>
                </m:r>
              </m:e>
            </m:d>
          </m:e>
        </m:func>
        <m:r>
          <w:rPr>
            <w:rFonts w:ascii="Cambria Math" w:eastAsia="宋体" w:hAnsi="Cambria Math" w:cs="Times New Roman"/>
            <w:sz w:val="21"/>
            <w:szCs w:val="21"/>
          </w:rPr>
          <m:t>×</m:t>
        </m:r>
        <m:func>
          <m:funcPr>
            <m:ctrlPr>
              <w:rPr>
                <w:rFonts w:ascii="Cambria Math" w:eastAsia="宋体" w:hAnsi="Cambria Math" w:cs="Times New Roman"/>
                <w:sz w:val="21"/>
                <w:szCs w:val="21"/>
              </w:rPr>
            </m:ctrlPr>
          </m:funcPr>
          <m:fName>
            <m:r>
              <m:rPr>
                <m:sty m:val="p"/>
              </m:rPr>
              <w:rPr>
                <w:rFonts w:ascii="Cambria Math" w:eastAsia="宋体" w:hAnsi="Cambria Math" w:cs="Times New Roman"/>
                <w:sz w:val="21"/>
                <w:szCs w:val="21"/>
              </w:rPr>
              <m:t>max</m:t>
            </m:r>
            <m:ctrlPr>
              <w:rPr>
                <w:rFonts w:ascii="Cambria Math" w:eastAsia="宋体" w:hAnsi="Cambria Math" w:cs="Times New Roman"/>
                <w:i/>
                <w:sz w:val="21"/>
                <w:szCs w:val="21"/>
              </w:rPr>
            </m:ctrlPr>
          </m:fName>
          <m:e>
            <m:d>
              <m:dPr>
                <m:ctrlPr>
                  <w:rPr>
                    <w:rFonts w:ascii="Cambria Math" w:eastAsia="宋体" w:hAnsi="Cambria Math" w:cs="Times New Roman"/>
                    <w:i/>
                    <w:sz w:val="21"/>
                    <w:szCs w:val="21"/>
                  </w:rPr>
                </m:ctrlPr>
              </m:dPr>
              <m:e>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-SPEI</m:t>
                    </m:r>
                  </m:e>
                  <m:sub>
                    <m:r>
                      <w:rPr>
                        <w:rFonts w:ascii="Cambria Math" w:eastAsia="宋体" w:hAnsi="Cambria Math" w:cs="Times New Roman"/>
                        <w:sz w:val="21"/>
                        <w:szCs w:val="21"/>
                      </w:rPr>
                      <m:t>hq,t</m:t>
                    </m:r>
                  </m:sub>
                </m:sSub>
                <m:r>
                  <w:rPr>
                    <w:rFonts w:ascii="Cambria Math" w:eastAsia="宋体" w:hAnsi="Cambria Math" w:cs="Times New Roman"/>
                    <w:sz w:val="21"/>
                    <w:szCs w:val="21"/>
                  </w:rPr>
                  <m:t>,0</m:t>
                </m:r>
              </m:e>
            </m:d>
          </m:e>
        </m:func>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9</w:t>
      </w:r>
      <w:r w:rsidRPr="009B0CD7">
        <w:rPr>
          <w:rFonts w:ascii="Times New Roman" w:eastAsia="宋体" w:hAnsi="Times New Roman" w:cs="Times New Roman"/>
          <w:sz w:val="21"/>
          <w:szCs w:val="21"/>
        </w:rPr>
        <w:t>）</w:t>
      </w:r>
    </w:p>
    <w:p w14:paraId="4E9A3853" w14:textId="77777777" w:rsidR="0081344D" w:rsidRPr="009B0CD7" w:rsidRDefault="00000000">
      <w:pPr>
        <w:tabs>
          <w:tab w:val="left" w:pos="720"/>
        </w:tabs>
        <w:spacing w:after="0" w:line="240" w:lineRule="auto"/>
        <w:jc w:val="right"/>
        <w:rPr>
          <w:rFonts w:ascii="Times New Roman" w:eastAsia="宋体" w:hAnsi="Times New Roman" w:cs="Times New Roman"/>
          <w:iCs/>
          <w:sz w:val="21"/>
          <w:szCs w:val="21"/>
        </w:rPr>
      </w:pPr>
      <m:oMath>
        <m:r>
          <w:rPr>
            <w:rFonts w:ascii="Cambria Math" w:eastAsia="宋体" w:hAnsi="Cambria Math" w:cs="Times New Roman"/>
            <w:sz w:val="21"/>
            <w:szCs w:val="21"/>
          </w:rPr>
          <m:t>SPEI</m:t>
        </m:r>
        <m:r>
          <m:rPr>
            <m:nor/>
          </m:rPr>
          <w:rPr>
            <w:rFonts w:ascii="Times New Roman" w:eastAsia="宋体" w:hAnsi="Times New Roman" w:cs="Times New Roman"/>
            <w:iCs/>
            <w:sz w:val="21"/>
            <w:szCs w:val="21"/>
          </w:rPr>
          <m:t>-</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D</m:t>
            </m:r>
          </m:e>
          <m:sub>
            <m:r>
              <w:rPr>
                <w:rFonts w:ascii="Cambria Math" w:eastAsia="宋体" w:hAnsi="Cambria Math" w:cs="Times New Roman"/>
                <w:sz w:val="21"/>
                <w:szCs w:val="21"/>
              </w:rPr>
              <m:t>t</m:t>
            </m:r>
          </m:sub>
        </m:sSub>
        <m:r>
          <w:rPr>
            <w:rFonts w:ascii="Cambria Math" w:eastAsia="宋体" w:hAnsi="Cambria Math" w:cs="Times New Roman"/>
            <w:sz w:val="21"/>
            <w:szCs w:val="21"/>
          </w:rPr>
          <m:t>=</m:t>
        </m:r>
        <m:d>
          <m:dPr>
            <m:begChr m:val="|"/>
            <m:endChr m:val="|"/>
            <m:ctrlPr>
              <w:rPr>
                <w:rFonts w:ascii="Cambria Math" w:eastAsia="宋体" w:hAnsi="Cambria Math" w:cs="Times New Roman"/>
                <w:i/>
                <w:iCs/>
                <w:sz w:val="21"/>
                <w:szCs w:val="21"/>
              </w:rPr>
            </m:ctrlPr>
          </m:dPr>
          <m:e>
            <m:r>
              <w:rPr>
                <w:rFonts w:ascii="Cambria Math" w:eastAsia="宋体" w:hAnsi="Cambria Math" w:cs="Times New Roman"/>
                <w:sz w:val="21"/>
                <w:szCs w:val="21"/>
              </w:rPr>
              <m:t>SPE</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I</m:t>
                </m:r>
              </m:e>
              <m:sub>
                <m:r>
                  <w:rPr>
                    <w:rFonts w:ascii="Cambria Math" w:eastAsia="宋体" w:hAnsi="Cambria Math" w:cs="Times New Roman"/>
                    <w:sz w:val="21"/>
                    <w:szCs w:val="21"/>
                  </w:rPr>
                  <m:t>stx,t</m:t>
                </m:r>
              </m:sub>
            </m:sSub>
            <m:r>
              <w:rPr>
                <w:rFonts w:ascii="Cambria Math" w:eastAsia="宋体" w:hAnsi="Cambria Math" w:cs="Times New Roman"/>
                <w:sz w:val="21"/>
                <w:szCs w:val="21"/>
              </w:rPr>
              <m:t>-SPE</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I</m:t>
                </m:r>
              </m:e>
              <m:sub>
                <m:r>
                  <w:rPr>
                    <w:rFonts w:ascii="Cambria Math" w:eastAsia="宋体" w:hAnsi="Cambria Math" w:cs="Times New Roman"/>
                    <w:sz w:val="21"/>
                    <w:szCs w:val="21"/>
                  </w:rPr>
                  <m:t>hq,t</m:t>
                </m:r>
              </m:sub>
            </m:sSub>
          </m:e>
        </m:d>
      </m:oMath>
      <w:r w:rsidRPr="009B0CD7">
        <w:rPr>
          <w:rFonts w:ascii="Times New Roman" w:eastAsia="宋体" w:hAnsi="Times New Roman" w:cs="Times New Roman"/>
          <w:iCs/>
          <w:sz w:val="21"/>
          <w:szCs w:val="21"/>
        </w:rPr>
        <w:t xml:space="preserve">            </w:t>
      </w:r>
      <w:r w:rsidRPr="009B0CD7">
        <w:rPr>
          <w:rFonts w:ascii="Times New Roman" w:eastAsia="宋体" w:hAnsi="Times New Roman" w:cs="Times New Roman" w:hint="eastAsia"/>
          <w:iCs/>
          <w:sz w:val="21"/>
          <w:szCs w:val="21"/>
        </w:rPr>
        <w:t xml:space="preserve">    </w:t>
      </w:r>
      <w:r w:rsidRPr="009B0CD7">
        <w:rPr>
          <w:rFonts w:ascii="Times New Roman" w:eastAsia="宋体" w:hAnsi="Times New Roman" w:cs="Times New Roman"/>
          <w:iCs/>
          <w:sz w:val="21"/>
          <w:szCs w:val="21"/>
        </w:rPr>
        <w:t xml:space="preserve">     </w:t>
      </w:r>
      <w:r w:rsidRPr="009B0CD7">
        <w:rPr>
          <w:rFonts w:ascii="Times New Roman" w:eastAsia="宋体" w:hAnsi="Times New Roman" w:cs="Times New Roman"/>
          <w:iCs/>
          <w:sz w:val="21"/>
          <w:szCs w:val="21"/>
        </w:rPr>
        <w:t>（</w:t>
      </w:r>
      <w:r w:rsidRPr="009B0CD7">
        <w:rPr>
          <w:rFonts w:ascii="Times New Roman" w:eastAsia="宋体" w:hAnsi="Times New Roman" w:cs="Times New Roman" w:hint="eastAsia"/>
          <w:iCs/>
          <w:sz w:val="21"/>
          <w:szCs w:val="21"/>
        </w:rPr>
        <w:t>10</w:t>
      </w:r>
      <w:r w:rsidRPr="009B0CD7">
        <w:rPr>
          <w:rFonts w:ascii="Times New Roman" w:eastAsia="宋体" w:hAnsi="Times New Roman" w:cs="Times New Roman"/>
          <w:iCs/>
          <w:sz w:val="21"/>
          <w:szCs w:val="21"/>
        </w:rPr>
        <w:t>）</w:t>
      </w:r>
    </w:p>
    <w:p w14:paraId="0D6FAF42" w14:textId="77777777" w:rsidR="0081344D" w:rsidRPr="009B0CD7" w:rsidRDefault="00000000">
      <w:pPr>
        <w:tabs>
          <w:tab w:val="left" w:pos="720"/>
        </w:tabs>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式中</w:t>
      </w:r>
      <w:r w:rsidRPr="009B0CD7">
        <w:rPr>
          <w:rFonts w:ascii="Times New Roman" w:eastAsia="宋体" w:hAnsi="Times New Roman" w:cs="Times New Roman" w:hint="eastAsia"/>
          <w:sz w:val="21"/>
          <w:szCs w:val="21"/>
        </w:rPr>
        <w:t>，</w:t>
      </w:r>
      <m:oMath>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SPEI</m:t>
            </m:r>
          </m:e>
          <m:sub>
            <m:r>
              <w:rPr>
                <w:rFonts w:ascii="Cambria Math" w:eastAsia="宋体" w:hAnsi="Cambria Math" w:cs="Times New Roman"/>
                <w:sz w:val="21"/>
                <w:szCs w:val="21"/>
              </w:rPr>
              <m:t>stx,t</m:t>
            </m:r>
          </m:sub>
        </m:sSub>
      </m:oMath>
      <w:r w:rsidRPr="009B0CD7">
        <w:rPr>
          <w:rFonts w:ascii="Times New Roman" w:eastAsia="宋体" w:hAnsi="Times New Roman" w:cs="Times New Roman"/>
          <w:sz w:val="21"/>
          <w:szCs w:val="21"/>
        </w:rPr>
        <w:t>和</w:t>
      </w:r>
      <m:oMath>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SPEI</m:t>
            </m:r>
          </m:e>
          <m:sub>
            <m:r>
              <w:rPr>
                <w:rFonts w:ascii="Cambria Math" w:eastAsia="宋体" w:hAnsi="Cambria Math" w:cs="Times New Roman"/>
                <w:sz w:val="21"/>
                <w:szCs w:val="21"/>
              </w:rPr>
              <m:t>hq,t</m:t>
            </m:r>
          </m:sub>
        </m:sSub>
      </m:oMath>
      <w:r w:rsidRPr="009B0CD7">
        <w:rPr>
          <w:rFonts w:ascii="Times New Roman" w:eastAsia="宋体" w:hAnsi="Times New Roman" w:cs="Times New Roman"/>
          <w:sz w:val="21"/>
          <w:szCs w:val="21"/>
        </w:rPr>
        <w:t>分别表示第</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年对应月份石头峡水源区和黑泉水源区的</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值。</w:t>
      </w:r>
    </w:p>
    <w:p w14:paraId="10A3280F" w14:textId="77777777" w:rsidR="0081344D" w:rsidRPr="009B0CD7" w:rsidRDefault="00000000">
      <w:pPr>
        <w:tabs>
          <w:tab w:val="left" w:pos="72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其中</w:t>
      </w:r>
      <m:oMath>
        <m:r>
          <w:rPr>
            <w:rFonts w:ascii="Cambria Math" w:eastAsia="宋体" w:hAnsi="Cambria Math" w:cs="Times New Roman"/>
            <w:sz w:val="21"/>
            <w:szCs w:val="21"/>
          </w:rPr>
          <m:t>SPEI</m:t>
        </m:r>
        <m:r>
          <m:rPr>
            <m:nor/>
          </m:rPr>
          <w:rPr>
            <w:rFonts w:ascii="Times New Roman" w:eastAsia="宋体" w:hAnsi="Times New Roman" w:cs="Times New Roman"/>
            <w:iCs/>
            <w:sz w:val="21"/>
            <w:szCs w:val="21"/>
          </w:rPr>
          <m:t>-</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JD</m:t>
            </m:r>
          </m:e>
          <m:sub>
            <m:r>
              <w:rPr>
                <w:rFonts w:ascii="Cambria Math" w:eastAsia="宋体" w:hAnsi="Cambria Math" w:cs="Times New Roman"/>
                <w:sz w:val="21"/>
                <w:szCs w:val="21"/>
              </w:rPr>
              <m:t>t</m:t>
            </m:r>
          </m:sub>
        </m:sSub>
      </m:oMath>
      <w:r w:rsidRPr="009B0CD7">
        <w:rPr>
          <w:rFonts w:ascii="Times New Roman" w:eastAsia="宋体" w:hAnsi="Times New Roman" w:cs="Times New Roman"/>
          <w:iCs/>
          <w:sz w:val="21"/>
          <w:szCs w:val="21"/>
        </w:rPr>
        <w:t>仅在两水源区</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同时为负时取正值，数值越大表示共同偏干程度越强；</w:t>
      </w:r>
      <m:oMath>
        <m:r>
          <w:rPr>
            <w:rFonts w:ascii="Cambria Math" w:eastAsia="宋体" w:hAnsi="Cambria Math" w:cs="Times New Roman"/>
            <w:sz w:val="21"/>
            <w:szCs w:val="21"/>
          </w:rPr>
          <m:t>SPEI</m:t>
        </m:r>
        <m:r>
          <m:rPr>
            <m:nor/>
          </m:rPr>
          <w:rPr>
            <w:rFonts w:ascii="Times New Roman" w:eastAsia="宋体" w:hAnsi="Times New Roman" w:cs="Times New Roman"/>
            <w:iCs/>
            <w:sz w:val="21"/>
            <w:szCs w:val="21"/>
          </w:rPr>
          <m:t>-</m:t>
        </m:r>
        <m:sSub>
          <m:sSubPr>
            <m:ctrlPr>
              <w:rPr>
                <w:rFonts w:ascii="Cambria Math" w:eastAsia="宋体" w:hAnsi="Cambria Math" w:cs="Times New Roman"/>
                <w:i/>
                <w:iCs/>
                <w:sz w:val="21"/>
                <w:szCs w:val="21"/>
              </w:rPr>
            </m:ctrlPr>
          </m:sSubPr>
          <m:e>
            <m:r>
              <w:rPr>
                <w:rFonts w:ascii="Cambria Math" w:eastAsia="宋体" w:hAnsi="Cambria Math" w:cs="Times New Roman"/>
                <w:sz w:val="21"/>
                <w:szCs w:val="21"/>
              </w:rPr>
              <m:t>D</m:t>
            </m:r>
          </m:e>
          <m:sub>
            <m:r>
              <w:rPr>
                <w:rFonts w:ascii="Cambria Math" w:eastAsia="宋体" w:hAnsi="Cambria Math" w:cs="Times New Roman"/>
                <w:sz w:val="21"/>
                <w:szCs w:val="21"/>
              </w:rPr>
              <m:t>t</m:t>
            </m:r>
          </m:sub>
        </m:sSub>
      </m:oMath>
      <w:r w:rsidRPr="009B0CD7">
        <w:rPr>
          <w:rFonts w:ascii="Times New Roman" w:eastAsia="宋体" w:hAnsi="Times New Roman" w:cs="Times New Roman"/>
          <w:sz w:val="21"/>
          <w:szCs w:val="21"/>
        </w:rPr>
        <w:t>用于描述两水源区干湿状态差异。进一步考虑非线性和滞后效应，对候选协变量构造平方项和一阶滞后项。各月份分别建立静态模型和多组时变模型，考虑到样本长度相对有限，为降低复杂模型产生过拟合风险，进一步采用修正赤池信息准则（</w:t>
      </w:r>
      <m:oMath>
        <m:r>
          <w:rPr>
            <w:rFonts w:ascii="Cambria Math" w:eastAsia="宋体" w:hAnsi="Cambria Math" w:cs="Times New Roman"/>
            <w:sz w:val="21"/>
            <w:szCs w:val="21"/>
          </w:rPr>
          <m:t>AI</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sz w:val="21"/>
          <w:szCs w:val="21"/>
        </w:rPr>
        <w:t>）进行模型优选</w:t>
      </w:r>
      <w:r w:rsidRPr="009B0CD7">
        <w:rPr>
          <w:rFonts w:ascii="Times New Roman" w:eastAsia="宋体" w:hAnsi="Times New Roman" w:cs="Times New Roman" w:hint="eastAsia"/>
          <w:sz w:val="21"/>
          <w:szCs w:val="21"/>
        </w:rPr>
        <w:t>，其计算式为</w:t>
      </w:r>
    </w:p>
    <w:p w14:paraId="5E4479F3" w14:textId="77777777" w:rsidR="0081344D" w:rsidRPr="009B0CD7" w:rsidRDefault="00000000">
      <w:pPr>
        <w:tabs>
          <w:tab w:val="left" w:pos="720"/>
        </w:tabs>
        <w:spacing w:after="0" w:line="240" w:lineRule="auto"/>
        <w:ind w:firstLineChars="200" w:firstLine="420"/>
        <w:jc w:val="right"/>
        <w:rPr>
          <w:rFonts w:ascii="Times New Roman" w:eastAsia="宋体" w:hAnsi="Times New Roman" w:cs="Times New Roman"/>
          <w:sz w:val="21"/>
          <w:szCs w:val="21"/>
        </w:rPr>
      </w:pPr>
      <m:oMath>
        <m:r>
          <w:rPr>
            <w:rFonts w:ascii="Cambria Math" w:eastAsia="宋体" w:hAnsi="Cambria Math" w:cs="Times New Roman"/>
            <w:sz w:val="21"/>
            <w:szCs w:val="21"/>
          </w:rPr>
          <m:t>AI</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r>
          <w:rPr>
            <w:rFonts w:ascii="Cambria Math" w:eastAsia="宋体" w:hAnsi="Cambria Math" w:cs="Times New Roman"/>
            <w:sz w:val="21"/>
            <w:szCs w:val="21"/>
          </w:rPr>
          <m:t>=AIC+</m:t>
        </m:r>
        <m:f>
          <m:fPr>
            <m:ctrlPr>
              <w:rPr>
                <w:rFonts w:ascii="Cambria Math" w:eastAsia="宋体" w:hAnsi="Cambria Math" w:cs="Times New Roman"/>
                <w:i/>
                <w:sz w:val="21"/>
                <w:szCs w:val="21"/>
              </w:rPr>
            </m:ctrlPr>
          </m:fPr>
          <m:num>
            <m:r>
              <w:rPr>
                <w:rFonts w:ascii="Cambria Math" w:eastAsia="宋体" w:hAnsi="Cambria Math" w:cs="Times New Roman"/>
                <w:sz w:val="21"/>
                <w:szCs w:val="21"/>
              </w:rPr>
              <m:t>2k(k+1)</m:t>
            </m:r>
          </m:num>
          <m:den>
            <m:r>
              <w:rPr>
                <w:rFonts w:ascii="Cambria Math" w:eastAsia="宋体" w:hAnsi="Cambria Math" w:cs="Times New Roman"/>
                <w:sz w:val="21"/>
                <w:szCs w:val="21"/>
              </w:rPr>
              <m:t>n-k-1</m:t>
            </m:r>
          </m:den>
        </m:f>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11</w:t>
      </w:r>
      <w:r w:rsidRPr="009B0CD7">
        <w:rPr>
          <w:rFonts w:ascii="Times New Roman" w:eastAsia="宋体" w:hAnsi="Times New Roman" w:cs="Times New Roman"/>
          <w:sz w:val="21"/>
          <w:szCs w:val="21"/>
        </w:rPr>
        <w:t>）</w:t>
      </w:r>
    </w:p>
    <w:p w14:paraId="04074974" w14:textId="77777777" w:rsidR="0081344D" w:rsidRPr="009B0CD7" w:rsidRDefault="00000000">
      <w:pPr>
        <w:tabs>
          <w:tab w:val="left" w:pos="720"/>
        </w:tabs>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式中，</w:t>
      </w:r>
      <m:oMath>
        <m:r>
          <w:rPr>
            <w:rFonts w:ascii="Cambria Math" w:eastAsia="宋体" w:hAnsi="Cambria Math" w:cs="Times New Roman"/>
            <w:sz w:val="21"/>
            <w:szCs w:val="21"/>
          </w:rPr>
          <m:t>n</m:t>
        </m:r>
      </m:oMath>
      <w:r w:rsidRPr="009B0CD7">
        <w:rPr>
          <w:rFonts w:ascii="Times New Roman" w:eastAsia="宋体" w:hAnsi="Times New Roman" w:cs="Times New Roman"/>
          <w:sz w:val="21"/>
          <w:szCs w:val="21"/>
        </w:rPr>
        <w:t>为样本容量；</w:t>
      </w:r>
      <m:oMath>
        <m:r>
          <w:rPr>
            <w:rFonts w:ascii="Cambria Math" w:eastAsia="宋体" w:hAnsi="Cambria Math" w:cs="Times New Roman"/>
            <w:sz w:val="21"/>
            <w:szCs w:val="21"/>
          </w:rPr>
          <m:t>k</m:t>
        </m:r>
      </m:oMath>
      <w:r w:rsidRPr="009B0CD7">
        <w:rPr>
          <w:rFonts w:ascii="Times New Roman" w:eastAsia="宋体" w:hAnsi="Times New Roman" w:cs="Times New Roman" w:hint="eastAsia"/>
          <w:sz w:val="21"/>
          <w:szCs w:val="21"/>
        </w:rPr>
        <w:t>为</w:t>
      </w:r>
      <w:r w:rsidRPr="009B0CD7">
        <w:rPr>
          <w:rFonts w:ascii="Times New Roman" w:eastAsia="宋体" w:hAnsi="Times New Roman" w:cs="Times New Roman" w:hint="eastAsia"/>
          <w:sz w:val="21"/>
          <w:szCs w:val="21"/>
        </w:rPr>
        <w:t>Copula</w:t>
      </w:r>
      <w:r w:rsidRPr="009B0CD7">
        <w:rPr>
          <w:rFonts w:ascii="Times New Roman" w:eastAsia="宋体" w:hAnsi="Times New Roman" w:cs="Times New Roman" w:hint="eastAsia"/>
          <w:sz w:val="21"/>
          <w:szCs w:val="21"/>
        </w:rPr>
        <w:t>模型中参与估计的参数个数，包括静态依赖参数或时变模型中的截距项、协变量系数及相关分布参数等</w:t>
      </w:r>
      <w:r w:rsidRPr="009B0CD7">
        <w:rPr>
          <w:rFonts w:ascii="Times New Roman" w:eastAsia="宋体" w:hAnsi="Times New Roman" w:cs="Times New Roman"/>
          <w:sz w:val="21"/>
          <w:szCs w:val="21"/>
        </w:rPr>
        <w:t>。在各月份模型比较中，本文以</w:t>
      </w:r>
      <m:oMath>
        <m:r>
          <w:rPr>
            <w:rFonts w:ascii="Cambria Math" w:eastAsia="宋体" w:hAnsi="Cambria Math" w:cs="Times New Roman"/>
            <w:sz w:val="21"/>
            <w:szCs w:val="21"/>
          </w:rPr>
          <m:t>AI</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hint="eastAsia"/>
          <w:sz w:val="21"/>
          <w:szCs w:val="21"/>
        </w:rPr>
        <w:t>作为整体拟合优度与模型复杂度的统计初筛准则，计算各候选模型相对于最小</w:t>
      </w:r>
      <m:oMath>
        <m:r>
          <w:rPr>
            <w:rFonts w:ascii="Cambria Math" w:eastAsia="宋体" w:hAnsi="Cambria Math" w:cs="Times New Roman"/>
            <w:sz w:val="21"/>
            <w:szCs w:val="21"/>
          </w:rPr>
          <m:t>AI</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hint="eastAsia"/>
          <w:sz w:val="21"/>
          <w:szCs w:val="21"/>
        </w:rPr>
        <w:t>模型的</w:t>
      </w:r>
      <m:oMath>
        <m:r>
          <m:rPr>
            <m:sty m:val="p"/>
          </m:rPr>
          <w:rPr>
            <w:rFonts w:ascii="Cambria Math" w:eastAsia="宋体" w:hAnsi="Cambria Math" w:cs="Times New Roman"/>
            <w:sz w:val="21"/>
            <w:szCs w:val="21"/>
          </w:rPr>
          <m:t>Δ</m:t>
        </m:r>
        <m:r>
          <w:rPr>
            <w:rFonts w:ascii="Cambria Math" w:eastAsia="宋体" w:hAnsi="Cambria Math" w:cs="Times New Roman"/>
            <w:sz w:val="21"/>
            <w:szCs w:val="21"/>
          </w:rPr>
          <m:t>AI</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hint="eastAsia"/>
          <w:sz w:val="21"/>
          <w:szCs w:val="21"/>
        </w:rPr>
        <w:t>，并将统计上可接受的模型纳入后续双枯风险导向评价</w:t>
      </w:r>
      <w:r w:rsidRPr="009B0CD7">
        <w:rPr>
          <w:rFonts w:ascii="Times New Roman" w:eastAsia="宋体" w:hAnsi="Times New Roman" w:cs="Times New Roman"/>
          <w:sz w:val="21"/>
          <w:szCs w:val="21"/>
        </w:rPr>
        <w:t>。</w:t>
      </w:r>
    </w:p>
    <w:p w14:paraId="2699A961" w14:textId="77777777" w:rsidR="0081344D" w:rsidRPr="009B0CD7" w:rsidRDefault="00000000">
      <w:pPr>
        <w:keepNext/>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lastRenderedPageBreak/>
        <w:t>1</w:t>
      </w:r>
      <w:r w:rsidRPr="009B0CD7">
        <w:rPr>
          <w:rFonts w:ascii="Times New Roman" w:eastAsia="楷体" w:hAnsi="Times New Roman" w:cs="Times New Roman"/>
          <w:sz w:val="21"/>
          <w:szCs w:val="22"/>
          <w14:ligatures w14:val="none"/>
        </w:rPr>
        <w:t xml:space="preserve">.2.3 </w:t>
      </w:r>
      <w:r w:rsidRPr="009B0CD7">
        <w:rPr>
          <w:rFonts w:ascii="Times New Roman" w:eastAsia="楷体" w:hAnsi="Times New Roman" w:cs="Times New Roman"/>
          <w:sz w:val="21"/>
          <w:szCs w:val="22"/>
          <w14:ligatures w14:val="none"/>
        </w:rPr>
        <w:t>动态风险量化</w:t>
      </w:r>
    </w:p>
    <w:p w14:paraId="7003B797" w14:textId="77777777" w:rsidR="0081344D" w:rsidRPr="009B0CD7" w:rsidRDefault="00000000">
      <w:pPr>
        <w:tabs>
          <w:tab w:val="left" w:pos="216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本研究将</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双枯事件</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定义为两个水源径流同时处于枯水状态的联合事件。参照《水文基本术语和符号标准》（</w:t>
      </w:r>
      <w:r w:rsidRPr="009B0CD7">
        <w:rPr>
          <w:rFonts w:ascii="Times New Roman" w:eastAsia="宋体" w:hAnsi="Times New Roman" w:cs="Times New Roman"/>
          <w:sz w:val="21"/>
          <w:szCs w:val="21"/>
        </w:rPr>
        <w:t>GB/T 50095</w:t>
      </w:r>
      <w:r w:rsidRPr="009B0CD7">
        <w:rPr>
          <w:rFonts w:ascii="Times New Roman" w:hAnsi="Times New Roman" w:cs="Times New Roman"/>
          <w:szCs w:val="21"/>
        </w:rPr>
        <w:t>—</w:t>
      </w:r>
      <w:r w:rsidRPr="009B0CD7">
        <w:rPr>
          <w:rFonts w:ascii="Times New Roman" w:eastAsia="宋体" w:hAnsi="Times New Roman" w:cs="Times New Roman"/>
          <w:sz w:val="21"/>
          <w:szCs w:val="21"/>
        </w:rPr>
        <w:t>2014</w:t>
      </w:r>
      <w:r w:rsidRPr="009B0CD7">
        <w:rPr>
          <w:rFonts w:ascii="Times New Roman" w:eastAsia="宋体" w:hAnsi="Times New Roman" w:cs="Times New Roman"/>
          <w:sz w:val="21"/>
          <w:szCs w:val="21"/>
        </w:rPr>
        <w:t>）中丰、平、枯水年划分思想，本文将其转化为月尺度</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概率空间中的低流量阈值，用于定义双水源同步偏枯事件。由于</w:t>
      </w:r>
      <w:r w:rsidRPr="009B0CD7">
        <w:rPr>
          <w:rFonts w:ascii="Times New Roman" w:eastAsia="宋体" w:hAnsi="Times New Roman" w:cs="Times New Roman" w:hint="eastAsia"/>
          <w:sz w:val="21"/>
          <w:szCs w:val="21"/>
        </w:rPr>
        <w:t>来水频率</w:t>
      </w:r>
      <w:r w:rsidRPr="009B0CD7">
        <w:rPr>
          <w:rFonts w:ascii="Times New Roman" w:eastAsia="宋体" w:hAnsi="Times New Roman" w:cs="Times New Roman"/>
          <w:sz w:val="21"/>
          <w:szCs w:val="21"/>
        </w:rPr>
        <w:t>数值越大表示</w:t>
      </w:r>
      <w:r w:rsidRPr="009B0CD7">
        <w:rPr>
          <w:rFonts w:ascii="Times New Roman" w:eastAsia="宋体" w:hAnsi="Times New Roman" w:cs="Times New Roman" w:hint="eastAsia"/>
          <w:sz w:val="21"/>
          <w:szCs w:val="21"/>
        </w:rPr>
        <w:t>径流</w:t>
      </w:r>
      <w:r w:rsidRPr="009B0CD7">
        <w:rPr>
          <w:rFonts w:ascii="Times New Roman" w:eastAsia="宋体" w:hAnsi="Times New Roman" w:cs="Times New Roman"/>
          <w:sz w:val="21"/>
          <w:szCs w:val="21"/>
        </w:rPr>
        <w:t>越偏枯，而</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概率空间中变量</w:t>
      </w:r>
      <m:oMath>
        <m:r>
          <w:rPr>
            <w:rFonts w:ascii="Cambria Math" w:eastAsia="宋体" w:hAnsi="Cambria Math" w:cs="Times New Roman"/>
            <w:sz w:val="21"/>
            <w:szCs w:val="21"/>
          </w:rPr>
          <m:t>u</m:t>
        </m:r>
      </m:oMath>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v</m:t>
        </m:r>
      </m:oMath>
      <w:r w:rsidRPr="009B0CD7">
        <w:rPr>
          <w:rFonts w:ascii="Times New Roman" w:eastAsia="宋体" w:hAnsi="Times New Roman" w:cs="Times New Roman"/>
          <w:sz w:val="21"/>
          <w:szCs w:val="21"/>
        </w:rPr>
        <w:t>越小表示径流越小，因此将</w:t>
      </w:r>
      <w:r w:rsidRPr="009B0CD7">
        <w:rPr>
          <w:rFonts w:ascii="Times New Roman" w:eastAsia="宋体" w:hAnsi="Times New Roman" w:cs="Times New Roman"/>
          <w:sz w:val="21"/>
          <w:szCs w:val="21"/>
        </w:rPr>
        <w:t>62.5%</w:t>
      </w:r>
      <w:r w:rsidRPr="009B0CD7">
        <w:rPr>
          <w:rFonts w:ascii="Times New Roman" w:eastAsia="宋体" w:hAnsi="Times New Roman" w:cs="Times New Roman" w:hint="eastAsia"/>
          <w:sz w:val="21"/>
          <w:szCs w:val="21"/>
        </w:rPr>
        <w:t>的</w:t>
      </w:r>
      <w:r w:rsidRPr="009B0CD7">
        <w:rPr>
          <w:rFonts w:ascii="Times New Roman" w:eastAsia="宋体" w:hAnsi="Times New Roman" w:cs="Times New Roman"/>
          <w:sz w:val="21"/>
          <w:szCs w:val="21"/>
        </w:rPr>
        <w:t>枯水</w:t>
      </w:r>
      <w:r w:rsidRPr="009B0CD7">
        <w:rPr>
          <w:rFonts w:ascii="Times New Roman" w:eastAsia="宋体" w:hAnsi="Times New Roman" w:cs="Times New Roman" w:hint="eastAsia"/>
          <w:sz w:val="21"/>
          <w:szCs w:val="21"/>
        </w:rPr>
        <w:t>频率</w:t>
      </w:r>
      <w:r w:rsidRPr="009B0CD7">
        <w:rPr>
          <w:rFonts w:ascii="Times New Roman" w:eastAsia="宋体" w:hAnsi="Times New Roman" w:cs="Times New Roman"/>
          <w:sz w:val="21"/>
          <w:szCs w:val="21"/>
        </w:rPr>
        <w:t>界限转换为</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空间低流量一侧的</w:t>
      </w:r>
      <w:r w:rsidRPr="009B0CD7">
        <w:rPr>
          <w:rFonts w:ascii="Times New Roman" w:eastAsia="宋体" w:hAnsi="Times New Roman" w:cs="Times New Roman"/>
          <w:sz w:val="21"/>
          <w:szCs w:val="21"/>
        </w:rPr>
        <w:t>37.5%</w:t>
      </w:r>
      <w:r w:rsidRPr="009B0CD7">
        <w:rPr>
          <w:rFonts w:ascii="Times New Roman" w:eastAsia="宋体" w:hAnsi="Times New Roman" w:cs="Times New Roman"/>
          <w:sz w:val="21"/>
          <w:szCs w:val="21"/>
        </w:rPr>
        <w:t>分位</w:t>
      </w:r>
      <w:r w:rsidRPr="009B0CD7">
        <w:rPr>
          <w:rFonts w:ascii="Times New Roman" w:eastAsia="宋体" w:hAnsi="Times New Roman" w:cs="Times New Roman" w:hint="eastAsia"/>
          <w:sz w:val="21"/>
          <w:szCs w:val="21"/>
        </w:rPr>
        <w:t>概率</w:t>
      </w:r>
      <w:r w:rsidRPr="009B0CD7">
        <w:rPr>
          <w:rFonts w:ascii="Times New Roman" w:eastAsia="宋体" w:hAnsi="Times New Roman" w:cs="Times New Roman"/>
          <w:sz w:val="21"/>
          <w:szCs w:val="21"/>
        </w:rPr>
        <w:t>，即</w:t>
      </w:r>
    </w:p>
    <w:p w14:paraId="59A71563" w14:textId="77777777" w:rsidR="0081344D" w:rsidRPr="009B0CD7" w:rsidRDefault="00000000">
      <w:pPr>
        <w:tabs>
          <w:tab w:val="left" w:pos="2160"/>
        </w:tabs>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sz w:val="21"/>
                <w:szCs w:val="21"/>
              </w:rPr>
              <m:t>0</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sz w:val="21"/>
                <w:szCs w:val="21"/>
              </w:rPr>
              <m:t>0</m:t>
            </m:r>
          </m:sub>
        </m:sSub>
        <m:r>
          <w:rPr>
            <w:rFonts w:ascii="Cambria Math" w:eastAsia="宋体" w:hAnsi="Cambria Math" w:cs="Times New Roman"/>
            <w:sz w:val="21"/>
            <w:szCs w:val="21"/>
          </w:rPr>
          <m:t>=0.375</m:t>
        </m:r>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hint="eastAsia"/>
          <w:sz w:val="21"/>
          <w:szCs w:val="21"/>
        </w:rPr>
        <w:t xml:space="preserve">    </w:t>
      </w:r>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1</w:t>
      </w:r>
      <w:r w:rsidRPr="009B0CD7">
        <w:rPr>
          <w:rFonts w:ascii="Times New Roman" w:eastAsia="宋体" w:hAnsi="Times New Roman" w:cs="Times New Roman" w:hint="eastAsia"/>
          <w:sz w:val="21"/>
          <w:szCs w:val="21"/>
        </w:rPr>
        <w:t>2</w:t>
      </w:r>
      <w:r w:rsidRPr="009B0CD7">
        <w:rPr>
          <w:rFonts w:ascii="Times New Roman" w:eastAsia="宋体" w:hAnsi="Times New Roman" w:cs="Times New Roman"/>
          <w:sz w:val="21"/>
          <w:szCs w:val="21"/>
        </w:rPr>
        <w:t>）</w:t>
      </w:r>
    </w:p>
    <w:p w14:paraId="79EC68C7" w14:textId="77777777" w:rsidR="0081344D" w:rsidRPr="009B0CD7" w:rsidRDefault="00000000">
      <w:pPr>
        <w:tabs>
          <w:tab w:val="left" w:pos="216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则第</w:t>
      </w:r>
      <m:oMath>
        <m:r>
          <w:rPr>
            <w:rFonts w:ascii="Cambria Math" w:eastAsia="宋体" w:hAnsi="Cambria Math" w:cs="Times New Roman" w:hint="eastAsia"/>
            <w:sz w:val="21"/>
            <w:szCs w:val="21"/>
          </w:rPr>
          <m:t>m</m:t>
        </m:r>
      </m:oMath>
      <w:r w:rsidRPr="009B0CD7">
        <w:rPr>
          <w:rFonts w:ascii="Times New Roman" w:eastAsia="宋体" w:hAnsi="Times New Roman" w:cs="Times New Roman" w:hint="eastAsia"/>
          <w:sz w:val="21"/>
          <w:szCs w:val="21"/>
        </w:rPr>
        <w:t>月第</w:t>
      </w:r>
      <m:oMath>
        <m:r>
          <w:rPr>
            <w:rFonts w:ascii="Cambria Math" w:eastAsia="宋体" w:hAnsi="Cambria Math" w:cs="Times New Roman"/>
            <w:sz w:val="21"/>
            <w:szCs w:val="21"/>
          </w:rPr>
          <m:t>t</m:t>
        </m:r>
      </m:oMath>
      <w:r w:rsidRPr="009B0CD7">
        <w:rPr>
          <w:rFonts w:ascii="Times New Roman" w:eastAsia="宋体" w:hAnsi="Times New Roman" w:cs="Times New Roman"/>
          <w:sz w:val="21"/>
          <w:szCs w:val="21"/>
        </w:rPr>
        <w:t>年双水源同步偏枯事件发生概率可表示为</w:t>
      </w:r>
    </w:p>
    <w:p w14:paraId="7D7C971F" w14:textId="77777777" w:rsidR="0081344D" w:rsidRPr="009B0CD7" w:rsidRDefault="00000000">
      <w:pPr>
        <w:tabs>
          <w:tab w:val="left" w:pos="2160"/>
        </w:tabs>
        <w:spacing w:after="0" w:line="240" w:lineRule="auto"/>
        <w:jc w:val="right"/>
        <w:rPr>
          <w:rFonts w:ascii="Times New Roman" w:eastAsia="宋体" w:hAnsi="Times New Roman" w:cs="Times New Roman"/>
          <w:sz w:val="21"/>
          <w:szCs w:val="21"/>
        </w:rPr>
      </w:pP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P</m:t>
            </m:r>
          </m:e>
          <m:sub>
            <m:r>
              <w:rPr>
                <w:rFonts w:ascii="Cambria Math" w:eastAsia="宋体" w:hAnsi="Cambria Math" w:cs="Times New Roman" w:hint="eastAsia"/>
                <w:sz w:val="21"/>
                <w:szCs w:val="21"/>
              </w:rPr>
              <m:t>m</m:t>
            </m:r>
            <m:r>
              <w:rPr>
                <w:rFonts w:ascii="Cambria Math" w:eastAsia="宋体" w:hAnsi="Cambria Math" w:cs="Times New Roman"/>
                <w:sz w:val="21"/>
                <w:szCs w:val="21"/>
              </w:rPr>
              <m:t>,t</m:t>
            </m:r>
          </m:sub>
        </m:sSub>
        <m:r>
          <w:rPr>
            <w:rFonts w:ascii="Cambria Math" w:eastAsia="宋体" w:hAnsi="Cambria Math" w:cs="Times New Roman"/>
            <w:sz w:val="21"/>
            <w:szCs w:val="21"/>
          </w:rPr>
          <m:t>=P</m:t>
        </m:r>
        <m:d>
          <m:dPr>
            <m:ctrlPr>
              <w:rPr>
                <w:rFonts w:ascii="Cambria Math" w:eastAsia="宋体" w:hAnsi="Cambria Math" w:cs="Times New Roman"/>
                <w:i/>
                <w:sz w:val="21"/>
                <w:szCs w:val="21"/>
              </w:rPr>
            </m:ctrlPr>
          </m:dPr>
          <m:e>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hint="eastAsia"/>
                    <w:sz w:val="21"/>
                    <w:szCs w:val="21"/>
                  </w:rPr>
                  <m:t>m</m:t>
                </m:r>
                <m:r>
                  <w:rPr>
                    <w:rFonts w:ascii="Cambria Math" w:eastAsia="宋体" w:hAnsi="Cambria Math" w:cs="Times New Roman"/>
                    <w:sz w:val="21"/>
                    <w:szCs w:val="21"/>
                  </w:rPr>
                  <m:t>,t</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sz w:val="21"/>
                    <w:szCs w:val="21"/>
                  </w:rPr>
                  <m:t>0</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hint="eastAsia"/>
                    <w:sz w:val="21"/>
                    <w:szCs w:val="21"/>
                  </w:rPr>
                  <m:t>m</m:t>
                </m:r>
                <m:r>
                  <w:rPr>
                    <w:rFonts w:ascii="Cambria Math" w:eastAsia="宋体" w:hAnsi="Cambria Math" w:cs="Times New Roman"/>
                    <w:sz w:val="21"/>
                    <w:szCs w:val="21"/>
                  </w:rPr>
                  <m:t>,t</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sz w:val="21"/>
                    <w:szCs w:val="21"/>
                  </w:rPr>
                  <m:t>0</m:t>
                </m:r>
              </m:sub>
            </m:sSub>
          </m:e>
        </m:d>
        <m:r>
          <w:rPr>
            <w:rFonts w:ascii="Cambria Math" w:eastAsia="宋体" w:hAnsi="Cambria Math" w:cs="Times New Roman"/>
            <w:sz w:val="21"/>
            <w:szCs w:val="21"/>
          </w:rPr>
          <m:t>=C</m:t>
        </m:r>
        <m:d>
          <m:dPr>
            <m:ctrlPr>
              <w:rPr>
                <w:rFonts w:ascii="Cambria Math" w:eastAsia="宋体" w:hAnsi="Cambria Math" w:cs="Times New Roman"/>
                <w:i/>
                <w:sz w:val="21"/>
                <w:szCs w:val="21"/>
              </w:rPr>
            </m:ctrlPr>
          </m:dPr>
          <m:e>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sz w:val="21"/>
                    <w:szCs w:val="21"/>
                  </w:rPr>
                  <m:t>0</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sz w:val="21"/>
                    <w:szCs w:val="21"/>
                  </w:rPr>
                  <m:t>0</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θ</m:t>
                </m:r>
              </m:e>
              <m:sub>
                <m:r>
                  <w:rPr>
                    <w:rFonts w:ascii="Cambria Math" w:eastAsia="宋体" w:hAnsi="Cambria Math" w:cs="Times New Roman" w:hint="eastAsia"/>
                    <w:sz w:val="21"/>
                    <w:szCs w:val="21"/>
                  </w:rPr>
                  <m:t>m</m:t>
                </m:r>
                <m:r>
                  <w:rPr>
                    <w:rFonts w:ascii="Cambria Math" w:eastAsia="宋体" w:hAnsi="Cambria Math" w:cs="Times New Roman"/>
                    <w:sz w:val="21"/>
                    <w:szCs w:val="21"/>
                  </w:rPr>
                  <m:t>,t</m:t>
                </m:r>
              </m:sub>
            </m:sSub>
          </m:e>
        </m:d>
      </m:oMath>
      <w:r w:rsidRPr="009B0CD7">
        <w:rPr>
          <w:rFonts w:ascii="Times New Roman" w:eastAsia="宋体" w:hAnsi="Times New Roman" w:cs="Times New Roman"/>
          <w:sz w:val="21"/>
          <w:szCs w:val="21"/>
        </w:rPr>
        <w:t xml:space="preserve">                 </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1</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sz w:val="21"/>
          <w:szCs w:val="21"/>
        </w:rPr>
        <w:t>）</w:t>
      </w:r>
    </w:p>
    <w:p w14:paraId="2FBE71C8" w14:textId="77777777" w:rsidR="0081344D" w:rsidRPr="009B0CD7" w:rsidRDefault="00000000">
      <w:pPr>
        <w:tabs>
          <w:tab w:val="left" w:pos="2160"/>
        </w:tabs>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式中，</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P</m:t>
            </m:r>
          </m:e>
          <m:sub>
            <m:r>
              <w:rPr>
                <w:rFonts w:ascii="Cambria Math" w:eastAsia="宋体" w:hAnsi="Cambria Math" w:cs="Times New Roman" w:hint="eastAsia"/>
                <w:sz w:val="21"/>
                <w:szCs w:val="21"/>
              </w:rPr>
              <m:t>m</m:t>
            </m:r>
            <m:r>
              <w:rPr>
                <w:rFonts w:ascii="Cambria Math" w:eastAsia="宋体" w:hAnsi="Cambria Math" w:cs="Times New Roman"/>
                <w:sz w:val="21"/>
                <w:szCs w:val="21"/>
              </w:rPr>
              <m:t>,</m:t>
            </m:r>
            <m:r>
              <w:rPr>
                <w:rFonts w:ascii="Cambria Math" w:eastAsia="宋体" w:hAnsi="Cambria Math" w:cs="Times New Roman" w:hint="eastAsia"/>
                <w:sz w:val="21"/>
                <w:szCs w:val="21"/>
              </w:rPr>
              <m:t>t</m:t>
            </m:r>
          </m:sub>
        </m:sSub>
      </m:oMath>
      <w:r w:rsidRPr="009B0CD7">
        <w:rPr>
          <w:rFonts w:ascii="Times New Roman" w:eastAsia="宋体" w:hAnsi="Times New Roman" w:cs="Times New Roman" w:hint="eastAsia"/>
          <w:sz w:val="21"/>
          <w:szCs w:val="21"/>
        </w:rPr>
        <w:t>为第</w:t>
      </w:r>
      <m:oMath>
        <m:r>
          <w:rPr>
            <w:rFonts w:ascii="Cambria Math" w:eastAsia="宋体" w:hAnsi="Cambria Math" w:cs="Times New Roman" w:hint="eastAsia"/>
            <w:sz w:val="21"/>
            <w:szCs w:val="21"/>
          </w:rPr>
          <m:t>m</m:t>
        </m:r>
      </m:oMath>
      <w:r w:rsidRPr="009B0CD7">
        <w:rPr>
          <w:rFonts w:ascii="Times New Roman" w:eastAsia="宋体" w:hAnsi="Times New Roman" w:cs="Times New Roman" w:hint="eastAsia"/>
          <w:sz w:val="21"/>
          <w:szCs w:val="21"/>
        </w:rPr>
        <w:t>月第</w:t>
      </w:r>
      <m:oMath>
        <m:r>
          <w:rPr>
            <w:rFonts w:ascii="Cambria Math" w:eastAsia="宋体" w:hAnsi="Cambria Math" w:cs="Times New Roman"/>
            <w:sz w:val="21"/>
            <w:szCs w:val="21"/>
          </w:rPr>
          <m:t>t</m:t>
        </m:r>
      </m:oMath>
      <w:r w:rsidRPr="009B0CD7">
        <w:rPr>
          <w:rFonts w:ascii="Times New Roman" w:eastAsia="宋体" w:hAnsi="Times New Roman" w:cs="Times New Roman" w:hint="eastAsia"/>
          <w:sz w:val="21"/>
          <w:szCs w:val="21"/>
        </w:rPr>
        <w:t>年双水源同步偏枯概率，</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θ</m:t>
            </m:r>
          </m:e>
          <m:sub>
            <m:r>
              <w:rPr>
                <w:rFonts w:ascii="Cambria Math" w:eastAsia="宋体" w:hAnsi="Cambria Math" w:cs="Times New Roman" w:hint="eastAsia"/>
                <w:sz w:val="21"/>
                <w:szCs w:val="21"/>
              </w:rPr>
              <m:t>m</m:t>
            </m:r>
            <m:r>
              <w:rPr>
                <w:rFonts w:ascii="Cambria Math" w:eastAsia="宋体" w:hAnsi="Cambria Math" w:cs="Times New Roman"/>
                <w:sz w:val="21"/>
                <w:szCs w:val="21"/>
              </w:rPr>
              <m:t>,t</m:t>
            </m:r>
          </m:sub>
        </m:sSub>
      </m:oMath>
      <w:r w:rsidRPr="009B0CD7">
        <w:rPr>
          <w:rFonts w:ascii="Times New Roman" w:eastAsia="宋体" w:hAnsi="Times New Roman" w:cs="Times New Roman"/>
          <w:sz w:val="21"/>
          <w:szCs w:val="21"/>
        </w:rPr>
        <w:t>为</w:t>
      </w:r>
      <w:r w:rsidRPr="009B0CD7">
        <w:rPr>
          <w:rFonts w:ascii="Times New Roman" w:eastAsia="宋体" w:hAnsi="Times New Roman" w:cs="Times New Roman" w:hint="eastAsia"/>
          <w:sz w:val="21"/>
          <w:szCs w:val="21"/>
        </w:rPr>
        <w:t>第</w:t>
      </w:r>
      <m:oMath>
        <m:r>
          <w:rPr>
            <w:rFonts w:ascii="Cambria Math" w:eastAsia="宋体" w:hAnsi="Cambria Math" w:cs="Times New Roman" w:hint="eastAsia"/>
            <w:sz w:val="21"/>
            <w:szCs w:val="21"/>
          </w:rPr>
          <m:t>m</m:t>
        </m:r>
      </m:oMath>
      <w:r w:rsidRPr="009B0CD7">
        <w:rPr>
          <w:rFonts w:ascii="Times New Roman" w:eastAsia="宋体" w:hAnsi="Times New Roman" w:cs="Times New Roman" w:hint="eastAsia"/>
          <w:sz w:val="21"/>
          <w:szCs w:val="21"/>
        </w:rPr>
        <w:t>月第</w:t>
      </w:r>
      <m:oMath>
        <m:r>
          <w:rPr>
            <w:rFonts w:ascii="Cambria Math" w:eastAsia="宋体" w:hAnsi="Cambria Math" w:cs="Times New Roman"/>
            <w:sz w:val="21"/>
            <w:szCs w:val="21"/>
          </w:rPr>
          <m:t>t</m:t>
        </m:r>
      </m:oMath>
      <w:r w:rsidRPr="009B0CD7">
        <w:rPr>
          <w:rFonts w:ascii="Times New Roman" w:eastAsia="宋体" w:hAnsi="Times New Roman" w:cs="Times New Roman" w:hint="eastAsia"/>
          <w:sz w:val="21"/>
          <w:szCs w:val="21"/>
        </w:rPr>
        <w:t>年的</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依赖</w:t>
      </w:r>
      <w:r w:rsidRPr="009B0CD7">
        <w:rPr>
          <w:rFonts w:ascii="Times New Roman" w:eastAsia="宋体" w:hAnsi="Times New Roman" w:cs="Times New Roman"/>
          <w:sz w:val="21"/>
          <w:szCs w:val="21"/>
        </w:rPr>
        <w:t>参数。</w:t>
      </w:r>
    </w:p>
    <w:p w14:paraId="381FC053" w14:textId="77777777" w:rsidR="0081344D" w:rsidRPr="009B0CD7" w:rsidRDefault="00000000">
      <w:pPr>
        <w:tabs>
          <w:tab w:val="left" w:pos="216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为比较不同月份双枯风险的平均水平，进一步对研究期内各月份的年度条件双枯概率取平均，得到</w:t>
      </w:r>
    </w:p>
    <w:p w14:paraId="3522129C" w14:textId="77777777" w:rsidR="0081344D" w:rsidRPr="009B0CD7" w:rsidRDefault="00000000">
      <w:pPr>
        <w:tabs>
          <w:tab w:val="left" w:pos="2160"/>
        </w:tabs>
        <w:spacing w:after="0" w:line="240" w:lineRule="auto"/>
        <w:jc w:val="both"/>
        <w:rPr>
          <w:rFonts w:ascii="Times New Roman" w:eastAsia="宋体" w:hAnsi="Times New Roman" w:cs="Times New Roman"/>
          <w:iCs/>
          <w:sz w:val="21"/>
          <w:szCs w:val="21"/>
        </w:rPr>
      </w:pPr>
      <m:oMathPara>
        <m:oMathParaPr>
          <m:jc m:val="right"/>
        </m:oMathParaPr>
        <m:oMath>
          <m:sSub>
            <m:sSubPr>
              <m:ctrlPr>
                <w:rPr>
                  <w:rFonts w:ascii="Cambria Math" w:eastAsia="宋体" w:hAnsi="Cambria Math" w:cs="Times New Roman"/>
                  <w:i/>
                  <w:sz w:val="21"/>
                  <w:szCs w:val="21"/>
                </w:rPr>
              </m:ctrlPr>
            </m:sSubPr>
            <m:e>
              <m:acc>
                <m:accPr>
                  <m:chr m:val="̅"/>
                  <m:ctrlPr>
                    <w:rPr>
                      <w:rFonts w:ascii="Cambria Math" w:eastAsia="宋体" w:hAnsi="Cambria Math" w:cs="Times New Roman"/>
                      <w:i/>
                      <w:sz w:val="21"/>
                      <w:szCs w:val="21"/>
                    </w:rPr>
                  </m:ctrlPr>
                </m:accPr>
                <m:e>
                  <m:r>
                    <w:rPr>
                      <w:rFonts w:ascii="Cambria Math" w:eastAsia="宋体" w:hAnsi="Cambria Math" w:cs="Times New Roman"/>
                      <w:sz w:val="21"/>
                      <w:szCs w:val="21"/>
                    </w:rPr>
                    <m:t>P</m:t>
                  </m:r>
                </m:e>
              </m:acc>
            </m:e>
            <m:sub>
              <m:r>
                <w:rPr>
                  <w:rFonts w:ascii="Cambria Math" w:eastAsia="宋体" w:hAnsi="Cambria Math" w:cs="Times New Roman" w:hint="eastAsia"/>
                  <w:sz w:val="21"/>
                  <w:szCs w:val="21"/>
                </w:rPr>
                <m:t>m</m:t>
              </m:r>
            </m:sub>
          </m:sSub>
          <m:r>
            <w:rPr>
              <w:rFonts w:ascii="Cambria Math" w:eastAsia="宋体" w:hAnsi="Cambria Math" w:cs="Times New Roman"/>
              <w:sz w:val="21"/>
              <w:szCs w:val="21"/>
            </w:rPr>
            <m:t>=</m:t>
          </m:r>
          <m:f>
            <m:fPr>
              <m:ctrlPr>
                <w:rPr>
                  <w:rFonts w:ascii="Cambria Math" w:eastAsia="宋体" w:hAnsi="Cambria Math" w:cs="Times New Roman"/>
                  <w:i/>
                  <w:sz w:val="21"/>
                  <w:szCs w:val="21"/>
                </w:rPr>
              </m:ctrlPr>
            </m:fPr>
            <m:num>
              <m:r>
                <w:rPr>
                  <w:rFonts w:ascii="Cambria Math" w:eastAsia="宋体" w:hAnsi="Cambria Math" w:cs="Times New Roman"/>
                  <w:sz w:val="21"/>
                  <w:szCs w:val="21"/>
                </w:rPr>
                <m:t>1</m:t>
              </m:r>
            </m:num>
            <m:den>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N</m:t>
                  </m:r>
                </m:e>
                <m:sub>
                  <m:r>
                    <w:rPr>
                      <w:rFonts w:ascii="Cambria Math" w:eastAsia="宋体" w:hAnsi="Cambria Math" w:cs="Times New Roman" w:hint="eastAsia"/>
                      <w:sz w:val="21"/>
                      <w:szCs w:val="21"/>
                    </w:rPr>
                    <m:t>m</m:t>
                  </m:r>
                </m:sub>
              </m:sSub>
            </m:den>
          </m:f>
          <m:nary>
            <m:naryPr>
              <m:chr m:val="∑"/>
              <m:limLoc m:val="undOvr"/>
              <m:ctrlPr>
                <w:rPr>
                  <w:rFonts w:ascii="Cambria Math" w:eastAsia="宋体" w:hAnsi="Cambria Math" w:cs="Times New Roman"/>
                  <w:i/>
                  <w:sz w:val="21"/>
                  <w:szCs w:val="21"/>
                </w:rPr>
              </m:ctrlPr>
            </m:naryPr>
            <m:sub>
              <m:r>
                <w:rPr>
                  <w:rFonts w:ascii="Cambria Math" w:eastAsia="宋体" w:hAnsi="Cambria Math" w:cs="Times New Roman" w:hint="eastAsia"/>
                  <w:sz w:val="21"/>
                  <w:szCs w:val="21"/>
                </w:rPr>
                <m:t>t</m:t>
              </m:r>
              <m:r>
                <w:rPr>
                  <w:rFonts w:ascii="Cambria Math" w:eastAsia="宋体" w:hAnsi="Cambria Math" w:cs="Times New Roman"/>
                  <w:sz w:val="21"/>
                  <w:szCs w:val="21"/>
                </w:rPr>
                <m:t>=1</m:t>
              </m:r>
            </m:sub>
            <m:sup>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N</m:t>
                  </m:r>
                </m:e>
                <m:sub>
                  <m:r>
                    <w:rPr>
                      <w:rFonts w:ascii="Cambria Math" w:eastAsia="宋体" w:hAnsi="Cambria Math" w:cs="Times New Roman" w:hint="eastAsia"/>
                      <w:sz w:val="21"/>
                      <w:szCs w:val="21"/>
                    </w:rPr>
                    <m:t>m</m:t>
                  </m:r>
                </m:sub>
              </m:sSub>
            </m:sup>
            <m:e>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P</m:t>
                  </m:r>
                </m:e>
                <m:sub>
                  <m:r>
                    <w:rPr>
                      <w:rFonts w:ascii="Cambria Math" w:eastAsia="宋体" w:hAnsi="Cambria Math" w:cs="Times New Roman" w:hint="eastAsia"/>
                      <w:sz w:val="21"/>
                      <w:szCs w:val="21"/>
                    </w:rPr>
                    <m:t>m</m:t>
                  </m:r>
                  <m:r>
                    <w:rPr>
                      <w:rFonts w:ascii="Cambria Math" w:eastAsia="宋体" w:hAnsi="Cambria Math" w:cs="Times New Roman"/>
                      <w:sz w:val="21"/>
                      <w:szCs w:val="21"/>
                    </w:rPr>
                    <m:t>,</m:t>
                  </m:r>
                  <m:r>
                    <w:rPr>
                      <w:rFonts w:ascii="Cambria Math" w:eastAsia="宋体" w:hAnsi="Cambria Math" w:cs="Times New Roman" w:hint="eastAsia"/>
                      <w:sz w:val="21"/>
                      <w:szCs w:val="21"/>
                    </w:rPr>
                    <m:t>t</m:t>
                  </m:r>
                </m:sub>
              </m:sSub>
            </m:e>
          </m:nary>
          <m:r>
            <w:rPr>
              <w:rFonts w:ascii="Cambria Math" w:eastAsia="宋体" w:hAnsi="Cambria Math" w:cs="Times New Roman"/>
              <w:sz w:val="21"/>
              <w:szCs w:val="21"/>
            </w:rPr>
            <m:t xml:space="preserve">                                                          </m:t>
          </m:r>
          <m:r>
            <m:rPr>
              <m:sty m:val="p"/>
            </m:rPr>
            <w:rPr>
              <w:rFonts w:ascii="Cambria Math" w:eastAsia="宋体" w:hAnsi="Cambria Math" w:cs="Times New Roman" w:hint="eastAsia"/>
              <w:sz w:val="21"/>
              <w:szCs w:val="21"/>
            </w:rPr>
            <m:t>（</m:t>
          </m:r>
          <m:r>
            <m:rPr>
              <m:sty m:val="p"/>
            </m:rPr>
            <w:rPr>
              <w:rFonts w:ascii="Cambria Math" w:eastAsia="宋体" w:hAnsi="Cambria Math" w:cs="Times New Roman"/>
              <w:sz w:val="21"/>
              <w:szCs w:val="21"/>
            </w:rPr>
            <m:t>14</m:t>
          </m:r>
          <m:r>
            <m:rPr>
              <m:sty m:val="p"/>
            </m:rPr>
            <w:rPr>
              <w:rFonts w:ascii="Cambria Math" w:eastAsia="宋体" w:hAnsi="Cambria Math" w:cs="Times New Roman" w:hint="eastAsia"/>
              <w:sz w:val="21"/>
              <w:szCs w:val="21"/>
            </w:rPr>
            <m:t>）</m:t>
          </m:r>
        </m:oMath>
      </m:oMathPara>
    </w:p>
    <w:p w14:paraId="7730B812" w14:textId="77777777" w:rsidR="0081344D" w:rsidRPr="009B0CD7" w:rsidRDefault="00000000">
      <w:pPr>
        <w:tabs>
          <w:tab w:val="left" w:pos="2160"/>
        </w:tabs>
        <w:spacing w:after="0" w:line="240" w:lineRule="auto"/>
        <w:jc w:val="both"/>
        <w:rPr>
          <w:rFonts w:ascii="Times New Roman" w:eastAsia="宋体" w:hAnsi="Times New Roman" w:cs="Times New Roman"/>
          <w:sz w:val="21"/>
          <w:szCs w:val="21"/>
        </w:rPr>
      </w:pPr>
      <w:r w:rsidRPr="009B0CD7">
        <w:rPr>
          <w:rFonts w:ascii="Times New Roman" w:eastAsia="宋体" w:hAnsi="Times New Roman" w:cs="Times New Roman" w:hint="eastAsia"/>
          <w:sz w:val="21"/>
          <w:szCs w:val="21"/>
        </w:rPr>
        <w:t>式中，</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N</m:t>
            </m:r>
          </m:e>
          <m:sub>
            <m:r>
              <w:rPr>
                <w:rFonts w:ascii="Cambria Math" w:eastAsia="宋体" w:hAnsi="Cambria Math" w:cs="Times New Roman" w:hint="eastAsia"/>
                <w:sz w:val="21"/>
                <w:szCs w:val="21"/>
              </w:rPr>
              <m:t>m</m:t>
            </m:r>
          </m:sub>
        </m:sSub>
      </m:oMath>
      <w:r w:rsidRPr="009B0CD7">
        <w:rPr>
          <w:rFonts w:ascii="Times New Roman" w:eastAsia="宋体" w:hAnsi="Times New Roman" w:cs="Times New Roman" w:hint="eastAsia"/>
          <w:sz w:val="21"/>
          <w:szCs w:val="21"/>
        </w:rPr>
        <w:t>为第</w:t>
      </w:r>
      <m:oMath>
        <m:r>
          <w:rPr>
            <w:rFonts w:ascii="Cambria Math" w:eastAsia="宋体" w:hAnsi="Cambria Math" w:cs="Times New Roman" w:hint="eastAsia"/>
            <w:sz w:val="21"/>
            <w:szCs w:val="21"/>
          </w:rPr>
          <m:t>m</m:t>
        </m:r>
      </m:oMath>
      <w:r w:rsidRPr="009B0CD7">
        <w:rPr>
          <w:rFonts w:ascii="Times New Roman" w:eastAsia="宋体" w:hAnsi="Times New Roman" w:cs="Times New Roman" w:hint="eastAsia"/>
          <w:sz w:val="21"/>
          <w:szCs w:val="21"/>
        </w:rPr>
        <w:t>月参与计算的有效年份数。当第</w:t>
      </w:r>
      <m:oMath>
        <m:r>
          <w:rPr>
            <w:rFonts w:ascii="Cambria Math" w:eastAsia="宋体" w:hAnsi="Cambria Math" w:cs="Times New Roman" w:hint="eastAsia"/>
            <w:sz w:val="21"/>
            <w:szCs w:val="21"/>
          </w:rPr>
          <m:t>m</m:t>
        </m:r>
      </m:oMath>
      <w:r w:rsidRPr="009B0CD7">
        <w:rPr>
          <w:rFonts w:ascii="Times New Roman" w:eastAsia="宋体" w:hAnsi="Times New Roman" w:cs="Times New Roman" w:hint="eastAsia"/>
          <w:sz w:val="21"/>
          <w:szCs w:val="21"/>
        </w:rPr>
        <w:t>月采用时变</w:t>
      </w:r>
      <w:r w:rsidRPr="009B0CD7">
        <w:rPr>
          <w:rFonts w:ascii="Times New Roman" w:eastAsia="宋体" w:hAnsi="Times New Roman" w:cs="Times New Roman" w:hint="eastAsia"/>
          <w:sz w:val="21"/>
          <w:szCs w:val="21"/>
        </w:rPr>
        <w:t>Copula</w:t>
      </w:r>
      <w:r w:rsidRPr="009B0CD7">
        <w:rPr>
          <w:rFonts w:ascii="Times New Roman" w:eastAsia="宋体" w:hAnsi="Times New Roman" w:cs="Times New Roman" w:hint="eastAsia"/>
          <w:sz w:val="21"/>
          <w:szCs w:val="21"/>
        </w:rPr>
        <w:t>模型时，</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θ</m:t>
            </m:r>
          </m:e>
          <m:sub>
            <m:r>
              <w:rPr>
                <w:rFonts w:ascii="Cambria Math" w:eastAsia="宋体" w:hAnsi="Cambria Math" w:cs="Times New Roman" w:hint="eastAsia"/>
                <w:sz w:val="21"/>
                <w:szCs w:val="21"/>
              </w:rPr>
              <m:t>m</m:t>
            </m:r>
            <m:r>
              <w:rPr>
                <w:rFonts w:ascii="Cambria Math" w:eastAsia="宋体" w:hAnsi="Cambria Math" w:cs="Times New Roman"/>
                <w:sz w:val="21"/>
                <w:szCs w:val="21"/>
              </w:rPr>
              <m:t>,t</m:t>
            </m:r>
          </m:sub>
        </m:sSub>
      </m:oMath>
      <w:r w:rsidRPr="009B0CD7">
        <w:rPr>
          <w:rFonts w:ascii="Times New Roman" w:eastAsia="宋体" w:hAnsi="Times New Roman" w:cs="Times New Roman" w:hint="eastAsia"/>
          <w:sz w:val="21"/>
          <w:szCs w:val="21"/>
        </w:rPr>
        <w:t>随年份变化，因此</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P</m:t>
            </m:r>
          </m:e>
          <m:sub>
            <m:r>
              <w:rPr>
                <w:rFonts w:ascii="Cambria Math" w:eastAsia="宋体" w:hAnsi="Cambria Math" w:cs="Times New Roman" w:hint="eastAsia"/>
                <w:sz w:val="21"/>
                <w:szCs w:val="21"/>
              </w:rPr>
              <m:t>m</m:t>
            </m:r>
            <m:r>
              <w:rPr>
                <w:rFonts w:ascii="Cambria Math" w:eastAsia="宋体" w:hAnsi="Cambria Math" w:cs="Times New Roman"/>
                <w:sz w:val="21"/>
                <w:szCs w:val="21"/>
              </w:rPr>
              <m:t>,</m:t>
            </m:r>
            <m:r>
              <w:rPr>
                <w:rFonts w:ascii="Cambria Math" w:eastAsia="宋体" w:hAnsi="Cambria Math" w:cs="Times New Roman" w:hint="eastAsia"/>
                <w:sz w:val="21"/>
                <w:szCs w:val="21"/>
              </w:rPr>
              <m:t>t</m:t>
            </m:r>
          </m:sub>
        </m:sSub>
      </m:oMath>
      <w:r w:rsidRPr="009B0CD7">
        <w:rPr>
          <w:rFonts w:ascii="Times New Roman" w:eastAsia="宋体" w:hAnsi="Times New Roman" w:cs="Times New Roman" w:hint="eastAsia"/>
          <w:sz w:val="21"/>
          <w:szCs w:val="21"/>
        </w:rPr>
        <w:t>为年度条件概率序列，</w:t>
      </w:r>
      <m:oMath>
        <m:sSub>
          <m:sSubPr>
            <m:ctrlPr>
              <w:rPr>
                <w:rFonts w:ascii="Cambria Math" w:eastAsia="宋体" w:hAnsi="Cambria Math" w:cs="Times New Roman"/>
                <w:i/>
                <w:sz w:val="21"/>
                <w:szCs w:val="21"/>
              </w:rPr>
            </m:ctrlPr>
          </m:sSubPr>
          <m:e>
            <m:acc>
              <m:accPr>
                <m:chr m:val="̅"/>
                <m:ctrlPr>
                  <w:rPr>
                    <w:rFonts w:ascii="Cambria Math" w:eastAsia="宋体" w:hAnsi="Cambria Math" w:cs="Times New Roman"/>
                    <w:i/>
                    <w:sz w:val="21"/>
                    <w:szCs w:val="21"/>
                  </w:rPr>
                </m:ctrlPr>
              </m:accPr>
              <m:e>
                <m:r>
                  <w:rPr>
                    <w:rFonts w:ascii="Cambria Math" w:eastAsia="宋体" w:hAnsi="Cambria Math" w:cs="Times New Roman"/>
                    <w:sz w:val="21"/>
                    <w:szCs w:val="21"/>
                  </w:rPr>
                  <m:t>P</m:t>
                </m:r>
              </m:e>
            </m:acc>
          </m:e>
          <m:sub>
            <m:r>
              <w:rPr>
                <w:rFonts w:ascii="Cambria Math" w:eastAsia="宋体" w:hAnsi="Cambria Math" w:cs="Times New Roman" w:hint="eastAsia"/>
                <w:sz w:val="21"/>
                <w:szCs w:val="21"/>
              </w:rPr>
              <m:t>m</m:t>
            </m:r>
          </m:sub>
        </m:sSub>
      </m:oMath>
      <w:r w:rsidRPr="009B0CD7">
        <w:rPr>
          <w:rFonts w:ascii="Times New Roman" w:eastAsia="宋体" w:hAnsi="Times New Roman" w:cs="Times New Roman" w:hint="eastAsia"/>
          <w:sz w:val="21"/>
          <w:szCs w:val="21"/>
        </w:rPr>
        <w:t>表示其历史时期平均水平；当采用静态</w:t>
      </w:r>
      <w:r w:rsidRPr="009B0CD7">
        <w:rPr>
          <w:rFonts w:ascii="Times New Roman" w:eastAsia="宋体" w:hAnsi="Times New Roman" w:cs="Times New Roman" w:hint="eastAsia"/>
          <w:sz w:val="21"/>
          <w:szCs w:val="21"/>
        </w:rPr>
        <w:t>Copula</w:t>
      </w:r>
      <w:r w:rsidRPr="009B0CD7">
        <w:rPr>
          <w:rFonts w:ascii="Times New Roman" w:eastAsia="宋体" w:hAnsi="Times New Roman" w:cs="Times New Roman" w:hint="eastAsia"/>
          <w:sz w:val="21"/>
          <w:szCs w:val="21"/>
        </w:rPr>
        <w:t>模型时，</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θ</m:t>
            </m:r>
          </m:e>
          <m:sub>
            <m:r>
              <w:rPr>
                <w:rFonts w:ascii="Cambria Math" w:eastAsia="宋体" w:hAnsi="Cambria Math" w:cs="Times New Roman" w:hint="eastAsia"/>
                <w:sz w:val="21"/>
                <w:szCs w:val="21"/>
              </w:rPr>
              <m:t>m</m:t>
            </m:r>
          </m:sub>
        </m:sSub>
      </m:oMath>
      <w:r w:rsidRPr="009B0CD7">
        <w:rPr>
          <w:rFonts w:ascii="Times New Roman" w:eastAsia="宋体" w:hAnsi="Times New Roman" w:cs="Times New Roman" w:hint="eastAsia"/>
          <w:sz w:val="21"/>
          <w:szCs w:val="21"/>
        </w:rPr>
        <w:t>为常数，且双枯阈值固定为</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u</m:t>
            </m:r>
          </m:e>
          <m:sub>
            <m:r>
              <w:rPr>
                <w:rFonts w:ascii="Cambria Math" w:eastAsia="宋体" w:hAnsi="Cambria Math" w:cs="Times New Roman"/>
                <w:sz w:val="21"/>
                <w:szCs w:val="21"/>
              </w:rPr>
              <m:t>0</m:t>
            </m:r>
          </m:sub>
        </m:sSub>
        <m:r>
          <w:rPr>
            <w:rFonts w:ascii="Cambria Math" w:eastAsia="宋体" w:hAnsi="Cambria Math" w:cs="Times New Roman"/>
            <w:sz w:val="21"/>
            <w:szCs w:val="21"/>
          </w:rPr>
          <m:t>=</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v</m:t>
            </m:r>
          </m:e>
          <m:sub>
            <m:r>
              <w:rPr>
                <w:rFonts w:ascii="Cambria Math" w:eastAsia="宋体" w:hAnsi="Cambria Math" w:cs="Times New Roman"/>
                <w:sz w:val="21"/>
                <w:szCs w:val="21"/>
              </w:rPr>
              <m:t>0</m:t>
            </m:r>
          </m:sub>
        </m:sSub>
        <m:r>
          <w:rPr>
            <w:rFonts w:ascii="Cambria Math" w:eastAsia="宋体" w:hAnsi="Cambria Math" w:cs="Times New Roman"/>
            <w:sz w:val="21"/>
            <w:szCs w:val="21"/>
          </w:rPr>
          <m:t>=0.375</m:t>
        </m:r>
      </m:oMath>
      <w:r w:rsidRPr="009B0CD7">
        <w:rPr>
          <w:rFonts w:ascii="Times New Roman" w:eastAsia="宋体" w:hAnsi="Times New Roman" w:cs="Times New Roman" w:hint="eastAsia"/>
          <w:sz w:val="21"/>
          <w:szCs w:val="21"/>
        </w:rPr>
        <w:t>，因此各年份</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P</m:t>
            </m:r>
          </m:e>
          <m:sub>
            <m:r>
              <w:rPr>
                <w:rFonts w:ascii="Cambria Math" w:eastAsia="宋体" w:hAnsi="Cambria Math" w:cs="Times New Roman" w:hint="eastAsia"/>
                <w:sz w:val="21"/>
                <w:szCs w:val="21"/>
              </w:rPr>
              <m:t>m</m:t>
            </m:r>
            <m:r>
              <w:rPr>
                <w:rFonts w:ascii="Cambria Math" w:eastAsia="宋体" w:hAnsi="Cambria Math" w:cs="Times New Roman"/>
                <w:sz w:val="21"/>
                <w:szCs w:val="21"/>
              </w:rPr>
              <m:t>,</m:t>
            </m:r>
            <m:r>
              <w:rPr>
                <w:rFonts w:ascii="Cambria Math" w:eastAsia="宋体" w:hAnsi="Cambria Math" w:cs="Times New Roman" w:hint="eastAsia"/>
                <w:sz w:val="21"/>
                <w:szCs w:val="21"/>
              </w:rPr>
              <m:t>t</m:t>
            </m:r>
          </m:sub>
        </m:sSub>
      </m:oMath>
      <w:r w:rsidRPr="009B0CD7">
        <w:rPr>
          <w:rFonts w:ascii="Times New Roman" w:eastAsia="宋体" w:hAnsi="Times New Roman" w:cs="Times New Roman" w:hint="eastAsia"/>
          <w:sz w:val="21"/>
          <w:szCs w:val="21"/>
        </w:rPr>
        <w:t>相同，</w:t>
      </w:r>
      <m:oMath>
        <m:sSub>
          <m:sSubPr>
            <m:ctrlPr>
              <w:rPr>
                <w:rFonts w:ascii="Cambria Math" w:eastAsia="宋体" w:hAnsi="Cambria Math" w:cs="Times New Roman"/>
                <w:i/>
                <w:sz w:val="21"/>
                <w:szCs w:val="21"/>
              </w:rPr>
            </m:ctrlPr>
          </m:sSubPr>
          <m:e>
            <m:acc>
              <m:accPr>
                <m:chr m:val="̅"/>
                <m:ctrlPr>
                  <w:rPr>
                    <w:rFonts w:ascii="Cambria Math" w:eastAsia="宋体" w:hAnsi="Cambria Math" w:cs="Times New Roman"/>
                    <w:i/>
                    <w:sz w:val="21"/>
                    <w:szCs w:val="21"/>
                  </w:rPr>
                </m:ctrlPr>
              </m:accPr>
              <m:e>
                <m:r>
                  <w:rPr>
                    <w:rFonts w:ascii="Cambria Math" w:eastAsia="宋体" w:hAnsi="Cambria Math" w:cs="Times New Roman"/>
                    <w:sz w:val="21"/>
                    <w:szCs w:val="21"/>
                  </w:rPr>
                  <m:t>P</m:t>
                </m:r>
              </m:e>
            </m:acc>
          </m:e>
          <m:sub>
            <m:r>
              <w:rPr>
                <w:rFonts w:ascii="Cambria Math" w:eastAsia="宋体" w:hAnsi="Cambria Math" w:cs="Times New Roman" w:hint="eastAsia"/>
                <w:sz w:val="21"/>
                <w:szCs w:val="21"/>
              </w:rPr>
              <m:t>m</m:t>
            </m:r>
          </m:sub>
        </m:sSub>
      </m:oMath>
      <w:r w:rsidRPr="009B0CD7">
        <w:rPr>
          <w:rFonts w:ascii="Times New Roman" w:eastAsia="宋体" w:hAnsi="Times New Roman" w:cs="Times New Roman" w:hint="eastAsia"/>
          <w:sz w:val="21"/>
          <w:szCs w:val="21"/>
        </w:rPr>
        <w:t>即等于该静态模型对应的双枯概率。</w:t>
      </w:r>
      <m:oMath>
        <m:sSub>
          <m:sSubPr>
            <m:ctrlPr>
              <w:rPr>
                <w:rFonts w:ascii="Cambria Math" w:eastAsia="宋体" w:hAnsi="Cambria Math" w:cs="Times New Roman"/>
                <w:i/>
                <w:sz w:val="21"/>
                <w:szCs w:val="21"/>
              </w:rPr>
            </m:ctrlPr>
          </m:sSubPr>
          <m:e>
            <m:acc>
              <m:accPr>
                <m:chr m:val="̅"/>
                <m:ctrlPr>
                  <w:rPr>
                    <w:rFonts w:ascii="Cambria Math" w:eastAsia="宋体" w:hAnsi="Cambria Math" w:cs="Times New Roman"/>
                    <w:i/>
                    <w:sz w:val="21"/>
                    <w:szCs w:val="21"/>
                  </w:rPr>
                </m:ctrlPr>
              </m:accPr>
              <m:e>
                <m:r>
                  <w:rPr>
                    <w:rFonts w:ascii="Cambria Math" w:eastAsia="宋体" w:hAnsi="Cambria Math" w:cs="Times New Roman"/>
                    <w:sz w:val="21"/>
                    <w:szCs w:val="21"/>
                  </w:rPr>
                  <m:t>P</m:t>
                </m:r>
              </m:e>
            </m:acc>
          </m:e>
          <m:sub>
            <m:r>
              <w:rPr>
                <w:rFonts w:ascii="Cambria Math" w:eastAsia="宋体" w:hAnsi="Cambria Math" w:cs="Times New Roman" w:hint="eastAsia"/>
                <w:sz w:val="21"/>
                <w:szCs w:val="21"/>
              </w:rPr>
              <m:t>m</m:t>
            </m:r>
          </m:sub>
        </m:sSub>
      </m:oMath>
      <w:r w:rsidRPr="009B0CD7">
        <w:rPr>
          <w:rFonts w:ascii="Times New Roman" w:eastAsia="宋体" w:hAnsi="Times New Roman" w:cs="Times New Roman" w:hint="eastAsia"/>
          <w:sz w:val="21"/>
          <w:szCs w:val="21"/>
        </w:rPr>
        <w:t>主要用于比较不同月份的长期平均风险水平，而时变模型的年际风险变化仍由</w:t>
      </w:r>
      <m:oMath>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P</m:t>
            </m:r>
          </m:e>
          <m:sub>
            <m:r>
              <w:rPr>
                <w:rFonts w:ascii="Cambria Math" w:eastAsia="宋体" w:hAnsi="Cambria Math" w:cs="Times New Roman" w:hint="eastAsia"/>
                <w:sz w:val="21"/>
                <w:szCs w:val="21"/>
              </w:rPr>
              <m:t>m</m:t>
            </m:r>
            <m:r>
              <w:rPr>
                <w:rFonts w:ascii="Cambria Math" w:eastAsia="宋体" w:hAnsi="Cambria Math" w:cs="Times New Roman"/>
                <w:sz w:val="21"/>
                <w:szCs w:val="21"/>
              </w:rPr>
              <m:t>,</m:t>
            </m:r>
            <m:r>
              <w:rPr>
                <w:rFonts w:ascii="Cambria Math" w:eastAsia="宋体" w:hAnsi="Cambria Math" w:cs="Times New Roman" w:hint="eastAsia"/>
                <w:sz w:val="21"/>
                <w:szCs w:val="21"/>
              </w:rPr>
              <m:t>t</m:t>
            </m:r>
          </m:sub>
        </m:sSub>
      </m:oMath>
      <w:r w:rsidRPr="009B0CD7">
        <w:rPr>
          <w:rFonts w:ascii="Times New Roman" w:eastAsia="宋体" w:hAnsi="Times New Roman" w:cs="Times New Roman" w:hint="eastAsia"/>
          <w:sz w:val="21"/>
          <w:szCs w:val="21"/>
        </w:rPr>
        <w:t>序列刻画。</w:t>
      </w:r>
    </w:p>
    <w:p w14:paraId="23127CBB" w14:textId="77777777" w:rsidR="0081344D" w:rsidRPr="009B0CD7" w:rsidRDefault="00000000">
      <w:pPr>
        <w:tabs>
          <w:tab w:val="left" w:pos="216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为评价模型对历史双枯事件的识别能力，本文采用</w:t>
      </w:r>
      <w:r w:rsidRPr="009B0CD7">
        <w:rPr>
          <w:rFonts w:ascii="Times New Roman" w:eastAsia="宋体" w:hAnsi="Times New Roman" w:cs="Times New Roman"/>
          <w:sz w:val="21"/>
          <w:szCs w:val="21"/>
        </w:rPr>
        <w:t>Receiver Operating Characteristic</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ROC</w:t>
      </w:r>
      <w:r w:rsidRPr="009B0CD7">
        <w:rPr>
          <w:rFonts w:ascii="Times New Roman" w:eastAsia="宋体" w:hAnsi="Times New Roman" w:cs="Times New Roman"/>
          <w:sz w:val="21"/>
          <w:szCs w:val="21"/>
        </w:rPr>
        <w:t>）曲线下面积</w:t>
      </w:r>
      <w:r w:rsidRPr="009B0CD7">
        <w:rPr>
          <w:rFonts w:ascii="Times New Roman" w:eastAsia="宋体" w:hAnsi="Times New Roman" w:cs="Times New Roman"/>
          <w:i/>
          <w:iCs/>
          <w:sz w:val="21"/>
          <w:szCs w:val="21"/>
        </w:rPr>
        <w:t>AUC</w:t>
      </w:r>
      <w:r w:rsidRPr="009B0CD7">
        <w:rPr>
          <w:rFonts w:ascii="Times New Roman" w:hAnsi="Times New Roman" w:cs="Times New Roman"/>
          <w:kern w:val="0"/>
          <w:sz w:val="21"/>
          <w:szCs w:val="21"/>
          <w:vertAlign w:val="superscript"/>
        </w:rPr>
        <w:t>[41</w:t>
      </w:r>
      <w:r w:rsidRPr="009B0CD7">
        <w:rPr>
          <w:rFonts w:ascii="Times New Roman" w:hAnsi="Times New Roman" w:cs="Times New Roman" w:hint="eastAsia"/>
          <w:kern w:val="0"/>
          <w:sz w:val="21"/>
          <w:szCs w:val="21"/>
          <w:vertAlign w:val="superscript"/>
        </w:rPr>
        <w:t>-</w:t>
      </w:r>
      <w:r w:rsidRPr="009B0CD7">
        <w:rPr>
          <w:rFonts w:ascii="Times New Roman" w:hAnsi="Times New Roman" w:cs="Times New Roman"/>
          <w:kern w:val="0"/>
          <w:sz w:val="21"/>
          <w:szCs w:val="21"/>
          <w:vertAlign w:val="superscript"/>
        </w:rPr>
        <w:t>42]</w:t>
      </w:r>
      <w:r w:rsidRPr="009B0CD7">
        <w:rPr>
          <w:rFonts w:ascii="Times New Roman" w:eastAsia="宋体" w:hAnsi="Times New Roman" w:cs="Times New Roman"/>
          <w:sz w:val="21"/>
          <w:szCs w:val="21"/>
        </w:rPr>
        <w:t>、双枯年份与非双枯年份平均联合概率差值</w:t>
      </w:r>
      <m:oMath>
        <m:r>
          <m:rPr>
            <m:sty m:val="p"/>
          </m:rPr>
          <w:rPr>
            <w:rFonts w:ascii="Cambria Math" w:eastAsia="宋体" w:hAnsi="Cambria Math" w:cs="Times New Roman"/>
            <w:sz w:val="21"/>
            <w:szCs w:val="21"/>
          </w:rPr>
          <m:t>Δ</m:t>
        </m:r>
        <m:r>
          <w:rPr>
            <w:rFonts w:ascii="Cambria Math" w:eastAsia="宋体" w:hAnsi="Cambria Math" w:cs="Times New Roman"/>
            <w:sz w:val="21"/>
            <w:szCs w:val="21"/>
          </w:rPr>
          <m:t>P</m:t>
        </m:r>
      </m:oMath>
      <w:r w:rsidRPr="009B0CD7">
        <w:rPr>
          <w:rFonts w:ascii="Times New Roman" w:eastAsia="宋体" w:hAnsi="Times New Roman" w:cs="Times New Roman"/>
          <w:sz w:val="21"/>
          <w:szCs w:val="21"/>
        </w:rPr>
        <w:t>等指标，并计算</w:t>
      </w:r>
      <w:r w:rsidRPr="009B0CD7">
        <w:rPr>
          <w:rFonts w:ascii="Times New Roman" w:eastAsia="宋体" w:hAnsi="Times New Roman" w:cs="Times New Roman"/>
          <w:sz w:val="21"/>
          <w:szCs w:val="21"/>
        </w:rPr>
        <w:t>F1-score</w:t>
      </w:r>
      <w:r w:rsidRPr="009B0CD7">
        <w:rPr>
          <w:rFonts w:ascii="Times New Roman" w:hAnsi="Times New Roman" w:cs="Times New Roman"/>
          <w:kern w:val="0"/>
          <w:sz w:val="21"/>
          <w:szCs w:val="21"/>
          <w:vertAlign w:val="superscript"/>
        </w:rPr>
        <w:t>[43</w:t>
      </w:r>
      <w:r w:rsidRPr="009B0CD7">
        <w:rPr>
          <w:rFonts w:ascii="Times New Roman" w:hAnsi="Times New Roman" w:cs="Times New Roman" w:hint="eastAsia"/>
          <w:kern w:val="0"/>
          <w:sz w:val="21"/>
          <w:szCs w:val="21"/>
          <w:vertAlign w:val="superscript"/>
        </w:rPr>
        <w:t>-</w:t>
      </w:r>
      <w:r w:rsidRPr="009B0CD7">
        <w:rPr>
          <w:rFonts w:ascii="Times New Roman" w:hAnsi="Times New Roman" w:cs="Times New Roman"/>
          <w:kern w:val="0"/>
          <w:sz w:val="21"/>
          <w:szCs w:val="21"/>
          <w:vertAlign w:val="superscript"/>
        </w:rPr>
        <w:t>44]</w:t>
      </w:r>
      <w:r w:rsidRPr="009B0CD7">
        <w:rPr>
          <w:rFonts w:ascii="Times New Roman" w:eastAsia="宋体" w:hAnsi="Times New Roman" w:cs="Times New Roman"/>
          <w:sz w:val="21"/>
          <w:szCs w:val="21"/>
        </w:rPr>
        <w:t>等辅助诊断指标。其中，</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用于衡量模型对双枯年份和非双枯年份的排序识别能力</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具体而言，若某月历史序列中存在若干双枯年份和非双枯年份，模型会为每一年计算一个双枯联合概率</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若真实双枯年份的模型概率普遍高于非双枯年份，则</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大于</w:t>
      </w:r>
      <w:r w:rsidRPr="009B0CD7">
        <w:rPr>
          <w:rFonts w:ascii="Times New Roman" w:eastAsia="宋体" w:hAnsi="Times New Roman" w:cs="Times New Roman"/>
          <w:sz w:val="21"/>
          <w:szCs w:val="21"/>
        </w:rPr>
        <w:t>0.5</w:t>
      </w:r>
      <w:r w:rsidRPr="009B0CD7">
        <w:rPr>
          <w:rFonts w:ascii="Times New Roman" w:eastAsia="宋体" w:hAnsi="Times New Roman" w:cs="Times New Roman"/>
          <w:sz w:val="21"/>
          <w:szCs w:val="21"/>
        </w:rPr>
        <w:t>，说明模型具有正向排序识别能力。若</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接近</w:t>
      </w:r>
      <w:r w:rsidRPr="009B0CD7">
        <w:rPr>
          <w:rFonts w:ascii="Times New Roman" w:eastAsia="宋体" w:hAnsi="Times New Roman" w:cs="Times New Roman"/>
          <w:sz w:val="21"/>
          <w:szCs w:val="21"/>
        </w:rPr>
        <w:t>0.5</w:t>
      </w:r>
      <w:r w:rsidRPr="009B0CD7">
        <w:rPr>
          <w:rFonts w:ascii="Times New Roman" w:eastAsia="宋体" w:hAnsi="Times New Roman" w:cs="Times New Roman"/>
          <w:sz w:val="21"/>
          <w:szCs w:val="21"/>
        </w:rPr>
        <w:t>，则说明模型难以区分双枯年份和非双枯年份。</w:t>
      </w:r>
      <m:oMath>
        <m:r>
          <m:rPr>
            <m:sty m:val="p"/>
          </m:rPr>
          <w:rPr>
            <w:rFonts w:ascii="Cambria Math" w:eastAsia="宋体" w:hAnsi="Cambria Math" w:cs="Times New Roman"/>
            <w:sz w:val="21"/>
            <w:szCs w:val="21"/>
          </w:rPr>
          <m:t>Δ</m:t>
        </m:r>
        <m:r>
          <w:rPr>
            <w:rFonts w:ascii="Cambria Math" w:eastAsia="宋体" w:hAnsi="Cambria Math" w:cs="Times New Roman"/>
            <w:sz w:val="21"/>
            <w:szCs w:val="21"/>
          </w:rPr>
          <m:t>P</m:t>
        </m:r>
      </m:oMath>
      <w:r w:rsidRPr="009B0CD7">
        <w:rPr>
          <w:rFonts w:ascii="Times New Roman" w:eastAsia="宋体" w:hAnsi="Times New Roman" w:cs="Times New Roman"/>
          <w:sz w:val="21"/>
          <w:szCs w:val="21"/>
        </w:rPr>
        <w:t>表示双枯年份平均联合概率与非双枯年份平均联合概率之差，</w:t>
      </w:r>
      <m:oMath>
        <m:r>
          <w:rPr>
            <w:rFonts w:ascii="Cambria Math" w:eastAsia="宋体" w:hAnsi="Cambria Math" w:cs="Times New Roman"/>
            <w:sz w:val="21"/>
            <w:szCs w:val="21"/>
          </w:rPr>
          <m:t>ΔP&gt;0</m:t>
        </m:r>
      </m:oMath>
      <w:r w:rsidRPr="009B0CD7">
        <w:rPr>
          <w:rFonts w:ascii="Times New Roman" w:eastAsia="宋体" w:hAnsi="Times New Roman" w:cs="Times New Roman"/>
          <w:sz w:val="21"/>
          <w:szCs w:val="21"/>
        </w:rPr>
        <w:t>表明模型能够在历史双枯年份赋予更高风险概率。平均双枯概率误差定义为模型多年平均双枯概率与历史观测双枯频率之间的绝对差值</w:t>
      </w:r>
      <w:r w:rsidRPr="009B0CD7">
        <w:rPr>
          <w:rFonts w:ascii="Times New Roman" w:eastAsia="宋体" w:hAnsi="Times New Roman" w:cs="Times New Roman" w:hint="eastAsia"/>
          <w:sz w:val="21"/>
          <w:szCs w:val="21"/>
        </w:rPr>
        <w:t>，差值越小，</w:t>
      </w:r>
      <w:r w:rsidRPr="009B0CD7">
        <w:rPr>
          <w:rFonts w:ascii="Times New Roman" w:eastAsia="宋体" w:hAnsi="Times New Roman" w:cs="Times New Roman"/>
          <w:sz w:val="21"/>
          <w:szCs w:val="21"/>
        </w:rPr>
        <w:t>则说明模型对长期平均风险水平具有较好校准能力。</w:t>
      </w:r>
    </w:p>
    <w:p w14:paraId="1747E4E2" w14:textId="77777777" w:rsidR="0081344D" w:rsidRPr="009B0CD7" w:rsidRDefault="00000000">
      <w:pPr>
        <w:tabs>
          <w:tab w:val="left" w:pos="2160"/>
        </w:tabs>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在此基础上，本文采用面向双枯风险识别的模型推荐策略。对于各月份候选模型，优先采用下尾加权</w:t>
      </w:r>
      <w:r w:rsidRPr="009B0CD7">
        <w:rPr>
          <w:rFonts w:ascii="Times New Roman" w:eastAsia="宋体" w:hAnsi="Times New Roman" w:cs="Times New Roman"/>
          <w:i/>
          <w:iCs/>
          <w:sz w:val="21"/>
          <w:szCs w:val="21"/>
        </w:rPr>
        <w:t>AIC</w:t>
      </w:r>
      <w:r w:rsidRPr="009B0CD7">
        <w:rPr>
          <w:rFonts w:ascii="Times New Roman" w:eastAsia="宋体" w:hAnsi="Times New Roman" w:cs="Times New Roman"/>
          <w:sz w:val="21"/>
          <w:szCs w:val="21"/>
        </w:rPr>
        <w:t>评价其对双枯低流量联合区域的拟合能力，下尾加权</w:t>
      </w:r>
      <w:r w:rsidRPr="009B0CD7">
        <w:rPr>
          <w:rFonts w:ascii="Times New Roman" w:eastAsia="宋体" w:hAnsi="Times New Roman" w:cs="Times New Roman"/>
          <w:i/>
          <w:iCs/>
          <w:sz w:val="21"/>
          <w:szCs w:val="21"/>
        </w:rPr>
        <w:t>AIC</w:t>
      </w:r>
      <w:r w:rsidRPr="009B0CD7">
        <w:rPr>
          <w:rFonts w:ascii="Times New Roman" w:eastAsia="宋体" w:hAnsi="Times New Roman" w:cs="Times New Roman"/>
          <w:sz w:val="21"/>
          <w:szCs w:val="21"/>
        </w:rPr>
        <w:t>是在</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对数似然计算中对双枯阈值附近的低流量联合样本赋予较高权重后得到的</w:t>
      </w:r>
      <w:r w:rsidRPr="009B0CD7">
        <w:rPr>
          <w:rFonts w:ascii="Times New Roman" w:eastAsia="宋体" w:hAnsi="Times New Roman" w:cs="Times New Roman"/>
          <w:i/>
          <w:iCs/>
          <w:sz w:val="21"/>
          <w:szCs w:val="21"/>
        </w:rPr>
        <w:t>AIC</w:t>
      </w:r>
      <w:r w:rsidRPr="009B0CD7">
        <w:rPr>
          <w:rFonts w:ascii="Times New Roman" w:eastAsia="宋体" w:hAnsi="Times New Roman" w:cs="Times New Roman"/>
          <w:sz w:val="21"/>
          <w:szCs w:val="21"/>
        </w:rPr>
        <w:t>型指标，用于强化模型对双枯风险相关区域的拟合评价。</w:t>
      </w:r>
      <w:r w:rsidRPr="009B0CD7">
        <w:rPr>
          <w:rFonts w:ascii="Times New Roman" w:eastAsia="宋体" w:hAnsi="Times New Roman" w:cs="Times New Roman" w:hint="eastAsia"/>
          <w:sz w:val="21"/>
          <w:szCs w:val="21"/>
        </w:rPr>
        <w:t>在此基础上进一步</w:t>
      </w:r>
      <w:r w:rsidRPr="009B0CD7">
        <w:rPr>
          <w:rFonts w:ascii="Times New Roman" w:eastAsia="宋体" w:hAnsi="Times New Roman" w:cs="Times New Roman"/>
          <w:sz w:val="21"/>
          <w:szCs w:val="21"/>
        </w:rPr>
        <w:t>结合</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w:t>
      </w:r>
      <m:oMath>
        <m:r>
          <w:rPr>
            <w:rFonts w:ascii="Cambria Math" w:eastAsia="宋体" w:hAnsi="Cambria Math" w:cs="Times New Roman"/>
            <w:sz w:val="21"/>
            <w:szCs w:val="21"/>
          </w:rPr>
          <m:t>ΔP</m:t>
        </m:r>
      </m:oMath>
      <w:r w:rsidRPr="009B0CD7">
        <w:rPr>
          <w:rFonts w:ascii="Times New Roman" w:eastAsia="宋体" w:hAnsi="Times New Roman" w:cs="Times New Roman"/>
          <w:sz w:val="21"/>
          <w:szCs w:val="21"/>
        </w:rPr>
        <w:t>和平均双枯概率误差，分别衡量模型对历史双枯年份的排序识别能力、双枯年与非双枯年的风险区分度以及长期平均风险水平的校准效果；同时兼顾</w:t>
      </w:r>
      <m:oMath>
        <m:r>
          <w:rPr>
            <w:rFonts w:ascii="Cambria Math" w:eastAsia="宋体" w:hAnsi="Cambria Math" w:cs="Times New Roman"/>
            <w:sz w:val="21"/>
            <w:szCs w:val="21"/>
          </w:rPr>
          <m:t>AI</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sz w:val="21"/>
          <w:szCs w:val="21"/>
        </w:rPr>
        <w:t>所反映的整体拟合优度和模型复杂度，最终确定各月份推荐</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w:t>
      </w:r>
    </w:p>
    <w:p w14:paraId="3C246880" w14:textId="77777777" w:rsidR="0081344D" w:rsidRPr="009B0CD7" w:rsidRDefault="00000000">
      <w:pPr>
        <w:keepNext/>
        <w:spacing w:after="0" w:line="240" w:lineRule="auto"/>
        <w:jc w:val="both"/>
        <w:outlineLvl w:val="0"/>
        <w:rPr>
          <w:rFonts w:ascii="Times New Roman" w:eastAsia="宋体" w:hAnsi="Times New Roman" w:cs="Times New Roman"/>
          <w:sz w:val="28"/>
          <w:szCs w:val="28"/>
          <w14:ligatures w14:val="none"/>
        </w:rPr>
      </w:pPr>
      <w:r w:rsidRPr="009B0CD7">
        <w:rPr>
          <w:rFonts w:ascii="Times New Roman" w:eastAsia="宋体" w:hAnsi="Times New Roman" w:cs="Times New Roman" w:hint="eastAsia"/>
          <w:sz w:val="28"/>
          <w:szCs w:val="28"/>
          <w14:ligatures w14:val="none"/>
        </w:rPr>
        <w:t xml:space="preserve">2 </w:t>
      </w:r>
      <w:r w:rsidRPr="009B0CD7">
        <w:rPr>
          <w:rFonts w:ascii="Times New Roman" w:eastAsia="宋体" w:hAnsi="Times New Roman" w:cs="Times New Roman" w:hint="eastAsia"/>
          <w:sz w:val="28"/>
          <w:szCs w:val="28"/>
          <w14:ligatures w14:val="none"/>
        </w:rPr>
        <w:t>结果与分析</w:t>
      </w:r>
    </w:p>
    <w:p w14:paraId="5BC9CB64" w14:textId="77777777" w:rsidR="0081344D" w:rsidRPr="009B0CD7" w:rsidRDefault="00000000">
      <w:pPr>
        <w:spacing w:after="0" w:line="240" w:lineRule="auto"/>
        <w:jc w:val="both"/>
        <w:outlineLvl w:val="1"/>
        <w:rPr>
          <w:rFonts w:ascii="Times New Roman" w:eastAsia="黑体" w:hAnsi="Times New Roman" w:cs="Times New Roman"/>
          <w:sz w:val="21"/>
          <w:szCs w:val="22"/>
          <w14:ligatures w14:val="none"/>
        </w:rPr>
      </w:pPr>
      <w:r w:rsidRPr="009B0CD7">
        <w:rPr>
          <w:rFonts w:ascii="Times New Roman" w:eastAsia="黑体" w:hAnsi="Times New Roman" w:cs="Times New Roman" w:hint="eastAsia"/>
          <w:sz w:val="21"/>
          <w:szCs w:val="22"/>
          <w14:ligatures w14:val="none"/>
        </w:rPr>
        <w:t xml:space="preserve">2.1 </w:t>
      </w:r>
      <w:r w:rsidRPr="009B0CD7">
        <w:rPr>
          <w:rFonts w:ascii="Times New Roman" w:eastAsia="黑体" w:hAnsi="Times New Roman" w:cs="Times New Roman" w:hint="eastAsia"/>
          <w:sz w:val="21"/>
          <w:szCs w:val="22"/>
          <w14:ligatures w14:val="none"/>
        </w:rPr>
        <w:t>径流序列非平稳性诊断</w:t>
      </w:r>
    </w:p>
    <w:p w14:paraId="678CB3D0"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在</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建模前，本研究先采用</w:t>
      </w:r>
      <w:r w:rsidRPr="009B0CD7">
        <w:rPr>
          <w:rFonts w:ascii="Times New Roman" w:eastAsia="宋体" w:hAnsi="Times New Roman" w:cs="Times New Roman"/>
          <w:sz w:val="21"/>
          <w:szCs w:val="21"/>
        </w:rPr>
        <w:t>Mann-Kendall</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MK</w:t>
      </w:r>
      <w:r w:rsidRPr="009B0CD7">
        <w:rPr>
          <w:rFonts w:ascii="Times New Roman" w:eastAsia="宋体" w:hAnsi="Times New Roman" w:cs="Times New Roman"/>
          <w:sz w:val="21"/>
          <w:szCs w:val="21"/>
        </w:rPr>
        <w:t>）趋势检验、</w:t>
      </w:r>
      <w:r w:rsidRPr="009B0CD7">
        <w:rPr>
          <w:rFonts w:ascii="Times New Roman" w:eastAsia="宋体" w:hAnsi="Times New Roman" w:cs="Times New Roman"/>
          <w:sz w:val="21"/>
          <w:szCs w:val="21"/>
        </w:rPr>
        <w:t>Sen’s</w:t>
      </w:r>
      <w:r w:rsidRPr="009B0CD7">
        <w:rPr>
          <w:rFonts w:ascii="Times New Roman" w:eastAsia="宋体" w:hAnsi="Times New Roman" w:cs="Times New Roman"/>
          <w:sz w:val="21"/>
          <w:szCs w:val="21"/>
        </w:rPr>
        <w:t>斜率估计、</w:t>
      </w:r>
      <w:r w:rsidRPr="009B0CD7">
        <w:rPr>
          <w:rFonts w:ascii="Times New Roman" w:eastAsia="宋体" w:hAnsi="Times New Roman" w:cs="Times New Roman"/>
          <w:sz w:val="21"/>
          <w:szCs w:val="21"/>
        </w:rPr>
        <w:t>ADF</w:t>
      </w:r>
      <w:r w:rsidRPr="009B0CD7">
        <w:rPr>
          <w:rFonts w:ascii="Times New Roman" w:eastAsia="宋体" w:hAnsi="Times New Roman" w:cs="Times New Roman"/>
          <w:sz w:val="21"/>
          <w:szCs w:val="21"/>
        </w:rPr>
        <w:t>检验与</w:t>
      </w:r>
      <w:r w:rsidRPr="009B0CD7">
        <w:rPr>
          <w:rFonts w:ascii="Times New Roman" w:eastAsia="宋体" w:hAnsi="Times New Roman" w:cs="Times New Roman"/>
          <w:sz w:val="21"/>
          <w:szCs w:val="21"/>
        </w:rPr>
        <w:t>KPSS</w:t>
      </w:r>
      <w:r w:rsidRPr="009B0CD7">
        <w:rPr>
          <w:rFonts w:ascii="Times New Roman" w:eastAsia="宋体" w:hAnsi="Times New Roman" w:cs="Times New Roman"/>
          <w:sz w:val="21"/>
          <w:szCs w:val="21"/>
        </w:rPr>
        <w:t>检验，对石头峡水库和黑泉水库</w:t>
      </w:r>
      <w:r w:rsidRPr="009B0CD7">
        <w:rPr>
          <w:rFonts w:ascii="Times New Roman" w:eastAsia="宋体" w:hAnsi="Times New Roman" w:cs="Times New Roman"/>
          <w:sz w:val="21"/>
          <w:szCs w:val="21"/>
        </w:rPr>
        <w:t>1956—2010</w:t>
      </w:r>
      <w:r w:rsidRPr="009B0CD7">
        <w:rPr>
          <w:rFonts w:ascii="Times New Roman" w:eastAsia="宋体" w:hAnsi="Times New Roman" w:cs="Times New Roman"/>
          <w:sz w:val="21"/>
          <w:szCs w:val="21"/>
        </w:rPr>
        <w:t>年月尺度及年尺度径流序列的趋势性和平稳性进行初步诊断（典型月份结果</w:t>
      </w:r>
      <w:r w:rsidRPr="009B0CD7">
        <w:rPr>
          <w:rFonts w:ascii="Times New Roman" w:eastAsia="宋体" w:hAnsi="Times New Roman" w:cs="Times New Roman" w:hint="eastAsia"/>
          <w:sz w:val="21"/>
          <w:szCs w:val="21"/>
        </w:rPr>
        <w:t>如表</w:t>
      </w:r>
      <w:r w:rsidRPr="009B0CD7">
        <w:rPr>
          <w:rFonts w:ascii="Times New Roman" w:eastAsia="宋体" w:hAnsi="Times New Roman" w:cs="Times New Roman" w:hint="eastAsia"/>
          <w:sz w:val="21"/>
          <w:szCs w:val="21"/>
        </w:rPr>
        <w:t>2</w:t>
      </w:r>
      <w:r w:rsidRPr="009B0CD7">
        <w:rPr>
          <w:rFonts w:ascii="Times New Roman" w:eastAsia="宋体" w:hAnsi="Times New Roman" w:cs="Times New Roman" w:hint="eastAsia"/>
          <w:sz w:val="21"/>
          <w:szCs w:val="21"/>
        </w:rPr>
        <w:t>所列</w:t>
      </w:r>
      <w:r w:rsidRPr="009B0CD7">
        <w:rPr>
          <w:rFonts w:ascii="Times New Roman" w:eastAsia="宋体" w:hAnsi="Times New Roman" w:cs="Times New Roman"/>
          <w:sz w:val="21"/>
          <w:szCs w:val="21"/>
        </w:rPr>
        <w:t>）。上述检验主要用于识别径流序列是否存在显著变化迹象，并为后续开展非平稳边缘分布建模提供辅助依据</w:t>
      </w:r>
      <w:r w:rsidRPr="009B0CD7">
        <w:rPr>
          <w:rFonts w:ascii="Times New Roman" w:eastAsia="宋体" w:hAnsi="Times New Roman" w:cs="Times New Roman" w:hint="eastAsia"/>
          <w:sz w:val="21"/>
          <w:szCs w:val="21"/>
        </w:rPr>
        <w:t>；径流边缘分</w:t>
      </w:r>
      <w:r w:rsidRPr="009B0CD7">
        <w:rPr>
          <w:rFonts w:ascii="Times New Roman" w:eastAsia="宋体" w:hAnsi="Times New Roman" w:cs="Times New Roman" w:hint="eastAsia"/>
          <w:sz w:val="21"/>
          <w:szCs w:val="21"/>
        </w:rPr>
        <w:lastRenderedPageBreak/>
        <w:t>布参数是否随时间变化，仍需通过</w:t>
      </w:r>
      <w:r w:rsidRPr="009B0CD7">
        <w:rPr>
          <w:rFonts w:ascii="Times New Roman" w:eastAsia="宋体" w:hAnsi="Times New Roman" w:cs="Times New Roman" w:hint="eastAsia"/>
          <w:sz w:val="21"/>
          <w:szCs w:val="21"/>
        </w:rPr>
        <w:t>GAMLSS</w:t>
      </w:r>
      <w:r w:rsidRPr="009B0CD7">
        <w:rPr>
          <w:rFonts w:ascii="Times New Roman" w:eastAsia="宋体" w:hAnsi="Times New Roman" w:cs="Times New Roman" w:hint="eastAsia"/>
          <w:sz w:val="21"/>
          <w:szCs w:val="21"/>
        </w:rPr>
        <w:t>模型进一步判别</w:t>
      </w:r>
      <w:r w:rsidRPr="009B0CD7">
        <w:rPr>
          <w:rFonts w:ascii="Times New Roman" w:eastAsia="宋体" w:hAnsi="Times New Roman" w:cs="Times New Roman"/>
          <w:sz w:val="21"/>
          <w:szCs w:val="21"/>
        </w:rPr>
        <w:t>。</w:t>
      </w:r>
    </w:p>
    <w:p w14:paraId="1BDB0F67"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hint="eastAsia"/>
          <w:sz w:val="21"/>
          <w:szCs w:val="21"/>
        </w:rPr>
        <w:t>表</w:t>
      </w:r>
      <w:r w:rsidRPr="009B0CD7">
        <w:rPr>
          <w:rFonts w:ascii="Times New Roman" w:eastAsia="宋体" w:hAnsi="Times New Roman" w:cs="Times New Roman" w:hint="eastAsia"/>
          <w:sz w:val="21"/>
          <w:szCs w:val="21"/>
        </w:rPr>
        <w:t>2</w:t>
      </w:r>
      <w:r w:rsidRPr="009B0CD7">
        <w:rPr>
          <w:rFonts w:ascii="Times New Roman" w:eastAsia="宋体" w:hAnsi="Times New Roman" w:cs="Times New Roman"/>
          <w:sz w:val="21"/>
          <w:szCs w:val="21"/>
        </w:rPr>
        <w:t>选取</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2</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月及年总量作为典型序列展示，主要考虑这些序列能够代表两水源径流中较为突出的非平稳变化迹象和不同类型的诊断结果。其中，</w:t>
      </w:r>
      <w:r w:rsidRPr="009B0CD7">
        <w:rPr>
          <w:rFonts w:ascii="Times New Roman" w:eastAsia="宋体" w:hAnsi="Times New Roman" w:cs="Times New Roman"/>
          <w:sz w:val="21"/>
          <w:szCs w:val="21"/>
        </w:rPr>
        <w:t>1—3</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月主要反映石头峡水库冬春季及枯水期径流显著上升或平稳性不足特征，</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月反映两水源春末径流下降趋势，年总量用于表征年尺度综合变化。其余月份检验结果用于后续</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建模，但受篇幅限制未在表中全部列出。</w:t>
      </w:r>
      <w:r w:rsidRPr="009B0CD7">
        <w:rPr>
          <w:rFonts w:ascii="Times New Roman" w:eastAsia="宋体" w:hAnsi="Times New Roman" w:cs="Times New Roman"/>
          <w:sz w:val="21"/>
          <w:szCs w:val="21"/>
        </w:rPr>
        <w:t>MK-</w:t>
      </w:r>
      <w:r w:rsidRPr="009B0CD7">
        <w:rPr>
          <w:rFonts w:ascii="Times New Roman" w:eastAsia="宋体" w:hAnsi="Times New Roman" w:cs="Times New Roman"/>
          <w:i/>
          <w:iCs/>
          <w:sz w:val="21"/>
          <w:szCs w:val="21"/>
        </w:rPr>
        <w:t>p</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ADF-</w:t>
      </w:r>
      <w:r w:rsidRPr="009B0CD7">
        <w:rPr>
          <w:rFonts w:ascii="Times New Roman" w:eastAsia="宋体" w:hAnsi="Times New Roman" w:cs="Times New Roman"/>
          <w:i/>
          <w:iCs/>
          <w:sz w:val="21"/>
          <w:szCs w:val="21"/>
        </w:rPr>
        <w:t>p</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KPSS-</w:t>
      </w:r>
      <w:r w:rsidRPr="009B0CD7">
        <w:rPr>
          <w:rFonts w:ascii="Times New Roman" w:eastAsia="宋体" w:hAnsi="Times New Roman" w:cs="Times New Roman"/>
          <w:i/>
          <w:iCs/>
          <w:sz w:val="21"/>
          <w:szCs w:val="21"/>
        </w:rPr>
        <w:t>p</w:t>
      </w:r>
      <w:r w:rsidRPr="009B0CD7">
        <w:rPr>
          <w:rFonts w:ascii="Times New Roman" w:eastAsia="宋体" w:hAnsi="Times New Roman" w:cs="Times New Roman"/>
          <w:sz w:val="21"/>
          <w:szCs w:val="21"/>
        </w:rPr>
        <w:t>分别表示</w:t>
      </w:r>
      <w:r w:rsidRPr="009B0CD7">
        <w:rPr>
          <w:rFonts w:ascii="Times New Roman" w:eastAsia="宋体" w:hAnsi="Times New Roman" w:cs="Times New Roman"/>
          <w:sz w:val="21"/>
          <w:szCs w:val="21"/>
        </w:rPr>
        <w:t>Mann-Kendall</w:t>
      </w:r>
      <w:r w:rsidRPr="009B0CD7">
        <w:rPr>
          <w:rFonts w:ascii="Times New Roman" w:eastAsia="宋体" w:hAnsi="Times New Roman" w:cs="Times New Roman"/>
          <w:sz w:val="21"/>
          <w:szCs w:val="21"/>
        </w:rPr>
        <w:t>趋势检验、</w:t>
      </w:r>
      <w:r w:rsidRPr="009B0CD7">
        <w:rPr>
          <w:rFonts w:ascii="Times New Roman" w:eastAsia="宋体" w:hAnsi="Times New Roman" w:cs="Times New Roman"/>
          <w:sz w:val="21"/>
          <w:szCs w:val="21"/>
        </w:rPr>
        <w:t>ADF</w:t>
      </w:r>
      <w:r w:rsidRPr="009B0CD7">
        <w:rPr>
          <w:rFonts w:ascii="Times New Roman" w:eastAsia="宋体" w:hAnsi="Times New Roman" w:cs="Times New Roman"/>
          <w:sz w:val="21"/>
          <w:szCs w:val="21"/>
        </w:rPr>
        <w:t>单位根检验和</w:t>
      </w:r>
      <w:r w:rsidRPr="009B0CD7">
        <w:rPr>
          <w:rFonts w:ascii="Times New Roman" w:eastAsia="宋体" w:hAnsi="Times New Roman" w:cs="Times New Roman"/>
          <w:sz w:val="21"/>
          <w:szCs w:val="21"/>
        </w:rPr>
        <w:t>KPSS</w:t>
      </w:r>
      <w:r w:rsidRPr="009B0CD7">
        <w:rPr>
          <w:rFonts w:ascii="Times New Roman" w:eastAsia="宋体" w:hAnsi="Times New Roman" w:cs="Times New Roman"/>
          <w:sz w:val="21"/>
          <w:szCs w:val="21"/>
        </w:rPr>
        <w:t>平稳性检验对应的显著性概率值。本文以</w:t>
      </w:r>
      <w:r w:rsidRPr="009B0CD7">
        <w:rPr>
          <w:rFonts w:ascii="Times New Roman" w:eastAsia="宋体" w:hAnsi="Times New Roman" w:cs="Times New Roman"/>
          <w:sz w:val="21"/>
          <w:szCs w:val="21"/>
        </w:rPr>
        <w:t>0.05</w:t>
      </w:r>
      <w:r w:rsidRPr="009B0CD7">
        <w:rPr>
          <w:rFonts w:ascii="Times New Roman" w:eastAsia="宋体" w:hAnsi="Times New Roman" w:cs="Times New Roman"/>
          <w:sz w:val="21"/>
          <w:szCs w:val="21"/>
        </w:rPr>
        <w:t>作为显著性水平</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对于</w:t>
      </w:r>
      <w:r w:rsidRPr="009B0CD7">
        <w:rPr>
          <w:rFonts w:ascii="Times New Roman" w:eastAsia="宋体" w:hAnsi="Times New Roman" w:cs="Times New Roman"/>
          <w:sz w:val="21"/>
          <w:szCs w:val="21"/>
        </w:rPr>
        <w:t>MK</w:t>
      </w:r>
      <w:r w:rsidRPr="009B0CD7">
        <w:rPr>
          <w:rFonts w:ascii="Times New Roman" w:eastAsia="宋体" w:hAnsi="Times New Roman" w:cs="Times New Roman"/>
          <w:sz w:val="21"/>
          <w:szCs w:val="21"/>
        </w:rPr>
        <w:t>检验，当</w:t>
      </w:r>
      <w:r w:rsidRPr="009B0CD7">
        <w:rPr>
          <w:rFonts w:ascii="Times New Roman" w:eastAsia="宋体" w:hAnsi="Times New Roman" w:cs="Times New Roman"/>
          <w:sz w:val="21"/>
          <w:szCs w:val="21"/>
        </w:rPr>
        <w:t>MK-</w:t>
      </w:r>
      <w:r w:rsidRPr="009B0CD7">
        <w:rPr>
          <w:rFonts w:ascii="Times New Roman" w:eastAsia="宋体" w:hAnsi="Times New Roman" w:cs="Times New Roman"/>
          <w:i/>
          <w:iCs/>
          <w:sz w:val="21"/>
          <w:szCs w:val="21"/>
        </w:rPr>
        <w:t>p</w:t>
      </w:r>
      <w:r w:rsidRPr="009B0CD7">
        <w:rPr>
          <w:rFonts w:ascii="Times New Roman" w:eastAsia="宋体" w:hAnsi="Times New Roman" w:cs="Times New Roman"/>
          <w:sz w:val="21"/>
          <w:szCs w:val="21"/>
        </w:rPr>
        <w:t>&lt;0.05</w:t>
      </w:r>
      <w:r w:rsidRPr="009B0CD7">
        <w:rPr>
          <w:rFonts w:ascii="Times New Roman" w:eastAsia="宋体" w:hAnsi="Times New Roman" w:cs="Times New Roman"/>
          <w:sz w:val="21"/>
          <w:szCs w:val="21"/>
        </w:rPr>
        <w:t>时认为序列存在显著趋势，</w:t>
      </w:r>
      <w:r w:rsidRPr="009B0CD7">
        <w:rPr>
          <w:rFonts w:ascii="Times New Roman" w:eastAsia="宋体" w:hAnsi="Times New Roman" w:cs="Times New Roman"/>
          <w:sz w:val="21"/>
          <w:szCs w:val="21"/>
        </w:rPr>
        <w:t>Sen’s</w:t>
      </w:r>
      <w:r w:rsidRPr="009B0CD7">
        <w:rPr>
          <w:rFonts w:ascii="Times New Roman" w:eastAsia="宋体" w:hAnsi="Times New Roman" w:cs="Times New Roman"/>
          <w:sz w:val="21"/>
          <w:szCs w:val="21"/>
        </w:rPr>
        <w:t>斜率</w:t>
      </w:r>
      <w:r w:rsidRPr="009B0CD7">
        <w:rPr>
          <w:rFonts w:ascii="Times New Roman" w:eastAsia="宋体" w:hAnsi="Times New Roman" w:cs="Times New Roman" w:hint="eastAsia"/>
          <w:sz w:val="21"/>
          <w:szCs w:val="21"/>
        </w:rPr>
        <w:t>的</w:t>
      </w:r>
      <w:r w:rsidRPr="009B0CD7">
        <w:rPr>
          <w:rFonts w:ascii="Times New Roman" w:eastAsia="宋体" w:hAnsi="Times New Roman" w:cs="Times New Roman"/>
          <w:sz w:val="21"/>
          <w:szCs w:val="21"/>
        </w:rPr>
        <w:t>正负用于判断趋势方向</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对于</w:t>
      </w:r>
      <w:r w:rsidRPr="009B0CD7">
        <w:rPr>
          <w:rFonts w:ascii="Times New Roman" w:eastAsia="宋体" w:hAnsi="Times New Roman" w:cs="Times New Roman"/>
          <w:sz w:val="21"/>
          <w:szCs w:val="21"/>
        </w:rPr>
        <w:t>ADF</w:t>
      </w:r>
      <w:r w:rsidRPr="009B0CD7">
        <w:rPr>
          <w:rFonts w:ascii="Times New Roman" w:eastAsia="宋体" w:hAnsi="Times New Roman" w:cs="Times New Roman"/>
          <w:sz w:val="21"/>
          <w:szCs w:val="21"/>
        </w:rPr>
        <w:t>检验，原假设为序列存在单位根，即非平稳，当</w:t>
      </w:r>
      <w:r w:rsidRPr="009B0CD7">
        <w:rPr>
          <w:rFonts w:ascii="Times New Roman" w:eastAsia="宋体" w:hAnsi="Times New Roman" w:cs="Times New Roman"/>
          <w:sz w:val="21"/>
          <w:szCs w:val="21"/>
        </w:rPr>
        <w:t>ADF-</w:t>
      </w:r>
      <w:r w:rsidRPr="009B0CD7">
        <w:rPr>
          <w:rFonts w:ascii="Times New Roman" w:eastAsia="宋体" w:hAnsi="Times New Roman" w:cs="Times New Roman"/>
          <w:i/>
          <w:iCs/>
          <w:sz w:val="21"/>
          <w:szCs w:val="21"/>
        </w:rPr>
        <w:t>p</w:t>
      </w:r>
      <w:r w:rsidRPr="009B0CD7">
        <w:rPr>
          <w:rFonts w:ascii="Times New Roman" w:eastAsia="宋体" w:hAnsi="Times New Roman" w:cs="Times New Roman"/>
          <w:sz w:val="21"/>
          <w:szCs w:val="21"/>
        </w:rPr>
        <w:t>&lt;0.05</w:t>
      </w:r>
      <w:r w:rsidRPr="009B0CD7">
        <w:rPr>
          <w:rFonts w:ascii="Times New Roman" w:eastAsia="宋体" w:hAnsi="Times New Roman" w:cs="Times New Roman"/>
          <w:sz w:val="21"/>
          <w:szCs w:val="21"/>
        </w:rPr>
        <w:t>时拒绝原假设，认为序列相对平稳</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对于</w:t>
      </w:r>
      <w:r w:rsidRPr="009B0CD7">
        <w:rPr>
          <w:rFonts w:ascii="Times New Roman" w:eastAsia="宋体" w:hAnsi="Times New Roman" w:cs="Times New Roman"/>
          <w:sz w:val="21"/>
          <w:szCs w:val="21"/>
        </w:rPr>
        <w:t>KPSS</w:t>
      </w:r>
      <w:r w:rsidRPr="009B0CD7">
        <w:rPr>
          <w:rFonts w:ascii="Times New Roman" w:eastAsia="宋体" w:hAnsi="Times New Roman" w:cs="Times New Roman"/>
          <w:sz w:val="21"/>
          <w:szCs w:val="21"/>
        </w:rPr>
        <w:t>检验，原假设为序列平稳，当</w:t>
      </w:r>
      <w:r w:rsidRPr="009B0CD7">
        <w:rPr>
          <w:rFonts w:ascii="Times New Roman" w:eastAsia="宋体" w:hAnsi="Times New Roman" w:cs="Times New Roman"/>
          <w:sz w:val="21"/>
          <w:szCs w:val="21"/>
        </w:rPr>
        <w:t>KPSS-</w:t>
      </w:r>
      <w:r w:rsidRPr="009B0CD7">
        <w:rPr>
          <w:rFonts w:ascii="Times New Roman" w:eastAsia="宋体" w:hAnsi="Times New Roman" w:cs="Times New Roman"/>
          <w:i/>
          <w:iCs/>
          <w:sz w:val="21"/>
          <w:szCs w:val="21"/>
        </w:rPr>
        <w:t>p</w:t>
      </w:r>
      <w:r w:rsidRPr="009B0CD7">
        <w:rPr>
          <w:rFonts w:ascii="Times New Roman" w:eastAsia="宋体" w:hAnsi="Times New Roman" w:cs="Times New Roman"/>
          <w:sz w:val="21"/>
          <w:szCs w:val="21"/>
        </w:rPr>
        <w:t>&lt;0.05</w:t>
      </w:r>
      <w:r w:rsidRPr="009B0CD7">
        <w:rPr>
          <w:rFonts w:ascii="Times New Roman" w:eastAsia="宋体" w:hAnsi="Times New Roman" w:cs="Times New Roman"/>
          <w:sz w:val="21"/>
          <w:szCs w:val="21"/>
        </w:rPr>
        <w:t>时拒绝原假设，认为序列存在非平稳特征。若</w:t>
      </w:r>
      <w:r w:rsidRPr="009B0CD7">
        <w:rPr>
          <w:rFonts w:ascii="Times New Roman" w:eastAsia="宋体" w:hAnsi="Times New Roman" w:cs="Times New Roman"/>
          <w:sz w:val="21"/>
          <w:szCs w:val="21"/>
        </w:rPr>
        <w:t>ADF</w:t>
      </w:r>
      <w:r w:rsidRPr="009B0CD7">
        <w:rPr>
          <w:rFonts w:ascii="Times New Roman" w:eastAsia="宋体" w:hAnsi="Times New Roman" w:cs="Times New Roman"/>
          <w:sz w:val="21"/>
          <w:szCs w:val="21"/>
        </w:rPr>
        <w:t>与</w:t>
      </w:r>
      <w:r w:rsidRPr="009B0CD7">
        <w:rPr>
          <w:rFonts w:ascii="Times New Roman" w:eastAsia="宋体" w:hAnsi="Times New Roman" w:cs="Times New Roman"/>
          <w:sz w:val="21"/>
          <w:szCs w:val="21"/>
        </w:rPr>
        <w:t>KPSS</w:t>
      </w:r>
      <w:r w:rsidRPr="009B0CD7">
        <w:rPr>
          <w:rFonts w:ascii="Times New Roman" w:eastAsia="宋体" w:hAnsi="Times New Roman" w:cs="Times New Roman"/>
          <w:sz w:val="21"/>
          <w:szCs w:val="21"/>
        </w:rPr>
        <w:t>结果不一致，则说明序列平稳性判断存在不确定性，需结合</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模型进一步识别分布参数是否随时间变化。</w:t>
      </w:r>
    </w:p>
    <w:p w14:paraId="3DEA97EB" w14:textId="374CBE56"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6" w:name="_Ref234595278"/>
      <w:r w:rsidRPr="009B0CD7">
        <w:rPr>
          <w:rFonts w:ascii="Times New Roman" w:eastAsia="黑体" w:hAnsi="Times New Roman" w:cs="Times New Roman" w:hint="eastAsia"/>
          <w:sz w:val="18"/>
          <w:szCs w:val="18"/>
          <w14:ligatures w14:val="none"/>
        </w:rPr>
        <w:t>表</w:t>
      </w:r>
      <w:r w:rsidRPr="009B0CD7">
        <w:rPr>
          <w:rFonts w:ascii="Times New Roman" w:eastAsia="黑体" w:hAnsi="Times New Roman" w:cs="Times New Roman" w:hint="eastAsia"/>
          <w:sz w:val="18"/>
          <w:szCs w:val="18"/>
          <w14:ligatures w14:val="none"/>
        </w:rPr>
        <w:t>2</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双水源典型月份及年径流非平稳性诊断结果</w:t>
      </w:r>
      <w:bookmarkEnd w:id="6"/>
    </w:p>
    <w:p w14:paraId="6BD2E05E" w14:textId="5C0C65C2"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r w:rsidRPr="009B0CD7">
        <w:rPr>
          <w:rFonts w:ascii="Times New Roman" w:eastAsia="黑体" w:hAnsi="Times New Roman" w:cs="Times New Roman" w:hint="eastAsia"/>
          <w:sz w:val="18"/>
          <w:szCs w:val="18"/>
          <w14:ligatures w14:val="none"/>
        </w:rPr>
        <w:t>Table 2</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 xml:space="preserve">Non-stationarity diagnostics of </w:t>
      </w:r>
      <w:r w:rsidRPr="009B0CD7">
        <w:rPr>
          <w:rFonts w:ascii="Times New Roman" w:eastAsia="黑体" w:hAnsi="Times New Roman" w:cs="Times New Roman" w:hint="eastAsia"/>
          <w:sz w:val="18"/>
          <w:szCs w:val="18"/>
          <w14:ligatures w14:val="none"/>
        </w:rPr>
        <w:t xml:space="preserve">typical </w:t>
      </w:r>
      <w:r w:rsidRPr="009B0CD7">
        <w:rPr>
          <w:rFonts w:ascii="Times New Roman" w:eastAsia="黑体" w:hAnsi="Times New Roman" w:cs="Times New Roman"/>
          <w:sz w:val="18"/>
          <w:szCs w:val="18"/>
          <w14:ligatures w14:val="none"/>
        </w:rPr>
        <w:t>monthly and annual runoff series for two water sources</w:t>
      </w:r>
    </w:p>
    <w:tbl>
      <w:tblPr>
        <w:tblStyle w:val="af0"/>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992"/>
        <w:gridCol w:w="887"/>
        <w:gridCol w:w="887"/>
        <w:gridCol w:w="888"/>
        <w:gridCol w:w="949"/>
        <w:gridCol w:w="949"/>
        <w:gridCol w:w="949"/>
        <w:gridCol w:w="949"/>
      </w:tblGrid>
      <w:tr w:rsidR="0081344D" w:rsidRPr="009B0CD7" w14:paraId="28B4BF86" w14:textId="77777777">
        <w:tc>
          <w:tcPr>
            <w:tcW w:w="846" w:type="dxa"/>
            <w:vMerge w:val="restart"/>
            <w:tcBorders>
              <w:top w:val="single" w:sz="12" w:space="0" w:color="auto"/>
              <w:bottom w:val="nil"/>
              <w:right w:val="single" w:sz="4" w:space="0" w:color="auto"/>
            </w:tcBorders>
            <w:vAlign w:val="center"/>
          </w:tcPr>
          <w:p w14:paraId="13F679B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月份</w:t>
            </w:r>
          </w:p>
        </w:tc>
        <w:tc>
          <w:tcPr>
            <w:tcW w:w="992" w:type="dxa"/>
            <w:vMerge w:val="restart"/>
            <w:tcBorders>
              <w:top w:val="single" w:sz="12" w:space="0" w:color="auto"/>
              <w:left w:val="single" w:sz="4" w:space="0" w:color="auto"/>
              <w:bottom w:val="nil"/>
              <w:right w:val="single" w:sz="4" w:space="0" w:color="auto"/>
            </w:tcBorders>
            <w:vAlign w:val="center"/>
          </w:tcPr>
          <w:p w14:paraId="71A8868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站点</w:t>
            </w:r>
          </w:p>
        </w:tc>
        <w:tc>
          <w:tcPr>
            <w:tcW w:w="2662" w:type="dxa"/>
            <w:gridSpan w:val="3"/>
            <w:tcBorders>
              <w:top w:val="single" w:sz="12" w:space="0" w:color="auto"/>
              <w:left w:val="single" w:sz="4" w:space="0" w:color="auto"/>
              <w:bottom w:val="single" w:sz="4" w:space="0" w:color="auto"/>
              <w:right w:val="single" w:sz="4" w:space="0" w:color="auto"/>
            </w:tcBorders>
            <w:vAlign w:val="center"/>
          </w:tcPr>
          <w:p w14:paraId="693E889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趋势性</w:t>
            </w:r>
          </w:p>
        </w:tc>
        <w:tc>
          <w:tcPr>
            <w:tcW w:w="3796" w:type="dxa"/>
            <w:gridSpan w:val="4"/>
            <w:tcBorders>
              <w:top w:val="single" w:sz="12" w:space="0" w:color="auto"/>
              <w:left w:val="single" w:sz="4" w:space="0" w:color="auto"/>
              <w:bottom w:val="single" w:sz="4" w:space="0" w:color="auto"/>
            </w:tcBorders>
            <w:vAlign w:val="center"/>
          </w:tcPr>
          <w:p w14:paraId="1F0BF4A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平稳性</w:t>
            </w:r>
          </w:p>
        </w:tc>
      </w:tr>
      <w:tr w:rsidR="0081344D" w:rsidRPr="009B0CD7" w14:paraId="64C2BCC0" w14:textId="77777777">
        <w:tc>
          <w:tcPr>
            <w:tcW w:w="846" w:type="dxa"/>
            <w:vMerge/>
            <w:tcBorders>
              <w:top w:val="nil"/>
              <w:bottom w:val="single" w:sz="4" w:space="0" w:color="auto"/>
              <w:right w:val="single" w:sz="4" w:space="0" w:color="auto"/>
            </w:tcBorders>
            <w:vAlign w:val="center"/>
          </w:tcPr>
          <w:p w14:paraId="392434E6"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92" w:type="dxa"/>
            <w:vMerge/>
            <w:tcBorders>
              <w:top w:val="nil"/>
              <w:left w:val="single" w:sz="4" w:space="0" w:color="auto"/>
              <w:bottom w:val="single" w:sz="4" w:space="0" w:color="auto"/>
              <w:right w:val="single" w:sz="4" w:space="0" w:color="auto"/>
            </w:tcBorders>
            <w:vAlign w:val="center"/>
          </w:tcPr>
          <w:p w14:paraId="3D0E1E64"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887" w:type="dxa"/>
            <w:tcBorders>
              <w:top w:val="single" w:sz="4" w:space="0" w:color="auto"/>
              <w:left w:val="single" w:sz="4" w:space="0" w:color="auto"/>
              <w:bottom w:val="single" w:sz="4" w:space="0" w:color="auto"/>
              <w:right w:val="single" w:sz="4" w:space="0" w:color="auto"/>
            </w:tcBorders>
            <w:vAlign w:val="center"/>
          </w:tcPr>
          <w:p w14:paraId="61B0BD1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MK</w:t>
            </w:r>
          </w:p>
        </w:tc>
        <w:tc>
          <w:tcPr>
            <w:tcW w:w="887" w:type="dxa"/>
            <w:tcBorders>
              <w:top w:val="single" w:sz="4" w:space="0" w:color="auto"/>
              <w:left w:val="single" w:sz="4" w:space="0" w:color="auto"/>
              <w:bottom w:val="single" w:sz="4" w:space="0" w:color="auto"/>
              <w:right w:val="single" w:sz="4" w:space="0" w:color="auto"/>
            </w:tcBorders>
            <w:vAlign w:val="center"/>
          </w:tcPr>
          <w:p w14:paraId="54520DB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MK-</w:t>
            </w:r>
            <w:r w:rsidRPr="009B0CD7">
              <w:rPr>
                <w:rFonts w:ascii="Times New Roman" w:eastAsia="宋体" w:hAnsi="Times New Roman" w:cs="Times New Roman"/>
                <w:i/>
                <w:iCs/>
                <w:sz w:val="15"/>
                <w:szCs w:val="15"/>
              </w:rPr>
              <w:t>p</w:t>
            </w:r>
          </w:p>
        </w:tc>
        <w:tc>
          <w:tcPr>
            <w:tcW w:w="888" w:type="dxa"/>
            <w:tcBorders>
              <w:top w:val="single" w:sz="4" w:space="0" w:color="auto"/>
              <w:left w:val="single" w:sz="4" w:space="0" w:color="auto"/>
              <w:bottom w:val="single" w:sz="4" w:space="0" w:color="auto"/>
              <w:right w:val="single" w:sz="4" w:space="0" w:color="auto"/>
            </w:tcBorders>
            <w:vAlign w:val="center"/>
          </w:tcPr>
          <w:p w14:paraId="6AE6005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Sen’s</w:t>
            </w:r>
          </w:p>
        </w:tc>
        <w:tc>
          <w:tcPr>
            <w:tcW w:w="949" w:type="dxa"/>
            <w:tcBorders>
              <w:top w:val="single" w:sz="4" w:space="0" w:color="auto"/>
              <w:left w:val="single" w:sz="4" w:space="0" w:color="auto"/>
              <w:bottom w:val="single" w:sz="4" w:space="0" w:color="auto"/>
              <w:right w:val="single" w:sz="4" w:space="0" w:color="auto"/>
            </w:tcBorders>
            <w:vAlign w:val="center"/>
          </w:tcPr>
          <w:p w14:paraId="14A742E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ADF</w:t>
            </w:r>
          </w:p>
        </w:tc>
        <w:tc>
          <w:tcPr>
            <w:tcW w:w="949" w:type="dxa"/>
            <w:tcBorders>
              <w:top w:val="single" w:sz="4" w:space="0" w:color="auto"/>
              <w:left w:val="single" w:sz="4" w:space="0" w:color="auto"/>
              <w:bottom w:val="single" w:sz="4" w:space="0" w:color="auto"/>
              <w:right w:val="single" w:sz="4" w:space="0" w:color="auto"/>
            </w:tcBorders>
            <w:vAlign w:val="center"/>
          </w:tcPr>
          <w:p w14:paraId="6FBD533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ADF-</w:t>
            </w:r>
            <w:r w:rsidRPr="009B0CD7">
              <w:rPr>
                <w:rFonts w:ascii="Times New Roman" w:eastAsia="宋体" w:hAnsi="Times New Roman" w:cs="Times New Roman"/>
                <w:i/>
                <w:iCs/>
                <w:sz w:val="15"/>
                <w:szCs w:val="15"/>
              </w:rPr>
              <w:t>p</w:t>
            </w:r>
          </w:p>
        </w:tc>
        <w:tc>
          <w:tcPr>
            <w:tcW w:w="949" w:type="dxa"/>
            <w:tcBorders>
              <w:top w:val="single" w:sz="4" w:space="0" w:color="auto"/>
              <w:left w:val="single" w:sz="4" w:space="0" w:color="auto"/>
              <w:bottom w:val="single" w:sz="4" w:space="0" w:color="auto"/>
              <w:right w:val="single" w:sz="4" w:space="0" w:color="auto"/>
            </w:tcBorders>
            <w:vAlign w:val="center"/>
          </w:tcPr>
          <w:p w14:paraId="4D2EDFB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KPSS</w:t>
            </w:r>
          </w:p>
        </w:tc>
        <w:tc>
          <w:tcPr>
            <w:tcW w:w="949" w:type="dxa"/>
            <w:tcBorders>
              <w:top w:val="single" w:sz="4" w:space="0" w:color="auto"/>
              <w:left w:val="single" w:sz="4" w:space="0" w:color="auto"/>
              <w:bottom w:val="single" w:sz="4" w:space="0" w:color="auto"/>
            </w:tcBorders>
            <w:vAlign w:val="center"/>
          </w:tcPr>
          <w:p w14:paraId="1A485A7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KPSS-</w:t>
            </w:r>
            <w:r w:rsidRPr="009B0CD7">
              <w:rPr>
                <w:rFonts w:ascii="Times New Roman" w:eastAsia="宋体" w:hAnsi="Times New Roman" w:cs="Times New Roman"/>
                <w:i/>
                <w:iCs/>
                <w:sz w:val="15"/>
                <w:szCs w:val="15"/>
              </w:rPr>
              <w:t>p</w:t>
            </w:r>
          </w:p>
        </w:tc>
      </w:tr>
      <w:tr w:rsidR="0081344D" w:rsidRPr="009B0CD7" w14:paraId="57BCBAC0" w14:textId="77777777">
        <w:tc>
          <w:tcPr>
            <w:tcW w:w="846" w:type="dxa"/>
            <w:vMerge w:val="restart"/>
            <w:tcBorders>
              <w:top w:val="single" w:sz="4" w:space="0" w:color="auto"/>
              <w:right w:val="single" w:sz="4" w:space="0" w:color="auto"/>
            </w:tcBorders>
            <w:vAlign w:val="center"/>
          </w:tcPr>
          <w:p w14:paraId="1DCFFCD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w:t>
            </w:r>
            <w:r w:rsidRPr="009B0CD7">
              <w:rPr>
                <w:rFonts w:ascii="Times New Roman" w:eastAsia="宋体" w:hAnsi="Times New Roman" w:cs="Times New Roman"/>
                <w:sz w:val="15"/>
                <w:szCs w:val="15"/>
              </w:rPr>
              <w:t>月</w:t>
            </w:r>
          </w:p>
        </w:tc>
        <w:tc>
          <w:tcPr>
            <w:tcW w:w="992" w:type="dxa"/>
            <w:tcBorders>
              <w:top w:val="single" w:sz="4" w:space="0" w:color="auto"/>
              <w:left w:val="single" w:sz="4" w:space="0" w:color="auto"/>
              <w:right w:val="single" w:sz="4" w:space="0" w:color="auto"/>
            </w:tcBorders>
            <w:vAlign w:val="center"/>
          </w:tcPr>
          <w:p w14:paraId="4F22F3C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石头峡</w:t>
            </w:r>
          </w:p>
        </w:tc>
        <w:tc>
          <w:tcPr>
            <w:tcW w:w="887" w:type="dxa"/>
            <w:tcBorders>
              <w:top w:val="single" w:sz="4" w:space="0" w:color="auto"/>
              <w:left w:val="single" w:sz="4" w:space="0" w:color="auto"/>
              <w:right w:val="single" w:sz="4" w:space="0" w:color="auto"/>
            </w:tcBorders>
          </w:tcPr>
          <w:p w14:paraId="0AEF244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0.40</w:t>
            </w:r>
          </w:p>
        </w:tc>
        <w:tc>
          <w:tcPr>
            <w:tcW w:w="887" w:type="dxa"/>
            <w:tcBorders>
              <w:top w:val="single" w:sz="4" w:space="0" w:color="auto"/>
              <w:left w:val="single" w:sz="4" w:space="0" w:color="auto"/>
              <w:right w:val="single" w:sz="4" w:space="0" w:color="auto"/>
            </w:tcBorders>
          </w:tcPr>
          <w:p w14:paraId="134FDC3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888" w:type="dxa"/>
            <w:tcBorders>
              <w:top w:val="single" w:sz="4" w:space="0" w:color="auto"/>
              <w:left w:val="single" w:sz="4" w:space="0" w:color="auto"/>
              <w:right w:val="single" w:sz="4" w:space="0" w:color="auto"/>
            </w:tcBorders>
          </w:tcPr>
          <w:p w14:paraId="79BEE4D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18.82</w:t>
            </w:r>
          </w:p>
        </w:tc>
        <w:tc>
          <w:tcPr>
            <w:tcW w:w="949" w:type="dxa"/>
            <w:tcBorders>
              <w:top w:val="single" w:sz="4" w:space="0" w:color="auto"/>
              <w:left w:val="single" w:sz="4" w:space="0" w:color="auto"/>
              <w:right w:val="single" w:sz="4" w:space="0" w:color="auto"/>
            </w:tcBorders>
          </w:tcPr>
          <w:p w14:paraId="2B5E104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-3.49</w:t>
            </w:r>
          </w:p>
        </w:tc>
        <w:tc>
          <w:tcPr>
            <w:tcW w:w="949" w:type="dxa"/>
            <w:tcBorders>
              <w:top w:val="single" w:sz="4" w:space="0" w:color="auto"/>
              <w:left w:val="single" w:sz="4" w:space="0" w:color="auto"/>
              <w:right w:val="single" w:sz="4" w:space="0" w:color="auto"/>
            </w:tcBorders>
          </w:tcPr>
          <w:p w14:paraId="52A35D8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0.05</w:t>
            </w:r>
          </w:p>
        </w:tc>
        <w:tc>
          <w:tcPr>
            <w:tcW w:w="949" w:type="dxa"/>
            <w:tcBorders>
              <w:top w:val="single" w:sz="4" w:space="0" w:color="auto"/>
              <w:left w:val="single" w:sz="4" w:space="0" w:color="auto"/>
              <w:right w:val="single" w:sz="4" w:space="0" w:color="auto"/>
            </w:tcBorders>
          </w:tcPr>
          <w:p w14:paraId="6047761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0.81</w:t>
            </w:r>
          </w:p>
        </w:tc>
        <w:tc>
          <w:tcPr>
            <w:tcW w:w="949" w:type="dxa"/>
            <w:tcBorders>
              <w:top w:val="single" w:sz="4" w:space="0" w:color="auto"/>
              <w:left w:val="single" w:sz="4" w:space="0" w:color="auto"/>
            </w:tcBorders>
          </w:tcPr>
          <w:p w14:paraId="308ACBE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r>
      <w:tr w:rsidR="0081344D" w:rsidRPr="009B0CD7" w14:paraId="5534AE75" w14:textId="77777777">
        <w:tc>
          <w:tcPr>
            <w:tcW w:w="846" w:type="dxa"/>
            <w:vMerge/>
            <w:tcBorders>
              <w:right w:val="single" w:sz="4" w:space="0" w:color="auto"/>
            </w:tcBorders>
            <w:vAlign w:val="center"/>
          </w:tcPr>
          <w:p w14:paraId="7E55382E"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92" w:type="dxa"/>
            <w:tcBorders>
              <w:left w:val="single" w:sz="4" w:space="0" w:color="auto"/>
              <w:right w:val="single" w:sz="4" w:space="0" w:color="auto"/>
            </w:tcBorders>
            <w:vAlign w:val="center"/>
          </w:tcPr>
          <w:p w14:paraId="2659342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黑泉</w:t>
            </w:r>
          </w:p>
        </w:tc>
        <w:tc>
          <w:tcPr>
            <w:tcW w:w="887" w:type="dxa"/>
            <w:tcBorders>
              <w:left w:val="single" w:sz="4" w:space="0" w:color="auto"/>
              <w:right w:val="single" w:sz="4" w:space="0" w:color="auto"/>
            </w:tcBorders>
          </w:tcPr>
          <w:p w14:paraId="47325DF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887" w:type="dxa"/>
            <w:tcBorders>
              <w:left w:val="single" w:sz="4" w:space="0" w:color="auto"/>
              <w:right w:val="single" w:sz="4" w:space="0" w:color="auto"/>
            </w:tcBorders>
          </w:tcPr>
          <w:p w14:paraId="724B7D2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1.00</w:t>
            </w:r>
          </w:p>
        </w:tc>
        <w:tc>
          <w:tcPr>
            <w:tcW w:w="888" w:type="dxa"/>
            <w:tcBorders>
              <w:left w:val="single" w:sz="4" w:space="0" w:color="auto"/>
              <w:right w:val="single" w:sz="4" w:space="0" w:color="auto"/>
            </w:tcBorders>
          </w:tcPr>
          <w:p w14:paraId="550C683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949" w:type="dxa"/>
            <w:tcBorders>
              <w:left w:val="single" w:sz="4" w:space="0" w:color="auto"/>
              <w:right w:val="single" w:sz="4" w:space="0" w:color="auto"/>
            </w:tcBorders>
          </w:tcPr>
          <w:p w14:paraId="5807620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-2.46</w:t>
            </w:r>
          </w:p>
        </w:tc>
        <w:tc>
          <w:tcPr>
            <w:tcW w:w="949" w:type="dxa"/>
            <w:tcBorders>
              <w:left w:val="single" w:sz="4" w:space="0" w:color="auto"/>
              <w:right w:val="single" w:sz="4" w:space="0" w:color="auto"/>
            </w:tcBorders>
          </w:tcPr>
          <w:p w14:paraId="2E492C3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0.39</w:t>
            </w:r>
          </w:p>
        </w:tc>
        <w:tc>
          <w:tcPr>
            <w:tcW w:w="949" w:type="dxa"/>
            <w:tcBorders>
              <w:left w:val="single" w:sz="4" w:space="0" w:color="auto"/>
              <w:right w:val="single" w:sz="4" w:space="0" w:color="auto"/>
            </w:tcBorders>
          </w:tcPr>
          <w:p w14:paraId="483138B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0.27</w:t>
            </w:r>
          </w:p>
        </w:tc>
        <w:tc>
          <w:tcPr>
            <w:tcW w:w="949" w:type="dxa"/>
            <w:tcBorders>
              <w:left w:val="single" w:sz="4" w:space="0" w:color="auto"/>
            </w:tcBorders>
          </w:tcPr>
          <w:p w14:paraId="235A2B1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0.10</w:t>
            </w:r>
          </w:p>
        </w:tc>
      </w:tr>
      <w:tr w:rsidR="0081344D" w:rsidRPr="009B0CD7" w14:paraId="0ADF968E" w14:textId="77777777">
        <w:tc>
          <w:tcPr>
            <w:tcW w:w="846" w:type="dxa"/>
            <w:vMerge w:val="restart"/>
            <w:tcBorders>
              <w:right w:val="single" w:sz="4" w:space="0" w:color="auto"/>
            </w:tcBorders>
            <w:vAlign w:val="center"/>
          </w:tcPr>
          <w:p w14:paraId="61159DD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w:t>
            </w:r>
            <w:r w:rsidRPr="009B0CD7">
              <w:rPr>
                <w:rFonts w:ascii="Times New Roman" w:eastAsia="宋体" w:hAnsi="Times New Roman" w:cs="Times New Roman"/>
                <w:sz w:val="15"/>
                <w:szCs w:val="15"/>
              </w:rPr>
              <w:t>月</w:t>
            </w:r>
          </w:p>
        </w:tc>
        <w:tc>
          <w:tcPr>
            <w:tcW w:w="992" w:type="dxa"/>
            <w:tcBorders>
              <w:left w:val="single" w:sz="4" w:space="0" w:color="auto"/>
              <w:right w:val="single" w:sz="4" w:space="0" w:color="auto"/>
            </w:tcBorders>
            <w:vAlign w:val="center"/>
          </w:tcPr>
          <w:p w14:paraId="1554103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石头峡</w:t>
            </w:r>
          </w:p>
        </w:tc>
        <w:tc>
          <w:tcPr>
            <w:tcW w:w="887" w:type="dxa"/>
            <w:tcBorders>
              <w:left w:val="single" w:sz="4" w:space="0" w:color="auto"/>
              <w:right w:val="single" w:sz="4" w:space="0" w:color="auto"/>
            </w:tcBorders>
          </w:tcPr>
          <w:p w14:paraId="54FE53F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0.42</w:t>
            </w:r>
          </w:p>
        </w:tc>
        <w:tc>
          <w:tcPr>
            <w:tcW w:w="887" w:type="dxa"/>
            <w:tcBorders>
              <w:left w:val="single" w:sz="4" w:space="0" w:color="auto"/>
              <w:right w:val="single" w:sz="4" w:space="0" w:color="auto"/>
            </w:tcBorders>
          </w:tcPr>
          <w:p w14:paraId="3BE8D41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888" w:type="dxa"/>
            <w:tcBorders>
              <w:left w:val="single" w:sz="4" w:space="0" w:color="auto"/>
              <w:right w:val="single" w:sz="4" w:space="0" w:color="auto"/>
            </w:tcBorders>
          </w:tcPr>
          <w:p w14:paraId="6E1E807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19.00</w:t>
            </w:r>
          </w:p>
        </w:tc>
        <w:tc>
          <w:tcPr>
            <w:tcW w:w="949" w:type="dxa"/>
            <w:tcBorders>
              <w:left w:val="single" w:sz="4" w:space="0" w:color="auto"/>
              <w:right w:val="single" w:sz="4" w:space="0" w:color="auto"/>
            </w:tcBorders>
          </w:tcPr>
          <w:p w14:paraId="2333B2A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-2.38</w:t>
            </w:r>
          </w:p>
        </w:tc>
        <w:tc>
          <w:tcPr>
            <w:tcW w:w="949" w:type="dxa"/>
            <w:tcBorders>
              <w:left w:val="single" w:sz="4" w:space="0" w:color="auto"/>
              <w:right w:val="single" w:sz="4" w:space="0" w:color="auto"/>
            </w:tcBorders>
          </w:tcPr>
          <w:p w14:paraId="1159343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0.42</w:t>
            </w:r>
          </w:p>
        </w:tc>
        <w:tc>
          <w:tcPr>
            <w:tcW w:w="949" w:type="dxa"/>
            <w:tcBorders>
              <w:left w:val="single" w:sz="4" w:space="0" w:color="auto"/>
              <w:right w:val="single" w:sz="4" w:space="0" w:color="auto"/>
            </w:tcBorders>
          </w:tcPr>
          <w:p w14:paraId="263403E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0.87</w:t>
            </w:r>
          </w:p>
        </w:tc>
        <w:tc>
          <w:tcPr>
            <w:tcW w:w="949" w:type="dxa"/>
            <w:tcBorders>
              <w:left w:val="single" w:sz="4" w:space="0" w:color="auto"/>
            </w:tcBorders>
          </w:tcPr>
          <w:p w14:paraId="3485C4E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r>
      <w:tr w:rsidR="0081344D" w:rsidRPr="009B0CD7" w14:paraId="75D67EAA" w14:textId="77777777">
        <w:tc>
          <w:tcPr>
            <w:tcW w:w="846" w:type="dxa"/>
            <w:vMerge/>
            <w:tcBorders>
              <w:right w:val="single" w:sz="4" w:space="0" w:color="auto"/>
            </w:tcBorders>
            <w:vAlign w:val="center"/>
          </w:tcPr>
          <w:p w14:paraId="3E9F87BF"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92" w:type="dxa"/>
            <w:tcBorders>
              <w:left w:val="single" w:sz="4" w:space="0" w:color="auto"/>
              <w:right w:val="single" w:sz="4" w:space="0" w:color="auto"/>
            </w:tcBorders>
            <w:vAlign w:val="center"/>
          </w:tcPr>
          <w:p w14:paraId="0927932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黑泉</w:t>
            </w:r>
          </w:p>
        </w:tc>
        <w:tc>
          <w:tcPr>
            <w:tcW w:w="887" w:type="dxa"/>
            <w:tcBorders>
              <w:left w:val="single" w:sz="4" w:space="0" w:color="auto"/>
              <w:right w:val="single" w:sz="4" w:space="0" w:color="auto"/>
            </w:tcBorders>
          </w:tcPr>
          <w:p w14:paraId="4E447D0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-0.06</w:t>
            </w:r>
          </w:p>
        </w:tc>
        <w:tc>
          <w:tcPr>
            <w:tcW w:w="887" w:type="dxa"/>
            <w:tcBorders>
              <w:left w:val="single" w:sz="4" w:space="0" w:color="auto"/>
              <w:right w:val="single" w:sz="4" w:space="0" w:color="auto"/>
            </w:tcBorders>
          </w:tcPr>
          <w:p w14:paraId="347C80A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w:t>
            </w:r>
          </w:p>
        </w:tc>
        <w:tc>
          <w:tcPr>
            <w:tcW w:w="888" w:type="dxa"/>
            <w:tcBorders>
              <w:left w:val="single" w:sz="4" w:space="0" w:color="auto"/>
              <w:right w:val="single" w:sz="4" w:space="0" w:color="auto"/>
            </w:tcBorders>
          </w:tcPr>
          <w:p w14:paraId="2760791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-0.88</w:t>
            </w:r>
          </w:p>
        </w:tc>
        <w:tc>
          <w:tcPr>
            <w:tcW w:w="949" w:type="dxa"/>
            <w:tcBorders>
              <w:left w:val="single" w:sz="4" w:space="0" w:color="auto"/>
              <w:right w:val="single" w:sz="4" w:space="0" w:color="auto"/>
            </w:tcBorders>
          </w:tcPr>
          <w:p w14:paraId="3B12027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-3.06</w:t>
            </w:r>
          </w:p>
        </w:tc>
        <w:tc>
          <w:tcPr>
            <w:tcW w:w="949" w:type="dxa"/>
            <w:tcBorders>
              <w:left w:val="single" w:sz="4" w:space="0" w:color="auto"/>
              <w:right w:val="single" w:sz="4" w:space="0" w:color="auto"/>
            </w:tcBorders>
          </w:tcPr>
          <w:p w14:paraId="3CF5F91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0.15</w:t>
            </w:r>
          </w:p>
        </w:tc>
        <w:tc>
          <w:tcPr>
            <w:tcW w:w="949" w:type="dxa"/>
            <w:tcBorders>
              <w:left w:val="single" w:sz="4" w:space="0" w:color="auto"/>
              <w:right w:val="single" w:sz="4" w:space="0" w:color="auto"/>
            </w:tcBorders>
          </w:tcPr>
          <w:p w14:paraId="436170A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0.26</w:t>
            </w:r>
          </w:p>
        </w:tc>
        <w:tc>
          <w:tcPr>
            <w:tcW w:w="949" w:type="dxa"/>
            <w:tcBorders>
              <w:left w:val="single" w:sz="4" w:space="0" w:color="auto"/>
            </w:tcBorders>
          </w:tcPr>
          <w:p w14:paraId="0C2B57D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0.10</w:t>
            </w:r>
          </w:p>
        </w:tc>
      </w:tr>
      <w:tr w:rsidR="0081344D" w:rsidRPr="009B0CD7" w14:paraId="7575FD18" w14:textId="77777777">
        <w:tc>
          <w:tcPr>
            <w:tcW w:w="846" w:type="dxa"/>
            <w:vMerge w:val="restart"/>
            <w:tcBorders>
              <w:right w:val="single" w:sz="4" w:space="0" w:color="auto"/>
            </w:tcBorders>
            <w:vAlign w:val="center"/>
          </w:tcPr>
          <w:p w14:paraId="40C6479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w:t>
            </w:r>
            <w:r w:rsidRPr="009B0CD7">
              <w:rPr>
                <w:rFonts w:ascii="Times New Roman" w:eastAsia="宋体" w:hAnsi="Times New Roman" w:cs="Times New Roman"/>
                <w:sz w:val="15"/>
                <w:szCs w:val="15"/>
              </w:rPr>
              <w:t>月</w:t>
            </w:r>
          </w:p>
        </w:tc>
        <w:tc>
          <w:tcPr>
            <w:tcW w:w="992" w:type="dxa"/>
            <w:tcBorders>
              <w:left w:val="single" w:sz="4" w:space="0" w:color="auto"/>
              <w:right w:val="single" w:sz="4" w:space="0" w:color="auto"/>
            </w:tcBorders>
            <w:vAlign w:val="center"/>
          </w:tcPr>
          <w:p w14:paraId="11B5C4E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石头峡</w:t>
            </w:r>
          </w:p>
        </w:tc>
        <w:tc>
          <w:tcPr>
            <w:tcW w:w="887" w:type="dxa"/>
            <w:tcBorders>
              <w:left w:val="single" w:sz="4" w:space="0" w:color="auto"/>
              <w:right w:val="single" w:sz="4" w:space="0" w:color="auto"/>
            </w:tcBorders>
          </w:tcPr>
          <w:p w14:paraId="055073B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0.34</w:t>
            </w:r>
          </w:p>
        </w:tc>
        <w:tc>
          <w:tcPr>
            <w:tcW w:w="887" w:type="dxa"/>
            <w:tcBorders>
              <w:left w:val="single" w:sz="4" w:space="0" w:color="auto"/>
              <w:right w:val="single" w:sz="4" w:space="0" w:color="auto"/>
            </w:tcBorders>
          </w:tcPr>
          <w:p w14:paraId="7A7509F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888" w:type="dxa"/>
            <w:tcBorders>
              <w:left w:val="single" w:sz="4" w:space="0" w:color="auto"/>
              <w:right w:val="single" w:sz="4" w:space="0" w:color="auto"/>
            </w:tcBorders>
          </w:tcPr>
          <w:p w14:paraId="770CA05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25.21</w:t>
            </w:r>
          </w:p>
        </w:tc>
        <w:tc>
          <w:tcPr>
            <w:tcW w:w="949" w:type="dxa"/>
            <w:tcBorders>
              <w:left w:val="single" w:sz="4" w:space="0" w:color="auto"/>
              <w:right w:val="single" w:sz="4" w:space="0" w:color="auto"/>
            </w:tcBorders>
          </w:tcPr>
          <w:p w14:paraId="3A7153B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-3.55</w:t>
            </w:r>
          </w:p>
        </w:tc>
        <w:tc>
          <w:tcPr>
            <w:tcW w:w="949" w:type="dxa"/>
            <w:tcBorders>
              <w:left w:val="single" w:sz="4" w:space="0" w:color="auto"/>
              <w:right w:val="single" w:sz="4" w:space="0" w:color="auto"/>
            </w:tcBorders>
          </w:tcPr>
          <w:p w14:paraId="28A5B9C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0.05</w:t>
            </w:r>
          </w:p>
        </w:tc>
        <w:tc>
          <w:tcPr>
            <w:tcW w:w="949" w:type="dxa"/>
            <w:tcBorders>
              <w:left w:val="single" w:sz="4" w:space="0" w:color="auto"/>
              <w:right w:val="single" w:sz="4" w:space="0" w:color="auto"/>
            </w:tcBorders>
          </w:tcPr>
          <w:p w14:paraId="78D3B08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0.62</w:t>
            </w:r>
          </w:p>
        </w:tc>
        <w:tc>
          <w:tcPr>
            <w:tcW w:w="949" w:type="dxa"/>
            <w:tcBorders>
              <w:left w:val="single" w:sz="4" w:space="0" w:color="auto"/>
            </w:tcBorders>
          </w:tcPr>
          <w:p w14:paraId="6C28D4B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0.02</w:t>
            </w:r>
          </w:p>
        </w:tc>
      </w:tr>
      <w:tr w:rsidR="0081344D" w:rsidRPr="009B0CD7" w14:paraId="799D17C2" w14:textId="77777777">
        <w:tc>
          <w:tcPr>
            <w:tcW w:w="846" w:type="dxa"/>
            <w:vMerge/>
            <w:tcBorders>
              <w:right w:val="single" w:sz="4" w:space="0" w:color="auto"/>
            </w:tcBorders>
            <w:vAlign w:val="center"/>
          </w:tcPr>
          <w:p w14:paraId="4A7B88F7"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92" w:type="dxa"/>
            <w:tcBorders>
              <w:left w:val="single" w:sz="4" w:space="0" w:color="auto"/>
              <w:right w:val="single" w:sz="4" w:space="0" w:color="auto"/>
            </w:tcBorders>
            <w:vAlign w:val="center"/>
          </w:tcPr>
          <w:p w14:paraId="0042405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黑泉</w:t>
            </w:r>
          </w:p>
        </w:tc>
        <w:tc>
          <w:tcPr>
            <w:tcW w:w="887" w:type="dxa"/>
            <w:tcBorders>
              <w:left w:val="single" w:sz="4" w:space="0" w:color="auto"/>
              <w:right w:val="single" w:sz="4" w:space="0" w:color="auto"/>
            </w:tcBorders>
          </w:tcPr>
          <w:p w14:paraId="08AA8CC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-0.13</w:t>
            </w:r>
          </w:p>
        </w:tc>
        <w:tc>
          <w:tcPr>
            <w:tcW w:w="887" w:type="dxa"/>
            <w:tcBorders>
              <w:left w:val="single" w:sz="4" w:space="0" w:color="auto"/>
              <w:right w:val="single" w:sz="4" w:space="0" w:color="auto"/>
            </w:tcBorders>
          </w:tcPr>
          <w:p w14:paraId="11E7022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0.17</w:t>
            </w:r>
          </w:p>
        </w:tc>
        <w:tc>
          <w:tcPr>
            <w:tcW w:w="888" w:type="dxa"/>
            <w:tcBorders>
              <w:left w:val="single" w:sz="4" w:space="0" w:color="auto"/>
              <w:right w:val="single" w:sz="4" w:space="0" w:color="auto"/>
            </w:tcBorders>
          </w:tcPr>
          <w:p w14:paraId="664AC7A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-1.87</w:t>
            </w:r>
          </w:p>
        </w:tc>
        <w:tc>
          <w:tcPr>
            <w:tcW w:w="949" w:type="dxa"/>
            <w:tcBorders>
              <w:left w:val="single" w:sz="4" w:space="0" w:color="auto"/>
              <w:right w:val="single" w:sz="4" w:space="0" w:color="auto"/>
            </w:tcBorders>
          </w:tcPr>
          <w:p w14:paraId="5DD9804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-3.16</w:t>
            </w:r>
          </w:p>
        </w:tc>
        <w:tc>
          <w:tcPr>
            <w:tcW w:w="949" w:type="dxa"/>
            <w:tcBorders>
              <w:left w:val="single" w:sz="4" w:space="0" w:color="auto"/>
              <w:right w:val="single" w:sz="4" w:space="0" w:color="auto"/>
            </w:tcBorders>
          </w:tcPr>
          <w:p w14:paraId="7C1A436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0.11</w:t>
            </w:r>
          </w:p>
        </w:tc>
        <w:tc>
          <w:tcPr>
            <w:tcW w:w="949" w:type="dxa"/>
            <w:tcBorders>
              <w:left w:val="single" w:sz="4" w:space="0" w:color="auto"/>
              <w:right w:val="single" w:sz="4" w:space="0" w:color="auto"/>
            </w:tcBorders>
          </w:tcPr>
          <w:p w14:paraId="1699E2E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0.30</w:t>
            </w:r>
          </w:p>
        </w:tc>
        <w:tc>
          <w:tcPr>
            <w:tcW w:w="949" w:type="dxa"/>
            <w:tcBorders>
              <w:left w:val="single" w:sz="4" w:space="0" w:color="auto"/>
            </w:tcBorders>
          </w:tcPr>
          <w:p w14:paraId="28A268D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0.10</w:t>
            </w:r>
          </w:p>
        </w:tc>
      </w:tr>
      <w:tr w:rsidR="0081344D" w:rsidRPr="009B0CD7" w14:paraId="736020F5" w14:textId="77777777">
        <w:tc>
          <w:tcPr>
            <w:tcW w:w="846" w:type="dxa"/>
            <w:vMerge w:val="restart"/>
            <w:tcBorders>
              <w:right w:val="single" w:sz="4" w:space="0" w:color="auto"/>
            </w:tcBorders>
            <w:vAlign w:val="center"/>
          </w:tcPr>
          <w:p w14:paraId="1AA55FE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5</w:t>
            </w:r>
            <w:r w:rsidRPr="009B0CD7">
              <w:rPr>
                <w:rFonts w:ascii="Times New Roman" w:eastAsia="宋体" w:hAnsi="Times New Roman" w:cs="Times New Roman"/>
                <w:sz w:val="15"/>
                <w:szCs w:val="15"/>
              </w:rPr>
              <w:t>月</w:t>
            </w:r>
          </w:p>
        </w:tc>
        <w:tc>
          <w:tcPr>
            <w:tcW w:w="992" w:type="dxa"/>
            <w:tcBorders>
              <w:left w:val="single" w:sz="4" w:space="0" w:color="auto"/>
              <w:right w:val="single" w:sz="4" w:space="0" w:color="auto"/>
            </w:tcBorders>
            <w:vAlign w:val="center"/>
          </w:tcPr>
          <w:p w14:paraId="555C95C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石头峡</w:t>
            </w:r>
          </w:p>
        </w:tc>
        <w:tc>
          <w:tcPr>
            <w:tcW w:w="887" w:type="dxa"/>
            <w:tcBorders>
              <w:left w:val="single" w:sz="4" w:space="0" w:color="auto"/>
              <w:right w:val="single" w:sz="4" w:space="0" w:color="auto"/>
            </w:tcBorders>
          </w:tcPr>
          <w:p w14:paraId="5BE9E47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-0.22</w:t>
            </w:r>
          </w:p>
        </w:tc>
        <w:tc>
          <w:tcPr>
            <w:tcW w:w="887" w:type="dxa"/>
            <w:tcBorders>
              <w:left w:val="single" w:sz="4" w:space="0" w:color="auto"/>
              <w:right w:val="single" w:sz="4" w:space="0" w:color="auto"/>
            </w:tcBorders>
          </w:tcPr>
          <w:p w14:paraId="36EF149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0.02</w:t>
            </w:r>
          </w:p>
        </w:tc>
        <w:tc>
          <w:tcPr>
            <w:tcW w:w="888" w:type="dxa"/>
            <w:tcBorders>
              <w:left w:val="single" w:sz="4" w:space="0" w:color="auto"/>
              <w:right w:val="single" w:sz="4" w:space="0" w:color="auto"/>
            </w:tcBorders>
          </w:tcPr>
          <w:p w14:paraId="0CF5601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-100.44</w:t>
            </w:r>
          </w:p>
        </w:tc>
        <w:tc>
          <w:tcPr>
            <w:tcW w:w="949" w:type="dxa"/>
            <w:tcBorders>
              <w:left w:val="single" w:sz="4" w:space="0" w:color="auto"/>
              <w:right w:val="single" w:sz="4" w:space="0" w:color="auto"/>
            </w:tcBorders>
          </w:tcPr>
          <w:p w14:paraId="3C7307A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-3.00</w:t>
            </w:r>
          </w:p>
        </w:tc>
        <w:tc>
          <w:tcPr>
            <w:tcW w:w="949" w:type="dxa"/>
            <w:tcBorders>
              <w:left w:val="single" w:sz="4" w:space="0" w:color="auto"/>
              <w:right w:val="single" w:sz="4" w:space="0" w:color="auto"/>
            </w:tcBorders>
          </w:tcPr>
          <w:p w14:paraId="23FA44B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0.17</w:t>
            </w:r>
          </w:p>
        </w:tc>
        <w:tc>
          <w:tcPr>
            <w:tcW w:w="949" w:type="dxa"/>
            <w:tcBorders>
              <w:left w:val="single" w:sz="4" w:space="0" w:color="auto"/>
              <w:right w:val="single" w:sz="4" w:space="0" w:color="auto"/>
            </w:tcBorders>
          </w:tcPr>
          <w:p w14:paraId="532B54F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0.33</w:t>
            </w:r>
          </w:p>
        </w:tc>
        <w:tc>
          <w:tcPr>
            <w:tcW w:w="949" w:type="dxa"/>
            <w:tcBorders>
              <w:left w:val="single" w:sz="4" w:space="0" w:color="auto"/>
            </w:tcBorders>
          </w:tcPr>
          <w:p w14:paraId="406810F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0.10</w:t>
            </w:r>
          </w:p>
        </w:tc>
      </w:tr>
      <w:tr w:rsidR="0081344D" w:rsidRPr="009B0CD7" w14:paraId="6EF04AC5" w14:textId="77777777">
        <w:tc>
          <w:tcPr>
            <w:tcW w:w="846" w:type="dxa"/>
            <w:vMerge/>
            <w:tcBorders>
              <w:right w:val="single" w:sz="4" w:space="0" w:color="auto"/>
            </w:tcBorders>
            <w:vAlign w:val="center"/>
          </w:tcPr>
          <w:p w14:paraId="49DD448C"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92" w:type="dxa"/>
            <w:tcBorders>
              <w:left w:val="single" w:sz="4" w:space="0" w:color="auto"/>
              <w:right w:val="single" w:sz="4" w:space="0" w:color="auto"/>
            </w:tcBorders>
            <w:vAlign w:val="center"/>
          </w:tcPr>
          <w:p w14:paraId="489B9E4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黑泉</w:t>
            </w:r>
          </w:p>
        </w:tc>
        <w:tc>
          <w:tcPr>
            <w:tcW w:w="887" w:type="dxa"/>
            <w:tcBorders>
              <w:left w:val="single" w:sz="4" w:space="0" w:color="auto"/>
              <w:right w:val="single" w:sz="4" w:space="0" w:color="auto"/>
            </w:tcBorders>
          </w:tcPr>
          <w:p w14:paraId="1513E77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-0.19</w:t>
            </w:r>
          </w:p>
        </w:tc>
        <w:tc>
          <w:tcPr>
            <w:tcW w:w="887" w:type="dxa"/>
            <w:tcBorders>
              <w:left w:val="single" w:sz="4" w:space="0" w:color="auto"/>
              <w:right w:val="single" w:sz="4" w:space="0" w:color="auto"/>
            </w:tcBorders>
          </w:tcPr>
          <w:p w14:paraId="37A328E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0.04</w:t>
            </w:r>
          </w:p>
        </w:tc>
        <w:tc>
          <w:tcPr>
            <w:tcW w:w="888" w:type="dxa"/>
            <w:tcBorders>
              <w:left w:val="single" w:sz="4" w:space="0" w:color="auto"/>
              <w:right w:val="single" w:sz="4" w:space="0" w:color="auto"/>
            </w:tcBorders>
          </w:tcPr>
          <w:p w14:paraId="0965F97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-22.10</w:t>
            </w:r>
          </w:p>
        </w:tc>
        <w:tc>
          <w:tcPr>
            <w:tcW w:w="949" w:type="dxa"/>
            <w:tcBorders>
              <w:left w:val="single" w:sz="4" w:space="0" w:color="auto"/>
              <w:right w:val="single" w:sz="4" w:space="0" w:color="auto"/>
            </w:tcBorders>
          </w:tcPr>
          <w:p w14:paraId="2821381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-2.92</w:t>
            </w:r>
          </w:p>
        </w:tc>
        <w:tc>
          <w:tcPr>
            <w:tcW w:w="949" w:type="dxa"/>
            <w:tcBorders>
              <w:left w:val="single" w:sz="4" w:space="0" w:color="auto"/>
              <w:right w:val="single" w:sz="4" w:space="0" w:color="auto"/>
            </w:tcBorders>
          </w:tcPr>
          <w:p w14:paraId="1D723BC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0.20</w:t>
            </w:r>
          </w:p>
        </w:tc>
        <w:tc>
          <w:tcPr>
            <w:tcW w:w="949" w:type="dxa"/>
            <w:tcBorders>
              <w:left w:val="single" w:sz="4" w:space="0" w:color="auto"/>
              <w:right w:val="single" w:sz="4" w:space="0" w:color="auto"/>
            </w:tcBorders>
          </w:tcPr>
          <w:p w14:paraId="426BFE3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0.37</w:t>
            </w:r>
          </w:p>
        </w:tc>
        <w:tc>
          <w:tcPr>
            <w:tcW w:w="949" w:type="dxa"/>
            <w:tcBorders>
              <w:left w:val="single" w:sz="4" w:space="0" w:color="auto"/>
            </w:tcBorders>
          </w:tcPr>
          <w:p w14:paraId="44042AF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0.09</w:t>
            </w:r>
          </w:p>
        </w:tc>
      </w:tr>
      <w:tr w:rsidR="0081344D" w:rsidRPr="009B0CD7" w14:paraId="76F963E8" w14:textId="77777777">
        <w:tc>
          <w:tcPr>
            <w:tcW w:w="846" w:type="dxa"/>
            <w:vMerge w:val="restart"/>
            <w:tcBorders>
              <w:right w:val="single" w:sz="4" w:space="0" w:color="auto"/>
            </w:tcBorders>
            <w:vAlign w:val="center"/>
          </w:tcPr>
          <w:p w14:paraId="1371650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12</w:t>
            </w:r>
            <w:r w:rsidRPr="009B0CD7">
              <w:rPr>
                <w:rFonts w:ascii="Times New Roman" w:eastAsia="宋体" w:hAnsi="Times New Roman" w:cs="Times New Roman"/>
                <w:sz w:val="15"/>
                <w:szCs w:val="15"/>
              </w:rPr>
              <w:t>月</w:t>
            </w:r>
          </w:p>
        </w:tc>
        <w:tc>
          <w:tcPr>
            <w:tcW w:w="992" w:type="dxa"/>
            <w:tcBorders>
              <w:left w:val="single" w:sz="4" w:space="0" w:color="auto"/>
              <w:right w:val="single" w:sz="4" w:space="0" w:color="auto"/>
            </w:tcBorders>
            <w:vAlign w:val="center"/>
          </w:tcPr>
          <w:p w14:paraId="003C672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石头峡</w:t>
            </w:r>
          </w:p>
        </w:tc>
        <w:tc>
          <w:tcPr>
            <w:tcW w:w="887" w:type="dxa"/>
            <w:tcBorders>
              <w:left w:val="single" w:sz="4" w:space="0" w:color="auto"/>
              <w:right w:val="single" w:sz="4" w:space="0" w:color="auto"/>
            </w:tcBorders>
          </w:tcPr>
          <w:p w14:paraId="284EE95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0.29</w:t>
            </w:r>
          </w:p>
        </w:tc>
        <w:tc>
          <w:tcPr>
            <w:tcW w:w="887" w:type="dxa"/>
            <w:tcBorders>
              <w:left w:val="single" w:sz="4" w:space="0" w:color="auto"/>
              <w:right w:val="single" w:sz="4" w:space="0" w:color="auto"/>
            </w:tcBorders>
          </w:tcPr>
          <w:p w14:paraId="765A66B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888" w:type="dxa"/>
            <w:tcBorders>
              <w:left w:val="single" w:sz="4" w:space="0" w:color="auto"/>
              <w:right w:val="single" w:sz="4" w:space="0" w:color="auto"/>
            </w:tcBorders>
          </w:tcPr>
          <w:p w14:paraId="0523D7A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15.96</w:t>
            </w:r>
          </w:p>
        </w:tc>
        <w:tc>
          <w:tcPr>
            <w:tcW w:w="949" w:type="dxa"/>
            <w:tcBorders>
              <w:left w:val="single" w:sz="4" w:space="0" w:color="auto"/>
              <w:right w:val="single" w:sz="4" w:space="0" w:color="auto"/>
            </w:tcBorders>
          </w:tcPr>
          <w:p w14:paraId="4B159CC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-3.67</w:t>
            </w:r>
          </w:p>
        </w:tc>
        <w:tc>
          <w:tcPr>
            <w:tcW w:w="949" w:type="dxa"/>
            <w:tcBorders>
              <w:left w:val="single" w:sz="4" w:space="0" w:color="auto"/>
              <w:right w:val="single" w:sz="4" w:space="0" w:color="auto"/>
            </w:tcBorders>
          </w:tcPr>
          <w:p w14:paraId="172B659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0.04</w:t>
            </w:r>
          </w:p>
        </w:tc>
        <w:tc>
          <w:tcPr>
            <w:tcW w:w="949" w:type="dxa"/>
            <w:tcBorders>
              <w:left w:val="single" w:sz="4" w:space="0" w:color="auto"/>
              <w:right w:val="single" w:sz="4" w:space="0" w:color="auto"/>
            </w:tcBorders>
          </w:tcPr>
          <w:p w14:paraId="76E524A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0.55</w:t>
            </w:r>
          </w:p>
        </w:tc>
        <w:tc>
          <w:tcPr>
            <w:tcW w:w="949" w:type="dxa"/>
            <w:tcBorders>
              <w:left w:val="single" w:sz="4" w:space="0" w:color="auto"/>
            </w:tcBorders>
          </w:tcPr>
          <w:p w14:paraId="4FBBE97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0.03</w:t>
            </w:r>
          </w:p>
        </w:tc>
      </w:tr>
      <w:tr w:rsidR="0081344D" w:rsidRPr="009B0CD7" w14:paraId="5B8FA17C" w14:textId="77777777">
        <w:tc>
          <w:tcPr>
            <w:tcW w:w="846" w:type="dxa"/>
            <w:vMerge/>
            <w:tcBorders>
              <w:right w:val="single" w:sz="4" w:space="0" w:color="auto"/>
            </w:tcBorders>
            <w:vAlign w:val="center"/>
          </w:tcPr>
          <w:p w14:paraId="587AB304"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92" w:type="dxa"/>
            <w:tcBorders>
              <w:left w:val="single" w:sz="4" w:space="0" w:color="auto"/>
              <w:right w:val="single" w:sz="4" w:space="0" w:color="auto"/>
            </w:tcBorders>
            <w:vAlign w:val="center"/>
          </w:tcPr>
          <w:p w14:paraId="7632847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黑泉</w:t>
            </w:r>
          </w:p>
        </w:tc>
        <w:tc>
          <w:tcPr>
            <w:tcW w:w="887" w:type="dxa"/>
            <w:tcBorders>
              <w:left w:val="single" w:sz="4" w:space="0" w:color="auto"/>
              <w:right w:val="single" w:sz="4" w:space="0" w:color="auto"/>
            </w:tcBorders>
          </w:tcPr>
          <w:p w14:paraId="0B114F5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-0.05</w:t>
            </w:r>
          </w:p>
        </w:tc>
        <w:tc>
          <w:tcPr>
            <w:tcW w:w="887" w:type="dxa"/>
            <w:tcBorders>
              <w:left w:val="single" w:sz="4" w:space="0" w:color="auto"/>
              <w:right w:val="single" w:sz="4" w:space="0" w:color="auto"/>
            </w:tcBorders>
          </w:tcPr>
          <w:p w14:paraId="321D320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0.62</w:t>
            </w:r>
          </w:p>
        </w:tc>
        <w:tc>
          <w:tcPr>
            <w:tcW w:w="888" w:type="dxa"/>
            <w:tcBorders>
              <w:left w:val="single" w:sz="4" w:space="0" w:color="auto"/>
              <w:right w:val="single" w:sz="4" w:space="0" w:color="auto"/>
            </w:tcBorders>
          </w:tcPr>
          <w:p w14:paraId="2515926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-1.19</w:t>
            </w:r>
          </w:p>
        </w:tc>
        <w:tc>
          <w:tcPr>
            <w:tcW w:w="949" w:type="dxa"/>
            <w:tcBorders>
              <w:left w:val="single" w:sz="4" w:space="0" w:color="auto"/>
              <w:right w:val="single" w:sz="4" w:space="0" w:color="auto"/>
            </w:tcBorders>
          </w:tcPr>
          <w:p w14:paraId="479D90E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-3.07</w:t>
            </w:r>
          </w:p>
        </w:tc>
        <w:tc>
          <w:tcPr>
            <w:tcW w:w="949" w:type="dxa"/>
            <w:tcBorders>
              <w:left w:val="single" w:sz="4" w:space="0" w:color="auto"/>
              <w:right w:val="single" w:sz="4" w:space="0" w:color="auto"/>
            </w:tcBorders>
          </w:tcPr>
          <w:p w14:paraId="02CC6C2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0.14</w:t>
            </w:r>
          </w:p>
        </w:tc>
        <w:tc>
          <w:tcPr>
            <w:tcW w:w="949" w:type="dxa"/>
            <w:tcBorders>
              <w:left w:val="single" w:sz="4" w:space="0" w:color="auto"/>
              <w:right w:val="single" w:sz="4" w:space="0" w:color="auto"/>
            </w:tcBorders>
          </w:tcPr>
          <w:p w14:paraId="775CAD5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0.19</w:t>
            </w:r>
          </w:p>
        </w:tc>
        <w:tc>
          <w:tcPr>
            <w:tcW w:w="949" w:type="dxa"/>
            <w:tcBorders>
              <w:left w:val="single" w:sz="4" w:space="0" w:color="auto"/>
            </w:tcBorders>
          </w:tcPr>
          <w:p w14:paraId="3971BDE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0.10</w:t>
            </w:r>
          </w:p>
        </w:tc>
      </w:tr>
      <w:tr w:rsidR="0081344D" w:rsidRPr="009B0CD7" w14:paraId="7BEEFD2B" w14:textId="77777777">
        <w:tc>
          <w:tcPr>
            <w:tcW w:w="846" w:type="dxa"/>
            <w:vMerge w:val="restart"/>
            <w:tcBorders>
              <w:right w:val="single" w:sz="4" w:space="0" w:color="auto"/>
            </w:tcBorders>
            <w:vAlign w:val="center"/>
          </w:tcPr>
          <w:p w14:paraId="3032E5F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年总量</w:t>
            </w:r>
          </w:p>
        </w:tc>
        <w:tc>
          <w:tcPr>
            <w:tcW w:w="992" w:type="dxa"/>
            <w:tcBorders>
              <w:left w:val="single" w:sz="4" w:space="0" w:color="auto"/>
              <w:right w:val="single" w:sz="4" w:space="0" w:color="auto"/>
            </w:tcBorders>
            <w:vAlign w:val="center"/>
          </w:tcPr>
          <w:p w14:paraId="2BAD1F5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石头峡</w:t>
            </w:r>
          </w:p>
        </w:tc>
        <w:tc>
          <w:tcPr>
            <w:tcW w:w="887" w:type="dxa"/>
            <w:tcBorders>
              <w:left w:val="single" w:sz="4" w:space="0" w:color="auto"/>
              <w:right w:val="single" w:sz="4" w:space="0" w:color="auto"/>
            </w:tcBorders>
          </w:tcPr>
          <w:p w14:paraId="2B98ABB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887" w:type="dxa"/>
            <w:tcBorders>
              <w:left w:val="single" w:sz="4" w:space="0" w:color="auto"/>
              <w:right w:val="single" w:sz="4" w:space="0" w:color="auto"/>
            </w:tcBorders>
          </w:tcPr>
          <w:p w14:paraId="1B016F0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0.90</w:t>
            </w:r>
          </w:p>
        </w:tc>
        <w:tc>
          <w:tcPr>
            <w:tcW w:w="888" w:type="dxa"/>
            <w:tcBorders>
              <w:left w:val="single" w:sz="4" w:space="0" w:color="auto"/>
              <w:right w:val="single" w:sz="4" w:space="0" w:color="auto"/>
            </w:tcBorders>
          </w:tcPr>
          <w:p w14:paraId="210CC1E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-34.02</w:t>
            </w:r>
          </w:p>
        </w:tc>
        <w:tc>
          <w:tcPr>
            <w:tcW w:w="949" w:type="dxa"/>
            <w:tcBorders>
              <w:left w:val="single" w:sz="4" w:space="0" w:color="auto"/>
              <w:right w:val="single" w:sz="4" w:space="0" w:color="auto"/>
            </w:tcBorders>
          </w:tcPr>
          <w:p w14:paraId="0176648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-4.01</w:t>
            </w:r>
          </w:p>
        </w:tc>
        <w:tc>
          <w:tcPr>
            <w:tcW w:w="949" w:type="dxa"/>
            <w:tcBorders>
              <w:left w:val="single" w:sz="4" w:space="0" w:color="auto"/>
              <w:right w:val="single" w:sz="4" w:space="0" w:color="auto"/>
            </w:tcBorders>
          </w:tcPr>
          <w:p w14:paraId="35FC353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0.02</w:t>
            </w:r>
          </w:p>
        </w:tc>
        <w:tc>
          <w:tcPr>
            <w:tcW w:w="949" w:type="dxa"/>
            <w:tcBorders>
              <w:left w:val="single" w:sz="4" w:space="0" w:color="auto"/>
              <w:right w:val="single" w:sz="4" w:space="0" w:color="auto"/>
            </w:tcBorders>
          </w:tcPr>
          <w:p w14:paraId="2792371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0.05</w:t>
            </w:r>
          </w:p>
        </w:tc>
        <w:tc>
          <w:tcPr>
            <w:tcW w:w="949" w:type="dxa"/>
            <w:tcBorders>
              <w:left w:val="single" w:sz="4" w:space="0" w:color="auto"/>
            </w:tcBorders>
          </w:tcPr>
          <w:p w14:paraId="2F58C79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0.10</w:t>
            </w:r>
          </w:p>
        </w:tc>
      </w:tr>
      <w:tr w:rsidR="0081344D" w:rsidRPr="009B0CD7" w14:paraId="2BF6DB61" w14:textId="77777777">
        <w:tc>
          <w:tcPr>
            <w:tcW w:w="846" w:type="dxa"/>
            <w:vMerge/>
            <w:tcBorders>
              <w:bottom w:val="single" w:sz="12" w:space="0" w:color="auto"/>
              <w:right w:val="single" w:sz="4" w:space="0" w:color="auto"/>
            </w:tcBorders>
            <w:vAlign w:val="center"/>
          </w:tcPr>
          <w:p w14:paraId="1A7355BB"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92" w:type="dxa"/>
            <w:tcBorders>
              <w:left w:val="single" w:sz="4" w:space="0" w:color="auto"/>
              <w:bottom w:val="single" w:sz="12" w:space="0" w:color="auto"/>
              <w:right w:val="single" w:sz="4" w:space="0" w:color="auto"/>
            </w:tcBorders>
            <w:vAlign w:val="center"/>
          </w:tcPr>
          <w:p w14:paraId="55ACAB3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黑泉</w:t>
            </w:r>
          </w:p>
        </w:tc>
        <w:tc>
          <w:tcPr>
            <w:tcW w:w="887" w:type="dxa"/>
            <w:tcBorders>
              <w:left w:val="single" w:sz="4" w:space="0" w:color="auto"/>
              <w:bottom w:val="single" w:sz="12" w:space="0" w:color="auto"/>
              <w:right w:val="single" w:sz="4" w:space="0" w:color="auto"/>
            </w:tcBorders>
          </w:tcPr>
          <w:p w14:paraId="5C3062D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-0.19</w:t>
            </w:r>
          </w:p>
        </w:tc>
        <w:tc>
          <w:tcPr>
            <w:tcW w:w="887" w:type="dxa"/>
            <w:tcBorders>
              <w:left w:val="single" w:sz="4" w:space="0" w:color="auto"/>
              <w:bottom w:val="single" w:sz="12" w:space="0" w:color="auto"/>
              <w:right w:val="single" w:sz="4" w:space="0" w:color="auto"/>
            </w:tcBorders>
          </w:tcPr>
          <w:p w14:paraId="474CF5D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0.05</w:t>
            </w:r>
          </w:p>
        </w:tc>
        <w:tc>
          <w:tcPr>
            <w:tcW w:w="888" w:type="dxa"/>
            <w:tcBorders>
              <w:left w:val="single" w:sz="4" w:space="0" w:color="auto"/>
              <w:bottom w:val="single" w:sz="12" w:space="0" w:color="auto"/>
              <w:right w:val="single" w:sz="4" w:space="0" w:color="auto"/>
            </w:tcBorders>
          </w:tcPr>
          <w:p w14:paraId="6E7F751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-117.97</w:t>
            </w:r>
          </w:p>
        </w:tc>
        <w:tc>
          <w:tcPr>
            <w:tcW w:w="949" w:type="dxa"/>
            <w:tcBorders>
              <w:left w:val="single" w:sz="4" w:space="0" w:color="auto"/>
              <w:bottom w:val="single" w:sz="12" w:space="0" w:color="auto"/>
              <w:right w:val="single" w:sz="4" w:space="0" w:color="auto"/>
            </w:tcBorders>
          </w:tcPr>
          <w:p w14:paraId="2ABB101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-3.83</w:t>
            </w:r>
          </w:p>
        </w:tc>
        <w:tc>
          <w:tcPr>
            <w:tcW w:w="949" w:type="dxa"/>
            <w:tcBorders>
              <w:left w:val="single" w:sz="4" w:space="0" w:color="auto"/>
              <w:bottom w:val="single" w:sz="12" w:space="0" w:color="auto"/>
              <w:right w:val="single" w:sz="4" w:space="0" w:color="auto"/>
            </w:tcBorders>
          </w:tcPr>
          <w:p w14:paraId="65648F5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0.02</w:t>
            </w:r>
          </w:p>
        </w:tc>
        <w:tc>
          <w:tcPr>
            <w:tcW w:w="949" w:type="dxa"/>
            <w:tcBorders>
              <w:left w:val="single" w:sz="4" w:space="0" w:color="auto"/>
              <w:bottom w:val="single" w:sz="12" w:space="0" w:color="auto"/>
              <w:right w:val="single" w:sz="4" w:space="0" w:color="auto"/>
            </w:tcBorders>
          </w:tcPr>
          <w:p w14:paraId="5DDB6EF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0.53</w:t>
            </w:r>
          </w:p>
        </w:tc>
        <w:tc>
          <w:tcPr>
            <w:tcW w:w="949" w:type="dxa"/>
            <w:tcBorders>
              <w:left w:val="single" w:sz="4" w:space="0" w:color="auto"/>
              <w:bottom w:val="single" w:sz="12" w:space="0" w:color="auto"/>
            </w:tcBorders>
          </w:tcPr>
          <w:p w14:paraId="463CF7A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0.03</w:t>
            </w:r>
          </w:p>
        </w:tc>
      </w:tr>
    </w:tbl>
    <w:p w14:paraId="384AD3CF"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结果表明，两水源径流序列在部分月份存在显著趋势或平稳性不足特征。其中，石头峡水库</w:t>
      </w:r>
      <w:r w:rsidRPr="009B0CD7">
        <w:rPr>
          <w:rFonts w:ascii="Times New Roman" w:eastAsia="宋体" w:hAnsi="Times New Roman" w:cs="Times New Roman"/>
          <w:sz w:val="21"/>
          <w:szCs w:val="21"/>
        </w:rPr>
        <w:t>1—3</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月呈显著上升趋势，</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月呈显著下降趋势</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4</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10</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11</w:t>
      </w:r>
      <w:r w:rsidRPr="009B0CD7">
        <w:rPr>
          <w:rFonts w:ascii="Times New Roman" w:eastAsia="宋体" w:hAnsi="Times New Roman" w:cs="Times New Roman"/>
          <w:sz w:val="21"/>
          <w:szCs w:val="21"/>
        </w:rPr>
        <w:t>月虽未表现出显著趋势，但</w:t>
      </w:r>
      <w:r w:rsidRPr="009B0CD7">
        <w:rPr>
          <w:rFonts w:ascii="Times New Roman" w:eastAsia="宋体" w:hAnsi="Times New Roman" w:cs="Times New Roman"/>
          <w:sz w:val="21"/>
          <w:szCs w:val="21"/>
        </w:rPr>
        <w:t>ADF</w:t>
      </w:r>
      <w:r w:rsidRPr="009B0CD7">
        <w:rPr>
          <w:rFonts w:ascii="Times New Roman" w:eastAsia="宋体" w:hAnsi="Times New Roman" w:cs="Times New Roman"/>
          <w:sz w:val="21"/>
          <w:szCs w:val="21"/>
        </w:rPr>
        <w:t>与</w:t>
      </w:r>
      <w:r w:rsidRPr="009B0CD7">
        <w:rPr>
          <w:rFonts w:ascii="Times New Roman" w:eastAsia="宋体" w:hAnsi="Times New Roman" w:cs="Times New Roman"/>
          <w:sz w:val="21"/>
          <w:szCs w:val="21"/>
        </w:rPr>
        <w:t>KPSS</w:t>
      </w:r>
      <w:r w:rsidRPr="009B0CD7">
        <w:rPr>
          <w:rFonts w:ascii="Times New Roman" w:eastAsia="宋体" w:hAnsi="Times New Roman" w:cs="Times New Roman"/>
          <w:sz w:val="21"/>
          <w:szCs w:val="21"/>
        </w:rPr>
        <w:t>平稳性检验结果不一致，提示其可能存在一定结构变化或波动特征</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6—9</w:t>
      </w:r>
      <w:r w:rsidRPr="009B0CD7">
        <w:rPr>
          <w:rFonts w:ascii="Times New Roman" w:eastAsia="宋体" w:hAnsi="Times New Roman" w:cs="Times New Roman"/>
          <w:sz w:val="21"/>
          <w:szCs w:val="21"/>
        </w:rPr>
        <w:t>月及年总量则整体表现为相对平稳。黑泉水库</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月及年径流序列表现出下降趋势，</w:t>
      </w:r>
      <w:r w:rsidRPr="009B0CD7">
        <w:rPr>
          <w:rFonts w:ascii="Times New Roman" w:eastAsia="宋体" w:hAnsi="Times New Roman" w:cs="Times New Roman"/>
          <w:sz w:val="21"/>
          <w:szCs w:val="21"/>
        </w:rPr>
        <w:t>1—4</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7—8</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11—12</w:t>
      </w:r>
      <w:r w:rsidRPr="009B0CD7">
        <w:rPr>
          <w:rFonts w:ascii="Times New Roman" w:eastAsia="宋体" w:hAnsi="Times New Roman" w:cs="Times New Roman"/>
          <w:sz w:val="21"/>
          <w:szCs w:val="21"/>
        </w:rPr>
        <w:t>月及年总量的</w:t>
      </w:r>
      <w:r w:rsidRPr="009B0CD7">
        <w:rPr>
          <w:rFonts w:ascii="Times New Roman" w:eastAsia="宋体" w:hAnsi="Times New Roman" w:cs="Times New Roman"/>
          <w:sz w:val="21"/>
          <w:szCs w:val="21"/>
        </w:rPr>
        <w:t>ADF</w:t>
      </w:r>
      <w:r w:rsidRPr="009B0CD7">
        <w:rPr>
          <w:rFonts w:ascii="Times New Roman" w:eastAsia="宋体" w:hAnsi="Times New Roman" w:cs="Times New Roman"/>
          <w:sz w:val="21"/>
          <w:szCs w:val="21"/>
        </w:rPr>
        <w:t>与</w:t>
      </w:r>
      <w:r w:rsidRPr="009B0CD7">
        <w:rPr>
          <w:rFonts w:ascii="Times New Roman" w:eastAsia="宋体" w:hAnsi="Times New Roman" w:cs="Times New Roman"/>
          <w:sz w:val="21"/>
          <w:szCs w:val="21"/>
        </w:rPr>
        <w:t>KPSS</w:t>
      </w:r>
      <w:r w:rsidRPr="009B0CD7">
        <w:rPr>
          <w:rFonts w:ascii="Times New Roman" w:eastAsia="宋体" w:hAnsi="Times New Roman" w:cs="Times New Roman"/>
          <w:sz w:val="21"/>
          <w:szCs w:val="21"/>
        </w:rPr>
        <w:t>检验结果存在不一致，说明其平稳性判断仍具有不确定性，</w:t>
      </w:r>
      <w:r w:rsidRPr="009B0CD7">
        <w:rPr>
          <w:rFonts w:ascii="Times New Roman" w:eastAsia="宋体" w:hAnsi="Times New Roman" w:cs="Times New Roman" w:hint="eastAsia"/>
          <w:sz w:val="21"/>
          <w:szCs w:val="21"/>
        </w:rPr>
        <w:t>其余月份</w:t>
      </w:r>
      <w:r w:rsidRPr="009B0CD7">
        <w:rPr>
          <w:rFonts w:ascii="Times New Roman" w:eastAsia="宋体" w:hAnsi="Times New Roman" w:cs="Times New Roman"/>
          <w:sz w:val="21"/>
          <w:szCs w:val="21"/>
        </w:rPr>
        <w:t>整体表现为相对平稳。</w:t>
      </w:r>
      <w:r w:rsidRPr="009B0CD7">
        <w:rPr>
          <w:rFonts w:ascii="Times New Roman" w:eastAsia="宋体" w:hAnsi="Times New Roman" w:cs="Times New Roman" w:hint="eastAsia"/>
          <w:sz w:val="21"/>
          <w:szCs w:val="21"/>
        </w:rPr>
        <w:t>总体来看，上述检验结果表明，两水源径流序列的非平稳迹象具有明显月份差异。</w:t>
      </w:r>
    </w:p>
    <w:p w14:paraId="29AC6F30" w14:textId="77777777" w:rsidR="0081344D" w:rsidRPr="009B0CD7" w:rsidRDefault="00000000">
      <w:pPr>
        <w:spacing w:after="0" w:line="240" w:lineRule="auto"/>
        <w:jc w:val="both"/>
        <w:outlineLvl w:val="1"/>
        <w:rPr>
          <w:rFonts w:ascii="Times New Roman" w:eastAsia="宋体" w:hAnsi="Times New Roman" w:cs="Times New Roman"/>
          <w:b/>
          <w:bCs/>
        </w:rPr>
      </w:pPr>
      <w:r w:rsidRPr="009B0CD7">
        <w:rPr>
          <w:rFonts w:ascii="Times New Roman" w:eastAsia="宋体" w:hAnsi="Times New Roman" w:cs="Times New Roman" w:hint="eastAsia"/>
          <w:b/>
          <w:bCs/>
        </w:rPr>
        <w:t>2.2 GAMLSS</w:t>
      </w:r>
      <w:r w:rsidRPr="009B0CD7">
        <w:rPr>
          <w:rFonts w:ascii="Times New Roman" w:eastAsia="宋体" w:hAnsi="Times New Roman" w:cs="Times New Roman" w:hint="eastAsia"/>
          <w:b/>
          <w:bCs/>
        </w:rPr>
        <w:t>非平稳边缘分布拟合结果</w:t>
      </w:r>
    </w:p>
    <w:p w14:paraId="573246BF" w14:textId="77777777" w:rsidR="0081344D" w:rsidRPr="009B0CD7" w:rsidRDefault="00000000">
      <w:pPr>
        <w:spacing w:after="0" w:line="240" w:lineRule="auto"/>
        <w:ind w:firstLineChars="200" w:firstLine="440"/>
        <w:jc w:val="both"/>
        <w:rPr>
          <w:rFonts w:ascii="Times New Roman" w:eastAsia="宋体" w:hAnsi="Times New Roman" w:cs="Times New Roman"/>
        </w:rPr>
      </w:pPr>
      <w:r w:rsidRPr="009B0CD7">
        <w:rPr>
          <w:rFonts w:ascii="Times New Roman" w:eastAsia="宋体" w:hAnsi="Times New Roman" w:cs="Times New Roman"/>
        </w:rPr>
        <w:t>本节基于</w:t>
      </w:r>
      <w:r w:rsidRPr="009B0CD7">
        <w:rPr>
          <w:rFonts w:ascii="Times New Roman" w:eastAsia="宋体" w:hAnsi="Times New Roman" w:cs="Times New Roman"/>
        </w:rPr>
        <w:t>1.2.1</w:t>
      </w:r>
      <w:r w:rsidRPr="009B0CD7">
        <w:rPr>
          <w:rFonts w:ascii="Times New Roman" w:eastAsia="宋体" w:hAnsi="Times New Roman" w:cs="Times New Roman"/>
        </w:rPr>
        <w:t>所述</w:t>
      </w:r>
      <w:r w:rsidRPr="009B0CD7">
        <w:rPr>
          <w:rFonts w:ascii="Times New Roman" w:eastAsia="宋体" w:hAnsi="Times New Roman" w:cs="Times New Roman"/>
        </w:rPr>
        <w:t>GAMLSS</w:t>
      </w:r>
      <w:r w:rsidRPr="009B0CD7">
        <w:rPr>
          <w:rFonts w:ascii="Times New Roman" w:eastAsia="宋体" w:hAnsi="Times New Roman" w:cs="Times New Roman"/>
        </w:rPr>
        <w:t>边缘分布模型集合，分别分析双水源月径流序列的模型择优结果、</w:t>
      </w:r>
      <w:r w:rsidRPr="009B0CD7">
        <w:rPr>
          <w:rFonts w:ascii="Times New Roman" w:eastAsia="宋体" w:hAnsi="Times New Roman" w:cs="Times New Roman"/>
        </w:rPr>
        <w:t>PIT</w:t>
      </w:r>
      <w:r w:rsidRPr="009B0CD7">
        <w:rPr>
          <w:rFonts w:ascii="Times New Roman" w:eastAsia="宋体" w:hAnsi="Times New Roman" w:cs="Times New Roman"/>
        </w:rPr>
        <w:t>诊断效果及非平稳模型参数的时变特征。</w:t>
      </w:r>
    </w:p>
    <w:p w14:paraId="3ED10413" w14:textId="77777777" w:rsidR="0081344D" w:rsidRPr="009B0CD7" w:rsidRDefault="00000000">
      <w:pPr>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t xml:space="preserve">2.2.1 </w:t>
      </w:r>
      <w:r w:rsidRPr="009B0CD7">
        <w:rPr>
          <w:rFonts w:ascii="Times New Roman" w:eastAsia="楷体" w:hAnsi="Times New Roman" w:cs="Times New Roman" w:hint="eastAsia"/>
          <w:sz w:val="21"/>
          <w:szCs w:val="22"/>
          <w14:ligatures w14:val="none"/>
        </w:rPr>
        <w:t>模型择优结果</w:t>
      </w:r>
    </w:p>
    <w:p w14:paraId="73961BF3"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本文以</w:t>
      </w:r>
      <w:r w:rsidRPr="009B0CD7">
        <w:rPr>
          <w:rFonts w:ascii="Times New Roman" w:eastAsia="宋体" w:hAnsi="Times New Roman" w:cs="Times New Roman"/>
          <w:i/>
          <w:iCs/>
          <w:sz w:val="21"/>
          <w:szCs w:val="21"/>
        </w:rPr>
        <w:t>AIC</w:t>
      </w:r>
      <w:r w:rsidRPr="009B0CD7">
        <w:rPr>
          <w:rFonts w:ascii="Times New Roman" w:eastAsia="宋体" w:hAnsi="Times New Roman" w:cs="Times New Roman"/>
          <w:sz w:val="21"/>
          <w:szCs w:val="21"/>
        </w:rPr>
        <w:t>值最小的候选模型作为各月最优</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边缘分布模型。模型择优结果</w:t>
      </w:r>
      <w:r w:rsidRPr="009B0CD7">
        <w:rPr>
          <w:rFonts w:ascii="Times New Roman" w:eastAsia="宋体" w:hAnsi="Times New Roman" w:cs="Times New Roman" w:hint="eastAsia"/>
          <w:sz w:val="21"/>
          <w:szCs w:val="21"/>
        </w:rPr>
        <w:t>如表</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所示</w:t>
      </w:r>
      <w:r w:rsidRPr="009B0CD7">
        <w:rPr>
          <w:rFonts w:ascii="Times New Roman" w:eastAsia="宋体" w:hAnsi="Times New Roman" w:cs="Times New Roman"/>
          <w:sz w:val="21"/>
          <w:szCs w:val="21"/>
        </w:rPr>
        <w:t>，在全部</w:t>
      </w:r>
      <w:r w:rsidRPr="009B0CD7">
        <w:rPr>
          <w:rFonts w:ascii="Times New Roman" w:eastAsia="宋体" w:hAnsi="Times New Roman" w:cs="Times New Roman"/>
          <w:sz w:val="21"/>
          <w:szCs w:val="21"/>
        </w:rPr>
        <w:t>24</w:t>
      </w:r>
      <w:r w:rsidRPr="009B0CD7">
        <w:rPr>
          <w:rFonts w:ascii="Times New Roman" w:eastAsia="宋体" w:hAnsi="Times New Roman" w:cs="Times New Roman"/>
          <w:sz w:val="21"/>
          <w:szCs w:val="21"/>
        </w:rPr>
        <w:t>个月份序列中，非平稳模型（</w:t>
      </w:r>
      <w:r w:rsidRPr="009B0CD7">
        <w:rPr>
          <w:rFonts w:ascii="Times New Roman" w:eastAsia="宋体" w:hAnsi="Times New Roman" w:cs="Times New Roman"/>
          <w:sz w:val="21"/>
          <w:szCs w:val="21"/>
        </w:rPr>
        <w:t>M1</w:t>
      </w:r>
      <w:r w:rsidRPr="009B0CD7">
        <w:rPr>
          <w:rFonts w:ascii="Times New Roman" w:eastAsia="宋体" w:hAnsi="Times New Roman" w:cs="Times New Roman"/>
          <w:sz w:val="21"/>
          <w:szCs w:val="21"/>
        </w:rPr>
        <w:t>或</w:t>
      </w:r>
      <w:r w:rsidRPr="009B0CD7">
        <w:rPr>
          <w:rFonts w:ascii="Times New Roman" w:eastAsia="宋体" w:hAnsi="Times New Roman" w:cs="Times New Roman"/>
          <w:sz w:val="21"/>
          <w:szCs w:val="21"/>
        </w:rPr>
        <w:t>M2</w:t>
      </w:r>
      <w:r w:rsidRPr="009B0CD7">
        <w:rPr>
          <w:rFonts w:ascii="Times New Roman" w:eastAsia="宋体" w:hAnsi="Times New Roman" w:cs="Times New Roman"/>
          <w:sz w:val="21"/>
          <w:szCs w:val="21"/>
        </w:rPr>
        <w:t>）共计</w:t>
      </w:r>
      <w:r w:rsidRPr="009B0CD7">
        <w:rPr>
          <w:rFonts w:ascii="Times New Roman" w:eastAsia="宋体" w:hAnsi="Times New Roman" w:cs="Times New Roman"/>
          <w:sz w:val="21"/>
          <w:szCs w:val="21"/>
        </w:rPr>
        <w:t>13</w:t>
      </w:r>
      <w:r w:rsidRPr="009B0CD7">
        <w:rPr>
          <w:rFonts w:ascii="Times New Roman" w:eastAsia="宋体" w:hAnsi="Times New Roman" w:cs="Times New Roman"/>
          <w:sz w:val="21"/>
          <w:szCs w:val="21"/>
        </w:rPr>
        <w:t>个，占比达</w:t>
      </w:r>
      <w:r w:rsidRPr="009B0CD7">
        <w:rPr>
          <w:rFonts w:ascii="Times New Roman" w:eastAsia="宋体" w:hAnsi="Times New Roman" w:cs="Times New Roman"/>
          <w:sz w:val="21"/>
          <w:szCs w:val="21"/>
        </w:rPr>
        <w:t>54.2%</w:t>
      </w:r>
      <w:r w:rsidRPr="009B0CD7">
        <w:rPr>
          <w:rFonts w:ascii="Times New Roman" w:eastAsia="宋体" w:hAnsi="Times New Roman" w:cs="Times New Roman"/>
          <w:sz w:val="21"/>
          <w:szCs w:val="21"/>
        </w:rPr>
        <w:t>，高于平稳模型（</w:t>
      </w:r>
      <w:r w:rsidRPr="009B0CD7">
        <w:rPr>
          <w:rFonts w:ascii="Times New Roman" w:eastAsia="宋体" w:hAnsi="Times New Roman" w:cs="Times New Roman"/>
          <w:sz w:val="21"/>
          <w:szCs w:val="21"/>
        </w:rPr>
        <w:t>M0</w:t>
      </w:r>
      <w:r w:rsidRPr="009B0CD7">
        <w:rPr>
          <w:rFonts w:ascii="Times New Roman" w:eastAsia="宋体" w:hAnsi="Times New Roman" w:cs="Times New Roman"/>
          <w:sz w:val="21"/>
          <w:szCs w:val="21"/>
        </w:rPr>
        <w:t>），这表明在多数月份引入时变参数能更优地描述径流序列的统计规律。从空间分布看，石头峡水库的非平稳性显现于</w:t>
      </w:r>
      <w:r w:rsidRPr="009B0CD7">
        <w:rPr>
          <w:rFonts w:ascii="Times New Roman" w:eastAsia="宋体" w:hAnsi="Times New Roman" w:cs="Times New Roman"/>
          <w:sz w:val="21"/>
          <w:szCs w:val="21"/>
        </w:rPr>
        <w:t>1—3</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11</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月，而黑泉水库的非平稳性则贯穿整个春夏季（</w:t>
      </w:r>
      <w:r w:rsidRPr="009B0CD7">
        <w:rPr>
          <w:rFonts w:ascii="Times New Roman" w:eastAsia="宋体" w:hAnsi="Times New Roman" w:cs="Times New Roman"/>
          <w:sz w:val="21"/>
          <w:szCs w:val="21"/>
        </w:rPr>
        <w:t>3—8</w:t>
      </w:r>
      <w:r w:rsidRPr="009B0CD7">
        <w:rPr>
          <w:rFonts w:ascii="Times New Roman" w:eastAsia="宋体" w:hAnsi="Times New Roman" w:cs="Times New Roman"/>
          <w:sz w:val="21"/>
          <w:szCs w:val="21"/>
        </w:rPr>
        <w:t>月）以及</w:t>
      </w:r>
      <w:r w:rsidRPr="009B0CD7">
        <w:rPr>
          <w:rFonts w:ascii="Times New Roman" w:eastAsia="宋体" w:hAnsi="Times New Roman" w:cs="Times New Roman"/>
          <w:sz w:val="21"/>
          <w:szCs w:val="21"/>
        </w:rPr>
        <w:t>11</w:t>
      </w:r>
      <w:r w:rsidRPr="009B0CD7">
        <w:rPr>
          <w:rFonts w:ascii="Times New Roman" w:eastAsia="宋体" w:hAnsi="Times New Roman" w:cs="Times New Roman"/>
          <w:sz w:val="21"/>
          <w:szCs w:val="21"/>
        </w:rPr>
        <w:t>月，揭示了不同水源对气候变化响应的季节性差异。各月</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均值整体接近</w:t>
      </w:r>
      <w:r w:rsidRPr="009B0CD7">
        <w:rPr>
          <w:rFonts w:ascii="Times New Roman" w:eastAsia="宋体" w:hAnsi="Times New Roman" w:cs="Times New Roman"/>
          <w:sz w:val="21"/>
          <w:szCs w:val="21"/>
        </w:rPr>
        <w:t>0.5</w:t>
      </w:r>
      <w:r w:rsidRPr="009B0CD7">
        <w:rPr>
          <w:rFonts w:ascii="Times New Roman" w:eastAsia="宋体" w:hAnsi="Times New Roman" w:cs="Times New Roman"/>
          <w:sz w:val="21"/>
          <w:szCs w:val="21"/>
        </w:rPr>
        <w:t>，说明最优边缘分布模型能够较好地将原始径流序列转换至标准均匀概率空间，为后续</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联合建模提供了边缘分布基础。从分布族选择看，</w:t>
      </w:r>
      <w:r w:rsidRPr="009B0CD7">
        <w:rPr>
          <w:rFonts w:ascii="Times New Roman" w:eastAsia="宋体" w:hAnsi="Times New Roman" w:cs="Times New Roman"/>
          <w:sz w:val="21"/>
          <w:szCs w:val="21"/>
        </w:rPr>
        <w:t>Gamma</w:t>
      </w:r>
      <w:r w:rsidRPr="009B0CD7">
        <w:rPr>
          <w:rFonts w:ascii="Times New Roman" w:eastAsia="宋体" w:hAnsi="Times New Roman" w:cs="Times New Roman"/>
          <w:sz w:val="21"/>
          <w:szCs w:val="21"/>
        </w:rPr>
        <w:t>分布（</w:t>
      </w:r>
      <w:r w:rsidRPr="009B0CD7">
        <w:rPr>
          <w:rFonts w:ascii="Times New Roman" w:eastAsia="宋体" w:hAnsi="Times New Roman" w:cs="Times New Roman"/>
          <w:sz w:val="21"/>
          <w:szCs w:val="21"/>
        </w:rPr>
        <w:t>GA</w:t>
      </w:r>
      <w:r w:rsidRPr="009B0CD7">
        <w:rPr>
          <w:rFonts w:ascii="Times New Roman" w:eastAsia="宋体" w:hAnsi="Times New Roman" w:cs="Times New Roman"/>
          <w:sz w:val="21"/>
          <w:szCs w:val="21"/>
        </w:rPr>
        <w:t>）、反高斯分布（</w:t>
      </w:r>
      <w:r w:rsidRPr="009B0CD7">
        <w:rPr>
          <w:rFonts w:ascii="Times New Roman" w:eastAsia="宋体" w:hAnsi="Times New Roman" w:cs="Times New Roman"/>
          <w:sz w:val="21"/>
          <w:szCs w:val="21"/>
        </w:rPr>
        <w:t>IG</w:t>
      </w:r>
      <w:r w:rsidRPr="009B0CD7">
        <w:rPr>
          <w:rFonts w:ascii="Times New Roman" w:eastAsia="宋体" w:hAnsi="Times New Roman" w:cs="Times New Roman"/>
          <w:sz w:val="21"/>
          <w:szCs w:val="21"/>
        </w:rPr>
        <w:t>）和对数正态分布（</w:t>
      </w:r>
      <w:r w:rsidRPr="009B0CD7">
        <w:rPr>
          <w:rFonts w:ascii="Times New Roman" w:eastAsia="宋体" w:hAnsi="Times New Roman" w:cs="Times New Roman"/>
          <w:sz w:val="21"/>
          <w:szCs w:val="21"/>
        </w:rPr>
        <w:t>LOGNO</w:t>
      </w:r>
      <w:r w:rsidRPr="009B0CD7">
        <w:rPr>
          <w:rFonts w:ascii="Times New Roman" w:eastAsia="宋体" w:hAnsi="Times New Roman" w:cs="Times New Roman"/>
          <w:sz w:val="21"/>
          <w:szCs w:val="21"/>
        </w:rPr>
        <w:t>）为主要优选分布类型，说明研究区月径流序列多呈正偏分布特征。</w:t>
      </w:r>
    </w:p>
    <w:p w14:paraId="60BB2B51" w14:textId="04922A4F" w:rsidR="0081344D" w:rsidRPr="009B0CD7" w:rsidRDefault="00000000" w:rsidP="009B0CD7">
      <w:pPr>
        <w:pStyle w:val="af6"/>
        <w:keepNext/>
        <w:spacing w:after="0" w:line="240" w:lineRule="auto"/>
        <w:ind w:left="442" w:hanging="442"/>
        <w:jc w:val="center"/>
        <w:outlineLvl w:val="3"/>
        <w:rPr>
          <w:rFonts w:ascii="Times New Roman" w:eastAsia="黑体" w:hAnsi="Times New Roman" w:cs="Times New Roman"/>
          <w:sz w:val="18"/>
          <w:szCs w:val="18"/>
          <w14:ligatures w14:val="none"/>
        </w:rPr>
      </w:pPr>
      <w:bookmarkStart w:id="7" w:name="_Ref234595288"/>
      <w:r w:rsidRPr="009B0CD7">
        <w:rPr>
          <w:rFonts w:ascii="Times New Roman" w:eastAsia="黑体" w:hAnsi="Times New Roman" w:cs="Times New Roman" w:hint="eastAsia"/>
          <w:sz w:val="18"/>
          <w:szCs w:val="18"/>
          <w14:ligatures w14:val="none"/>
        </w:rPr>
        <w:lastRenderedPageBreak/>
        <w:t>表</w:t>
      </w:r>
      <w:r w:rsidRPr="009B0CD7">
        <w:rPr>
          <w:rFonts w:ascii="Times New Roman" w:eastAsia="黑体" w:hAnsi="Times New Roman" w:cs="Times New Roman" w:hint="eastAsia"/>
          <w:sz w:val="18"/>
          <w:szCs w:val="18"/>
          <w14:ligatures w14:val="none"/>
        </w:rPr>
        <w:t>3</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双水源月径流</w:t>
      </w:r>
      <w:r w:rsidRPr="009B0CD7">
        <w:rPr>
          <w:rFonts w:ascii="Times New Roman" w:eastAsia="黑体" w:hAnsi="Times New Roman" w:cs="Times New Roman"/>
          <w:sz w:val="18"/>
          <w:szCs w:val="18"/>
          <w14:ligatures w14:val="none"/>
        </w:rPr>
        <w:t>GAMLSS</w:t>
      </w:r>
      <w:r w:rsidRPr="009B0CD7">
        <w:rPr>
          <w:rFonts w:ascii="Times New Roman" w:eastAsia="黑体" w:hAnsi="Times New Roman" w:cs="Times New Roman"/>
          <w:sz w:val="18"/>
          <w:szCs w:val="18"/>
          <w14:ligatures w14:val="none"/>
        </w:rPr>
        <w:t>边缘分布模型择优及</w:t>
      </w:r>
      <w:r w:rsidRPr="009B0CD7">
        <w:rPr>
          <w:rFonts w:ascii="Times New Roman" w:eastAsia="黑体" w:hAnsi="Times New Roman" w:cs="Times New Roman"/>
          <w:sz w:val="18"/>
          <w:szCs w:val="18"/>
          <w14:ligatures w14:val="none"/>
        </w:rPr>
        <w:t>PIT</w:t>
      </w:r>
      <w:r w:rsidRPr="009B0CD7">
        <w:rPr>
          <w:rFonts w:ascii="Times New Roman" w:eastAsia="黑体" w:hAnsi="Times New Roman" w:cs="Times New Roman"/>
          <w:sz w:val="18"/>
          <w:szCs w:val="18"/>
          <w14:ligatures w14:val="none"/>
        </w:rPr>
        <w:t>诊断结果</w:t>
      </w:r>
      <w:bookmarkEnd w:id="7"/>
    </w:p>
    <w:p w14:paraId="0779ADF4" w14:textId="34E6298C"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r w:rsidRPr="009B0CD7">
        <w:rPr>
          <w:rFonts w:ascii="Times New Roman" w:eastAsia="黑体" w:hAnsi="Times New Roman" w:cs="Times New Roman" w:hint="eastAsia"/>
          <w:sz w:val="18"/>
          <w:szCs w:val="18"/>
          <w14:ligatures w14:val="none"/>
        </w:rPr>
        <w:t>Table 3</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Model selection and PIT diagnostic results of GAMLSS marginal distribution</w:t>
      </w:r>
      <w:r w:rsidRPr="009B0CD7">
        <w:rPr>
          <w:rFonts w:ascii="Times New Roman" w:eastAsia="黑体" w:hAnsi="Times New Roman" w:cs="Times New Roman" w:hint="eastAsia"/>
          <w:sz w:val="18"/>
          <w:szCs w:val="18"/>
          <w14:ligatures w14:val="none"/>
        </w:rPr>
        <w:t xml:space="preserve"> model</w:t>
      </w:r>
      <w:r w:rsidRPr="009B0CD7">
        <w:rPr>
          <w:rFonts w:ascii="Times New Roman" w:eastAsia="黑体" w:hAnsi="Times New Roman" w:cs="Times New Roman"/>
          <w:sz w:val="18"/>
          <w:szCs w:val="18"/>
          <w14:ligatures w14:val="none"/>
        </w:rPr>
        <w:t>s for monthly runoff series of two water sources</w:t>
      </w:r>
    </w:p>
    <w:tbl>
      <w:tblPr>
        <w:tblStyle w:val="af0"/>
        <w:tblW w:w="8080"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21"/>
        <w:gridCol w:w="921"/>
        <w:gridCol w:w="922"/>
        <w:gridCol w:w="921"/>
        <w:gridCol w:w="921"/>
        <w:gridCol w:w="922"/>
        <w:gridCol w:w="921"/>
        <w:gridCol w:w="922"/>
      </w:tblGrid>
      <w:tr w:rsidR="0081344D" w:rsidRPr="009B0CD7" w14:paraId="4F42C94C" w14:textId="77777777">
        <w:trPr>
          <w:jc w:val="center"/>
        </w:trPr>
        <w:tc>
          <w:tcPr>
            <w:tcW w:w="709" w:type="dxa"/>
            <w:vMerge w:val="restart"/>
            <w:tcBorders>
              <w:top w:val="single" w:sz="12" w:space="0" w:color="auto"/>
              <w:bottom w:val="nil"/>
              <w:right w:val="single" w:sz="4" w:space="0" w:color="auto"/>
            </w:tcBorders>
            <w:vAlign w:val="center"/>
          </w:tcPr>
          <w:p w14:paraId="62130FD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月份</w:t>
            </w:r>
          </w:p>
        </w:tc>
        <w:tc>
          <w:tcPr>
            <w:tcW w:w="3685" w:type="dxa"/>
            <w:gridSpan w:val="4"/>
            <w:tcBorders>
              <w:top w:val="single" w:sz="12" w:space="0" w:color="auto"/>
              <w:left w:val="single" w:sz="4" w:space="0" w:color="auto"/>
              <w:bottom w:val="single" w:sz="4" w:space="0" w:color="auto"/>
              <w:right w:val="single" w:sz="4" w:space="0" w:color="auto"/>
            </w:tcBorders>
            <w:vAlign w:val="center"/>
          </w:tcPr>
          <w:p w14:paraId="1054107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石头峡</w:t>
            </w:r>
          </w:p>
        </w:tc>
        <w:tc>
          <w:tcPr>
            <w:tcW w:w="3686" w:type="dxa"/>
            <w:gridSpan w:val="4"/>
            <w:tcBorders>
              <w:top w:val="single" w:sz="12" w:space="0" w:color="auto"/>
              <w:left w:val="single" w:sz="4" w:space="0" w:color="auto"/>
              <w:bottom w:val="single" w:sz="4" w:space="0" w:color="auto"/>
            </w:tcBorders>
            <w:vAlign w:val="center"/>
          </w:tcPr>
          <w:p w14:paraId="040858C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黑泉</w:t>
            </w:r>
          </w:p>
        </w:tc>
      </w:tr>
      <w:tr w:rsidR="0081344D" w:rsidRPr="009B0CD7" w14:paraId="567155D4" w14:textId="77777777">
        <w:trPr>
          <w:jc w:val="center"/>
        </w:trPr>
        <w:tc>
          <w:tcPr>
            <w:tcW w:w="709" w:type="dxa"/>
            <w:vMerge/>
            <w:tcBorders>
              <w:top w:val="nil"/>
              <w:bottom w:val="single" w:sz="4" w:space="0" w:color="auto"/>
              <w:right w:val="single" w:sz="4" w:space="0" w:color="auto"/>
            </w:tcBorders>
            <w:vAlign w:val="center"/>
          </w:tcPr>
          <w:p w14:paraId="50313DE1"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921" w:type="dxa"/>
            <w:tcBorders>
              <w:top w:val="single" w:sz="4" w:space="0" w:color="auto"/>
              <w:left w:val="single" w:sz="4" w:space="0" w:color="auto"/>
              <w:bottom w:val="single" w:sz="4" w:space="0" w:color="auto"/>
              <w:right w:val="single" w:sz="4" w:space="0" w:color="auto"/>
            </w:tcBorders>
            <w:vAlign w:val="center"/>
          </w:tcPr>
          <w:p w14:paraId="0C1FAF5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最优分布</w:t>
            </w:r>
          </w:p>
        </w:tc>
        <w:tc>
          <w:tcPr>
            <w:tcW w:w="921" w:type="dxa"/>
            <w:tcBorders>
              <w:top w:val="single" w:sz="4" w:space="0" w:color="auto"/>
              <w:left w:val="single" w:sz="4" w:space="0" w:color="auto"/>
              <w:bottom w:val="single" w:sz="4" w:space="0" w:color="auto"/>
              <w:right w:val="single" w:sz="4" w:space="0" w:color="auto"/>
            </w:tcBorders>
            <w:vAlign w:val="center"/>
          </w:tcPr>
          <w:p w14:paraId="369664D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最优模型</w:t>
            </w:r>
          </w:p>
        </w:tc>
        <w:tc>
          <w:tcPr>
            <w:tcW w:w="922" w:type="dxa"/>
            <w:tcBorders>
              <w:top w:val="single" w:sz="4" w:space="0" w:color="auto"/>
              <w:left w:val="single" w:sz="4" w:space="0" w:color="auto"/>
              <w:bottom w:val="single" w:sz="4" w:space="0" w:color="auto"/>
              <w:right w:val="single" w:sz="4" w:space="0" w:color="auto"/>
            </w:tcBorders>
            <w:vAlign w:val="center"/>
          </w:tcPr>
          <w:p w14:paraId="42A7437A" w14:textId="77777777" w:rsidR="0081344D" w:rsidRPr="009B0CD7" w:rsidRDefault="00000000">
            <w:pPr>
              <w:adjustRightInd w:val="0"/>
              <w:snapToGrid w:val="0"/>
              <w:spacing w:after="0" w:line="240" w:lineRule="auto"/>
              <w:jc w:val="center"/>
              <w:rPr>
                <w:rFonts w:ascii="Times New Roman" w:eastAsia="宋体" w:hAnsi="Times New Roman" w:cs="Times New Roman"/>
                <w:i/>
                <w:iCs/>
                <w:sz w:val="15"/>
                <w:szCs w:val="15"/>
              </w:rPr>
            </w:pPr>
            <w:r w:rsidRPr="009B0CD7">
              <w:rPr>
                <w:rFonts w:ascii="Times New Roman" w:eastAsia="宋体" w:hAnsi="Times New Roman" w:cs="Times New Roman"/>
                <w:i/>
                <w:iCs/>
                <w:sz w:val="15"/>
                <w:szCs w:val="15"/>
              </w:rPr>
              <w:t>AIC</w:t>
            </w:r>
          </w:p>
        </w:tc>
        <w:tc>
          <w:tcPr>
            <w:tcW w:w="921" w:type="dxa"/>
            <w:tcBorders>
              <w:top w:val="single" w:sz="4" w:space="0" w:color="auto"/>
              <w:left w:val="single" w:sz="4" w:space="0" w:color="auto"/>
              <w:bottom w:val="single" w:sz="4" w:space="0" w:color="auto"/>
              <w:right w:val="single" w:sz="4" w:space="0" w:color="auto"/>
            </w:tcBorders>
            <w:vAlign w:val="center"/>
          </w:tcPr>
          <w:p w14:paraId="25D4821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PIT</w:t>
            </w:r>
            <w:r w:rsidRPr="009B0CD7">
              <w:rPr>
                <w:rFonts w:ascii="Times New Roman" w:eastAsia="宋体" w:hAnsi="Times New Roman" w:cs="Times New Roman"/>
                <w:sz w:val="15"/>
                <w:szCs w:val="15"/>
              </w:rPr>
              <w:t>均值</w:t>
            </w:r>
          </w:p>
        </w:tc>
        <w:tc>
          <w:tcPr>
            <w:tcW w:w="921" w:type="dxa"/>
            <w:tcBorders>
              <w:top w:val="single" w:sz="4" w:space="0" w:color="auto"/>
              <w:left w:val="single" w:sz="4" w:space="0" w:color="auto"/>
              <w:bottom w:val="single" w:sz="4" w:space="0" w:color="auto"/>
              <w:right w:val="single" w:sz="4" w:space="0" w:color="auto"/>
            </w:tcBorders>
            <w:vAlign w:val="center"/>
          </w:tcPr>
          <w:p w14:paraId="648EFC2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最优分布</w:t>
            </w:r>
          </w:p>
        </w:tc>
        <w:tc>
          <w:tcPr>
            <w:tcW w:w="922" w:type="dxa"/>
            <w:tcBorders>
              <w:top w:val="single" w:sz="4" w:space="0" w:color="auto"/>
              <w:left w:val="single" w:sz="4" w:space="0" w:color="auto"/>
              <w:bottom w:val="single" w:sz="4" w:space="0" w:color="auto"/>
              <w:right w:val="single" w:sz="4" w:space="0" w:color="auto"/>
            </w:tcBorders>
            <w:vAlign w:val="center"/>
          </w:tcPr>
          <w:p w14:paraId="5C6D2C0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最优模型</w:t>
            </w:r>
          </w:p>
        </w:tc>
        <w:tc>
          <w:tcPr>
            <w:tcW w:w="921" w:type="dxa"/>
            <w:tcBorders>
              <w:top w:val="single" w:sz="4" w:space="0" w:color="auto"/>
              <w:left w:val="single" w:sz="4" w:space="0" w:color="auto"/>
              <w:bottom w:val="single" w:sz="4" w:space="0" w:color="auto"/>
              <w:right w:val="single" w:sz="4" w:space="0" w:color="auto"/>
            </w:tcBorders>
            <w:vAlign w:val="center"/>
          </w:tcPr>
          <w:p w14:paraId="633FE987" w14:textId="77777777" w:rsidR="0081344D" w:rsidRPr="009B0CD7" w:rsidRDefault="00000000">
            <w:pPr>
              <w:adjustRightInd w:val="0"/>
              <w:snapToGrid w:val="0"/>
              <w:spacing w:after="0" w:line="240" w:lineRule="auto"/>
              <w:jc w:val="center"/>
              <w:rPr>
                <w:rFonts w:ascii="Times New Roman" w:eastAsia="宋体" w:hAnsi="Times New Roman" w:cs="Times New Roman"/>
                <w:i/>
                <w:iCs/>
                <w:sz w:val="15"/>
                <w:szCs w:val="15"/>
              </w:rPr>
            </w:pPr>
            <w:r w:rsidRPr="009B0CD7">
              <w:rPr>
                <w:rFonts w:ascii="Times New Roman" w:eastAsia="宋体" w:hAnsi="Times New Roman" w:cs="Times New Roman"/>
                <w:i/>
                <w:iCs/>
                <w:sz w:val="15"/>
                <w:szCs w:val="15"/>
              </w:rPr>
              <w:t>AIC</w:t>
            </w:r>
          </w:p>
        </w:tc>
        <w:tc>
          <w:tcPr>
            <w:tcW w:w="922" w:type="dxa"/>
            <w:tcBorders>
              <w:top w:val="single" w:sz="4" w:space="0" w:color="auto"/>
              <w:left w:val="single" w:sz="4" w:space="0" w:color="auto"/>
              <w:bottom w:val="single" w:sz="4" w:space="0" w:color="auto"/>
            </w:tcBorders>
            <w:vAlign w:val="center"/>
          </w:tcPr>
          <w:p w14:paraId="25EED51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PIT</w:t>
            </w:r>
            <w:r w:rsidRPr="009B0CD7">
              <w:rPr>
                <w:rFonts w:ascii="Times New Roman" w:eastAsia="宋体" w:hAnsi="Times New Roman" w:cs="Times New Roman"/>
                <w:sz w:val="15"/>
                <w:szCs w:val="15"/>
              </w:rPr>
              <w:t>均值</w:t>
            </w:r>
          </w:p>
        </w:tc>
      </w:tr>
      <w:tr w:rsidR="0081344D" w:rsidRPr="009B0CD7" w14:paraId="407A6530" w14:textId="77777777">
        <w:trPr>
          <w:jc w:val="center"/>
        </w:trPr>
        <w:tc>
          <w:tcPr>
            <w:tcW w:w="709" w:type="dxa"/>
            <w:tcBorders>
              <w:top w:val="single" w:sz="4" w:space="0" w:color="auto"/>
              <w:right w:val="single" w:sz="4" w:space="0" w:color="auto"/>
            </w:tcBorders>
            <w:vAlign w:val="center"/>
          </w:tcPr>
          <w:p w14:paraId="54F67FA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w:t>
            </w:r>
            <w:r w:rsidRPr="009B0CD7">
              <w:rPr>
                <w:rFonts w:ascii="Times New Roman" w:eastAsia="宋体" w:hAnsi="Times New Roman" w:cs="Times New Roman"/>
                <w:sz w:val="15"/>
                <w:szCs w:val="15"/>
              </w:rPr>
              <w:t>月</w:t>
            </w:r>
          </w:p>
        </w:tc>
        <w:tc>
          <w:tcPr>
            <w:tcW w:w="921" w:type="dxa"/>
            <w:tcBorders>
              <w:top w:val="single" w:sz="4" w:space="0" w:color="auto"/>
              <w:left w:val="single" w:sz="4" w:space="0" w:color="auto"/>
              <w:right w:val="single" w:sz="4" w:space="0" w:color="auto"/>
            </w:tcBorders>
          </w:tcPr>
          <w:p w14:paraId="0F8B269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LOGNO</w:t>
            </w:r>
          </w:p>
        </w:tc>
        <w:tc>
          <w:tcPr>
            <w:tcW w:w="921" w:type="dxa"/>
            <w:tcBorders>
              <w:top w:val="single" w:sz="4" w:space="0" w:color="auto"/>
              <w:left w:val="single" w:sz="4" w:space="0" w:color="auto"/>
              <w:right w:val="single" w:sz="4" w:space="0" w:color="auto"/>
            </w:tcBorders>
          </w:tcPr>
          <w:p w14:paraId="6855612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M2</w:t>
            </w:r>
          </w:p>
        </w:tc>
        <w:tc>
          <w:tcPr>
            <w:tcW w:w="922" w:type="dxa"/>
            <w:tcBorders>
              <w:top w:val="single" w:sz="4" w:space="0" w:color="auto"/>
              <w:left w:val="single" w:sz="4" w:space="0" w:color="auto"/>
              <w:right w:val="single" w:sz="4" w:space="0" w:color="auto"/>
            </w:tcBorders>
          </w:tcPr>
          <w:p w14:paraId="2E7CE24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821.01</w:t>
            </w:r>
          </w:p>
        </w:tc>
        <w:tc>
          <w:tcPr>
            <w:tcW w:w="921" w:type="dxa"/>
            <w:tcBorders>
              <w:top w:val="single" w:sz="4" w:space="0" w:color="auto"/>
              <w:left w:val="single" w:sz="4" w:space="0" w:color="auto"/>
              <w:right w:val="single" w:sz="4" w:space="0" w:color="auto"/>
            </w:tcBorders>
          </w:tcPr>
          <w:p w14:paraId="0801476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0.500</w:t>
            </w:r>
          </w:p>
        </w:tc>
        <w:tc>
          <w:tcPr>
            <w:tcW w:w="921" w:type="dxa"/>
            <w:tcBorders>
              <w:top w:val="single" w:sz="4" w:space="0" w:color="auto"/>
              <w:left w:val="single" w:sz="4" w:space="0" w:color="auto"/>
              <w:right w:val="single" w:sz="4" w:space="0" w:color="auto"/>
            </w:tcBorders>
          </w:tcPr>
          <w:p w14:paraId="341C5E0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2" w:type="dxa"/>
            <w:tcBorders>
              <w:top w:val="single" w:sz="4" w:space="0" w:color="auto"/>
              <w:left w:val="single" w:sz="4" w:space="0" w:color="auto"/>
              <w:right w:val="single" w:sz="4" w:space="0" w:color="auto"/>
            </w:tcBorders>
          </w:tcPr>
          <w:p w14:paraId="3F50342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1" w:type="dxa"/>
            <w:tcBorders>
              <w:top w:val="single" w:sz="4" w:space="0" w:color="auto"/>
              <w:left w:val="single" w:sz="4" w:space="0" w:color="auto"/>
              <w:right w:val="single" w:sz="4" w:space="0" w:color="auto"/>
            </w:tcBorders>
          </w:tcPr>
          <w:p w14:paraId="02EE389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695.42</w:t>
            </w:r>
          </w:p>
        </w:tc>
        <w:tc>
          <w:tcPr>
            <w:tcW w:w="922" w:type="dxa"/>
            <w:tcBorders>
              <w:top w:val="single" w:sz="4" w:space="0" w:color="auto"/>
              <w:left w:val="single" w:sz="4" w:space="0" w:color="auto"/>
            </w:tcBorders>
          </w:tcPr>
          <w:p w14:paraId="07FE43C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0.500</w:t>
            </w:r>
          </w:p>
        </w:tc>
      </w:tr>
      <w:tr w:rsidR="0081344D" w:rsidRPr="009B0CD7" w14:paraId="1567D721" w14:textId="77777777">
        <w:trPr>
          <w:jc w:val="center"/>
        </w:trPr>
        <w:tc>
          <w:tcPr>
            <w:tcW w:w="709" w:type="dxa"/>
            <w:tcBorders>
              <w:right w:val="single" w:sz="4" w:space="0" w:color="auto"/>
            </w:tcBorders>
            <w:vAlign w:val="center"/>
          </w:tcPr>
          <w:p w14:paraId="3288A8A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3FBA475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LOGNO</w:t>
            </w:r>
          </w:p>
        </w:tc>
        <w:tc>
          <w:tcPr>
            <w:tcW w:w="921" w:type="dxa"/>
            <w:tcBorders>
              <w:left w:val="single" w:sz="4" w:space="0" w:color="auto"/>
              <w:right w:val="single" w:sz="4" w:space="0" w:color="auto"/>
            </w:tcBorders>
          </w:tcPr>
          <w:p w14:paraId="684F8B1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M2</w:t>
            </w:r>
          </w:p>
        </w:tc>
        <w:tc>
          <w:tcPr>
            <w:tcW w:w="922" w:type="dxa"/>
            <w:tcBorders>
              <w:left w:val="single" w:sz="4" w:space="0" w:color="auto"/>
              <w:right w:val="single" w:sz="4" w:space="0" w:color="auto"/>
            </w:tcBorders>
          </w:tcPr>
          <w:p w14:paraId="4E975A2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803.72</w:t>
            </w:r>
          </w:p>
        </w:tc>
        <w:tc>
          <w:tcPr>
            <w:tcW w:w="921" w:type="dxa"/>
            <w:tcBorders>
              <w:left w:val="single" w:sz="4" w:space="0" w:color="auto"/>
              <w:right w:val="single" w:sz="4" w:space="0" w:color="auto"/>
            </w:tcBorders>
          </w:tcPr>
          <w:p w14:paraId="1F6971F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0.504</w:t>
            </w:r>
          </w:p>
        </w:tc>
        <w:tc>
          <w:tcPr>
            <w:tcW w:w="921" w:type="dxa"/>
            <w:tcBorders>
              <w:left w:val="single" w:sz="4" w:space="0" w:color="auto"/>
              <w:right w:val="single" w:sz="4" w:space="0" w:color="auto"/>
            </w:tcBorders>
          </w:tcPr>
          <w:p w14:paraId="2B46D41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2" w:type="dxa"/>
            <w:tcBorders>
              <w:left w:val="single" w:sz="4" w:space="0" w:color="auto"/>
              <w:right w:val="single" w:sz="4" w:space="0" w:color="auto"/>
            </w:tcBorders>
          </w:tcPr>
          <w:p w14:paraId="5744819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1" w:type="dxa"/>
            <w:tcBorders>
              <w:left w:val="single" w:sz="4" w:space="0" w:color="auto"/>
              <w:right w:val="single" w:sz="4" w:space="0" w:color="auto"/>
            </w:tcBorders>
          </w:tcPr>
          <w:p w14:paraId="7A2CD0B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677.66</w:t>
            </w:r>
          </w:p>
        </w:tc>
        <w:tc>
          <w:tcPr>
            <w:tcW w:w="922" w:type="dxa"/>
            <w:tcBorders>
              <w:left w:val="single" w:sz="4" w:space="0" w:color="auto"/>
            </w:tcBorders>
          </w:tcPr>
          <w:p w14:paraId="244F687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0.499</w:t>
            </w:r>
          </w:p>
        </w:tc>
      </w:tr>
      <w:tr w:rsidR="0081344D" w:rsidRPr="009B0CD7" w14:paraId="30167167" w14:textId="77777777">
        <w:trPr>
          <w:jc w:val="center"/>
        </w:trPr>
        <w:tc>
          <w:tcPr>
            <w:tcW w:w="709" w:type="dxa"/>
            <w:tcBorders>
              <w:right w:val="single" w:sz="4" w:space="0" w:color="auto"/>
            </w:tcBorders>
            <w:vAlign w:val="center"/>
          </w:tcPr>
          <w:p w14:paraId="4BB4D96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74059BD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LOGNO</w:t>
            </w:r>
          </w:p>
        </w:tc>
        <w:tc>
          <w:tcPr>
            <w:tcW w:w="921" w:type="dxa"/>
            <w:tcBorders>
              <w:left w:val="single" w:sz="4" w:space="0" w:color="auto"/>
              <w:right w:val="single" w:sz="4" w:space="0" w:color="auto"/>
            </w:tcBorders>
          </w:tcPr>
          <w:p w14:paraId="163842E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M2</w:t>
            </w:r>
          </w:p>
        </w:tc>
        <w:tc>
          <w:tcPr>
            <w:tcW w:w="922" w:type="dxa"/>
            <w:tcBorders>
              <w:left w:val="single" w:sz="4" w:space="0" w:color="auto"/>
              <w:right w:val="single" w:sz="4" w:space="0" w:color="auto"/>
            </w:tcBorders>
          </w:tcPr>
          <w:p w14:paraId="076B499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878.79</w:t>
            </w:r>
          </w:p>
        </w:tc>
        <w:tc>
          <w:tcPr>
            <w:tcW w:w="921" w:type="dxa"/>
            <w:tcBorders>
              <w:left w:val="single" w:sz="4" w:space="0" w:color="auto"/>
              <w:right w:val="single" w:sz="4" w:space="0" w:color="auto"/>
            </w:tcBorders>
          </w:tcPr>
          <w:p w14:paraId="39F3367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0.506</w:t>
            </w:r>
          </w:p>
        </w:tc>
        <w:tc>
          <w:tcPr>
            <w:tcW w:w="921" w:type="dxa"/>
            <w:tcBorders>
              <w:left w:val="single" w:sz="4" w:space="0" w:color="auto"/>
              <w:right w:val="single" w:sz="4" w:space="0" w:color="auto"/>
            </w:tcBorders>
          </w:tcPr>
          <w:p w14:paraId="427D62C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2" w:type="dxa"/>
            <w:tcBorders>
              <w:left w:val="single" w:sz="4" w:space="0" w:color="auto"/>
              <w:right w:val="single" w:sz="4" w:space="0" w:color="auto"/>
            </w:tcBorders>
          </w:tcPr>
          <w:p w14:paraId="5F4417B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1" w:type="dxa"/>
            <w:tcBorders>
              <w:left w:val="single" w:sz="4" w:space="0" w:color="auto"/>
              <w:right w:val="single" w:sz="4" w:space="0" w:color="auto"/>
            </w:tcBorders>
          </w:tcPr>
          <w:p w14:paraId="524E4E4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713.52</w:t>
            </w:r>
          </w:p>
        </w:tc>
        <w:tc>
          <w:tcPr>
            <w:tcW w:w="922" w:type="dxa"/>
            <w:tcBorders>
              <w:left w:val="single" w:sz="4" w:space="0" w:color="auto"/>
            </w:tcBorders>
          </w:tcPr>
          <w:p w14:paraId="211EA7C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0.498</w:t>
            </w:r>
          </w:p>
        </w:tc>
      </w:tr>
      <w:tr w:rsidR="0081344D" w:rsidRPr="009B0CD7" w14:paraId="138F539B" w14:textId="77777777">
        <w:trPr>
          <w:jc w:val="center"/>
        </w:trPr>
        <w:tc>
          <w:tcPr>
            <w:tcW w:w="709" w:type="dxa"/>
            <w:tcBorders>
              <w:right w:val="single" w:sz="4" w:space="0" w:color="auto"/>
            </w:tcBorders>
            <w:vAlign w:val="center"/>
          </w:tcPr>
          <w:p w14:paraId="6809518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4</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4889DBC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1" w:type="dxa"/>
            <w:tcBorders>
              <w:left w:val="single" w:sz="4" w:space="0" w:color="auto"/>
              <w:right w:val="single" w:sz="4" w:space="0" w:color="auto"/>
            </w:tcBorders>
          </w:tcPr>
          <w:p w14:paraId="6BC1F19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2" w:type="dxa"/>
            <w:tcBorders>
              <w:left w:val="single" w:sz="4" w:space="0" w:color="auto"/>
              <w:right w:val="single" w:sz="4" w:space="0" w:color="auto"/>
            </w:tcBorders>
          </w:tcPr>
          <w:p w14:paraId="0A5DBE1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976.27</w:t>
            </w:r>
          </w:p>
        </w:tc>
        <w:tc>
          <w:tcPr>
            <w:tcW w:w="921" w:type="dxa"/>
            <w:tcBorders>
              <w:left w:val="single" w:sz="4" w:space="0" w:color="auto"/>
              <w:right w:val="single" w:sz="4" w:space="0" w:color="auto"/>
            </w:tcBorders>
          </w:tcPr>
          <w:p w14:paraId="4953486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0.498</w:t>
            </w:r>
          </w:p>
        </w:tc>
        <w:tc>
          <w:tcPr>
            <w:tcW w:w="921" w:type="dxa"/>
            <w:tcBorders>
              <w:left w:val="single" w:sz="4" w:space="0" w:color="auto"/>
              <w:right w:val="single" w:sz="4" w:space="0" w:color="auto"/>
            </w:tcBorders>
          </w:tcPr>
          <w:p w14:paraId="1B0DB0E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2" w:type="dxa"/>
            <w:tcBorders>
              <w:left w:val="single" w:sz="4" w:space="0" w:color="auto"/>
              <w:right w:val="single" w:sz="4" w:space="0" w:color="auto"/>
            </w:tcBorders>
          </w:tcPr>
          <w:p w14:paraId="774734D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1" w:type="dxa"/>
            <w:tcBorders>
              <w:left w:val="single" w:sz="4" w:space="0" w:color="auto"/>
              <w:right w:val="single" w:sz="4" w:space="0" w:color="auto"/>
            </w:tcBorders>
          </w:tcPr>
          <w:p w14:paraId="01C360D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853.89</w:t>
            </w:r>
          </w:p>
        </w:tc>
        <w:tc>
          <w:tcPr>
            <w:tcW w:w="922" w:type="dxa"/>
            <w:tcBorders>
              <w:left w:val="single" w:sz="4" w:space="0" w:color="auto"/>
            </w:tcBorders>
          </w:tcPr>
          <w:p w14:paraId="3F67FE3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0.494</w:t>
            </w:r>
          </w:p>
        </w:tc>
      </w:tr>
      <w:tr w:rsidR="0081344D" w:rsidRPr="009B0CD7" w14:paraId="01388765" w14:textId="77777777">
        <w:trPr>
          <w:jc w:val="center"/>
        </w:trPr>
        <w:tc>
          <w:tcPr>
            <w:tcW w:w="709" w:type="dxa"/>
            <w:tcBorders>
              <w:right w:val="single" w:sz="4" w:space="0" w:color="auto"/>
            </w:tcBorders>
            <w:vAlign w:val="center"/>
          </w:tcPr>
          <w:p w14:paraId="7C87157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5</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654F138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1" w:type="dxa"/>
            <w:tcBorders>
              <w:left w:val="single" w:sz="4" w:space="0" w:color="auto"/>
              <w:right w:val="single" w:sz="4" w:space="0" w:color="auto"/>
            </w:tcBorders>
          </w:tcPr>
          <w:p w14:paraId="25ACFCC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2" w:type="dxa"/>
            <w:tcBorders>
              <w:left w:val="single" w:sz="4" w:space="0" w:color="auto"/>
              <w:right w:val="single" w:sz="4" w:space="0" w:color="auto"/>
            </w:tcBorders>
          </w:tcPr>
          <w:p w14:paraId="786A5D3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1089.69</w:t>
            </w:r>
          </w:p>
        </w:tc>
        <w:tc>
          <w:tcPr>
            <w:tcW w:w="921" w:type="dxa"/>
            <w:tcBorders>
              <w:left w:val="single" w:sz="4" w:space="0" w:color="auto"/>
              <w:right w:val="single" w:sz="4" w:space="0" w:color="auto"/>
            </w:tcBorders>
          </w:tcPr>
          <w:p w14:paraId="2387220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0.503</w:t>
            </w:r>
          </w:p>
        </w:tc>
        <w:tc>
          <w:tcPr>
            <w:tcW w:w="921" w:type="dxa"/>
            <w:tcBorders>
              <w:left w:val="single" w:sz="4" w:space="0" w:color="auto"/>
              <w:right w:val="single" w:sz="4" w:space="0" w:color="auto"/>
            </w:tcBorders>
          </w:tcPr>
          <w:p w14:paraId="1230798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2" w:type="dxa"/>
            <w:tcBorders>
              <w:left w:val="single" w:sz="4" w:space="0" w:color="auto"/>
              <w:right w:val="single" w:sz="4" w:space="0" w:color="auto"/>
            </w:tcBorders>
          </w:tcPr>
          <w:p w14:paraId="68B2D88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M2</w:t>
            </w:r>
          </w:p>
        </w:tc>
        <w:tc>
          <w:tcPr>
            <w:tcW w:w="921" w:type="dxa"/>
            <w:tcBorders>
              <w:left w:val="single" w:sz="4" w:space="0" w:color="auto"/>
              <w:right w:val="single" w:sz="4" w:space="0" w:color="auto"/>
            </w:tcBorders>
          </w:tcPr>
          <w:p w14:paraId="3028AA0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946.54</w:t>
            </w:r>
          </w:p>
        </w:tc>
        <w:tc>
          <w:tcPr>
            <w:tcW w:w="922" w:type="dxa"/>
            <w:tcBorders>
              <w:left w:val="single" w:sz="4" w:space="0" w:color="auto"/>
            </w:tcBorders>
          </w:tcPr>
          <w:p w14:paraId="230E936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w:t>
            </w:r>
            <w:r w:rsidRPr="009B0CD7">
              <w:rPr>
                <w:rFonts w:ascii="Times New Roman" w:eastAsia="宋体" w:hAnsi="Times New Roman" w:cs="Times New Roman" w:hint="eastAsia"/>
                <w:sz w:val="15"/>
                <w:szCs w:val="15"/>
              </w:rPr>
              <w:t>9</w:t>
            </w:r>
          </w:p>
        </w:tc>
      </w:tr>
      <w:tr w:rsidR="0081344D" w:rsidRPr="009B0CD7" w14:paraId="58443D1F" w14:textId="77777777">
        <w:trPr>
          <w:jc w:val="center"/>
        </w:trPr>
        <w:tc>
          <w:tcPr>
            <w:tcW w:w="709" w:type="dxa"/>
            <w:tcBorders>
              <w:right w:val="single" w:sz="4" w:space="0" w:color="auto"/>
            </w:tcBorders>
            <w:vAlign w:val="center"/>
          </w:tcPr>
          <w:p w14:paraId="70AEE60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00BBD7E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1" w:type="dxa"/>
            <w:tcBorders>
              <w:left w:val="single" w:sz="4" w:space="0" w:color="auto"/>
              <w:right w:val="single" w:sz="4" w:space="0" w:color="auto"/>
            </w:tcBorders>
          </w:tcPr>
          <w:p w14:paraId="4156052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2" w:type="dxa"/>
            <w:tcBorders>
              <w:left w:val="single" w:sz="4" w:space="0" w:color="auto"/>
              <w:right w:val="single" w:sz="4" w:space="0" w:color="auto"/>
            </w:tcBorders>
          </w:tcPr>
          <w:p w14:paraId="1C10229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1143.47</w:t>
            </w:r>
          </w:p>
        </w:tc>
        <w:tc>
          <w:tcPr>
            <w:tcW w:w="921" w:type="dxa"/>
            <w:tcBorders>
              <w:left w:val="single" w:sz="4" w:space="0" w:color="auto"/>
              <w:right w:val="single" w:sz="4" w:space="0" w:color="auto"/>
            </w:tcBorders>
          </w:tcPr>
          <w:p w14:paraId="320B474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w:t>
            </w:r>
            <w:r w:rsidRPr="009B0CD7">
              <w:rPr>
                <w:rFonts w:ascii="Times New Roman" w:eastAsia="宋体" w:hAnsi="Times New Roman" w:cs="Times New Roman" w:hint="eastAsia"/>
                <w:sz w:val="15"/>
                <w:szCs w:val="15"/>
              </w:rPr>
              <w:t>500</w:t>
            </w:r>
          </w:p>
        </w:tc>
        <w:tc>
          <w:tcPr>
            <w:tcW w:w="921" w:type="dxa"/>
            <w:tcBorders>
              <w:left w:val="single" w:sz="4" w:space="0" w:color="auto"/>
              <w:right w:val="single" w:sz="4" w:space="0" w:color="auto"/>
            </w:tcBorders>
          </w:tcPr>
          <w:p w14:paraId="75BB565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2" w:type="dxa"/>
            <w:tcBorders>
              <w:left w:val="single" w:sz="4" w:space="0" w:color="auto"/>
              <w:right w:val="single" w:sz="4" w:space="0" w:color="auto"/>
            </w:tcBorders>
          </w:tcPr>
          <w:p w14:paraId="2EED6EF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M2</w:t>
            </w:r>
          </w:p>
        </w:tc>
        <w:tc>
          <w:tcPr>
            <w:tcW w:w="921" w:type="dxa"/>
            <w:tcBorders>
              <w:left w:val="single" w:sz="4" w:space="0" w:color="auto"/>
              <w:right w:val="single" w:sz="4" w:space="0" w:color="auto"/>
            </w:tcBorders>
          </w:tcPr>
          <w:p w14:paraId="65C6449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948.58</w:t>
            </w:r>
          </w:p>
        </w:tc>
        <w:tc>
          <w:tcPr>
            <w:tcW w:w="922" w:type="dxa"/>
            <w:tcBorders>
              <w:left w:val="single" w:sz="4" w:space="0" w:color="auto"/>
            </w:tcBorders>
          </w:tcPr>
          <w:p w14:paraId="0242D07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0.500</w:t>
            </w:r>
          </w:p>
        </w:tc>
      </w:tr>
      <w:tr w:rsidR="0081344D" w:rsidRPr="009B0CD7" w14:paraId="655FC8FE" w14:textId="77777777">
        <w:trPr>
          <w:jc w:val="center"/>
        </w:trPr>
        <w:tc>
          <w:tcPr>
            <w:tcW w:w="709" w:type="dxa"/>
            <w:tcBorders>
              <w:right w:val="single" w:sz="4" w:space="0" w:color="auto"/>
            </w:tcBorders>
            <w:vAlign w:val="center"/>
          </w:tcPr>
          <w:p w14:paraId="4CE9AA9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3B41B1D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LOGNO</w:t>
            </w:r>
          </w:p>
        </w:tc>
        <w:tc>
          <w:tcPr>
            <w:tcW w:w="921" w:type="dxa"/>
            <w:tcBorders>
              <w:left w:val="single" w:sz="4" w:space="0" w:color="auto"/>
              <w:right w:val="single" w:sz="4" w:space="0" w:color="auto"/>
            </w:tcBorders>
          </w:tcPr>
          <w:p w14:paraId="6250D9F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2" w:type="dxa"/>
            <w:tcBorders>
              <w:left w:val="single" w:sz="4" w:space="0" w:color="auto"/>
              <w:right w:val="single" w:sz="4" w:space="0" w:color="auto"/>
            </w:tcBorders>
          </w:tcPr>
          <w:p w14:paraId="52C7273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1193.47</w:t>
            </w:r>
          </w:p>
        </w:tc>
        <w:tc>
          <w:tcPr>
            <w:tcW w:w="921" w:type="dxa"/>
            <w:tcBorders>
              <w:left w:val="single" w:sz="4" w:space="0" w:color="auto"/>
              <w:right w:val="single" w:sz="4" w:space="0" w:color="auto"/>
            </w:tcBorders>
          </w:tcPr>
          <w:p w14:paraId="3D38F35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0.506</w:t>
            </w:r>
          </w:p>
        </w:tc>
        <w:tc>
          <w:tcPr>
            <w:tcW w:w="921" w:type="dxa"/>
            <w:tcBorders>
              <w:left w:val="single" w:sz="4" w:space="0" w:color="auto"/>
              <w:right w:val="single" w:sz="4" w:space="0" w:color="auto"/>
            </w:tcBorders>
          </w:tcPr>
          <w:p w14:paraId="4CDC934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LOGNO</w:t>
            </w:r>
          </w:p>
        </w:tc>
        <w:tc>
          <w:tcPr>
            <w:tcW w:w="922" w:type="dxa"/>
            <w:tcBorders>
              <w:left w:val="single" w:sz="4" w:space="0" w:color="auto"/>
              <w:right w:val="single" w:sz="4" w:space="0" w:color="auto"/>
            </w:tcBorders>
          </w:tcPr>
          <w:p w14:paraId="450A942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1" w:type="dxa"/>
            <w:tcBorders>
              <w:left w:val="single" w:sz="4" w:space="0" w:color="auto"/>
              <w:right w:val="single" w:sz="4" w:space="0" w:color="auto"/>
            </w:tcBorders>
          </w:tcPr>
          <w:p w14:paraId="41E2B76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968.7</w:t>
            </w:r>
            <w:r w:rsidRPr="009B0CD7">
              <w:rPr>
                <w:rFonts w:ascii="Times New Roman" w:eastAsia="宋体" w:hAnsi="Times New Roman" w:cs="Times New Roman" w:hint="eastAsia"/>
                <w:sz w:val="15"/>
                <w:szCs w:val="15"/>
              </w:rPr>
              <w:t>0</w:t>
            </w:r>
          </w:p>
        </w:tc>
        <w:tc>
          <w:tcPr>
            <w:tcW w:w="922" w:type="dxa"/>
            <w:tcBorders>
              <w:left w:val="single" w:sz="4" w:space="0" w:color="auto"/>
            </w:tcBorders>
          </w:tcPr>
          <w:p w14:paraId="31A36B8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0.494</w:t>
            </w:r>
          </w:p>
        </w:tc>
      </w:tr>
      <w:tr w:rsidR="0081344D" w:rsidRPr="009B0CD7" w14:paraId="01FCF309" w14:textId="77777777">
        <w:trPr>
          <w:jc w:val="center"/>
        </w:trPr>
        <w:tc>
          <w:tcPr>
            <w:tcW w:w="709" w:type="dxa"/>
            <w:tcBorders>
              <w:right w:val="single" w:sz="4" w:space="0" w:color="auto"/>
            </w:tcBorders>
            <w:vAlign w:val="center"/>
          </w:tcPr>
          <w:p w14:paraId="26AE9AA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136FE57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1" w:type="dxa"/>
            <w:tcBorders>
              <w:left w:val="single" w:sz="4" w:space="0" w:color="auto"/>
              <w:right w:val="single" w:sz="4" w:space="0" w:color="auto"/>
            </w:tcBorders>
          </w:tcPr>
          <w:p w14:paraId="46C2D62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2" w:type="dxa"/>
            <w:tcBorders>
              <w:left w:val="single" w:sz="4" w:space="0" w:color="auto"/>
              <w:right w:val="single" w:sz="4" w:space="0" w:color="auto"/>
            </w:tcBorders>
          </w:tcPr>
          <w:p w14:paraId="3B9F754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1177.47</w:t>
            </w:r>
          </w:p>
        </w:tc>
        <w:tc>
          <w:tcPr>
            <w:tcW w:w="921" w:type="dxa"/>
            <w:tcBorders>
              <w:left w:val="single" w:sz="4" w:space="0" w:color="auto"/>
              <w:right w:val="single" w:sz="4" w:space="0" w:color="auto"/>
            </w:tcBorders>
          </w:tcPr>
          <w:p w14:paraId="6F632B7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w:t>
            </w:r>
            <w:r w:rsidRPr="009B0CD7">
              <w:rPr>
                <w:rFonts w:ascii="Times New Roman" w:eastAsia="宋体" w:hAnsi="Times New Roman" w:cs="Times New Roman" w:hint="eastAsia"/>
                <w:sz w:val="15"/>
                <w:szCs w:val="15"/>
              </w:rPr>
              <w:t>6</w:t>
            </w:r>
          </w:p>
        </w:tc>
        <w:tc>
          <w:tcPr>
            <w:tcW w:w="921" w:type="dxa"/>
            <w:tcBorders>
              <w:left w:val="single" w:sz="4" w:space="0" w:color="auto"/>
              <w:right w:val="single" w:sz="4" w:space="0" w:color="auto"/>
            </w:tcBorders>
          </w:tcPr>
          <w:p w14:paraId="4A86513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2" w:type="dxa"/>
            <w:tcBorders>
              <w:left w:val="single" w:sz="4" w:space="0" w:color="auto"/>
              <w:right w:val="single" w:sz="4" w:space="0" w:color="auto"/>
            </w:tcBorders>
          </w:tcPr>
          <w:p w14:paraId="1DE56EB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1" w:type="dxa"/>
            <w:tcBorders>
              <w:left w:val="single" w:sz="4" w:space="0" w:color="auto"/>
              <w:right w:val="single" w:sz="4" w:space="0" w:color="auto"/>
            </w:tcBorders>
          </w:tcPr>
          <w:p w14:paraId="05D41E0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993.91</w:t>
            </w:r>
          </w:p>
        </w:tc>
        <w:tc>
          <w:tcPr>
            <w:tcW w:w="922" w:type="dxa"/>
            <w:tcBorders>
              <w:left w:val="single" w:sz="4" w:space="0" w:color="auto"/>
            </w:tcBorders>
          </w:tcPr>
          <w:p w14:paraId="3590759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w:t>
            </w:r>
            <w:r w:rsidRPr="009B0CD7">
              <w:rPr>
                <w:rFonts w:ascii="Times New Roman" w:eastAsia="宋体" w:hAnsi="Times New Roman" w:cs="Times New Roman" w:hint="eastAsia"/>
                <w:sz w:val="15"/>
                <w:szCs w:val="15"/>
              </w:rPr>
              <w:t>2</w:t>
            </w:r>
          </w:p>
        </w:tc>
      </w:tr>
      <w:tr w:rsidR="0081344D" w:rsidRPr="009B0CD7" w14:paraId="09816D63" w14:textId="77777777">
        <w:trPr>
          <w:jc w:val="center"/>
        </w:trPr>
        <w:tc>
          <w:tcPr>
            <w:tcW w:w="709" w:type="dxa"/>
            <w:tcBorders>
              <w:right w:val="single" w:sz="4" w:space="0" w:color="auto"/>
            </w:tcBorders>
            <w:vAlign w:val="center"/>
          </w:tcPr>
          <w:p w14:paraId="6004626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2340FEB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1" w:type="dxa"/>
            <w:tcBorders>
              <w:left w:val="single" w:sz="4" w:space="0" w:color="auto"/>
              <w:right w:val="single" w:sz="4" w:space="0" w:color="auto"/>
            </w:tcBorders>
          </w:tcPr>
          <w:p w14:paraId="0F787A6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2" w:type="dxa"/>
            <w:tcBorders>
              <w:left w:val="single" w:sz="4" w:space="0" w:color="auto"/>
              <w:right w:val="single" w:sz="4" w:space="0" w:color="auto"/>
            </w:tcBorders>
          </w:tcPr>
          <w:p w14:paraId="1BFCF65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1175.01</w:t>
            </w:r>
          </w:p>
        </w:tc>
        <w:tc>
          <w:tcPr>
            <w:tcW w:w="921" w:type="dxa"/>
            <w:tcBorders>
              <w:left w:val="single" w:sz="4" w:space="0" w:color="auto"/>
              <w:right w:val="single" w:sz="4" w:space="0" w:color="auto"/>
            </w:tcBorders>
          </w:tcPr>
          <w:p w14:paraId="5284676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0.490</w:t>
            </w:r>
          </w:p>
        </w:tc>
        <w:tc>
          <w:tcPr>
            <w:tcW w:w="921" w:type="dxa"/>
            <w:tcBorders>
              <w:left w:val="single" w:sz="4" w:space="0" w:color="auto"/>
              <w:right w:val="single" w:sz="4" w:space="0" w:color="auto"/>
            </w:tcBorders>
          </w:tcPr>
          <w:p w14:paraId="3C7F28B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2" w:type="dxa"/>
            <w:tcBorders>
              <w:left w:val="single" w:sz="4" w:space="0" w:color="auto"/>
              <w:right w:val="single" w:sz="4" w:space="0" w:color="auto"/>
            </w:tcBorders>
          </w:tcPr>
          <w:p w14:paraId="754ACA7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1" w:type="dxa"/>
            <w:tcBorders>
              <w:left w:val="single" w:sz="4" w:space="0" w:color="auto"/>
              <w:right w:val="single" w:sz="4" w:space="0" w:color="auto"/>
            </w:tcBorders>
          </w:tcPr>
          <w:p w14:paraId="51459E4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974.96</w:t>
            </w:r>
          </w:p>
        </w:tc>
        <w:tc>
          <w:tcPr>
            <w:tcW w:w="922" w:type="dxa"/>
            <w:tcBorders>
              <w:left w:val="single" w:sz="4" w:space="0" w:color="auto"/>
            </w:tcBorders>
          </w:tcPr>
          <w:p w14:paraId="76D5F76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0.493</w:t>
            </w:r>
          </w:p>
        </w:tc>
      </w:tr>
      <w:tr w:rsidR="0081344D" w:rsidRPr="009B0CD7" w14:paraId="138CCBB8" w14:textId="77777777">
        <w:trPr>
          <w:jc w:val="center"/>
        </w:trPr>
        <w:tc>
          <w:tcPr>
            <w:tcW w:w="709" w:type="dxa"/>
            <w:tcBorders>
              <w:right w:val="single" w:sz="4" w:space="0" w:color="auto"/>
            </w:tcBorders>
            <w:vAlign w:val="center"/>
          </w:tcPr>
          <w:p w14:paraId="454E145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10</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5F6FB30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1" w:type="dxa"/>
            <w:tcBorders>
              <w:left w:val="single" w:sz="4" w:space="0" w:color="auto"/>
              <w:right w:val="single" w:sz="4" w:space="0" w:color="auto"/>
            </w:tcBorders>
          </w:tcPr>
          <w:p w14:paraId="5B34412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2" w:type="dxa"/>
            <w:tcBorders>
              <w:left w:val="single" w:sz="4" w:space="0" w:color="auto"/>
              <w:right w:val="single" w:sz="4" w:space="0" w:color="auto"/>
            </w:tcBorders>
          </w:tcPr>
          <w:p w14:paraId="7EB449A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1073.16</w:t>
            </w:r>
          </w:p>
        </w:tc>
        <w:tc>
          <w:tcPr>
            <w:tcW w:w="921" w:type="dxa"/>
            <w:tcBorders>
              <w:left w:val="single" w:sz="4" w:space="0" w:color="auto"/>
              <w:right w:val="single" w:sz="4" w:space="0" w:color="auto"/>
            </w:tcBorders>
          </w:tcPr>
          <w:p w14:paraId="657BBA9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w:t>
            </w:r>
            <w:r w:rsidRPr="009B0CD7">
              <w:rPr>
                <w:rFonts w:ascii="Times New Roman" w:eastAsia="宋体" w:hAnsi="Times New Roman" w:cs="Times New Roman" w:hint="eastAsia"/>
                <w:sz w:val="15"/>
                <w:szCs w:val="15"/>
              </w:rPr>
              <w:t>1</w:t>
            </w:r>
          </w:p>
        </w:tc>
        <w:tc>
          <w:tcPr>
            <w:tcW w:w="921" w:type="dxa"/>
            <w:tcBorders>
              <w:left w:val="single" w:sz="4" w:space="0" w:color="auto"/>
              <w:right w:val="single" w:sz="4" w:space="0" w:color="auto"/>
            </w:tcBorders>
          </w:tcPr>
          <w:p w14:paraId="56B1B14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2" w:type="dxa"/>
            <w:tcBorders>
              <w:left w:val="single" w:sz="4" w:space="0" w:color="auto"/>
              <w:right w:val="single" w:sz="4" w:space="0" w:color="auto"/>
            </w:tcBorders>
          </w:tcPr>
          <w:p w14:paraId="79EAF81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1" w:type="dxa"/>
            <w:tcBorders>
              <w:left w:val="single" w:sz="4" w:space="0" w:color="auto"/>
              <w:right w:val="single" w:sz="4" w:space="0" w:color="auto"/>
            </w:tcBorders>
          </w:tcPr>
          <w:p w14:paraId="463D4C0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914.65</w:t>
            </w:r>
          </w:p>
        </w:tc>
        <w:tc>
          <w:tcPr>
            <w:tcW w:w="922" w:type="dxa"/>
            <w:tcBorders>
              <w:left w:val="single" w:sz="4" w:space="0" w:color="auto"/>
            </w:tcBorders>
          </w:tcPr>
          <w:p w14:paraId="389A53C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0.505</w:t>
            </w:r>
          </w:p>
        </w:tc>
      </w:tr>
      <w:tr w:rsidR="0081344D" w:rsidRPr="009B0CD7" w14:paraId="0F23BE2D" w14:textId="77777777">
        <w:trPr>
          <w:jc w:val="center"/>
        </w:trPr>
        <w:tc>
          <w:tcPr>
            <w:tcW w:w="709" w:type="dxa"/>
            <w:tcBorders>
              <w:right w:val="single" w:sz="4" w:space="0" w:color="auto"/>
            </w:tcBorders>
            <w:vAlign w:val="center"/>
          </w:tcPr>
          <w:p w14:paraId="1B6FFDD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w:t>
            </w:r>
            <w:r w:rsidRPr="009B0CD7">
              <w:rPr>
                <w:rFonts w:ascii="Times New Roman" w:eastAsia="宋体" w:hAnsi="Times New Roman" w:cs="Times New Roman"/>
                <w:sz w:val="15"/>
                <w:szCs w:val="15"/>
              </w:rPr>
              <w:t>月</w:t>
            </w:r>
          </w:p>
        </w:tc>
        <w:tc>
          <w:tcPr>
            <w:tcW w:w="921" w:type="dxa"/>
            <w:tcBorders>
              <w:left w:val="single" w:sz="4" w:space="0" w:color="auto"/>
              <w:right w:val="single" w:sz="4" w:space="0" w:color="auto"/>
            </w:tcBorders>
          </w:tcPr>
          <w:p w14:paraId="3269796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IG</w:t>
            </w:r>
          </w:p>
        </w:tc>
        <w:tc>
          <w:tcPr>
            <w:tcW w:w="921" w:type="dxa"/>
            <w:tcBorders>
              <w:left w:val="single" w:sz="4" w:space="0" w:color="auto"/>
              <w:right w:val="single" w:sz="4" w:space="0" w:color="auto"/>
            </w:tcBorders>
          </w:tcPr>
          <w:p w14:paraId="1362E73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2" w:type="dxa"/>
            <w:tcBorders>
              <w:left w:val="single" w:sz="4" w:space="0" w:color="auto"/>
              <w:right w:val="single" w:sz="4" w:space="0" w:color="auto"/>
            </w:tcBorders>
          </w:tcPr>
          <w:p w14:paraId="544C11E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937.94</w:t>
            </w:r>
          </w:p>
        </w:tc>
        <w:tc>
          <w:tcPr>
            <w:tcW w:w="921" w:type="dxa"/>
            <w:tcBorders>
              <w:left w:val="single" w:sz="4" w:space="0" w:color="auto"/>
              <w:right w:val="single" w:sz="4" w:space="0" w:color="auto"/>
            </w:tcBorders>
          </w:tcPr>
          <w:p w14:paraId="055883B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0.502</w:t>
            </w:r>
          </w:p>
        </w:tc>
        <w:tc>
          <w:tcPr>
            <w:tcW w:w="921" w:type="dxa"/>
            <w:tcBorders>
              <w:left w:val="single" w:sz="4" w:space="0" w:color="auto"/>
              <w:right w:val="single" w:sz="4" w:space="0" w:color="auto"/>
            </w:tcBorders>
          </w:tcPr>
          <w:p w14:paraId="2FC2F74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LOGNO</w:t>
            </w:r>
          </w:p>
        </w:tc>
        <w:tc>
          <w:tcPr>
            <w:tcW w:w="922" w:type="dxa"/>
            <w:tcBorders>
              <w:left w:val="single" w:sz="4" w:space="0" w:color="auto"/>
              <w:right w:val="single" w:sz="4" w:space="0" w:color="auto"/>
            </w:tcBorders>
          </w:tcPr>
          <w:p w14:paraId="65951DC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1" w:type="dxa"/>
            <w:tcBorders>
              <w:left w:val="single" w:sz="4" w:space="0" w:color="auto"/>
              <w:right w:val="single" w:sz="4" w:space="0" w:color="auto"/>
            </w:tcBorders>
          </w:tcPr>
          <w:p w14:paraId="24A55ED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812.56</w:t>
            </w:r>
          </w:p>
        </w:tc>
        <w:tc>
          <w:tcPr>
            <w:tcW w:w="922" w:type="dxa"/>
            <w:tcBorders>
              <w:left w:val="single" w:sz="4" w:space="0" w:color="auto"/>
            </w:tcBorders>
          </w:tcPr>
          <w:p w14:paraId="7733893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0.503</w:t>
            </w:r>
          </w:p>
        </w:tc>
      </w:tr>
      <w:tr w:rsidR="0081344D" w:rsidRPr="009B0CD7" w14:paraId="3CC394D8" w14:textId="77777777">
        <w:trPr>
          <w:jc w:val="center"/>
        </w:trPr>
        <w:tc>
          <w:tcPr>
            <w:tcW w:w="709" w:type="dxa"/>
            <w:tcBorders>
              <w:bottom w:val="single" w:sz="12" w:space="0" w:color="auto"/>
              <w:right w:val="single" w:sz="4" w:space="0" w:color="auto"/>
            </w:tcBorders>
            <w:vAlign w:val="center"/>
          </w:tcPr>
          <w:p w14:paraId="69438B0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12</w:t>
            </w:r>
            <w:r w:rsidRPr="009B0CD7">
              <w:rPr>
                <w:rFonts w:ascii="Times New Roman" w:eastAsia="宋体" w:hAnsi="Times New Roman" w:cs="Times New Roman"/>
                <w:sz w:val="15"/>
                <w:szCs w:val="15"/>
              </w:rPr>
              <w:t>月</w:t>
            </w:r>
          </w:p>
        </w:tc>
        <w:tc>
          <w:tcPr>
            <w:tcW w:w="921" w:type="dxa"/>
            <w:tcBorders>
              <w:left w:val="single" w:sz="4" w:space="0" w:color="auto"/>
              <w:bottom w:val="single" w:sz="12" w:space="0" w:color="auto"/>
              <w:right w:val="single" w:sz="4" w:space="0" w:color="auto"/>
            </w:tcBorders>
          </w:tcPr>
          <w:p w14:paraId="5F388A3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LOGNO</w:t>
            </w:r>
          </w:p>
        </w:tc>
        <w:tc>
          <w:tcPr>
            <w:tcW w:w="921" w:type="dxa"/>
            <w:tcBorders>
              <w:left w:val="single" w:sz="4" w:space="0" w:color="auto"/>
              <w:bottom w:val="single" w:sz="12" w:space="0" w:color="auto"/>
              <w:right w:val="single" w:sz="4" w:space="0" w:color="auto"/>
            </w:tcBorders>
          </w:tcPr>
          <w:p w14:paraId="171B4C8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M1</w:t>
            </w:r>
          </w:p>
        </w:tc>
        <w:tc>
          <w:tcPr>
            <w:tcW w:w="922" w:type="dxa"/>
            <w:tcBorders>
              <w:left w:val="single" w:sz="4" w:space="0" w:color="auto"/>
              <w:bottom w:val="single" w:sz="12" w:space="0" w:color="auto"/>
              <w:right w:val="single" w:sz="4" w:space="0" w:color="auto"/>
            </w:tcBorders>
          </w:tcPr>
          <w:p w14:paraId="0D549EA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856.25</w:t>
            </w:r>
          </w:p>
        </w:tc>
        <w:tc>
          <w:tcPr>
            <w:tcW w:w="921" w:type="dxa"/>
            <w:tcBorders>
              <w:left w:val="single" w:sz="4" w:space="0" w:color="auto"/>
              <w:bottom w:val="single" w:sz="12" w:space="0" w:color="auto"/>
              <w:right w:val="single" w:sz="4" w:space="0" w:color="auto"/>
            </w:tcBorders>
          </w:tcPr>
          <w:p w14:paraId="0256656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0.49</w:t>
            </w:r>
            <w:r w:rsidRPr="009B0CD7">
              <w:rPr>
                <w:rFonts w:ascii="Times New Roman" w:eastAsia="宋体" w:hAnsi="Times New Roman" w:cs="Times New Roman" w:hint="eastAsia"/>
                <w:sz w:val="15"/>
                <w:szCs w:val="15"/>
              </w:rPr>
              <w:t>2</w:t>
            </w:r>
          </w:p>
        </w:tc>
        <w:tc>
          <w:tcPr>
            <w:tcW w:w="921" w:type="dxa"/>
            <w:tcBorders>
              <w:left w:val="single" w:sz="4" w:space="0" w:color="auto"/>
              <w:bottom w:val="single" w:sz="12" w:space="0" w:color="auto"/>
              <w:right w:val="single" w:sz="4" w:space="0" w:color="auto"/>
            </w:tcBorders>
          </w:tcPr>
          <w:p w14:paraId="477DBF6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w:t>
            </w:r>
          </w:p>
        </w:tc>
        <w:tc>
          <w:tcPr>
            <w:tcW w:w="922" w:type="dxa"/>
            <w:tcBorders>
              <w:left w:val="single" w:sz="4" w:space="0" w:color="auto"/>
              <w:bottom w:val="single" w:sz="12" w:space="0" w:color="auto"/>
              <w:right w:val="single" w:sz="4" w:space="0" w:color="auto"/>
            </w:tcBorders>
          </w:tcPr>
          <w:p w14:paraId="3E24536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M0</w:t>
            </w:r>
          </w:p>
        </w:tc>
        <w:tc>
          <w:tcPr>
            <w:tcW w:w="921" w:type="dxa"/>
            <w:tcBorders>
              <w:left w:val="single" w:sz="4" w:space="0" w:color="auto"/>
              <w:bottom w:val="single" w:sz="12" w:space="0" w:color="auto"/>
              <w:right w:val="single" w:sz="4" w:space="0" w:color="auto"/>
            </w:tcBorders>
          </w:tcPr>
          <w:p w14:paraId="12A0220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735.21</w:t>
            </w:r>
          </w:p>
        </w:tc>
        <w:tc>
          <w:tcPr>
            <w:tcW w:w="922" w:type="dxa"/>
            <w:tcBorders>
              <w:left w:val="single" w:sz="4" w:space="0" w:color="auto"/>
              <w:bottom w:val="single" w:sz="12" w:space="0" w:color="auto"/>
            </w:tcBorders>
          </w:tcPr>
          <w:p w14:paraId="24466CA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0.502</w:t>
            </w:r>
          </w:p>
        </w:tc>
      </w:tr>
    </w:tbl>
    <w:p w14:paraId="3631E934"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为进一步验证最优边缘分布模型的可靠性，本文结合</w:t>
      </w:r>
      <w:r w:rsidRPr="009B0CD7">
        <w:rPr>
          <w:rFonts w:ascii="Times New Roman" w:eastAsia="宋体" w:hAnsi="Times New Roman" w:cs="Times New Roman"/>
          <w:sz w:val="21"/>
          <w:szCs w:val="21"/>
        </w:rPr>
        <w:t>Q-Q</w:t>
      </w:r>
      <w:r w:rsidRPr="009B0CD7">
        <w:rPr>
          <w:rFonts w:ascii="Times New Roman" w:eastAsia="宋体" w:hAnsi="Times New Roman" w:cs="Times New Roman"/>
          <w:sz w:val="21"/>
          <w:szCs w:val="21"/>
        </w:rPr>
        <w:t>图、</w:t>
      </w:r>
      <w:r w:rsidRPr="009B0CD7">
        <w:rPr>
          <w:rFonts w:ascii="Times New Roman" w:eastAsia="宋体" w:hAnsi="Times New Roman" w:cs="Times New Roman"/>
          <w:sz w:val="21"/>
          <w:szCs w:val="21"/>
        </w:rPr>
        <w:t>Worm</w:t>
      </w:r>
      <w:r w:rsidRPr="009B0CD7">
        <w:rPr>
          <w:rFonts w:ascii="Times New Roman" w:eastAsia="宋体" w:hAnsi="Times New Roman" w:cs="Times New Roman"/>
          <w:sz w:val="21"/>
          <w:szCs w:val="21"/>
        </w:rPr>
        <w:t>图和分位数曲线开展图形诊断</w:t>
      </w:r>
      <w:r w:rsidRPr="009B0CD7">
        <w:rPr>
          <w:rFonts w:ascii="Times New Roman" w:eastAsia="宋体" w:hAnsi="Times New Roman" w:cs="Times New Roman" w:hint="eastAsia"/>
          <w:sz w:val="21"/>
          <w:szCs w:val="21"/>
        </w:rPr>
        <w:t>（见图</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图</w:t>
      </w:r>
      <w:r w:rsidRPr="009B0CD7">
        <w:rPr>
          <w:rFonts w:ascii="Times New Roman" w:eastAsia="宋体" w:hAnsi="Times New Roman" w:cs="Times New Roman" w:hint="eastAsia"/>
          <w:sz w:val="21"/>
          <w:szCs w:val="21"/>
        </w:rPr>
        <w:t>4</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。结果显示，典型月份样本分位数整体接近理论分位数，</w:t>
      </w:r>
      <w:r w:rsidRPr="009B0CD7">
        <w:rPr>
          <w:rFonts w:ascii="Times New Roman" w:eastAsia="宋体" w:hAnsi="Times New Roman" w:cs="Times New Roman"/>
          <w:sz w:val="21"/>
          <w:szCs w:val="21"/>
        </w:rPr>
        <w:t>Worm</w:t>
      </w:r>
      <w:r w:rsidRPr="009B0CD7">
        <w:rPr>
          <w:rFonts w:ascii="Times New Roman" w:eastAsia="宋体" w:hAnsi="Times New Roman" w:cs="Times New Roman"/>
          <w:sz w:val="21"/>
          <w:szCs w:val="21"/>
        </w:rPr>
        <w:t>图残差点主要位于</w:t>
      </w:r>
      <w:r w:rsidRPr="009B0CD7">
        <w:rPr>
          <w:rFonts w:ascii="Times New Roman" w:eastAsia="宋体" w:hAnsi="Times New Roman" w:cs="Times New Roman"/>
          <w:sz w:val="21"/>
          <w:szCs w:val="21"/>
        </w:rPr>
        <w:t>95%</w:t>
      </w:r>
      <w:r w:rsidRPr="009B0CD7">
        <w:rPr>
          <w:rFonts w:ascii="Times New Roman" w:eastAsia="宋体" w:hAnsi="Times New Roman" w:cs="Times New Roman"/>
          <w:sz w:val="21"/>
          <w:szCs w:val="21"/>
        </w:rPr>
        <w:t>置信带内，未呈现明显系统性偏离</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分位数曲线中观测值多数落在</w:t>
      </w:r>
      <w:r w:rsidRPr="009B0CD7">
        <w:rPr>
          <w:rFonts w:ascii="Times New Roman" w:eastAsia="宋体" w:hAnsi="Times New Roman" w:cs="Times New Roman"/>
          <w:sz w:val="21"/>
          <w:szCs w:val="21"/>
        </w:rPr>
        <w:t>5%</w:t>
      </w:r>
      <w:r w:rsidRPr="009B0CD7">
        <w:rPr>
          <w:rFonts w:ascii="Times New Roman" w:hAnsi="Times New Roman" w:cs="Times New Roman"/>
          <w:szCs w:val="21"/>
        </w:rPr>
        <w:t>~</w:t>
      </w:r>
      <w:r w:rsidRPr="009B0CD7">
        <w:rPr>
          <w:rFonts w:ascii="Times New Roman" w:eastAsia="宋体" w:hAnsi="Times New Roman" w:cs="Times New Roman"/>
          <w:sz w:val="21"/>
          <w:szCs w:val="21"/>
        </w:rPr>
        <w:t>95%</w:t>
      </w:r>
      <w:r w:rsidRPr="009B0CD7">
        <w:rPr>
          <w:rFonts w:ascii="Times New Roman" w:eastAsia="宋体" w:hAnsi="Times New Roman" w:cs="Times New Roman"/>
          <w:sz w:val="21"/>
          <w:szCs w:val="21"/>
        </w:rPr>
        <w:t>区间内，说明所选模型能够较好刻画月径流序列的概率分布特征。总体上，图形诊断结果与</w:t>
      </w:r>
      <w:r w:rsidRPr="009B0CD7">
        <w:rPr>
          <w:rFonts w:ascii="Times New Roman" w:eastAsia="宋体" w:hAnsi="Times New Roman" w:cs="Times New Roman"/>
          <w:i/>
          <w:iCs/>
          <w:sz w:val="21"/>
          <w:szCs w:val="21"/>
        </w:rPr>
        <w:t>AIC</w:t>
      </w:r>
      <w:r w:rsidRPr="009B0CD7">
        <w:rPr>
          <w:rFonts w:ascii="Times New Roman" w:eastAsia="宋体" w:hAnsi="Times New Roman" w:cs="Times New Roman"/>
          <w:sz w:val="21"/>
          <w:szCs w:val="21"/>
        </w:rPr>
        <w:t>优选结果及</w:t>
      </w:r>
      <w:r w:rsidRPr="009B0CD7">
        <w:rPr>
          <w:rFonts w:ascii="Times New Roman" w:eastAsia="宋体" w:hAnsi="Times New Roman" w:cs="Times New Roman"/>
          <w:sz w:val="21"/>
          <w:szCs w:val="21"/>
        </w:rPr>
        <w:t>PIT</w:t>
      </w:r>
      <w:r w:rsidRPr="009B0CD7">
        <w:rPr>
          <w:rFonts w:ascii="Times New Roman" w:eastAsia="宋体" w:hAnsi="Times New Roman" w:cs="Times New Roman"/>
          <w:sz w:val="21"/>
          <w:szCs w:val="21"/>
        </w:rPr>
        <w:t>均值相互印证，可为后续时变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分析提供边缘分布基础。</w:t>
      </w:r>
    </w:p>
    <w:p w14:paraId="33CC355A" w14:textId="77777777" w:rsidR="0081344D" w:rsidRPr="009B0CD7" w:rsidRDefault="00000000">
      <w:pPr>
        <w:spacing w:after="0" w:line="240" w:lineRule="auto"/>
        <w:rPr>
          <w:rFonts w:ascii="Times New Roman" w:eastAsia="宋体" w:hAnsi="Times New Roman" w:cs="Times New Roman"/>
        </w:rPr>
      </w:pPr>
      <w:r w:rsidRPr="009B0CD7">
        <w:rPr>
          <w:noProof/>
        </w:rPr>
        <w:lastRenderedPageBreak/>
        <w:drawing>
          <wp:inline distT="0" distB="0" distL="0" distR="0" wp14:anchorId="5B63E42A" wp14:editId="22350B75">
            <wp:extent cx="5274310" cy="7073900"/>
            <wp:effectExtent l="0" t="0" r="2540" b="0"/>
            <wp:docPr id="91244720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47201" name="图片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7073900"/>
                    </a:xfrm>
                    <a:prstGeom prst="rect">
                      <a:avLst/>
                    </a:prstGeom>
                    <a:noFill/>
                    <a:ln>
                      <a:noFill/>
                    </a:ln>
                  </pic:spPr>
                </pic:pic>
              </a:graphicData>
            </a:graphic>
          </wp:inline>
        </w:drawing>
      </w:r>
    </w:p>
    <w:p w14:paraId="3C277FC8" w14:textId="4CE341DE"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8" w:name="_Ref234595297"/>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3</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典型月份</w:t>
      </w:r>
      <w:r w:rsidRPr="009B0CD7">
        <w:rPr>
          <w:rFonts w:ascii="Times New Roman" w:eastAsia="黑体" w:hAnsi="Times New Roman" w:cs="Times New Roman" w:hint="eastAsia"/>
          <w:sz w:val="18"/>
          <w:szCs w:val="18"/>
          <w14:ligatures w14:val="none"/>
        </w:rPr>
        <w:t>最优</w:t>
      </w:r>
      <w:r w:rsidRPr="009B0CD7">
        <w:rPr>
          <w:rFonts w:ascii="Times New Roman" w:eastAsia="黑体" w:hAnsi="Times New Roman" w:cs="Times New Roman" w:hint="eastAsia"/>
          <w:sz w:val="18"/>
          <w:szCs w:val="18"/>
          <w14:ligatures w14:val="none"/>
        </w:rPr>
        <w:t>GAMLSS</w:t>
      </w:r>
      <w:r w:rsidRPr="009B0CD7">
        <w:rPr>
          <w:rFonts w:ascii="Times New Roman" w:eastAsia="黑体" w:hAnsi="Times New Roman" w:cs="Times New Roman" w:hint="eastAsia"/>
          <w:sz w:val="18"/>
          <w:szCs w:val="18"/>
          <w14:ligatures w14:val="none"/>
        </w:rPr>
        <w:t>边缘模型正态</w:t>
      </w:r>
      <w:r w:rsidRPr="009B0CD7">
        <w:rPr>
          <w:rFonts w:ascii="Times New Roman" w:eastAsia="黑体" w:hAnsi="Times New Roman" w:cs="Times New Roman" w:hint="eastAsia"/>
          <w:sz w:val="18"/>
          <w:szCs w:val="18"/>
          <w14:ligatures w14:val="none"/>
        </w:rPr>
        <w:t>Q-Q</w:t>
      </w:r>
      <w:r w:rsidRPr="009B0CD7">
        <w:rPr>
          <w:rFonts w:ascii="Times New Roman" w:eastAsia="黑体" w:hAnsi="Times New Roman" w:cs="Times New Roman" w:hint="eastAsia"/>
          <w:sz w:val="18"/>
          <w:szCs w:val="18"/>
          <w14:ligatures w14:val="none"/>
        </w:rPr>
        <w:t>图和残差</w:t>
      </w:r>
      <w:r w:rsidRPr="009B0CD7">
        <w:rPr>
          <w:rFonts w:ascii="Times New Roman" w:eastAsia="黑体" w:hAnsi="Times New Roman" w:cs="Times New Roman" w:hint="eastAsia"/>
          <w:sz w:val="18"/>
          <w:szCs w:val="18"/>
          <w14:ligatures w14:val="none"/>
        </w:rPr>
        <w:t>Worm</w:t>
      </w:r>
      <w:r w:rsidRPr="009B0CD7">
        <w:rPr>
          <w:rFonts w:ascii="Times New Roman" w:eastAsia="黑体" w:hAnsi="Times New Roman" w:cs="Times New Roman" w:hint="eastAsia"/>
          <w:sz w:val="18"/>
          <w:szCs w:val="18"/>
          <w14:ligatures w14:val="none"/>
        </w:rPr>
        <w:t>图</w:t>
      </w:r>
      <w:bookmarkEnd w:id="8"/>
    </w:p>
    <w:p w14:paraId="525DFD70" w14:textId="262FD579"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 xml:space="preserve">Fig.3 </w:t>
      </w:r>
      <w:r w:rsidRPr="009B0CD7">
        <w:rPr>
          <w:rFonts w:ascii="Times New Roman" w:eastAsia="黑体" w:hAnsi="Times New Roman" w:cs="Times New Roman"/>
          <w:bCs/>
          <w:sz w:val="18"/>
          <w:szCs w:val="18"/>
          <w14:ligatures w14:val="none"/>
        </w:rPr>
        <w:t xml:space="preserve"> Normal Q-Q plots and residual </w:t>
      </w:r>
      <w:r w:rsidRPr="009B0CD7">
        <w:rPr>
          <w:rFonts w:ascii="Times New Roman" w:eastAsia="黑体" w:hAnsi="Times New Roman" w:cs="Times New Roman" w:hint="eastAsia"/>
          <w:bCs/>
          <w:sz w:val="18"/>
          <w:szCs w:val="18"/>
          <w14:ligatures w14:val="none"/>
        </w:rPr>
        <w:t>W</w:t>
      </w:r>
      <w:r w:rsidRPr="009B0CD7">
        <w:rPr>
          <w:rFonts w:ascii="Times New Roman" w:eastAsia="黑体" w:hAnsi="Times New Roman" w:cs="Times New Roman"/>
          <w:bCs/>
          <w:sz w:val="18"/>
          <w:szCs w:val="18"/>
          <w14:ligatures w14:val="none"/>
        </w:rPr>
        <w:t xml:space="preserve">orm plots for optimal GAMLSS marginal models in </w:t>
      </w:r>
      <w:r w:rsidRPr="009B0CD7">
        <w:rPr>
          <w:rFonts w:ascii="Times New Roman" w:eastAsia="黑体" w:hAnsi="Times New Roman" w:cs="Times New Roman" w:hint="eastAsia"/>
          <w:bCs/>
          <w:sz w:val="18"/>
          <w:szCs w:val="18"/>
          <w14:ligatures w14:val="none"/>
        </w:rPr>
        <w:t>typical</w:t>
      </w:r>
      <w:r w:rsidRPr="009B0CD7">
        <w:rPr>
          <w:rFonts w:ascii="Times New Roman" w:eastAsia="黑体" w:hAnsi="Times New Roman" w:cs="Times New Roman"/>
          <w:bCs/>
          <w:sz w:val="18"/>
          <w:szCs w:val="18"/>
          <w14:ligatures w14:val="none"/>
        </w:rPr>
        <w:t xml:space="preserve"> months</w:t>
      </w:r>
    </w:p>
    <w:p w14:paraId="7AD08D19" w14:textId="77777777" w:rsidR="0081344D" w:rsidRPr="009B0CD7" w:rsidRDefault="00000000">
      <w:pPr>
        <w:spacing w:after="0" w:line="240" w:lineRule="auto"/>
        <w:jc w:val="center"/>
        <w:rPr>
          <w:rFonts w:ascii="Times New Roman" w:eastAsia="宋体" w:hAnsi="Times New Roman" w:cs="Times New Roman"/>
        </w:rPr>
      </w:pPr>
      <w:r w:rsidRPr="009B0CD7">
        <w:t xml:space="preserve"> </w:t>
      </w:r>
      <w:r w:rsidRPr="009B0CD7">
        <w:rPr>
          <w:noProof/>
        </w:rPr>
        <w:lastRenderedPageBreak/>
        <w:drawing>
          <wp:inline distT="0" distB="0" distL="0" distR="0" wp14:anchorId="68054611" wp14:editId="2D5DEDB7">
            <wp:extent cx="5274310" cy="4853940"/>
            <wp:effectExtent l="0" t="0" r="2540" b="3810"/>
            <wp:docPr id="9220646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64619" name="图片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4853940"/>
                    </a:xfrm>
                    <a:prstGeom prst="rect">
                      <a:avLst/>
                    </a:prstGeom>
                    <a:noFill/>
                    <a:ln>
                      <a:noFill/>
                    </a:ln>
                  </pic:spPr>
                </pic:pic>
              </a:graphicData>
            </a:graphic>
          </wp:inline>
        </w:drawing>
      </w:r>
    </w:p>
    <w:p w14:paraId="2DC1E900" w14:textId="7579703E"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9" w:name="_Ref234595324"/>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4</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典型月份最优</w:t>
      </w:r>
      <w:r w:rsidRPr="009B0CD7">
        <w:rPr>
          <w:rFonts w:ascii="Times New Roman" w:eastAsia="黑体" w:hAnsi="Times New Roman" w:cs="Times New Roman" w:hint="eastAsia"/>
          <w:sz w:val="18"/>
          <w:szCs w:val="18"/>
          <w14:ligatures w14:val="none"/>
        </w:rPr>
        <w:t>GAMLSS</w:t>
      </w:r>
      <w:r w:rsidRPr="009B0CD7">
        <w:rPr>
          <w:rFonts w:ascii="Times New Roman" w:eastAsia="黑体" w:hAnsi="Times New Roman" w:cs="Times New Roman" w:hint="eastAsia"/>
          <w:sz w:val="18"/>
          <w:szCs w:val="18"/>
          <w14:ligatures w14:val="none"/>
        </w:rPr>
        <w:t>边缘模型的分位数曲线</w:t>
      </w:r>
      <w:bookmarkEnd w:id="9"/>
    </w:p>
    <w:p w14:paraId="031474A7" w14:textId="141D4918"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Fig.4</w:t>
      </w:r>
      <w:r w:rsidRPr="009B0CD7">
        <w:rPr>
          <w:rFonts w:ascii="Times New Roman" w:eastAsia="黑体" w:hAnsi="Times New Roman" w:cs="Times New Roman"/>
          <w:bCs/>
          <w:sz w:val="18"/>
          <w:szCs w:val="18"/>
          <w14:ligatures w14:val="none"/>
        </w:rPr>
        <w:t xml:space="preserve"> </w:t>
      </w:r>
      <w:r w:rsidRPr="009B0CD7">
        <w:rPr>
          <w:rFonts w:ascii="Times New Roman" w:eastAsia="黑体" w:hAnsi="Times New Roman" w:cs="Times New Roman" w:hint="eastAsia"/>
          <w:bCs/>
          <w:sz w:val="18"/>
          <w:szCs w:val="18"/>
          <w14:ligatures w14:val="none"/>
        </w:rPr>
        <w:t xml:space="preserve"> </w:t>
      </w:r>
      <w:r w:rsidRPr="009B0CD7">
        <w:rPr>
          <w:rFonts w:ascii="Times New Roman" w:eastAsia="黑体" w:hAnsi="Times New Roman" w:cs="Times New Roman"/>
          <w:bCs/>
          <w:sz w:val="18"/>
          <w:szCs w:val="18"/>
          <w14:ligatures w14:val="none"/>
        </w:rPr>
        <w:t xml:space="preserve">Quantile curves of optimal GAMLSS marginal models in </w:t>
      </w:r>
      <w:r w:rsidRPr="009B0CD7">
        <w:rPr>
          <w:rFonts w:ascii="Times New Roman" w:eastAsia="黑体" w:hAnsi="Times New Roman" w:cs="Times New Roman" w:hint="eastAsia"/>
          <w:bCs/>
          <w:sz w:val="18"/>
          <w:szCs w:val="18"/>
          <w14:ligatures w14:val="none"/>
        </w:rPr>
        <w:t>typical</w:t>
      </w:r>
      <w:r w:rsidRPr="009B0CD7">
        <w:rPr>
          <w:rFonts w:ascii="Times New Roman" w:eastAsia="黑体" w:hAnsi="Times New Roman" w:cs="Times New Roman"/>
          <w:bCs/>
          <w:sz w:val="18"/>
          <w:szCs w:val="18"/>
          <w14:ligatures w14:val="none"/>
        </w:rPr>
        <w:t xml:space="preserve"> months</w:t>
      </w:r>
    </w:p>
    <w:p w14:paraId="42CBE15E" w14:textId="77777777" w:rsidR="0081344D" w:rsidRPr="009B0CD7" w:rsidRDefault="00000000">
      <w:pPr>
        <w:keepNext/>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t xml:space="preserve">2.2.2 </w:t>
      </w:r>
      <w:r w:rsidRPr="009B0CD7">
        <w:rPr>
          <w:rFonts w:ascii="Times New Roman" w:eastAsia="楷体" w:hAnsi="Times New Roman" w:cs="Times New Roman" w:hint="eastAsia"/>
          <w:sz w:val="21"/>
          <w:szCs w:val="22"/>
          <w14:ligatures w14:val="none"/>
        </w:rPr>
        <w:t>参数时变规律</w:t>
      </w:r>
    </w:p>
    <w:p w14:paraId="22919D8F" w14:textId="77777777" w:rsidR="0081344D" w:rsidRPr="009B0CD7" w:rsidRDefault="00000000" w:rsidP="00530242">
      <w:pPr>
        <w:adjustRightInd w:val="0"/>
        <w:snapToGrid w:val="0"/>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hint="eastAsia"/>
          <w:sz w:val="21"/>
          <w:szCs w:val="21"/>
        </w:rPr>
        <w:t>表</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给出了两水源各月份最优边缘分布类型及参数结构，为进一步展示非平稳月份中年度条件边缘分布函数的构建依据，表</w:t>
      </w:r>
      <w:r w:rsidRPr="009B0CD7">
        <w:rPr>
          <w:rFonts w:ascii="Times New Roman" w:eastAsia="宋体" w:hAnsi="Times New Roman" w:cs="Times New Roman" w:hint="eastAsia"/>
          <w:sz w:val="21"/>
          <w:szCs w:val="21"/>
        </w:rPr>
        <w:t>4</w:t>
      </w:r>
      <w:r w:rsidRPr="009B0CD7">
        <w:rPr>
          <w:rFonts w:ascii="Times New Roman" w:eastAsia="宋体" w:hAnsi="Times New Roman" w:cs="Times New Roman" w:hint="eastAsia"/>
          <w:sz w:val="21"/>
          <w:szCs w:val="21"/>
        </w:rPr>
        <w:t>列出了各最优非平稳</w:t>
      </w:r>
      <w:r w:rsidRPr="009B0CD7">
        <w:rPr>
          <w:rFonts w:ascii="Times New Roman" w:eastAsia="宋体" w:hAnsi="Times New Roman" w:cs="Times New Roman" w:hint="eastAsia"/>
          <w:sz w:val="21"/>
          <w:szCs w:val="21"/>
        </w:rPr>
        <w:t>GAMLSS</w:t>
      </w:r>
      <w:r w:rsidRPr="009B0CD7">
        <w:rPr>
          <w:rFonts w:ascii="Times New Roman" w:eastAsia="宋体" w:hAnsi="Times New Roman" w:cs="Times New Roman" w:hint="eastAsia"/>
          <w:sz w:val="21"/>
          <w:szCs w:val="21"/>
        </w:rPr>
        <w:t>模型的位置参数和尺度参数估计结果。</w:t>
      </w:r>
      <w:r w:rsidRPr="009B0CD7">
        <w:rPr>
          <w:rFonts w:ascii="Times New Roman" w:eastAsia="宋体" w:hAnsi="Times New Roman" w:cs="Times New Roman"/>
          <w:sz w:val="21"/>
          <w:szCs w:val="21"/>
        </w:rPr>
        <w:t>对于两</w:t>
      </w:r>
      <w:r w:rsidRPr="009B0CD7">
        <w:rPr>
          <w:rFonts w:ascii="Times New Roman" w:eastAsia="宋体" w:hAnsi="Times New Roman" w:cs="Times New Roman" w:hint="eastAsia"/>
          <w:sz w:val="21"/>
          <w:szCs w:val="21"/>
        </w:rPr>
        <w:t>水源</w:t>
      </w:r>
      <w:r w:rsidRPr="009B0CD7">
        <w:rPr>
          <w:rFonts w:ascii="Times New Roman" w:eastAsia="宋体" w:hAnsi="Times New Roman" w:cs="Times New Roman"/>
          <w:sz w:val="21"/>
          <w:szCs w:val="21"/>
        </w:rPr>
        <w:t>径流最优非平稳模型，石头峡水库的位置参</w:t>
      </w:r>
      <w:r w:rsidRPr="009B0CD7">
        <w:rPr>
          <w:rFonts w:ascii="Times New Roman" w:eastAsia="宋体" w:hAnsi="Times New Roman" w:cs="Times New Roman" w:hint="eastAsia"/>
          <w:sz w:val="21"/>
          <w:szCs w:val="21"/>
        </w:rPr>
        <w:t>数</w:t>
      </w:r>
      <w:r w:rsidRPr="009B0CD7">
        <w:rPr>
          <w:rFonts w:ascii="Times New Roman" w:eastAsia="宋体" w:hAnsi="Times New Roman" w:cs="Times New Roman"/>
          <w:sz w:val="21"/>
          <w:szCs w:val="21"/>
        </w:rPr>
        <w:t>非平稳模型（</w:t>
      </w:r>
      <w:r w:rsidRPr="009B0CD7">
        <w:rPr>
          <w:rFonts w:ascii="Times New Roman" w:eastAsia="宋体" w:hAnsi="Times New Roman" w:cs="Times New Roman"/>
          <w:sz w:val="21"/>
          <w:szCs w:val="21"/>
        </w:rPr>
        <w:t>M1</w:t>
      </w:r>
      <w:r w:rsidRPr="009B0CD7">
        <w:rPr>
          <w:rFonts w:ascii="Times New Roman" w:eastAsia="宋体" w:hAnsi="Times New Roman" w:cs="Times New Roman"/>
          <w:sz w:val="21"/>
          <w:szCs w:val="21"/>
        </w:rPr>
        <w:t>）和位置</w:t>
      </w:r>
      <w:r w:rsidRPr="009B0CD7">
        <w:rPr>
          <w:rFonts w:ascii="Times New Roman" w:eastAsia="宋体" w:hAnsi="Lucida Sans Unicode" w:cs="Times New Roman"/>
          <w:sz w:val="21"/>
          <w:szCs w:val="21"/>
        </w:rPr>
        <w:t>‑</w:t>
      </w:r>
      <w:r w:rsidRPr="009B0CD7">
        <w:rPr>
          <w:rFonts w:ascii="Times New Roman" w:eastAsia="宋体" w:hAnsi="Times New Roman" w:cs="Times New Roman"/>
          <w:sz w:val="21"/>
          <w:szCs w:val="21"/>
        </w:rPr>
        <w:t>尺度双非平稳模型（</w:t>
      </w:r>
      <w:r w:rsidRPr="009B0CD7">
        <w:rPr>
          <w:rFonts w:ascii="Times New Roman" w:eastAsia="宋体" w:hAnsi="Times New Roman" w:cs="Times New Roman"/>
          <w:sz w:val="21"/>
          <w:szCs w:val="21"/>
        </w:rPr>
        <w:t>M2</w:t>
      </w:r>
      <w:r w:rsidRPr="009B0CD7">
        <w:rPr>
          <w:rFonts w:ascii="Times New Roman" w:eastAsia="宋体" w:hAnsi="Times New Roman" w:cs="Times New Roman"/>
          <w:sz w:val="21"/>
          <w:szCs w:val="21"/>
        </w:rPr>
        <w:t>）数量相同，均为三个；黑泉水库以位置参</w:t>
      </w:r>
      <w:r w:rsidRPr="009B0CD7">
        <w:rPr>
          <w:rFonts w:ascii="Times New Roman" w:eastAsia="宋体" w:hAnsi="Times New Roman" w:cs="Times New Roman" w:hint="eastAsia"/>
          <w:sz w:val="21"/>
          <w:szCs w:val="21"/>
        </w:rPr>
        <w:t>数</w:t>
      </w:r>
      <w:r w:rsidRPr="009B0CD7">
        <w:rPr>
          <w:rFonts w:ascii="Times New Roman" w:eastAsia="宋体" w:hAnsi="Times New Roman" w:cs="Times New Roman"/>
          <w:sz w:val="21"/>
          <w:szCs w:val="21"/>
        </w:rPr>
        <w:t>非平稳模型（</w:t>
      </w:r>
      <w:r w:rsidRPr="009B0CD7">
        <w:rPr>
          <w:rFonts w:ascii="Times New Roman" w:eastAsia="宋体" w:hAnsi="Times New Roman" w:cs="Times New Roman"/>
          <w:sz w:val="21"/>
          <w:szCs w:val="21"/>
        </w:rPr>
        <w:t>M1</w:t>
      </w:r>
      <w:r w:rsidRPr="009B0CD7">
        <w:rPr>
          <w:rFonts w:ascii="Times New Roman" w:eastAsia="宋体" w:hAnsi="Times New Roman" w:cs="Times New Roman"/>
          <w:sz w:val="21"/>
          <w:szCs w:val="21"/>
        </w:rPr>
        <w:t>）为主，共计五个，位置</w:t>
      </w:r>
      <w:r w:rsidRPr="009B0CD7">
        <w:rPr>
          <w:rFonts w:ascii="Times New Roman" w:eastAsia="宋体" w:hAnsi="Lucida Sans Unicode" w:cs="Times New Roman"/>
          <w:sz w:val="21"/>
          <w:szCs w:val="21"/>
        </w:rPr>
        <w:t>‑</w:t>
      </w:r>
      <w:r w:rsidRPr="009B0CD7">
        <w:rPr>
          <w:rFonts w:ascii="Times New Roman" w:eastAsia="宋体" w:hAnsi="Times New Roman" w:cs="Times New Roman"/>
          <w:sz w:val="21"/>
          <w:szCs w:val="21"/>
        </w:rPr>
        <w:t>尺度双非平稳模型（</w:t>
      </w:r>
      <w:r w:rsidRPr="009B0CD7">
        <w:rPr>
          <w:rFonts w:ascii="Times New Roman" w:eastAsia="宋体" w:hAnsi="Times New Roman" w:cs="Times New Roman"/>
          <w:sz w:val="21"/>
          <w:szCs w:val="21"/>
        </w:rPr>
        <w:t>M2</w:t>
      </w:r>
      <w:r w:rsidRPr="009B0CD7">
        <w:rPr>
          <w:rFonts w:ascii="Times New Roman" w:eastAsia="宋体" w:hAnsi="Times New Roman" w:cs="Times New Roman"/>
          <w:sz w:val="21"/>
          <w:szCs w:val="21"/>
        </w:rPr>
        <w:t>）为两个。</w:t>
      </w:r>
    </w:p>
    <w:p w14:paraId="4756293A" w14:textId="1C850649"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10" w:name="_Ref234595350"/>
      <w:r w:rsidRPr="009B0CD7">
        <w:rPr>
          <w:rFonts w:ascii="Times New Roman" w:eastAsia="黑体" w:hAnsi="Times New Roman" w:cs="Times New Roman" w:hint="eastAsia"/>
          <w:sz w:val="18"/>
          <w:szCs w:val="18"/>
          <w14:ligatures w14:val="none"/>
        </w:rPr>
        <w:t>表</w:t>
      </w:r>
      <w:r w:rsidRPr="009B0CD7">
        <w:rPr>
          <w:rFonts w:ascii="Times New Roman" w:eastAsia="黑体" w:hAnsi="Times New Roman" w:cs="Times New Roman" w:hint="eastAsia"/>
          <w:sz w:val="18"/>
          <w:szCs w:val="18"/>
          <w14:ligatures w14:val="none"/>
        </w:rPr>
        <w:t>4</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双水源月径流最优非平稳</w:t>
      </w:r>
      <w:r w:rsidRPr="009B0CD7">
        <w:rPr>
          <w:rFonts w:ascii="Times New Roman" w:eastAsia="黑体" w:hAnsi="Times New Roman" w:cs="Times New Roman"/>
          <w:sz w:val="18"/>
          <w:szCs w:val="18"/>
          <w14:ligatures w14:val="none"/>
        </w:rPr>
        <w:t>GAMLSS</w:t>
      </w:r>
      <w:r w:rsidRPr="009B0CD7">
        <w:rPr>
          <w:rFonts w:ascii="Times New Roman" w:eastAsia="黑体" w:hAnsi="Times New Roman" w:cs="Times New Roman"/>
          <w:sz w:val="18"/>
          <w:szCs w:val="18"/>
          <w14:ligatures w14:val="none"/>
        </w:rPr>
        <w:t>边缘分布参数估计结果</w:t>
      </w:r>
      <w:bookmarkEnd w:id="10"/>
    </w:p>
    <w:p w14:paraId="4F786B57" w14:textId="1B0D6F63"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r w:rsidRPr="009B0CD7">
        <w:rPr>
          <w:rFonts w:ascii="Times New Roman" w:eastAsia="黑体" w:hAnsi="Times New Roman" w:cs="Times New Roman" w:hint="eastAsia"/>
          <w:sz w:val="18"/>
          <w:szCs w:val="18"/>
          <w14:ligatures w14:val="none"/>
        </w:rPr>
        <w:t>Table 4</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Parameter estimates of optimal non-stationary GAMLSS marginal distribution</w:t>
      </w:r>
      <w:r w:rsidRPr="009B0CD7">
        <w:rPr>
          <w:rFonts w:ascii="Times New Roman" w:eastAsia="黑体" w:hAnsi="Times New Roman" w:cs="Times New Roman" w:hint="eastAsia"/>
          <w:sz w:val="18"/>
          <w:szCs w:val="18"/>
          <w14:ligatures w14:val="none"/>
        </w:rPr>
        <w:t xml:space="preserve"> model</w:t>
      </w:r>
      <w:r w:rsidRPr="009B0CD7">
        <w:rPr>
          <w:rFonts w:ascii="Times New Roman" w:eastAsia="黑体" w:hAnsi="Times New Roman" w:cs="Times New Roman"/>
          <w:sz w:val="18"/>
          <w:szCs w:val="18"/>
          <w14:ligatures w14:val="none"/>
        </w:rPr>
        <w:t>s for monthly runoff series of two water sources</w:t>
      </w:r>
    </w:p>
    <w:tbl>
      <w:tblPr>
        <w:tblStyle w:val="af0"/>
        <w:tblW w:w="8080"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840"/>
        <w:gridCol w:w="1840"/>
        <w:gridCol w:w="573"/>
        <w:gridCol w:w="1630"/>
        <w:gridCol w:w="1630"/>
      </w:tblGrid>
      <w:tr w:rsidR="0081344D" w:rsidRPr="009B0CD7" w14:paraId="5B0D9A4A" w14:textId="77777777">
        <w:trPr>
          <w:tblHeader/>
          <w:jc w:val="center"/>
        </w:trPr>
        <w:tc>
          <w:tcPr>
            <w:tcW w:w="567" w:type="dxa"/>
            <w:vMerge w:val="restart"/>
            <w:tcBorders>
              <w:top w:val="single" w:sz="12" w:space="0" w:color="auto"/>
              <w:bottom w:val="nil"/>
              <w:right w:val="single" w:sz="4" w:space="0" w:color="auto"/>
            </w:tcBorders>
            <w:vAlign w:val="center"/>
          </w:tcPr>
          <w:p w14:paraId="59BAB73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月份</w:t>
            </w:r>
          </w:p>
        </w:tc>
        <w:tc>
          <w:tcPr>
            <w:tcW w:w="3680" w:type="dxa"/>
            <w:gridSpan w:val="2"/>
            <w:tcBorders>
              <w:top w:val="single" w:sz="12" w:space="0" w:color="auto"/>
              <w:left w:val="single" w:sz="4" w:space="0" w:color="auto"/>
              <w:bottom w:val="single" w:sz="4" w:space="0" w:color="auto"/>
              <w:right w:val="single" w:sz="4" w:space="0" w:color="auto"/>
            </w:tcBorders>
          </w:tcPr>
          <w:p w14:paraId="6B13347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大通河水源（石头峡）</w:t>
            </w:r>
          </w:p>
        </w:tc>
        <w:tc>
          <w:tcPr>
            <w:tcW w:w="573" w:type="dxa"/>
            <w:vMerge w:val="restart"/>
            <w:tcBorders>
              <w:top w:val="single" w:sz="12" w:space="0" w:color="auto"/>
              <w:left w:val="single" w:sz="4" w:space="0" w:color="auto"/>
              <w:bottom w:val="single" w:sz="4" w:space="0" w:color="auto"/>
              <w:right w:val="single" w:sz="4" w:space="0" w:color="auto"/>
            </w:tcBorders>
            <w:vAlign w:val="center"/>
          </w:tcPr>
          <w:p w14:paraId="5AD156C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月份</w:t>
            </w:r>
          </w:p>
        </w:tc>
        <w:tc>
          <w:tcPr>
            <w:tcW w:w="3260" w:type="dxa"/>
            <w:gridSpan w:val="2"/>
            <w:tcBorders>
              <w:top w:val="single" w:sz="12" w:space="0" w:color="auto"/>
              <w:left w:val="single" w:sz="4" w:space="0" w:color="auto"/>
              <w:bottom w:val="single" w:sz="4" w:space="0" w:color="auto"/>
            </w:tcBorders>
          </w:tcPr>
          <w:p w14:paraId="2BFB197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湟水水源（黑泉）</w:t>
            </w:r>
          </w:p>
        </w:tc>
      </w:tr>
      <w:tr w:rsidR="0081344D" w:rsidRPr="009B0CD7" w14:paraId="78DA544F" w14:textId="77777777">
        <w:trPr>
          <w:tblHeader/>
          <w:jc w:val="center"/>
        </w:trPr>
        <w:tc>
          <w:tcPr>
            <w:tcW w:w="567" w:type="dxa"/>
            <w:vMerge/>
            <w:tcBorders>
              <w:top w:val="nil"/>
              <w:bottom w:val="single" w:sz="4" w:space="0" w:color="auto"/>
              <w:right w:val="single" w:sz="4" w:space="0" w:color="auto"/>
            </w:tcBorders>
          </w:tcPr>
          <w:p w14:paraId="33E4E678"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1840" w:type="dxa"/>
            <w:tcBorders>
              <w:top w:val="single" w:sz="4" w:space="0" w:color="auto"/>
              <w:left w:val="single" w:sz="4" w:space="0" w:color="auto"/>
              <w:bottom w:val="single" w:sz="4" w:space="0" w:color="auto"/>
              <w:right w:val="single" w:sz="4" w:space="0" w:color="auto"/>
            </w:tcBorders>
          </w:tcPr>
          <w:p w14:paraId="6F6A5E6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位置参数</w:t>
            </w:r>
            <m:oMath>
              <m:r>
                <w:rPr>
                  <w:rFonts w:ascii="Cambria Math" w:eastAsia="宋体" w:hAnsi="Cambria Math" w:cs="Times New Roman"/>
                  <w:sz w:val="15"/>
                  <w:szCs w:val="15"/>
                </w:rPr>
                <m:t>μ</m:t>
              </m:r>
            </m:oMath>
          </w:p>
        </w:tc>
        <w:tc>
          <w:tcPr>
            <w:tcW w:w="1840" w:type="dxa"/>
            <w:tcBorders>
              <w:top w:val="single" w:sz="4" w:space="0" w:color="auto"/>
              <w:left w:val="single" w:sz="4" w:space="0" w:color="auto"/>
              <w:bottom w:val="single" w:sz="4" w:space="0" w:color="auto"/>
              <w:right w:val="single" w:sz="4" w:space="0" w:color="auto"/>
            </w:tcBorders>
          </w:tcPr>
          <w:p w14:paraId="5EB4D3A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尺度参数</w:t>
            </w:r>
            <m:oMath>
              <m:r>
                <w:rPr>
                  <w:rFonts w:ascii="Cambria Math" w:eastAsia="宋体" w:hAnsi="Cambria Math" w:cs="Times New Roman"/>
                  <w:sz w:val="15"/>
                  <w:szCs w:val="15"/>
                </w:rPr>
                <m:t>σ</m:t>
              </m:r>
            </m:oMath>
          </w:p>
        </w:tc>
        <w:tc>
          <w:tcPr>
            <w:tcW w:w="573" w:type="dxa"/>
            <w:vMerge/>
            <w:tcBorders>
              <w:top w:val="single" w:sz="4" w:space="0" w:color="auto"/>
              <w:left w:val="single" w:sz="4" w:space="0" w:color="auto"/>
              <w:bottom w:val="single" w:sz="4" w:space="0" w:color="auto"/>
              <w:right w:val="single" w:sz="4" w:space="0" w:color="auto"/>
            </w:tcBorders>
          </w:tcPr>
          <w:p w14:paraId="5A28DB6D" w14:textId="77777777" w:rsidR="0081344D" w:rsidRPr="009B0CD7" w:rsidRDefault="0081344D">
            <w:pPr>
              <w:adjustRightInd w:val="0"/>
              <w:snapToGrid w:val="0"/>
              <w:spacing w:after="0" w:line="240" w:lineRule="auto"/>
              <w:jc w:val="center"/>
              <w:rPr>
                <w:rFonts w:ascii="Times New Roman" w:eastAsia="宋体" w:hAnsi="Times New Roman" w:cs="Times New Roman"/>
                <w:sz w:val="15"/>
                <w:szCs w:val="15"/>
              </w:rPr>
            </w:pPr>
          </w:p>
        </w:tc>
        <w:tc>
          <w:tcPr>
            <w:tcW w:w="1630" w:type="dxa"/>
            <w:tcBorders>
              <w:top w:val="single" w:sz="4" w:space="0" w:color="auto"/>
              <w:left w:val="single" w:sz="4" w:space="0" w:color="auto"/>
              <w:bottom w:val="single" w:sz="4" w:space="0" w:color="auto"/>
              <w:right w:val="single" w:sz="4" w:space="0" w:color="auto"/>
            </w:tcBorders>
          </w:tcPr>
          <w:p w14:paraId="6C76C70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位置参数</w:t>
            </w:r>
            <m:oMath>
              <m:r>
                <w:rPr>
                  <w:rFonts w:ascii="Cambria Math" w:eastAsia="宋体" w:hAnsi="Cambria Math" w:cs="Times New Roman"/>
                  <w:sz w:val="15"/>
                  <w:szCs w:val="15"/>
                </w:rPr>
                <m:t>μ</m:t>
              </m:r>
            </m:oMath>
          </w:p>
        </w:tc>
        <w:tc>
          <w:tcPr>
            <w:tcW w:w="1630" w:type="dxa"/>
            <w:tcBorders>
              <w:top w:val="single" w:sz="4" w:space="0" w:color="auto"/>
              <w:left w:val="single" w:sz="4" w:space="0" w:color="auto"/>
              <w:bottom w:val="single" w:sz="4" w:space="0" w:color="auto"/>
            </w:tcBorders>
          </w:tcPr>
          <w:p w14:paraId="23BF317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尺度参数</w:t>
            </w:r>
            <m:oMath>
              <m:r>
                <w:rPr>
                  <w:rFonts w:ascii="Cambria Math" w:eastAsia="宋体" w:hAnsi="Cambria Math" w:cs="Times New Roman"/>
                  <w:sz w:val="15"/>
                  <w:szCs w:val="15"/>
                </w:rPr>
                <m:t>σ</m:t>
              </m:r>
            </m:oMath>
          </w:p>
        </w:tc>
      </w:tr>
      <w:tr w:rsidR="0081344D" w:rsidRPr="009B0CD7" w14:paraId="05693055" w14:textId="77777777">
        <w:trPr>
          <w:jc w:val="center"/>
        </w:trPr>
        <w:tc>
          <w:tcPr>
            <w:tcW w:w="567" w:type="dxa"/>
            <w:tcBorders>
              <w:top w:val="single" w:sz="4" w:space="0" w:color="auto"/>
              <w:right w:val="single" w:sz="4" w:space="0" w:color="auto"/>
            </w:tcBorders>
          </w:tcPr>
          <w:p w14:paraId="6AE15AF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w:t>
            </w:r>
            <w:r w:rsidRPr="009B0CD7">
              <w:rPr>
                <w:rFonts w:ascii="Times New Roman" w:eastAsia="宋体" w:hAnsi="Times New Roman" w:cs="Times New Roman"/>
                <w:sz w:val="15"/>
                <w:szCs w:val="15"/>
              </w:rPr>
              <w:t>月</w:t>
            </w:r>
          </w:p>
        </w:tc>
        <w:tc>
          <w:tcPr>
            <w:tcW w:w="1840" w:type="dxa"/>
            <w:tcBorders>
              <w:top w:val="single" w:sz="4" w:space="0" w:color="auto"/>
              <w:left w:val="single" w:sz="4" w:space="0" w:color="auto"/>
              <w:right w:val="single" w:sz="4" w:space="0" w:color="auto"/>
            </w:tcBorders>
          </w:tcPr>
          <w:p w14:paraId="626C017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6.6884+0.0166</w:t>
            </w:r>
            <w:r w:rsidRPr="009B0CD7">
              <w:rPr>
                <w:rFonts w:ascii="Times New Roman" w:eastAsia="宋体" w:hAnsi="Times New Roman" w:cs="Times New Roman"/>
                <w:i/>
                <w:iCs/>
                <w:sz w:val="15"/>
                <w:szCs w:val="15"/>
              </w:rPr>
              <w:t>t</w:t>
            </w:r>
          </w:p>
        </w:tc>
        <w:tc>
          <w:tcPr>
            <w:tcW w:w="1840" w:type="dxa"/>
            <w:tcBorders>
              <w:top w:val="single" w:sz="4" w:space="0" w:color="auto"/>
              <w:left w:val="single" w:sz="4" w:space="0" w:color="auto"/>
              <w:right w:val="single" w:sz="4" w:space="0" w:color="auto"/>
            </w:tcBorders>
          </w:tcPr>
          <w:p w14:paraId="6480E13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exp(-0.8148-0.0135</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w:t>
            </w:r>
          </w:p>
        </w:tc>
        <w:tc>
          <w:tcPr>
            <w:tcW w:w="573" w:type="dxa"/>
            <w:tcBorders>
              <w:top w:val="single" w:sz="4" w:space="0" w:color="auto"/>
              <w:left w:val="single" w:sz="4" w:space="0" w:color="auto"/>
              <w:right w:val="single" w:sz="4" w:space="0" w:color="auto"/>
            </w:tcBorders>
          </w:tcPr>
          <w:p w14:paraId="3F4CAA3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w:t>
            </w:r>
            <w:r w:rsidRPr="009B0CD7">
              <w:rPr>
                <w:rFonts w:ascii="Times New Roman" w:eastAsia="宋体" w:hAnsi="Times New Roman" w:cs="Times New Roman"/>
                <w:sz w:val="15"/>
                <w:szCs w:val="15"/>
              </w:rPr>
              <w:t>月</w:t>
            </w:r>
          </w:p>
        </w:tc>
        <w:tc>
          <w:tcPr>
            <w:tcW w:w="1630" w:type="dxa"/>
            <w:tcBorders>
              <w:top w:val="single" w:sz="4" w:space="0" w:color="auto"/>
              <w:left w:val="single" w:sz="4" w:space="0" w:color="auto"/>
              <w:right w:val="single" w:sz="4" w:space="0" w:color="auto"/>
            </w:tcBorders>
          </w:tcPr>
          <w:p w14:paraId="7B29B78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6.5330-0.0033</w:t>
            </w:r>
            <w:r w:rsidRPr="009B0CD7">
              <w:rPr>
                <w:rFonts w:ascii="Times New Roman" w:eastAsia="宋体" w:hAnsi="Times New Roman" w:cs="Times New Roman"/>
                <w:i/>
                <w:iCs/>
                <w:sz w:val="15"/>
                <w:szCs w:val="15"/>
              </w:rPr>
              <w:t>t</w:t>
            </w:r>
          </w:p>
        </w:tc>
        <w:tc>
          <w:tcPr>
            <w:tcW w:w="1630" w:type="dxa"/>
            <w:tcBorders>
              <w:top w:val="single" w:sz="4" w:space="0" w:color="auto"/>
              <w:left w:val="single" w:sz="4" w:space="0" w:color="auto"/>
            </w:tcBorders>
          </w:tcPr>
          <w:p w14:paraId="0A7353F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0.0100</w:t>
            </w:r>
          </w:p>
        </w:tc>
      </w:tr>
      <w:tr w:rsidR="0081344D" w:rsidRPr="009B0CD7" w14:paraId="1ABED638" w14:textId="77777777">
        <w:trPr>
          <w:jc w:val="center"/>
        </w:trPr>
        <w:tc>
          <w:tcPr>
            <w:tcW w:w="567" w:type="dxa"/>
            <w:tcBorders>
              <w:right w:val="single" w:sz="4" w:space="0" w:color="auto"/>
            </w:tcBorders>
          </w:tcPr>
          <w:p w14:paraId="2F6FDB3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w:t>
            </w:r>
            <w:r w:rsidRPr="009B0CD7">
              <w:rPr>
                <w:rFonts w:ascii="Times New Roman" w:eastAsia="宋体" w:hAnsi="Times New Roman" w:cs="Times New Roman"/>
                <w:sz w:val="15"/>
                <w:szCs w:val="15"/>
              </w:rPr>
              <w:t>月</w:t>
            </w:r>
          </w:p>
        </w:tc>
        <w:tc>
          <w:tcPr>
            <w:tcW w:w="1840" w:type="dxa"/>
            <w:tcBorders>
              <w:left w:val="single" w:sz="4" w:space="0" w:color="auto"/>
              <w:right w:val="single" w:sz="4" w:space="0" w:color="auto"/>
            </w:tcBorders>
          </w:tcPr>
          <w:p w14:paraId="71387DA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6.2658+0.0238</w:t>
            </w:r>
            <w:r w:rsidRPr="009B0CD7">
              <w:rPr>
                <w:rFonts w:ascii="Times New Roman" w:eastAsia="宋体" w:hAnsi="Times New Roman" w:cs="Times New Roman"/>
                <w:i/>
                <w:iCs/>
                <w:sz w:val="15"/>
                <w:szCs w:val="15"/>
              </w:rPr>
              <w:t>t</w:t>
            </w:r>
          </w:p>
        </w:tc>
        <w:tc>
          <w:tcPr>
            <w:tcW w:w="1840" w:type="dxa"/>
            <w:tcBorders>
              <w:left w:val="single" w:sz="4" w:space="0" w:color="auto"/>
              <w:right w:val="single" w:sz="4" w:space="0" w:color="auto"/>
            </w:tcBorders>
          </w:tcPr>
          <w:p w14:paraId="1F3958D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exp(-0.3718-0.0287</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w:t>
            </w:r>
          </w:p>
        </w:tc>
        <w:tc>
          <w:tcPr>
            <w:tcW w:w="573" w:type="dxa"/>
            <w:tcBorders>
              <w:left w:val="single" w:sz="4" w:space="0" w:color="auto"/>
              <w:right w:val="single" w:sz="4" w:space="0" w:color="auto"/>
            </w:tcBorders>
          </w:tcPr>
          <w:p w14:paraId="7613176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4</w:t>
            </w:r>
            <w:r w:rsidRPr="009B0CD7">
              <w:rPr>
                <w:rFonts w:ascii="Times New Roman" w:eastAsia="宋体" w:hAnsi="Times New Roman" w:cs="Times New Roman"/>
                <w:sz w:val="15"/>
                <w:szCs w:val="15"/>
              </w:rPr>
              <w:t>月</w:t>
            </w:r>
          </w:p>
        </w:tc>
        <w:tc>
          <w:tcPr>
            <w:tcW w:w="1630" w:type="dxa"/>
            <w:tcBorders>
              <w:left w:val="single" w:sz="4" w:space="0" w:color="auto"/>
              <w:right w:val="single" w:sz="4" w:space="0" w:color="auto"/>
            </w:tcBorders>
          </w:tcPr>
          <w:p w14:paraId="5575098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7.5674-0.0060</w:t>
            </w:r>
            <w:r w:rsidRPr="009B0CD7">
              <w:rPr>
                <w:rFonts w:ascii="Times New Roman" w:eastAsia="宋体" w:hAnsi="Times New Roman" w:cs="Times New Roman"/>
                <w:i/>
                <w:iCs/>
                <w:sz w:val="15"/>
                <w:szCs w:val="15"/>
              </w:rPr>
              <w:t>t</w:t>
            </w:r>
          </w:p>
        </w:tc>
        <w:tc>
          <w:tcPr>
            <w:tcW w:w="1630" w:type="dxa"/>
            <w:tcBorders>
              <w:left w:val="single" w:sz="4" w:space="0" w:color="auto"/>
            </w:tcBorders>
          </w:tcPr>
          <w:p w14:paraId="05FB74D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0.0089</w:t>
            </w:r>
          </w:p>
        </w:tc>
      </w:tr>
      <w:tr w:rsidR="0081344D" w:rsidRPr="009B0CD7" w14:paraId="252A22C7" w14:textId="77777777">
        <w:trPr>
          <w:jc w:val="center"/>
        </w:trPr>
        <w:tc>
          <w:tcPr>
            <w:tcW w:w="567" w:type="dxa"/>
            <w:tcBorders>
              <w:right w:val="single" w:sz="4" w:space="0" w:color="auto"/>
            </w:tcBorders>
          </w:tcPr>
          <w:p w14:paraId="262CE1F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w:t>
            </w:r>
            <w:r w:rsidRPr="009B0CD7">
              <w:rPr>
                <w:rFonts w:ascii="Times New Roman" w:eastAsia="宋体" w:hAnsi="Times New Roman" w:cs="Times New Roman"/>
                <w:sz w:val="15"/>
                <w:szCs w:val="15"/>
              </w:rPr>
              <w:t>月</w:t>
            </w:r>
          </w:p>
        </w:tc>
        <w:tc>
          <w:tcPr>
            <w:tcW w:w="1840" w:type="dxa"/>
            <w:tcBorders>
              <w:left w:val="single" w:sz="4" w:space="0" w:color="auto"/>
              <w:right w:val="single" w:sz="4" w:space="0" w:color="auto"/>
            </w:tcBorders>
          </w:tcPr>
          <w:p w14:paraId="22E5560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7.2159+0.0147</w:t>
            </w:r>
            <w:r w:rsidRPr="009B0CD7">
              <w:rPr>
                <w:rFonts w:ascii="Times New Roman" w:eastAsia="宋体" w:hAnsi="Times New Roman" w:cs="Times New Roman"/>
                <w:i/>
                <w:iCs/>
                <w:sz w:val="15"/>
                <w:szCs w:val="15"/>
              </w:rPr>
              <w:t>t</w:t>
            </w:r>
          </w:p>
        </w:tc>
        <w:tc>
          <w:tcPr>
            <w:tcW w:w="1840" w:type="dxa"/>
            <w:tcBorders>
              <w:left w:val="single" w:sz="4" w:space="0" w:color="auto"/>
              <w:right w:val="single" w:sz="4" w:space="0" w:color="auto"/>
            </w:tcBorders>
          </w:tcPr>
          <w:p w14:paraId="53217B0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exp(-0.4656-0.0246</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w:t>
            </w:r>
          </w:p>
        </w:tc>
        <w:tc>
          <w:tcPr>
            <w:tcW w:w="573" w:type="dxa"/>
            <w:tcBorders>
              <w:left w:val="single" w:sz="4" w:space="0" w:color="auto"/>
              <w:right w:val="single" w:sz="4" w:space="0" w:color="auto"/>
            </w:tcBorders>
          </w:tcPr>
          <w:p w14:paraId="467A398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5</w:t>
            </w:r>
            <w:r w:rsidRPr="009B0CD7">
              <w:rPr>
                <w:rFonts w:ascii="Times New Roman" w:eastAsia="宋体" w:hAnsi="Times New Roman" w:cs="Times New Roman"/>
                <w:sz w:val="15"/>
                <w:szCs w:val="15"/>
              </w:rPr>
              <w:t>月</w:t>
            </w:r>
          </w:p>
        </w:tc>
        <w:tc>
          <w:tcPr>
            <w:tcW w:w="1630" w:type="dxa"/>
            <w:tcBorders>
              <w:left w:val="single" w:sz="4" w:space="0" w:color="auto"/>
              <w:right w:val="single" w:sz="4" w:space="0" w:color="auto"/>
            </w:tcBorders>
          </w:tcPr>
          <w:p w14:paraId="59FEA6E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8.3088-0.0094</w:t>
            </w:r>
            <w:r w:rsidRPr="009B0CD7">
              <w:rPr>
                <w:rFonts w:ascii="Times New Roman" w:eastAsia="宋体" w:hAnsi="Times New Roman" w:cs="Times New Roman"/>
                <w:i/>
                <w:iCs/>
                <w:sz w:val="15"/>
                <w:szCs w:val="15"/>
              </w:rPr>
              <w:t>t</w:t>
            </w:r>
          </w:p>
        </w:tc>
        <w:tc>
          <w:tcPr>
            <w:tcW w:w="1630" w:type="dxa"/>
            <w:tcBorders>
              <w:left w:val="single" w:sz="4" w:space="0" w:color="auto"/>
            </w:tcBorders>
          </w:tcPr>
          <w:p w14:paraId="1956774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exp(-0.5340-0.0118</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w:t>
            </w:r>
          </w:p>
        </w:tc>
      </w:tr>
      <w:tr w:rsidR="0081344D" w:rsidRPr="009B0CD7" w14:paraId="5C3DA440" w14:textId="77777777">
        <w:trPr>
          <w:jc w:val="center"/>
        </w:trPr>
        <w:tc>
          <w:tcPr>
            <w:tcW w:w="567" w:type="dxa"/>
            <w:tcBorders>
              <w:right w:val="single" w:sz="4" w:space="0" w:color="auto"/>
            </w:tcBorders>
          </w:tcPr>
          <w:p w14:paraId="5C84F32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5</w:t>
            </w:r>
            <w:r w:rsidRPr="009B0CD7">
              <w:rPr>
                <w:rFonts w:ascii="Times New Roman" w:eastAsia="宋体" w:hAnsi="Times New Roman" w:cs="Times New Roman"/>
                <w:sz w:val="15"/>
                <w:szCs w:val="15"/>
              </w:rPr>
              <w:t>月</w:t>
            </w:r>
          </w:p>
        </w:tc>
        <w:tc>
          <w:tcPr>
            <w:tcW w:w="1840" w:type="dxa"/>
            <w:tcBorders>
              <w:left w:val="single" w:sz="4" w:space="0" w:color="auto"/>
              <w:right w:val="single" w:sz="4" w:space="0" w:color="auto"/>
            </w:tcBorders>
          </w:tcPr>
          <w:p w14:paraId="7371D8B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9.7795-0.0082</w:t>
            </w:r>
            <w:r w:rsidRPr="009B0CD7">
              <w:rPr>
                <w:rFonts w:ascii="Times New Roman" w:eastAsia="宋体" w:hAnsi="Times New Roman" w:cs="Times New Roman"/>
                <w:i/>
                <w:iCs/>
                <w:sz w:val="15"/>
                <w:szCs w:val="15"/>
              </w:rPr>
              <w:t>t</w:t>
            </w:r>
          </w:p>
        </w:tc>
        <w:tc>
          <w:tcPr>
            <w:tcW w:w="1840" w:type="dxa"/>
            <w:tcBorders>
              <w:left w:val="single" w:sz="4" w:space="0" w:color="auto"/>
              <w:right w:val="single" w:sz="4" w:space="0" w:color="auto"/>
            </w:tcBorders>
          </w:tcPr>
          <w:p w14:paraId="7194D13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0.0030</w:t>
            </w:r>
          </w:p>
        </w:tc>
        <w:tc>
          <w:tcPr>
            <w:tcW w:w="573" w:type="dxa"/>
            <w:tcBorders>
              <w:left w:val="single" w:sz="4" w:space="0" w:color="auto"/>
              <w:right w:val="single" w:sz="4" w:space="0" w:color="auto"/>
            </w:tcBorders>
          </w:tcPr>
          <w:p w14:paraId="752BA6F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w:t>
            </w:r>
            <w:r w:rsidRPr="009B0CD7">
              <w:rPr>
                <w:rFonts w:ascii="Times New Roman" w:eastAsia="宋体" w:hAnsi="Times New Roman" w:cs="Times New Roman"/>
                <w:sz w:val="15"/>
                <w:szCs w:val="15"/>
              </w:rPr>
              <w:t>月</w:t>
            </w:r>
          </w:p>
        </w:tc>
        <w:tc>
          <w:tcPr>
            <w:tcW w:w="1630" w:type="dxa"/>
            <w:tcBorders>
              <w:left w:val="single" w:sz="4" w:space="0" w:color="auto"/>
              <w:right w:val="single" w:sz="4" w:space="0" w:color="auto"/>
            </w:tcBorders>
          </w:tcPr>
          <w:p w14:paraId="26B1262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8.3323-0.0037</w:t>
            </w:r>
            <w:r w:rsidRPr="009B0CD7">
              <w:rPr>
                <w:rFonts w:ascii="Times New Roman" w:eastAsia="宋体" w:hAnsi="Times New Roman" w:cs="Times New Roman"/>
                <w:i/>
                <w:iCs/>
                <w:sz w:val="15"/>
                <w:szCs w:val="15"/>
              </w:rPr>
              <w:t>t</w:t>
            </w:r>
          </w:p>
        </w:tc>
        <w:tc>
          <w:tcPr>
            <w:tcW w:w="1630" w:type="dxa"/>
            <w:tcBorders>
              <w:left w:val="single" w:sz="4" w:space="0" w:color="auto"/>
            </w:tcBorders>
          </w:tcPr>
          <w:p w14:paraId="75125B1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exp(-0.7388-0.0111</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w:t>
            </w:r>
          </w:p>
        </w:tc>
      </w:tr>
      <w:tr w:rsidR="0081344D" w:rsidRPr="009B0CD7" w14:paraId="4DB36AF4" w14:textId="77777777">
        <w:trPr>
          <w:jc w:val="center"/>
        </w:trPr>
        <w:tc>
          <w:tcPr>
            <w:tcW w:w="567" w:type="dxa"/>
            <w:tcBorders>
              <w:right w:val="single" w:sz="4" w:space="0" w:color="auto"/>
            </w:tcBorders>
          </w:tcPr>
          <w:p w14:paraId="43D300E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w:t>
            </w:r>
            <w:r w:rsidRPr="009B0CD7">
              <w:rPr>
                <w:rFonts w:ascii="Times New Roman" w:eastAsia="宋体" w:hAnsi="Times New Roman" w:cs="Times New Roman"/>
                <w:sz w:val="15"/>
                <w:szCs w:val="15"/>
              </w:rPr>
              <w:t>月</w:t>
            </w:r>
          </w:p>
        </w:tc>
        <w:tc>
          <w:tcPr>
            <w:tcW w:w="1840" w:type="dxa"/>
            <w:tcBorders>
              <w:left w:val="single" w:sz="4" w:space="0" w:color="auto"/>
              <w:right w:val="single" w:sz="4" w:space="0" w:color="auto"/>
            </w:tcBorders>
          </w:tcPr>
          <w:p w14:paraId="10D61C4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8.4157+0.0031</w:t>
            </w:r>
            <w:r w:rsidRPr="009B0CD7">
              <w:rPr>
                <w:rFonts w:ascii="Times New Roman" w:eastAsia="宋体" w:hAnsi="Times New Roman" w:cs="Times New Roman"/>
                <w:i/>
                <w:iCs/>
                <w:sz w:val="15"/>
                <w:szCs w:val="15"/>
              </w:rPr>
              <w:t>t</w:t>
            </w:r>
          </w:p>
        </w:tc>
        <w:tc>
          <w:tcPr>
            <w:tcW w:w="1840" w:type="dxa"/>
            <w:tcBorders>
              <w:left w:val="single" w:sz="4" w:space="0" w:color="auto"/>
              <w:right w:val="single" w:sz="4" w:space="0" w:color="auto"/>
            </w:tcBorders>
          </w:tcPr>
          <w:p w14:paraId="01075D0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0.0035</w:t>
            </w:r>
          </w:p>
        </w:tc>
        <w:tc>
          <w:tcPr>
            <w:tcW w:w="573" w:type="dxa"/>
            <w:tcBorders>
              <w:left w:val="single" w:sz="4" w:space="0" w:color="auto"/>
              <w:right w:val="single" w:sz="4" w:space="0" w:color="auto"/>
            </w:tcBorders>
          </w:tcPr>
          <w:p w14:paraId="1289C1B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w:t>
            </w:r>
            <w:r w:rsidRPr="009B0CD7">
              <w:rPr>
                <w:rFonts w:ascii="Times New Roman" w:eastAsia="宋体" w:hAnsi="Times New Roman" w:cs="Times New Roman"/>
                <w:sz w:val="15"/>
                <w:szCs w:val="15"/>
              </w:rPr>
              <w:t>月</w:t>
            </w:r>
          </w:p>
        </w:tc>
        <w:tc>
          <w:tcPr>
            <w:tcW w:w="1630" w:type="dxa"/>
            <w:tcBorders>
              <w:left w:val="single" w:sz="4" w:space="0" w:color="auto"/>
              <w:right w:val="single" w:sz="4" w:space="0" w:color="auto"/>
            </w:tcBorders>
          </w:tcPr>
          <w:p w14:paraId="49D89AD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8.5428-0.0050</w:t>
            </w:r>
            <w:r w:rsidRPr="009B0CD7">
              <w:rPr>
                <w:rFonts w:ascii="Times New Roman" w:eastAsia="宋体" w:hAnsi="Times New Roman" w:cs="Times New Roman"/>
                <w:i/>
                <w:iCs/>
                <w:sz w:val="15"/>
                <w:szCs w:val="15"/>
              </w:rPr>
              <w:t>t</w:t>
            </w:r>
          </w:p>
        </w:tc>
        <w:tc>
          <w:tcPr>
            <w:tcW w:w="1630" w:type="dxa"/>
            <w:tcBorders>
              <w:left w:val="single" w:sz="4" w:space="0" w:color="auto"/>
            </w:tcBorders>
          </w:tcPr>
          <w:p w14:paraId="15B7F80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0.3431</w:t>
            </w:r>
          </w:p>
        </w:tc>
      </w:tr>
      <w:tr w:rsidR="0081344D" w:rsidRPr="009B0CD7" w14:paraId="421ABDC3" w14:textId="77777777">
        <w:trPr>
          <w:jc w:val="center"/>
        </w:trPr>
        <w:tc>
          <w:tcPr>
            <w:tcW w:w="567" w:type="dxa"/>
            <w:tcBorders>
              <w:right w:val="single" w:sz="4" w:space="0" w:color="auto"/>
            </w:tcBorders>
          </w:tcPr>
          <w:p w14:paraId="771AEBE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12</w:t>
            </w:r>
            <w:r w:rsidRPr="009B0CD7">
              <w:rPr>
                <w:rFonts w:ascii="Times New Roman" w:eastAsia="宋体" w:hAnsi="Times New Roman" w:cs="Times New Roman"/>
                <w:sz w:val="15"/>
                <w:szCs w:val="15"/>
              </w:rPr>
              <w:t>月</w:t>
            </w:r>
          </w:p>
        </w:tc>
        <w:tc>
          <w:tcPr>
            <w:tcW w:w="1840" w:type="dxa"/>
            <w:tcBorders>
              <w:left w:val="single" w:sz="4" w:space="0" w:color="auto"/>
              <w:right w:val="single" w:sz="4" w:space="0" w:color="auto"/>
            </w:tcBorders>
          </w:tcPr>
          <w:p w14:paraId="5ED7FD6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7.4125+0.0075</w:t>
            </w:r>
            <w:r w:rsidRPr="009B0CD7">
              <w:rPr>
                <w:rFonts w:ascii="Times New Roman" w:eastAsia="宋体" w:hAnsi="Times New Roman" w:cs="Times New Roman"/>
                <w:i/>
                <w:iCs/>
                <w:sz w:val="15"/>
                <w:szCs w:val="15"/>
              </w:rPr>
              <w:t>t</w:t>
            </w:r>
          </w:p>
        </w:tc>
        <w:tc>
          <w:tcPr>
            <w:tcW w:w="1840" w:type="dxa"/>
            <w:tcBorders>
              <w:left w:val="single" w:sz="4" w:space="0" w:color="auto"/>
              <w:right w:val="single" w:sz="4" w:space="0" w:color="auto"/>
            </w:tcBorders>
          </w:tcPr>
          <w:p w14:paraId="1F20B97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0.2694</w:t>
            </w:r>
          </w:p>
        </w:tc>
        <w:tc>
          <w:tcPr>
            <w:tcW w:w="573" w:type="dxa"/>
            <w:tcBorders>
              <w:left w:val="single" w:sz="4" w:space="0" w:color="auto"/>
              <w:right w:val="single" w:sz="4" w:space="0" w:color="auto"/>
            </w:tcBorders>
          </w:tcPr>
          <w:p w14:paraId="4578301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w:t>
            </w:r>
            <w:r w:rsidRPr="009B0CD7">
              <w:rPr>
                <w:rFonts w:ascii="Times New Roman" w:eastAsia="宋体" w:hAnsi="Times New Roman" w:cs="Times New Roman"/>
                <w:sz w:val="15"/>
                <w:szCs w:val="15"/>
              </w:rPr>
              <w:t>月</w:t>
            </w:r>
          </w:p>
        </w:tc>
        <w:tc>
          <w:tcPr>
            <w:tcW w:w="1630" w:type="dxa"/>
            <w:tcBorders>
              <w:left w:val="single" w:sz="4" w:space="0" w:color="auto"/>
              <w:right w:val="single" w:sz="4" w:space="0" w:color="auto"/>
            </w:tcBorders>
          </w:tcPr>
          <w:p w14:paraId="2EDAF4F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8.7644-0.0065</w:t>
            </w:r>
            <w:r w:rsidRPr="009B0CD7">
              <w:rPr>
                <w:rFonts w:ascii="Times New Roman" w:eastAsia="宋体" w:hAnsi="Times New Roman" w:cs="Times New Roman"/>
                <w:i/>
                <w:iCs/>
                <w:sz w:val="15"/>
                <w:szCs w:val="15"/>
              </w:rPr>
              <w:t>t</w:t>
            </w:r>
          </w:p>
        </w:tc>
        <w:tc>
          <w:tcPr>
            <w:tcW w:w="1630" w:type="dxa"/>
            <w:tcBorders>
              <w:left w:val="single" w:sz="4" w:space="0" w:color="auto"/>
            </w:tcBorders>
          </w:tcPr>
          <w:p w14:paraId="20F3C00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0.0056</w:t>
            </w:r>
          </w:p>
        </w:tc>
      </w:tr>
      <w:tr w:rsidR="0081344D" w:rsidRPr="009B0CD7" w14:paraId="5D92D174" w14:textId="77777777">
        <w:trPr>
          <w:jc w:val="center"/>
        </w:trPr>
        <w:tc>
          <w:tcPr>
            <w:tcW w:w="567" w:type="dxa"/>
            <w:tcBorders>
              <w:bottom w:val="single" w:sz="12" w:space="0" w:color="auto"/>
              <w:right w:val="single" w:sz="4" w:space="0" w:color="auto"/>
            </w:tcBorders>
          </w:tcPr>
          <w:p w14:paraId="16EEA6E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hAnsi="Times New Roman" w:cs="Times New Roman"/>
                <w:sz w:val="15"/>
                <w:szCs w:val="15"/>
              </w:rPr>
              <w:t>—</w:t>
            </w:r>
          </w:p>
        </w:tc>
        <w:tc>
          <w:tcPr>
            <w:tcW w:w="1840" w:type="dxa"/>
            <w:tcBorders>
              <w:left w:val="single" w:sz="4" w:space="0" w:color="auto"/>
              <w:bottom w:val="single" w:sz="12" w:space="0" w:color="auto"/>
              <w:right w:val="single" w:sz="4" w:space="0" w:color="auto"/>
            </w:tcBorders>
          </w:tcPr>
          <w:p w14:paraId="5C8697B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hAnsi="Times New Roman" w:cs="Times New Roman"/>
                <w:sz w:val="15"/>
                <w:szCs w:val="15"/>
              </w:rPr>
              <w:t>—</w:t>
            </w:r>
          </w:p>
        </w:tc>
        <w:tc>
          <w:tcPr>
            <w:tcW w:w="1840" w:type="dxa"/>
            <w:tcBorders>
              <w:left w:val="single" w:sz="4" w:space="0" w:color="auto"/>
              <w:bottom w:val="single" w:sz="12" w:space="0" w:color="auto"/>
              <w:right w:val="single" w:sz="4" w:space="0" w:color="auto"/>
            </w:tcBorders>
          </w:tcPr>
          <w:p w14:paraId="3276CAC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hAnsi="Times New Roman" w:cs="Times New Roman"/>
                <w:sz w:val="15"/>
                <w:szCs w:val="15"/>
              </w:rPr>
              <w:t>—</w:t>
            </w:r>
          </w:p>
        </w:tc>
        <w:tc>
          <w:tcPr>
            <w:tcW w:w="573" w:type="dxa"/>
            <w:tcBorders>
              <w:left w:val="single" w:sz="4" w:space="0" w:color="auto"/>
              <w:bottom w:val="single" w:sz="12" w:space="0" w:color="auto"/>
              <w:right w:val="single" w:sz="4" w:space="0" w:color="auto"/>
            </w:tcBorders>
          </w:tcPr>
          <w:p w14:paraId="124E0DD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w:t>
            </w:r>
            <w:r w:rsidRPr="009B0CD7">
              <w:rPr>
                <w:rFonts w:ascii="Times New Roman" w:eastAsia="宋体" w:hAnsi="Times New Roman" w:cs="Times New Roman"/>
                <w:sz w:val="15"/>
                <w:szCs w:val="15"/>
              </w:rPr>
              <w:t>月</w:t>
            </w:r>
          </w:p>
        </w:tc>
        <w:tc>
          <w:tcPr>
            <w:tcW w:w="1630" w:type="dxa"/>
            <w:tcBorders>
              <w:left w:val="single" w:sz="4" w:space="0" w:color="auto"/>
              <w:bottom w:val="single" w:sz="12" w:space="0" w:color="auto"/>
              <w:right w:val="single" w:sz="4" w:space="0" w:color="auto"/>
            </w:tcBorders>
          </w:tcPr>
          <w:p w14:paraId="5775808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7.3439-0.0047</w:t>
            </w:r>
            <w:r w:rsidRPr="009B0CD7">
              <w:rPr>
                <w:rFonts w:ascii="Times New Roman" w:eastAsia="宋体" w:hAnsi="Times New Roman" w:cs="Times New Roman"/>
                <w:i/>
                <w:iCs/>
                <w:sz w:val="15"/>
                <w:szCs w:val="15"/>
              </w:rPr>
              <w:t>t</w:t>
            </w:r>
          </w:p>
        </w:tc>
        <w:tc>
          <w:tcPr>
            <w:tcW w:w="1630" w:type="dxa"/>
            <w:tcBorders>
              <w:left w:val="single" w:sz="4" w:space="0" w:color="auto"/>
              <w:bottom w:val="single" w:sz="12" w:space="0" w:color="auto"/>
            </w:tcBorders>
          </w:tcPr>
          <w:p w14:paraId="51D1180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0.2728</w:t>
            </w:r>
          </w:p>
        </w:tc>
      </w:tr>
    </w:tbl>
    <w:p w14:paraId="647A28FA"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hint="eastAsia"/>
          <w:sz w:val="21"/>
          <w:szCs w:val="21"/>
        </w:rPr>
        <w:t>由表</w:t>
      </w:r>
      <w:r w:rsidRPr="009B0CD7">
        <w:rPr>
          <w:rFonts w:ascii="Times New Roman" w:eastAsia="宋体" w:hAnsi="Times New Roman" w:cs="Times New Roman" w:hint="eastAsia"/>
          <w:sz w:val="21"/>
          <w:szCs w:val="21"/>
        </w:rPr>
        <w:t>4</w:t>
      </w:r>
      <w:r w:rsidRPr="009B0CD7">
        <w:rPr>
          <w:rFonts w:ascii="Times New Roman" w:eastAsia="宋体" w:hAnsi="Times New Roman" w:cs="Times New Roman" w:hint="eastAsia"/>
          <w:sz w:val="21"/>
          <w:szCs w:val="21"/>
        </w:rPr>
        <w:t>可见，石头峡水库非平稳变化主要集中在</w:t>
      </w:r>
      <w:r w:rsidRPr="009B0CD7">
        <w:rPr>
          <w:rFonts w:ascii="Times New Roman" w:eastAsia="宋体" w:hAnsi="Times New Roman" w:cs="Times New Roman" w:hint="eastAsia"/>
          <w:sz w:val="21"/>
          <w:szCs w:val="21"/>
        </w:rPr>
        <w:t>1</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月、</w:t>
      </w:r>
      <w:r w:rsidRPr="009B0CD7">
        <w:rPr>
          <w:rFonts w:ascii="Times New Roman" w:eastAsia="宋体" w:hAnsi="Times New Roman" w:cs="Times New Roman" w:hint="eastAsia"/>
          <w:sz w:val="21"/>
          <w:szCs w:val="21"/>
        </w:rPr>
        <w:t>5</w:t>
      </w:r>
      <w:r w:rsidRPr="009B0CD7">
        <w:rPr>
          <w:rFonts w:ascii="Times New Roman" w:eastAsia="宋体" w:hAnsi="Times New Roman" w:cs="Times New Roman" w:hint="eastAsia"/>
          <w:sz w:val="21"/>
          <w:szCs w:val="21"/>
        </w:rPr>
        <w:t>月及</w:t>
      </w:r>
      <w:r w:rsidRPr="009B0CD7">
        <w:rPr>
          <w:rFonts w:ascii="Times New Roman" w:eastAsia="宋体" w:hAnsi="Times New Roman" w:cs="Times New Roman" w:hint="eastAsia"/>
          <w:sz w:val="21"/>
          <w:szCs w:val="21"/>
        </w:rPr>
        <w:t>11</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12</w:t>
      </w:r>
      <w:r w:rsidRPr="009B0CD7">
        <w:rPr>
          <w:rFonts w:ascii="Times New Roman" w:eastAsia="宋体" w:hAnsi="Times New Roman" w:cs="Times New Roman" w:hint="eastAsia"/>
          <w:sz w:val="21"/>
          <w:szCs w:val="21"/>
        </w:rPr>
        <w:t>月。其中，</w:t>
      </w:r>
      <w:r w:rsidRPr="009B0CD7">
        <w:rPr>
          <w:rFonts w:ascii="Times New Roman" w:eastAsia="宋体" w:hAnsi="Times New Roman" w:cs="Times New Roman" w:hint="eastAsia"/>
          <w:sz w:val="21"/>
          <w:szCs w:val="21"/>
        </w:rPr>
        <w:t>1</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月和</w:t>
      </w:r>
      <w:r w:rsidRPr="009B0CD7">
        <w:rPr>
          <w:rFonts w:ascii="Times New Roman" w:eastAsia="宋体" w:hAnsi="Times New Roman" w:cs="Times New Roman" w:hint="eastAsia"/>
          <w:sz w:val="21"/>
          <w:szCs w:val="21"/>
        </w:rPr>
        <w:t>11</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12</w:t>
      </w:r>
      <w:r w:rsidRPr="009B0CD7">
        <w:rPr>
          <w:rFonts w:ascii="Times New Roman" w:eastAsia="宋体" w:hAnsi="Times New Roman" w:cs="Times New Roman" w:hint="eastAsia"/>
          <w:sz w:val="21"/>
          <w:szCs w:val="21"/>
        </w:rPr>
        <w:t>月位置参数呈上升趋势，表明冬春季及秋末至初冬径流总体水平增加；</w:t>
      </w:r>
      <w:r w:rsidRPr="009B0CD7">
        <w:rPr>
          <w:rFonts w:ascii="Times New Roman" w:eastAsia="宋体" w:hAnsi="Times New Roman" w:cs="Times New Roman" w:hint="eastAsia"/>
          <w:sz w:val="21"/>
          <w:szCs w:val="21"/>
        </w:rPr>
        <w:t>5</w:t>
      </w:r>
      <w:r w:rsidRPr="009B0CD7">
        <w:rPr>
          <w:rFonts w:ascii="Times New Roman" w:eastAsia="宋体" w:hAnsi="Times New Roman" w:cs="Times New Roman" w:hint="eastAsia"/>
          <w:sz w:val="21"/>
          <w:szCs w:val="21"/>
        </w:rPr>
        <w:t>月位置参数下降，说明春末径流总体水平有所降低。</w:t>
      </w:r>
      <w:r w:rsidRPr="009B0CD7">
        <w:rPr>
          <w:rFonts w:ascii="Times New Roman" w:eastAsia="宋体" w:hAnsi="Times New Roman" w:cs="Times New Roman" w:hint="eastAsia"/>
          <w:sz w:val="21"/>
          <w:szCs w:val="21"/>
        </w:rPr>
        <w:t>1</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月</w:t>
      </w:r>
      <w:r w:rsidRPr="009B0CD7">
        <w:rPr>
          <w:rFonts w:ascii="Times New Roman" w:eastAsia="宋体" w:hAnsi="Times New Roman" w:cs="Times New Roman" w:hint="eastAsia"/>
          <w:sz w:val="21"/>
          <w:szCs w:val="21"/>
        </w:rPr>
        <w:t>M2</w:t>
      </w:r>
      <w:r w:rsidRPr="009B0CD7">
        <w:rPr>
          <w:rFonts w:ascii="Times New Roman" w:eastAsia="宋体" w:hAnsi="Times New Roman" w:cs="Times New Roman" w:hint="eastAsia"/>
          <w:sz w:val="21"/>
          <w:szCs w:val="21"/>
        </w:rPr>
        <w:t>模型中尺度参数</w:t>
      </w:r>
      <m:oMath>
        <m:r>
          <w:rPr>
            <w:rFonts w:ascii="Cambria Math" w:eastAsia="宋体" w:hAnsi="Cambria Math" w:cs="Times New Roman"/>
            <w:sz w:val="21"/>
            <w:szCs w:val="21"/>
          </w:rPr>
          <m:t>σ</m:t>
        </m:r>
      </m:oMath>
      <w:r w:rsidRPr="009B0CD7">
        <w:rPr>
          <w:rFonts w:ascii="Times New Roman" w:eastAsia="宋体" w:hAnsi="Times New Roman" w:cs="Times New Roman" w:hint="eastAsia"/>
          <w:sz w:val="21"/>
          <w:szCs w:val="21"/>
        </w:rPr>
        <w:t>呈下降趋势，</w:t>
      </w:r>
      <w:r w:rsidRPr="009B0CD7">
        <w:rPr>
          <w:rFonts w:ascii="Times New Roman" w:eastAsia="宋体" w:hAnsi="Times New Roman" w:cs="Times New Roman" w:hint="eastAsia"/>
          <w:sz w:val="21"/>
          <w:szCs w:val="21"/>
        </w:rPr>
        <w:lastRenderedPageBreak/>
        <w:t>表明该时期年际波动幅度有所减弱。</w:t>
      </w:r>
    </w:p>
    <w:p w14:paraId="3D82F6DB"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hint="eastAsia"/>
          <w:sz w:val="21"/>
          <w:szCs w:val="21"/>
        </w:rPr>
        <w:t>黑泉水库非平稳月份主要集中在</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8</w:t>
      </w:r>
      <w:r w:rsidRPr="009B0CD7">
        <w:rPr>
          <w:rFonts w:ascii="Times New Roman" w:eastAsia="宋体" w:hAnsi="Times New Roman" w:cs="Times New Roman" w:hint="eastAsia"/>
          <w:sz w:val="21"/>
          <w:szCs w:val="21"/>
        </w:rPr>
        <w:t>月和</w:t>
      </w:r>
      <w:r w:rsidRPr="009B0CD7">
        <w:rPr>
          <w:rFonts w:ascii="Times New Roman" w:eastAsia="宋体" w:hAnsi="Times New Roman" w:cs="Times New Roman" w:hint="eastAsia"/>
          <w:sz w:val="21"/>
          <w:szCs w:val="21"/>
        </w:rPr>
        <w:t>11</w:t>
      </w:r>
      <w:r w:rsidRPr="009B0CD7">
        <w:rPr>
          <w:rFonts w:ascii="Times New Roman" w:eastAsia="宋体" w:hAnsi="Times New Roman" w:cs="Times New Roman" w:hint="eastAsia"/>
          <w:sz w:val="21"/>
          <w:szCs w:val="21"/>
        </w:rPr>
        <w:t>月，且位置参数总体呈下降趋势，说明湟水本地水源春夏季径流总体水平降低。其中</w:t>
      </w:r>
      <w:r w:rsidRPr="009B0CD7">
        <w:rPr>
          <w:rFonts w:ascii="Times New Roman" w:eastAsia="宋体" w:hAnsi="Times New Roman" w:cs="Times New Roman" w:hint="eastAsia"/>
          <w:sz w:val="21"/>
          <w:szCs w:val="21"/>
        </w:rPr>
        <w:t>5</w:t>
      </w:r>
      <w:r w:rsidRPr="009B0CD7">
        <w:rPr>
          <w:rFonts w:ascii="Times New Roman" w:eastAsia="宋体" w:hAnsi="Times New Roman" w:cs="Times New Roman" w:hint="eastAsia"/>
          <w:sz w:val="21"/>
          <w:szCs w:val="21"/>
        </w:rPr>
        <w:t>月和</w:t>
      </w:r>
      <w:r w:rsidRPr="009B0CD7">
        <w:rPr>
          <w:rFonts w:ascii="Times New Roman" w:eastAsia="宋体" w:hAnsi="Times New Roman" w:cs="Times New Roman" w:hint="eastAsia"/>
          <w:sz w:val="21"/>
          <w:szCs w:val="21"/>
        </w:rPr>
        <w:t>6</w:t>
      </w:r>
      <w:r w:rsidRPr="009B0CD7">
        <w:rPr>
          <w:rFonts w:ascii="Times New Roman" w:eastAsia="宋体" w:hAnsi="Times New Roman" w:cs="Times New Roman" w:hint="eastAsia"/>
          <w:sz w:val="21"/>
          <w:szCs w:val="21"/>
        </w:rPr>
        <w:t>月为</w:t>
      </w:r>
      <w:r w:rsidRPr="009B0CD7">
        <w:rPr>
          <w:rFonts w:ascii="Times New Roman" w:eastAsia="宋体" w:hAnsi="Times New Roman" w:cs="Times New Roman" w:hint="eastAsia"/>
          <w:sz w:val="21"/>
          <w:szCs w:val="21"/>
        </w:rPr>
        <w:t>M2</w:t>
      </w:r>
      <w:r w:rsidRPr="009B0CD7">
        <w:rPr>
          <w:rFonts w:ascii="Times New Roman" w:eastAsia="宋体" w:hAnsi="Times New Roman" w:cs="Times New Roman" w:hint="eastAsia"/>
          <w:sz w:val="21"/>
          <w:szCs w:val="21"/>
        </w:rPr>
        <w:t>模型，位置参数和尺度参数同步下降，表明径流总体水平下降的同时，年际波动幅度亦有所减弱。综合来看，两水源径流非平稳响应方向和发生月份并不一致，表明引大济湟工程双水源系统在变化环境下具有明显的空间异质性和季节差异性；仅采用平稳边缘分布或多年平均径流过程，难以准确刻画不同季节的风险变化特征。</w:t>
      </w:r>
    </w:p>
    <w:p w14:paraId="644508F2" w14:textId="77777777" w:rsidR="0081344D" w:rsidRPr="009B0CD7" w:rsidRDefault="00000000">
      <w:pPr>
        <w:keepNext/>
        <w:spacing w:after="0" w:line="240" w:lineRule="auto"/>
        <w:jc w:val="both"/>
        <w:outlineLvl w:val="1"/>
        <w:rPr>
          <w:rFonts w:ascii="Times New Roman" w:eastAsia="黑体" w:hAnsi="Times New Roman" w:cs="Times New Roman"/>
          <w:sz w:val="21"/>
          <w:szCs w:val="22"/>
          <w14:ligatures w14:val="none"/>
        </w:rPr>
      </w:pPr>
      <w:r w:rsidRPr="009B0CD7">
        <w:rPr>
          <w:rFonts w:ascii="Times New Roman" w:eastAsia="黑体" w:hAnsi="Times New Roman" w:cs="Times New Roman" w:hint="eastAsia"/>
          <w:sz w:val="21"/>
          <w:szCs w:val="22"/>
          <w14:ligatures w14:val="none"/>
        </w:rPr>
        <w:t xml:space="preserve">2.3 </w:t>
      </w:r>
      <w:r w:rsidRPr="009B0CD7">
        <w:rPr>
          <w:rFonts w:ascii="Times New Roman" w:eastAsia="黑体" w:hAnsi="Times New Roman" w:cs="Times New Roman" w:hint="eastAsia"/>
          <w:sz w:val="21"/>
          <w:szCs w:val="22"/>
          <w14:ligatures w14:val="none"/>
        </w:rPr>
        <w:t>时变</w:t>
      </w:r>
      <w:r w:rsidRPr="009B0CD7">
        <w:rPr>
          <w:rFonts w:ascii="Times New Roman" w:eastAsia="黑体" w:hAnsi="Times New Roman" w:cs="Times New Roman" w:hint="eastAsia"/>
          <w:sz w:val="21"/>
          <w:szCs w:val="22"/>
          <w14:ligatures w14:val="none"/>
        </w:rPr>
        <w:t>Copula</w:t>
      </w:r>
      <w:r w:rsidRPr="009B0CD7">
        <w:rPr>
          <w:rFonts w:ascii="Times New Roman" w:eastAsia="黑体" w:hAnsi="Times New Roman" w:cs="Times New Roman" w:hint="eastAsia"/>
          <w:sz w:val="21"/>
          <w:szCs w:val="22"/>
          <w14:ligatures w14:val="none"/>
        </w:rPr>
        <w:t>模型结果</w:t>
      </w:r>
    </w:p>
    <w:p w14:paraId="47752081" w14:textId="77777777" w:rsidR="0081344D" w:rsidRPr="009B0CD7" w:rsidRDefault="00000000">
      <w:pPr>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t xml:space="preserve">2.3.1 </w:t>
      </w:r>
      <w:r w:rsidRPr="009B0CD7">
        <w:rPr>
          <w:rFonts w:ascii="Times New Roman" w:eastAsia="楷体" w:hAnsi="Times New Roman" w:cs="Times New Roman"/>
          <w:sz w:val="21"/>
          <w:szCs w:val="22"/>
          <w14:ligatures w14:val="none"/>
        </w:rPr>
        <w:t>Copula</w:t>
      </w:r>
      <w:r w:rsidRPr="009B0CD7">
        <w:rPr>
          <w:rFonts w:ascii="Times New Roman" w:eastAsia="楷体" w:hAnsi="Times New Roman" w:cs="Times New Roman"/>
          <w:sz w:val="21"/>
          <w:szCs w:val="22"/>
          <w14:ligatures w14:val="none"/>
        </w:rPr>
        <w:t>族与尾部依赖特征</w:t>
      </w:r>
    </w:p>
    <w:p w14:paraId="736CC09D"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hint="eastAsia"/>
          <w:sz w:val="21"/>
          <w:szCs w:val="21"/>
        </w:rPr>
        <w:t>各月份推荐模型的</w:t>
      </w:r>
      <w:r w:rsidRPr="009B0CD7">
        <w:rPr>
          <w:rFonts w:ascii="Times New Roman" w:eastAsia="宋体" w:hAnsi="Times New Roman" w:cs="Times New Roman" w:hint="eastAsia"/>
          <w:sz w:val="21"/>
          <w:szCs w:val="21"/>
        </w:rPr>
        <w:t>Copula</w:t>
      </w:r>
      <w:r w:rsidRPr="009B0CD7">
        <w:rPr>
          <w:rFonts w:ascii="Times New Roman" w:eastAsia="宋体" w:hAnsi="Times New Roman" w:cs="Times New Roman" w:hint="eastAsia"/>
          <w:sz w:val="21"/>
          <w:szCs w:val="21"/>
        </w:rPr>
        <w:t>族、模型类型、协变量</w:t>
      </w:r>
      <w:r w:rsidRPr="009B0CD7">
        <w:rPr>
          <w:rFonts w:ascii="Times New Roman" w:eastAsia="宋体" w:hAnsi="Times New Roman" w:cs="Times New Roman"/>
          <w:sz w:val="21"/>
          <w:szCs w:val="21"/>
        </w:rPr>
        <w:t>及关键评价指标</w:t>
      </w:r>
      <w:r w:rsidRPr="009B0CD7">
        <w:rPr>
          <w:rFonts w:ascii="Times New Roman" w:eastAsia="宋体" w:hAnsi="Times New Roman" w:cs="Times New Roman" w:hint="eastAsia"/>
          <w:sz w:val="21"/>
          <w:szCs w:val="21"/>
        </w:rPr>
        <w:t>如</w:t>
      </w:r>
      <w:r w:rsidRPr="009B0CD7">
        <w:rPr>
          <w:rFonts w:ascii="Times New Roman" w:eastAsia="宋体" w:hAnsi="Times New Roman" w:cs="Times New Roman"/>
          <w:sz w:val="21"/>
          <w:szCs w:val="21"/>
        </w:rPr>
        <w:t>表</w:t>
      </w:r>
      <w:r w:rsidRPr="009B0CD7">
        <w:rPr>
          <w:rFonts w:ascii="Times New Roman" w:eastAsia="宋体" w:hAnsi="Times New Roman" w:cs="Times New Roman" w:hint="eastAsia"/>
          <w:sz w:val="21"/>
          <w:szCs w:val="21"/>
        </w:rPr>
        <w:t>5</w:t>
      </w:r>
      <w:r w:rsidRPr="009B0CD7">
        <w:rPr>
          <w:rFonts w:ascii="Times New Roman" w:eastAsia="宋体" w:hAnsi="Times New Roman" w:cs="Times New Roman" w:hint="eastAsia"/>
          <w:sz w:val="21"/>
          <w:szCs w:val="21"/>
        </w:rPr>
        <w:t>所列。结果表明，大通河</w:t>
      </w:r>
      <w:r w:rsidRPr="009B0CD7">
        <w:rPr>
          <w:rFonts w:ascii="Times New Roman" w:hAnsi="Times New Roman" w:cs="Times New Roman"/>
          <w:szCs w:val="21"/>
        </w:rPr>
        <w:t>—</w:t>
      </w:r>
      <w:r w:rsidRPr="009B0CD7">
        <w:rPr>
          <w:rFonts w:ascii="Times New Roman" w:eastAsia="宋体" w:hAnsi="Times New Roman" w:cs="Times New Roman" w:hint="eastAsia"/>
          <w:sz w:val="21"/>
          <w:szCs w:val="21"/>
        </w:rPr>
        <w:t>湟水双水源系统并不存在全年一致的</w:t>
      </w:r>
      <w:r w:rsidRPr="009B0CD7">
        <w:rPr>
          <w:rFonts w:ascii="Times New Roman" w:eastAsia="宋体" w:hAnsi="Times New Roman" w:cs="Times New Roman"/>
          <w:sz w:val="21"/>
          <w:szCs w:val="21"/>
        </w:rPr>
        <w:t>联合</w:t>
      </w:r>
      <w:r w:rsidRPr="009B0CD7">
        <w:rPr>
          <w:rFonts w:ascii="Times New Roman" w:eastAsia="宋体" w:hAnsi="Times New Roman" w:cs="Times New Roman" w:hint="eastAsia"/>
          <w:sz w:val="21"/>
          <w:szCs w:val="21"/>
        </w:rPr>
        <w:t>相依结构，而是表现出明显季节差异。推荐模型中</w:t>
      </w:r>
      <w:r w:rsidRPr="009B0CD7">
        <w:rPr>
          <w:rFonts w:ascii="Times New Roman" w:eastAsia="宋体" w:hAnsi="Times New Roman" w:cs="Times New Roman" w:hint="eastAsia"/>
          <w:sz w:val="21"/>
          <w:szCs w:val="21"/>
        </w:rPr>
        <w:t xml:space="preserve">Gaussian </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族出现</w:t>
      </w:r>
      <w:r w:rsidRPr="009B0CD7">
        <w:rPr>
          <w:rFonts w:ascii="Times New Roman" w:eastAsia="宋体" w:hAnsi="Times New Roman" w:cs="Times New Roman" w:hint="eastAsia"/>
          <w:sz w:val="21"/>
          <w:szCs w:val="21"/>
        </w:rPr>
        <w:t>6</w:t>
      </w:r>
      <w:r w:rsidRPr="009B0CD7">
        <w:rPr>
          <w:rFonts w:ascii="Times New Roman" w:eastAsia="宋体" w:hAnsi="Times New Roman" w:cs="Times New Roman" w:hint="eastAsia"/>
          <w:sz w:val="21"/>
          <w:szCs w:val="21"/>
        </w:rPr>
        <w:t>个月，</w:t>
      </w:r>
      <w:r w:rsidRPr="009B0CD7">
        <w:rPr>
          <w:rFonts w:ascii="Times New Roman" w:eastAsia="宋体" w:hAnsi="Times New Roman" w:cs="Times New Roman" w:hint="eastAsia"/>
          <w:sz w:val="21"/>
          <w:szCs w:val="21"/>
        </w:rPr>
        <w:t xml:space="preserve">Gumbel </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族出现</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个月，</w:t>
      </w:r>
      <w:r w:rsidRPr="009B0CD7">
        <w:rPr>
          <w:rFonts w:ascii="Times New Roman" w:eastAsia="宋体" w:hAnsi="Times New Roman" w:cs="Times New Roman" w:hint="eastAsia"/>
          <w:sz w:val="21"/>
          <w:szCs w:val="21"/>
        </w:rPr>
        <w:t xml:space="preserve">Survival Gumbel </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族出现</w:t>
      </w:r>
      <w:r w:rsidRPr="009B0CD7">
        <w:rPr>
          <w:rFonts w:ascii="Times New Roman" w:eastAsia="宋体" w:hAnsi="Times New Roman" w:cs="Times New Roman" w:hint="eastAsia"/>
          <w:sz w:val="21"/>
          <w:szCs w:val="21"/>
        </w:rPr>
        <w:t>2</w:t>
      </w:r>
      <w:r w:rsidRPr="009B0CD7">
        <w:rPr>
          <w:rFonts w:ascii="Times New Roman" w:eastAsia="宋体" w:hAnsi="Times New Roman" w:cs="Times New Roman" w:hint="eastAsia"/>
          <w:sz w:val="21"/>
          <w:szCs w:val="21"/>
        </w:rPr>
        <w:t>个月，</w:t>
      </w:r>
      <w:r w:rsidRPr="009B0CD7">
        <w:rPr>
          <w:rFonts w:ascii="Times New Roman" w:eastAsia="宋体" w:hAnsi="Times New Roman" w:cs="Times New Roman" w:hint="eastAsia"/>
          <w:sz w:val="21"/>
          <w:szCs w:val="21"/>
        </w:rPr>
        <w:t xml:space="preserve">Frank </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族出现</w:t>
      </w:r>
      <w:r w:rsidRPr="009B0CD7">
        <w:rPr>
          <w:rFonts w:ascii="Times New Roman" w:eastAsia="宋体" w:hAnsi="Times New Roman" w:cs="Times New Roman" w:hint="eastAsia"/>
          <w:sz w:val="21"/>
          <w:szCs w:val="21"/>
        </w:rPr>
        <w:t>1</w:t>
      </w:r>
      <w:r w:rsidRPr="009B0CD7">
        <w:rPr>
          <w:rFonts w:ascii="Times New Roman" w:eastAsia="宋体" w:hAnsi="Times New Roman" w:cs="Times New Roman" w:hint="eastAsia"/>
          <w:sz w:val="21"/>
          <w:szCs w:val="21"/>
        </w:rPr>
        <w:t>个月；从模型类型看，</w:t>
      </w:r>
      <w:r w:rsidRPr="009B0CD7">
        <w:rPr>
          <w:rFonts w:ascii="Times New Roman" w:eastAsia="宋体" w:hAnsi="Times New Roman" w:cs="Times New Roman" w:hint="eastAsia"/>
          <w:sz w:val="21"/>
          <w:szCs w:val="21"/>
        </w:rPr>
        <w:t>8</w:t>
      </w:r>
      <w:r w:rsidRPr="009B0CD7">
        <w:rPr>
          <w:rFonts w:ascii="Times New Roman" w:eastAsia="宋体" w:hAnsi="Times New Roman" w:cs="Times New Roman" w:hint="eastAsia"/>
          <w:sz w:val="21"/>
          <w:szCs w:val="21"/>
        </w:rPr>
        <w:t>个月优选为时变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模型，</w:t>
      </w:r>
      <w:r w:rsidRPr="009B0CD7">
        <w:rPr>
          <w:rFonts w:ascii="Times New Roman" w:eastAsia="宋体" w:hAnsi="Times New Roman" w:cs="Times New Roman" w:hint="eastAsia"/>
          <w:sz w:val="21"/>
          <w:szCs w:val="21"/>
        </w:rPr>
        <w:t>4</w:t>
      </w:r>
      <w:r w:rsidRPr="009B0CD7">
        <w:rPr>
          <w:rFonts w:ascii="Times New Roman" w:eastAsia="宋体" w:hAnsi="Times New Roman" w:cs="Times New Roman" w:hint="eastAsia"/>
          <w:sz w:val="21"/>
          <w:szCs w:val="21"/>
        </w:rPr>
        <w:t>个月</w:t>
      </w:r>
      <w:r w:rsidRPr="009B0CD7">
        <w:rPr>
          <w:rFonts w:ascii="Times New Roman" w:eastAsia="宋体" w:hAnsi="Times New Roman" w:cs="Times New Roman"/>
          <w:sz w:val="21"/>
          <w:szCs w:val="21"/>
        </w:rPr>
        <w:t>优选为静态</w:t>
      </w:r>
      <w:r w:rsidRPr="009B0CD7">
        <w:rPr>
          <w:rFonts w:ascii="Times New Roman" w:eastAsia="宋体" w:hAnsi="Times New Roman" w:cs="Times New Roman"/>
          <w:sz w:val="21"/>
          <w:szCs w:val="21"/>
        </w:rPr>
        <w:t>Copula</w:t>
      </w:r>
      <w:r w:rsidRPr="009B0CD7">
        <w:rPr>
          <w:rFonts w:ascii="Times New Roman" w:eastAsia="宋体" w:hAnsi="Times New Roman" w:cs="Times New Roman" w:hint="eastAsia"/>
          <w:sz w:val="21"/>
          <w:szCs w:val="21"/>
        </w:rPr>
        <w:t>模型。这说明双水源相依关系既存在随外部因子变化的动态过程，也存在部分月份相对稳定的平均相关结构。</w:t>
      </w:r>
    </w:p>
    <w:p w14:paraId="2E263961" w14:textId="608C5082" w:rsidR="0081344D" w:rsidRPr="009B0CD7" w:rsidRDefault="00000000">
      <w:pPr>
        <w:pStyle w:val="af6"/>
        <w:keepNext/>
        <w:spacing w:after="0" w:line="240" w:lineRule="auto"/>
        <w:ind w:left="442" w:hanging="442"/>
        <w:jc w:val="center"/>
        <w:outlineLvl w:val="3"/>
        <w:rPr>
          <w:rFonts w:ascii="Times New Roman" w:eastAsia="黑体" w:hAnsi="Times New Roman" w:cs="Times New Roman"/>
          <w:sz w:val="18"/>
          <w:szCs w:val="18"/>
          <w14:ligatures w14:val="none"/>
        </w:rPr>
      </w:pPr>
      <w:bookmarkStart w:id="11" w:name="_Ref234595411"/>
      <w:r w:rsidRPr="009B0CD7">
        <w:rPr>
          <w:rFonts w:ascii="Times New Roman" w:eastAsia="黑体" w:hAnsi="Times New Roman" w:cs="Times New Roman" w:hint="eastAsia"/>
          <w:sz w:val="18"/>
          <w:szCs w:val="18"/>
          <w14:ligatures w14:val="none"/>
        </w:rPr>
        <w:t>表</w:t>
      </w:r>
      <w:r w:rsidRPr="009B0CD7">
        <w:rPr>
          <w:rFonts w:ascii="Times New Roman" w:eastAsia="黑体" w:hAnsi="Times New Roman" w:cs="Times New Roman" w:hint="eastAsia"/>
          <w:sz w:val="18"/>
          <w:szCs w:val="18"/>
          <w14:ligatures w14:val="none"/>
        </w:rPr>
        <w:t>5</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月尺度最优</w:t>
      </w:r>
      <w:r w:rsidRPr="009B0CD7">
        <w:rPr>
          <w:rFonts w:ascii="Times New Roman" w:eastAsia="黑体" w:hAnsi="Times New Roman" w:cs="Times New Roman"/>
          <w:sz w:val="18"/>
          <w:szCs w:val="18"/>
          <w14:ligatures w14:val="none"/>
        </w:rPr>
        <w:t>Copula</w:t>
      </w:r>
      <w:r w:rsidRPr="009B0CD7">
        <w:rPr>
          <w:rFonts w:ascii="Times New Roman" w:eastAsia="黑体" w:hAnsi="Times New Roman" w:cs="Times New Roman"/>
          <w:sz w:val="18"/>
          <w:szCs w:val="18"/>
          <w14:ligatures w14:val="none"/>
        </w:rPr>
        <w:t>模型及关键评价指标</w:t>
      </w:r>
      <w:bookmarkEnd w:id="11"/>
    </w:p>
    <w:p w14:paraId="0B73F8E9" w14:textId="24783709" w:rsidR="0081344D" w:rsidRPr="009B0CD7" w:rsidRDefault="00000000">
      <w:pPr>
        <w:pStyle w:val="af6"/>
        <w:keepNext/>
        <w:spacing w:after="0" w:line="240" w:lineRule="auto"/>
        <w:ind w:left="442" w:hanging="442"/>
        <w:jc w:val="center"/>
        <w:outlineLvl w:val="3"/>
        <w:rPr>
          <w:rFonts w:ascii="Times New Roman" w:eastAsia="黑体" w:hAnsi="Times New Roman" w:cs="Times New Roman"/>
          <w:sz w:val="18"/>
          <w:szCs w:val="18"/>
          <w14:ligatures w14:val="none"/>
        </w:rPr>
      </w:pPr>
      <w:r w:rsidRPr="009B0CD7">
        <w:rPr>
          <w:rFonts w:ascii="Times New Roman" w:eastAsia="黑体" w:hAnsi="Times New Roman" w:cs="Times New Roman" w:hint="eastAsia"/>
          <w:sz w:val="18"/>
          <w:szCs w:val="18"/>
          <w14:ligatures w14:val="none"/>
        </w:rPr>
        <w:t>Table 5</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 xml:space="preserve">Optimal Copula models and key evaluation </w:t>
      </w:r>
      <w:r w:rsidRPr="009B0CD7">
        <w:rPr>
          <w:rFonts w:ascii="Times New Roman" w:eastAsia="黑体" w:hAnsi="Times New Roman" w:cs="Times New Roman" w:hint="eastAsia"/>
          <w:sz w:val="18"/>
          <w:szCs w:val="18"/>
          <w14:ligatures w14:val="none"/>
        </w:rPr>
        <w:t>indicators</w:t>
      </w:r>
      <w:r w:rsidRPr="009B0CD7">
        <w:rPr>
          <w:rFonts w:ascii="Times New Roman" w:eastAsia="黑体" w:hAnsi="Times New Roman" w:cs="Times New Roman"/>
          <w:sz w:val="18"/>
          <w:szCs w:val="18"/>
          <w14:ligatures w14:val="none"/>
        </w:rPr>
        <w:t xml:space="preserve"> at monthly scale</w:t>
      </w:r>
    </w:p>
    <w:tbl>
      <w:tblPr>
        <w:tblStyle w:val="af0"/>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265"/>
        <w:gridCol w:w="1144"/>
        <w:gridCol w:w="1702"/>
        <w:gridCol w:w="1134"/>
        <w:gridCol w:w="1134"/>
        <w:gridCol w:w="1071"/>
      </w:tblGrid>
      <w:tr w:rsidR="0081344D" w:rsidRPr="009B0CD7" w14:paraId="12C95FC2" w14:textId="77777777">
        <w:trPr>
          <w:trHeight w:val="290"/>
          <w:tblHeader/>
          <w:jc w:val="center"/>
        </w:trPr>
        <w:tc>
          <w:tcPr>
            <w:tcW w:w="846" w:type="dxa"/>
            <w:tcBorders>
              <w:top w:val="single" w:sz="12" w:space="0" w:color="auto"/>
              <w:bottom w:val="single" w:sz="4" w:space="0" w:color="auto"/>
              <w:right w:val="single" w:sz="4" w:space="0" w:color="auto"/>
            </w:tcBorders>
            <w:vAlign w:val="center"/>
          </w:tcPr>
          <w:p w14:paraId="7B20BEB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月份</w:t>
            </w:r>
          </w:p>
        </w:tc>
        <w:tc>
          <w:tcPr>
            <w:tcW w:w="1265" w:type="dxa"/>
            <w:tcBorders>
              <w:top w:val="single" w:sz="12" w:space="0" w:color="auto"/>
              <w:left w:val="single" w:sz="4" w:space="0" w:color="auto"/>
              <w:bottom w:val="single" w:sz="4" w:space="0" w:color="auto"/>
              <w:right w:val="single" w:sz="4" w:space="0" w:color="auto"/>
            </w:tcBorders>
            <w:vAlign w:val="center"/>
          </w:tcPr>
          <w:p w14:paraId="3242261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Copula</w:t>
            </w:r>
            <w:r w:rsidRPr="009B0CD7">
              <w:rPr>
                <w:rFonts w:ascii="Times New Roman" w:eastAsia="宋体" w:hAnsi="Times New Roman" w:cs="Times New Roman"/>
                <w:sz w:val="15"/>
                <w:szCs w:val="15"/>
              </w:rPr>
              <w:t>族</w:t>
            </w:r>
          </w:p>
        </w:tc>
        <w:tc>
          <w:tcPr>
            <w:tcW w:w="1144" w:type="dxa"/>
            <w:tcBorders>
              <w:top w:val="single" w:sz="12" w:space="0" w:color="auto"/>
              <w:left w:val="single" w:sz="4" w:space="0" w:color="auto"/>
              <w:bottom w:val="single" w:sz="4" w:space="0" w:color="auto"/>
              <w:right w:val="single" w:sz="4" w:space="0" w:color="auto"/>
            </w:tcBorders>
            <w:vAlign w:val="center"/>
          </w:tcPr>
          <w:p w14:paraId="2EBAFFB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模型类型</w:t>
            </w:r>
          </w:p>
        </w:tc>
        <w:tc>
          <w:tcPr>
            <w:tcW w:w="1702" w:type="dxa"/>
            <w:tcBorders>
              <w:top w:val="single" w:sz="12" w:space="0" w:color="auto"/>
              <w:left w:val="single" w:sz="4" w:space="0" w:color="auto"/>
              <w:bottom w:val="single" w:sz="4" w:space="0" w:color="auto"/>
              <w:right w:val="single" w:sz="4" w:space="0" w:color="auto"/>
            </w:tcBorders>
            <w:vAlign w:val="center"/>
          </w:tcPr>
          <w:p w14:paraId="56F0E96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hint="eastAsia"/>
                <w:sz w:val="15"/>
                <w:szCs w:val="15"/>
              </w:rPr>
              <w:t>协变量</w:t>
            </w:r>
          </w:p>
        </w:tc>
        <w:tc>
          <w:tcPr>
            <w:tcW w:w="1134" w:type="dxa"/>
            <w:tcBorders>
              <w:top w:val="single" w:sz="12" w:space="0" w:color="auto"/>
              <w:left w:val="single" w:sz="4" w:space="0" w:color="auto"/>
              <w:bottom w:val="single" w:sz="4" w:space="0" w:color="auto"/>
              <w:right w:val="single" w:sz="4" w:space="0" w:color="auto"/>
            </w:tcBorders>
            <w:vAlign w:val="center"/>
          </w:tcPr>
          <w:p w14:paraId="7336A054" w14:textId="77777777" w:rsidR="0081344D" w:rsidRPr="009B0CD7" w:rsidRDefault="00000000">
            <w:pPr>
              <w:adjustRightInd w:val="0"/>
              <w:snapToGrid w:val="0"/>
              <w:spacing w:after="0" w:line="240" w:lineRule="auto"/>
              <w:jc w:val="center"/>
              <w:rPr>
                <w:rFonts w:ascii="Times New Roman" w:eastAsia="宋体" w:hAnsi="Times New Roman" w:cs="Times New Roman"/>
                <w:i/>
                <w:iCs/>
                <w:sz w:val="15"/>
                <w:szCs w:val="15"/>
              </w:rPr>
            </w:pPr>
            <w:r w:rsidRPr="009B0CD7">
              <w:rPr>
                <w:rFonts w:ascii="Times New Roman" w:eastAsia="宋体" w:hAnsi="Times New Roman" w:cs="Times New Roman"/>
                <w:i/>
                <w:iCs/>
                <w:sz w:val="15"/>
                <w:szCs w:val="15"/>
              </w:rPr>
              <w:t>AUC</w:t>
            </w:r>
          </w:p>
        </w:tc>
        <w:tc>
          <w:tcPr>
            <w:tcW w:w="1134" w:type="dxa"/>
            <w:tcBorders>
              <w:top w:val="single" w:sz="12" w:space="0" w:color="auto"/>
              <w:left w:val="single" w:sz="4" w:space="0" w:color="auto"/>
              <w:bottom w:val="single" w:sz="4" w:space="0" w:color="auto"/>
              <w:right w:val="single" w:sz="4" w:space="0" w:color="auto"/>
            </w:tcBorders>
            <w:vAlign w:val="center"/>
          </w:tcPr>
          <w:p w14:paraId="11B1B22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m:oMathPara>
              <m:oMath>
                <m:r>
                  <w:rPr>
                    <w:rFonts w:ascii="Cambria Math" w:eastAsia="宋体" w:hAnsi="Cambria Math" w:cs="Times New Roman"/>
                    <w:sz w:val="15"/>
                    <w:szCs w:val="15"/>
                  </w:rPr>
                  <m:t>∆P</m:t>
                </m:r>
              </m:oMath>
            </m:oMathPara>
          </w:p>
        </w:tc>
        <w:tc>
          <w:tcPr>
            <w:tcW w:w="1071" w:type="dxa"/>
            <w:tcBorders>
              <w:top w:val="single" w:sz="12" w:space="0" w:color="auto"/>
              <w:left w:val="single" w:sz="4" w:space="0" w:color="auto"/>
              <w:bottom w:val="single" w:sz="4" w:space="0" w:color="auto"/>
            </w:tcBorders>
            <w:vAlign w:val="center"/>
          </w:tcPr>
          <w:p w14:paraId="690C2A8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尾部特征</w:t>
            </w:r>
          </w:p>
        </w:tc>
      </w:tr>
      <w:tr w:rsidR="0081344D" w:rsidRPr="009B0CD7" w14:paraId="4EA06F74" w14:textId="77777777">
        <w:trPr>
          <w:trHeight w:val="280"/>
          <w:jc w:val="center"/>
        </w:trPr>
        <w:tc>
          <w:tcPr>
            <w:tcW w:w="846" w:type="dxa"/>
            <w:tcBorders>
              <w:top w:val="single" w:sz="4" w:space="0" w:color="auto"/>
              <w:right w:val="single" w:sz="4" w:space="0" w:color="auto"/>
            </w:tcBorders>
            <w:noWrap/>
            <w:vAlign w:val="center"/>
          </w:tcPr>
          <w:p w14:paraId="526B449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w:t>
            </w:r>
            <w:r w:rsidRPr="009B0CD7">
              <w:rPr>
                <w:rFonts w:ascii="Times New Roman" w:eastAsia="宋体" w:hAnsi="Times New Roman" w:cs="Times New Roman"/>
                <w:sz w:val="15"/>
                <w:szCs w:val="15"/>
              </w:rPr>
              <w:t>月</w:t>
            </w:r>
          </w:p>
        </w:tc>
        <w:tc>
          <w:tcPr>
            <w:tcW w:w="1265" w:type="dxa"/>
            <w:tcBorders>
              <w:top w:val="single" w:sz="4" w:space="0" w:color="auto"/>
              <w:left w:val="single" w:sz="4" w:space="0" w:color="auto"/>
              <w:right w:val="single" w:sz="4" w:space="0" w:color="auto"/>
            </w:tcBorders>
            <w:noWrap/>
            <w:vAlign w:val="center"/>
          </w:tcPr>
          <w:p w14:paraId="7833D1C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SG</w:t>
            </w:r>
          </w:p>
        </w:tc>
        <w:tc>
          <w:tcPr>
            <w:tcW w:w="1144" w:type="dxa"/>
            <w:tcBorders>
              <w:top w:val="single" w:sz="4" w:space="0" w:color="auto"/>
              <w:left w:val="single" w:sz="4" w:space="0" w:color="auto"/>
              <w:right w:val="single" w:sz="4" w:space="0" w:color="auto"/>
            </w:tcBorders>
            <w:noWrap/>
            <w:vAlign w:val="center"/>
          </w:tcPr>
          <w:p w14:paraId="7704FAC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top w:val="single" w:sz="4" w:space="0" w:color="auto"/>
              <w:left w:val="single" w:sz="4" w:space="0" w:color="auto"/>
              <w:right w:val="single" w:sz="4" w:space="0" w:color="auto"/>
            </w:tcBorders>
            <w:noWrap/>
            <w:vAlign w:val="center"/>
          </w:tcPr>
          <w:p w14:paraId="15161CAF" w14:textId="77777777" w:rsidR="0081344D" w:rsidRPr="009B0CD7" w:rsidRDefault="00000000">
            <w:pPr>
              <w:adjustRightInd w:val="0"/>
              <w:snapToGrid w:val="0"/>
              <w:spacing w:after="0" w:line="240" w:lineRule="auto"/>
              <w:jc w:val="center"/>
              <w:rPr>
                <w:rFonts w:ascii="Times New Roman" w:eastAsia="宋体" w:hAnsi="Times New Roman" w:cs="Times New Roman"/>
                <w:i/>
                <w:iCs/>
                <w:sz w:val="15"/>
                <w:szCs w:val="15"/>
              </w:rPr>
            </w:pPr>
            <w:r w:rsidRPr="009B0CD7">
              <w:rPr>
                <w:rFonts w:ascii="Times New Roman" w:eastAsia="宋体" w:hAnsi="Times New Roman" w:cs="Times New Roman"/>
                <w:i/>
                <w:iCs/>
                <w:sz w:val="15"/>
                <w:szCs w:val="15"/>
              </w:rPr>
              <w:t>SPEI-JD</w:t>
            </w:r>
            <w:r w:rsidRPr="009B0CD7">
              <w:rPr>
                <w:rFonts w:ascii="Times New Roman" w:eastAsia="宋体" w:hAnsi="Times New Roman" w:cs="Times New Roman"/>
                <w:sz w:val="15"/>
                <w:szCs w:val="15"/>
              </w:rPr>
              <w:t>²</w:t>
            </w:r>
          </w:p>
        </w:tc>
        <w:tc>
          <w:tcPr>
            <w:tcW w:w="1134" w:type="dxa"/>
            <w:tcBorders>
              <w:top w:val="single" w:sz="4" w:space="0" w:color="auto"/>
              <w:left w:val="single" w:sz="4" w:space="0" w:color="auto"/>
              <w:right w:val="single" w:sz="4" w:space="0" w:color="auto"/>
            </w:tcBorders>
            <w:noWrap/>
            <w:vAlign w:val="center"/>
          </w:tcPr>
          <w:p w14:paraId="0C571E7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0.63</w:t>
            </w:r>
          </w:p>
        </w:tc>
        <w:tc>
          <w:tcPr>
            <w:tcW w:w="1134" w:type="dxa"/>
            <w:tcBorders>
              <w:top w:val="single" w:sz="4" w:space="0" w:color="auto"/>
              <w:left w:val="single" w:sz="4" w:space="0" w:color="auto"/>
              <w:right w:val="single" w:sz="4" w:space="0" w:color="auto"/>
            </w:tcBorders>
            <w:noWrap/>
            <w:vAlign w:val="center"/>
          </w:tcPr>
          <w:p w14:paraId="0537D01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1071" w:type="dxa"/>
            <w:tcBorders>
              <w:top w:val="single" w:sz="4" w:space="0" w:color="auto"/>
              <w:left w:val="single" w:sz="4" w:space="0" w:color="auto"/>
            </w:tcBorders>
            <w:noWrap/>
            <w:vAlign w:val="center"/>
          </w:tcPr>
          <w:p w14:paraId="4936993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下尾</w:t>
            </w:r>
          </w:p>
        </w:tc>
      </w:tr>
      <w:tr w:rsidR="0081344D" w:rsidRPr="009B0CD7" w14:paraId="78B1A908" w14:textId="77777777">
        <w:trPr>
          <w:trHeight w:val="280"/>
          <w:jc w:val="center"/>
        </w:trPr>
        <w:tc>
          <w:tcPr>
            <w:tcW w:w="846" w:type="dxa"/>
            <w:tcBorders>
              <w:right w:val="single" w:sz="4" w:space="0" w:color="auto"/>
            </w:tcBorders>
            <w:noWrap/>
            <w:vAlign w:val="center"/>
          </w:tcPr>
          <w:p w14:paraId="7BE08FE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2</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70FC834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GUM</w:t>
            </w:r>
          </w:p>
        </w:tc>
        <w:tc>
          <w:tcPr>
            <w:tcW w:w="1144" w:type="dxa"/>
            <w:tcBorders>
              <w:left w:val="single" w:sz="4" w:space="0" w:color="auto"/>
              <w:right w:val="single" w:sz="4" w:space="0" w:color="auto"/>
            </w:tcBorders>
            <w:noWrap/>
            <w:vAlign w:val="center"/>
          </w:tcPr>
          <w:p w14:paraId="224615C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STA</w:t>
            </w:r>
          </w:p>
        </w:tc>
        <w:tc>
          <w:tcPr>
            <w:tcW w:w="1702" w:type="dxa"/>
            <w:tcBorders>
              <w:left w:val="single" w:sz="4" w:space="0" w:color="auto"/>
              <w:right w:val="single" w:sz="4" w:space="0" w:color="auto"/>
            </w:tcBorders>
            <w:noWrap/>
            <w:vAlign w:val="center"/>
          </w:tcPr>
          <w:p w14:paraId="75BEA0C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hAnsi="Times New Roman" w:cs="Times New Roman"/>
                <w:sz w:val="15"/>
                <w:szCs w:val="15"/>
              </w:rPr>
              <w:t>—</w:t>
            </w:r>
          </w:p>
        </w:tc>
        <w:tc>
          <w:tcPr>
            <w:tcW w:w="1134" w:type="dxa"/>
            <w:tcBorders>
              <w:left w:val="single" w:sz="4" w:space="0" w:color="auto"/>
              <w:right w:val="single" w:sz="4" w:space="0" w:color="auto"/>
            </w:tcBorders>
            <w:noWrap/>
            <w:vAlign w:val="center"/>
          </w:tcPr>
          <w:p w14:paraId="2D29D2B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w:t>
            </w:r>
            <w:r w:rsidRPr="009B0CD7">
              <w:rPr>
                <w:rFonts w:ascii="Times New Roman" w:eastAsia="宋体" w:hAnsi="Times New Roman" w:cs="Times New Roman" w:hint="eastAsia"/>
                <w:sz w:val="15"/>
                <w:szCs w:val="15"/>
              </w:rPr>
              <w:t>0</w:t>
            </w:r>
          </w:p>
        </w:tc>
        <w:tc>
          <w:tcPr>
            <w:tcW w:w="1134" w:type="dxa"/>
            <w:tcBorders>
              <w:left w:val="single" w:sz="4" w:space="0" w:color="auto"/>
              <w:right w:val="single" w:sz="4" w:space="0" w:color="auto"/>
            </w:tcBorders>
            <w:noWrap/>
            <w:vAlign w:val="center"/>
          </w:tcPr>
          <w:p w14:paraId="3884D4B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1071" w:type="dxa"/>
            <w:tcBorders>
              <w:left w:val="single" w:sz="4" w:space="0" w:color="auto"/>
            </w:tcBorders>
            <w:noWrap/>
            <w:vAlign w:val="center"/>
          </w:tcPr>
          <w:p w14:paraId="5AE0AF4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上尾</w:t>
            </w:r>
          </w:p>
        </w:tc>
      </w:tr>
      <w:tr w:rsidR="0081344D" w:rsidRPr="009B0CD7" w14:paraId="33DABB3E" w14:textId="77777777">
        <w:trPr>
          <w:trHeight w:val="280"/>
          <w:jc w:val="center"/>
        </w:trPr>
        <w:tc>
          <w:tcPr>
            <w:tcW w:w="846" w:type="dxa"/>
            <w:tcBorders>
              <w:right w:val="single" w:sz="4" w:space="0" w:color="auto"/>
            </w:tcBorders>
            <w:noWrap/>
            <w:vAlign w:val="center"/>
          </w:tcPr>
          <w:p w14:paraId="52AEA17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3</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10758BA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GUM</w:t>
            </w:r>
          </w:p>
        </w:tc>
        <w:tc>
          <w:tcPr>
            <w:tcW w:w="1144" w:type="dxa"/>
            <w:tcBorders>
              <w:left w:val="single" w:sz="4" w:space="0" w:color="auto"/>
              <w:right w:val="single" w:sz="4" w:space="0" w:color="auto"/>
            </w:tcBorders>
            <w:noWrap/>
            <w:vAlign w:val="center"/>
          </w:tcPr>
          <w:p w14:paraId="087C5B3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left w:val="single" w:sz="4" w:space="0" w:color="auto"/>
              <w:right w:val="single" w:sz="4" w:space="0" w:color="auto"/>
            </w:tcBorders>
            <w:noWrap/>
            <w:vAlign w:val="center"/>
          </w:tcPr>
          <w:p w14:paraId="25C33D7F"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PDO²</w:t>
            </w:r>
          </w:p>
        </w:tc>
        <w:tc>
          <w:tcPr>
            <w:tcW w:w="1134" w:type="dxa"/>
            <w:tcBorders>
              <w:left w:val="single" w:sz="4" w:space="0" w:color="auto"/>
              <w:right w:val="single" w:sz="4" w:space="0" w:color="auto"/>
            </w:tcBorders>
            <w:noWrap/>
            <w:vAlign w:val="center"/>
          </w:tcPr>
          <w:p w14:paraId="4E1AEAA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0.59</w:t>
            </w:r>
          </w:p>
        </w:tc>
        <w:tc>
          <w:tcPr>
            <w:tcW w:w="1134" w:type="dxa"/>
            <w:tcBorders>
              <w:left w:val="single" w:sz="4" w:space="0" w:color="auto"/>
              <w:right w:val="single" w:sz="4" w:space="0" w:color="auto"/>
            </w:tcBorders>
            <w:noWrap/>
            <w:vAlign w:val="center"/>
          </w:tcPr>
          <w:p w14:paraId="79AA023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1071" w:type="dxa"/>
            <w:tcBorders>
              <w:left w:val="single" w:sz="4" w:space="0" w:color="auto"/>
            </w:tcBorders>
            <w:noWrap/>
            <w:vAlign w:val="center"/>
          </w:tcPr>
          <w:p w14:paraId="0A24764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上尾</w:t>
            </w:r>
          </w:p>
        </w:tc>
      </w:tr>
      <w:tr w:rsidR="0081344D" w:rsidRPr="009B0CD7" w14:paraId="3356D701" w14:textId="77777777">
        <w:trPr>
          <w:trHeight w:val="280"/>
          <w:jc w:val="center"/>
        </w:trPr>
        <w:tc>
          <w:tcPr>
            <w:tcW w:w="846" w:type="dxa"/>
            <w:tcBorders>
              <w:right w:val="single" w:sz="4" w:space="0" w:color="auto"/>
            </w:tcBorders>
            <w:noWrap/>
            <w:vAlign w:val="center"/>
          </w:tcPr>
          <w:p w14:paraId="694E028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4</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70C2E58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GAU</w:t>
            </w:r>
          </w:p>
        </w:tc>
        <w:tc>
          <w:tcPr>
            <w:tcW w:w="1144" w:type="dxa"/>
            <w:tcBorders>
              <w:left w:val="single" w:sz="4" w:space="0" w:color="auto"/>
              <w:right w:val="single" w:sz="4" w:space="0" w:color="auto"/>
            </w:tcBorders>
            <w:noWrap/>
            <w:vAlign w:val="center"/>
          </w:tcPr>
          <w:p w14:paraId="7FED587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left w:val="single" w:sz="4" w:space="0" w:color="auto"/>
              <w:right w:val="single" w:sz="4" w:space="0" w:color="auto"/>
            </w:tcBorders>
            <w:noWrap/>
            <w:vAlign w:val="center"/>
          </w:tcPr>
          <w:p w14:paraId="4F68C6C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NINO3.4(</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-1)</w:t>
            </w:r>
          </w:p>
        </w:tc>
        <w:tc>
          <w:tcPr>
            <w:tcW w:w="1134" w:type="dxa"/>
            <w:tcBorders>
              <w:left w:val="single" w:sz="4" w:space="0" w:color="auto"/>
              <w:right w:val="single" w:sz="4" w:space="0" w:color="auto"/>
            </w:tcBorders>
            <w:noWrap/>
            <w:vAlign w:val="center"/>
          </w:tcPr>
          <w:p w14:paraId="019F3EA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0.56</w:t>
            </w:r>
          </w:p>
        </w:tc>
        <w:tc>
          <w:tcPr>
            <w:tcW w:w="1134" w:type="dxa"/>
            <w:tcBorders>
              <w:left w:val="single" w:sz="4" w:space="0" w:color="auto"/>
              <w:right w:val="single" w:sz="4" w:space="0" w:color="auto"/>
            </w:tcBorders>
            <w:noWrap/>
            <w:vAlign w:val="center"/>
          </w:tcPr>
          <w:p w14:paraId="5534400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1071" w:type="dxa"/>
            <w:tcBorders>
              <w:left w:val="single" w:sz="4" w:space="0" w:color="auto"/>
            </w:tcBorders>
            <w:noWrap/>
            <w:vAlign w:val="center"/>
          </w:tcPr>
          <w:p w14:paraId="5089037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对称</w:t>
            </w:r>
          </w:p>
        </w:tc>
      </w:tr>
      <w:tr w:rsidR="0081344D" w:rsidRPr="009B0CD7" w14:paraId="7B01640D" w14:textId="77777777">
        <w:trPr>
          <w:trHeight w:val="280"/>
          <w:jc w:val="center"/>
        </w:trPr>
        <w:tc>
          <w:tcPr>
            <w:tcW w:w="846" w:type="dxa"/>
            <w:tcBorders>
              <w:right w:val="single" w:sz="4" w:space="0" w:color="auto"/>
            </w:tcBorders>
            <w:noWrap/>
            <w:vAlign w:val="center"/>
          </w:tcPr>
          <w:p w14:paraId="258314F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5</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30C8D64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GUM</w:t>
            </w:r>
          </w:p>
        </w:tc>
        <w:tc>
          <w:tcPr>
            <w:tcW w:w="1144" w:type="dxa"/>
            <w:tcBorders>
              <w:left w:val="single" w:sz="4" w:space="0" w:color="auto"/>
              <w:right w:val="single" w:sz="4" w:space="0" w:color="auto"/>
            </w:tcBorders>
            <w:noWrap/>
            <w:vAlign w:val="center"/>
          </w:tcPr>
          <w:p w14:paraId="23D1F7C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left w:val="single" w:sz="4" w:space="0" w:color="auto"/>
              <w:right w:val="single" w:sz="4" w:space="0" w:color="auto"/>
            </w:tcBorders>
            <w:noWrap/>
            <w:vAlign w:val="center"/>
          </w:tcPr>
          <w:p w14:paraId="491B62C9"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i/>
                <w:iCs/>
                <w:sz w:val="15"/>
                <w:szCs w:val="15"/>
              </w:rPr>
              <w:t>SPEI-JD</w:t>
            </w:r>
            <w:r w:rsidRPr="009B0CD7">
              <w:rPr>
                <w:rFonts w:ascii="Times New Roman" w:eastAsia="宋体" w:hAnsi="Times New Roman" w:cs="Times New Roman"/>
                <w:sz w:val="15"/>
                <w:szCs w:val="15"/>
              </w:rPr>
              <w:t>²</w:t>
            </w:r>
          </w:p>
        </w:tc>
        <w:tc>
          <w:tcPr>
            <w:tcW w:w="1134" w:type="dxa"/>
            <w:tcBorders>
              <w:left w:val="single" w:sz="4" w:space="0" w:color="auto"/>
              <w:right w:val="single" w:sz="4" w:space="0" w:color="auto"/>
            </w:tcBorders>
            <w:noWrap/>
            <w:vAlign w:val="center"/>
          </w:tcPr>
          <w:p w14:paraId="3AA99C8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0.78</w:t>
            </w:r>
          </w:p>
        </w:tc>
        <w:tc>
          <w:tcPr>
            <w:tcW w:w="1134" w:type="dxa"/>
            <w:tcBorders>
              <w:left w:val="single" w:sz="4" w:space="0" w:color="auto"/>
              <w:right w:val="single" w:sz="4" w:space="0" w:color="auto"/>
            </w:tcBorders>
            <w:noWrap/>
            <w:vAlign w:val="center"/>
          </w:tcPr>
          <w:p w14:paraId="17E6A2E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1071" w:type="dxa"/>
            <w:tcBorders>
              <w:left w:val="single" w:sz="4" w:space="0" w:color="auto"/>
            </w:tcBorders>
            <w:noWrap/>
            <w:vAlign w:val="center"/>
          </w:tcPr>
          <w:p w14:paraId="0604A38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上尾</w:t>
            </w:r>
          </w:p>
        </w:tc>
      </w:tr>
      <w:tr w:rsidR="0081344D" w:rsidRPr="009B0CD7" w14:paraId="3E0087DF" w14:textId="77777777">
        <w:trPr>
          <w:trHeight w:val="280"/>
          <w:jc w:val="center"/>
        </w:trPr>
        <w:tc>
          <w:tcPr>
            <w:tcW w:w="846" w:type="dxa"/>
            <w:tcBorders>
              <w:right w:val="single" w:sz="4" w:space="0" w:color="auto"/>
            </w:tcBorders>
            <w:noWrap/>
            <w:vAlign w:val="center"/>
          </w:tcPr>
          <w:p w14:paraId="7F683EE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6</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5D42319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SG</w:t>
            </w:r>
          </w:p>
        </w:tc>
        <w:tc>
          <w:tcPr>
            <w:tcW w:w="1144" w:type="dxa"/>
            <w:tcBorders>
              <w:left w:val="single" w:sz="4" w:space="0" w:color="auto"/>
              <w:right w:val="single" w:sz="4" w:space="0" w:color="auto"/>
            </w:tcBorders>
            <w:noWrap/>
            <w:vAlign w:val="center"/>
          </w:tcPr>
          <w:p w14:paraId="4F75F3B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left w:val="single" w:sz="4" w:space="0" w:color="auto"/>
              <w:right w:val="single" w:sz="4" w:space="0" w:color="auto"/>
            </w:tcBorders>
            <w:noWrap/>
            <w:vAlign w:val="center"/>
          </w:tcPr>
          <w:p w14:paraId="7B14206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w:t>
            </w:r>
            <w:r w:rsidRPr="009B0CD7">
              <w:rPr>
                <w:rFonts w:ascii="Times New Roman" w:eastAsia="宋体" w:hAnsi="Times New Roman" w:cs="Times New Roman"/>
                <w:i/>
                <w:iCs/>
                <w:sz w:val="15"/>
                <w:szCs w:val="15"/>
              </w:rPr>
              <w:t>SPEI</w:t>
            </w:r>
            <w:r w:rsidRPr="009B0CD7">
              <w:rPr>
                <w:rFonts w:ascii="Times New Roman" w:eastAsia="宋体" w:hAnsi="Times New Roman" w:cs="Times New Roman"/>
                <w:sz w:val="15"/>
                <w:szCs w:val="15"/>
              </w:rPr>
              <w:t>-</w:t>
            </w:r>
            <w:r w:rsidRPr="009B0CD7">
              <w:rPr>
                <w:rFonts w:ascii="Times New Roman" w:eastAsia="宋体" w:hAnsi="Times New Roman" w:cs="Times New Roman"/>
                <w:i/>
                <w:iCs/>
                <w:sz w:val="15"/>
                <w:szCs w:val="15"/>
              </w:rPr>
              <w:t>D</w:t>
            </w:r>
            <w:r w:rsidRPr="009B0CD7">
              <w:rPr>
                <w:rFonts w:ascii="Times New Roman" w:eastAsia="宋体" w:hAnsi="Times New Roman" w:cs="Times New Roman"/>
                <w:sz w:val="15"/>
                <w:szCs w:val="15"/>
              </w:rPr>
              <w:t>(</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-1)</w:t>
            </w:r>
          </w:p>
        </w:tc>
        <w:tc>
          <w:tcPr>
            <w:tcW w:w="1134" w:type="dxa"/>
            <w:tcBorders>
              <w:left w:val="single" w:sz="4" w:space="0" w:color="auto"/>
              <w:right w:val="single" w:sz="4" w:space="0" w:color="auto"/>
            </w:tcBorders>
            <w:noWrap/>
            <w:vAlign w:val="center"/>
          </w:tcPr>
          <w:p w14:paraId="4E2BF69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0.59</w:t>
            </w:r>
          </w:p>
        </w:tc>
        <w:tc>
          <w:tcPr>
            <w:tcW w:w="1134" w:type="dxa"/>
            <w:tcBorders>
              <w:left w:val="single" w:sz="4" w:space="0" w:color="auto"/>
              <w:right w:val="single" w:sz="4" w:space="0" w:color="auto"/>
            </w:tcBorders>
            <w:noWrap/>
            <w:vAlign w:val="center"/>
          </w:tcPr>
          <w:p w14:paraId="07A003B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1071" w:type="dxa"/>
            <w:tcBorders>
              <w:left w:val="single" w:sz="4" w:space="0" w:color="auto"/>
            </w:tcBorders>
            <w:noWrap/>
            <w:vAlign w:val="center"/>
          </w:tcPr>
          <w:p w14:paraId="20BAEC1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下尾</w:t>
            </w:r>
          </w:p>
        </w:tc>
      </w:tr>
      <w:tr w:rsidR="0081344D" w:rsidRPr="009B0CD7" w14:paraId="04B8933F" w14:textId="77777777">
        <w:trPr>
          <w:trHeight w:val="280"/>
          <w:jc w:val="center"/>
        </w:trPr>
        <w:tc>
          <w:tcPr>
            <w:tcW w:w="846" w:type="dxa"/>
            <w:tcBorders>
              <w:right w:val="single" w:sz="4" w:space="0" w:color="auto"/>
            </w:tcBorders>
            <w:noWrap/>
            <w:vAlign w:val="center"/>
          </w:tcPr>
          <w:p w14:paraId="35695B7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7</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25E6BBD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GAU</w:t>
            </w:r>
          </w:p>
        </w:tc>
        <w:tc>
          <w:tcPr>
            <w:tcW w:w="1144" w:type="dxa"/>
            <w:tcBorders>
              <w:left w:val="single" w:sz="4" w:space="0" w:color="auto"/>
              <w:right w:val="single" w:sz="4" w:space="0" w:color="auto"/>
            </w:tcBorders>
            <w:noWrap/>
            <w:vAlign w:val="center"/>
          </w:tcPr>
          <w:p w14:paraId="1FC04E18"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STA</w:t>
            </w:r>
          </w:p>
        </w:tc>
        <w:tc>
          <w:tcPr>
            <w:tcW w:w="1702" w:type="dxa"/>
            <w:tcBorders>
              <w:left w:val="single" w:sz="4" w:space="0" w:color="auto"/>
              <w:right w:val="single" w:sz="4" w:space="0" w:color="auto"/>
            </w:tcBorders>
            <w:noWrap/>
            <w:vAlign w:val="center"/>
          </w:tcPr>
          <w:p w14:paraId="2F80AA4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hAnsi="Times New Roman" w:cs="Times New Roman"/>
                <w:sz w:val="15"/>
                <w:szCs w:val="15"/>
              </w:rPr>
              <w:t>—</w:t>
            </w:r>
          </w:p>
        </w:tc>
        <w:tc>
          <w:tcPr>
            <w:tcW w:w="1134" w:type="dxa"/>
            <w:tcBorders>
              <w:left w:val="single" w:sz="4" w:space="0" w:color="auto"/>
              <w:right w:val="single" w:sz="4" w:space="0" w:color="auto"/>
            </w:tcBorders>
            <w:noWrap/>
            <w:vAlign w:val="center"/>
          </w:tcPr>
          <w:p w14:paraId="76119BD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w:t>
            </w:r>
            <w:r w:rsidRPr="009B0CD7">
              <w:rPr>
                <w:rFonts w:ascii="Times New Roman" w:eastAsia="宋体" w:hAnsi="Times New Roman" w:cs="Times New Roman" w:hint="eastAsia"/>
                <w:sz w:val="15"/>
                <w:szCs w:val="15"/>
              </w:rPr>
              <w:t>0</w:t>
            </w:r>
          </w:p>
        </w:tc>
        <w:tc>
          <w:tcPr>
            <w:tcW w:w="1134" w:type="dxa"/>
            <w:tcBorders>
              <w:left w:val="single" w:sz="4" w:space="0" w:color="auto"/>
              <w:right w:val="single" w:sz="4" w:space="0" w:color="auto"/>
            </w:tcBorders>
            <w:noWrap/>
            <w:vAlign w:val="center"/>
          </w:tcPr>
          <w:p w14:paraId="1C957C5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1071" w:type="dxa"/>
            <w:tcBorders>
              <w:left w:val="single" w:sz="4" w:space="0" w:color="auto"/>
            </w:tcBorders>
            <w:noWrap/>
            <w:vAlign w:val="center"/>
          </w:tcPr>
          <w:p w14:paraId="2DCF4C8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对称</w:t>
            </w:r>
          </w:p>
        </w:tc>
      </w:tr>
      <w:tr w:rsidR="0081344D" w:rsidRPr="009B0CD7" w14:paraId="3FA57DCC" w14:textId="77777777">
        <w:trPr>
          <w:trHeight w:val="280"/>
          <w:jc w:val="center"/>
        </w:trPr>
        <w:tc>
          <w:tcPr>
            <w:tcW w:w="846" w:type="dxa"/>
            <w:tcBorders>
              <w:right w:val="single" w:sz="4" w:space="0" w:color="auto"/>
            </w:tcBorders>
            <w:noWrap/>
            <w:vAlign w:val="center"/>
          </w:tcPr>
          <w:p w14:paraId="37F5791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8</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5F32E00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GAU</w:t>
            </w:r>
          </w:p>
        </w:tc>
        <w:tc>
          <w:tcPr>
            <w:tcW w:w="1144" w:type="dxa"/>
            <w:tcBorders>
              <w:left w:val="single" w:sz="4" w:space="0" w:color="auto"/>
              <w:right w:val="single" w:sz="4" w:space="0" w:color="auto"/>
            </w:tcBorders>
            <w:noWrap/>
            <w:vAlign w:val="center"/>
          </w:tcPr>
          <w:p w14:paraId="3DC8B492"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left w:val="single" w:sz="4" w:space="0" w:color="auto"/>
              <w:right w:val="single" w:sz="4" w:space="0" w:color="auto"/>
            </w:tcBorders>
            <w:noWrap/>
            <w:vAlign w:val="center"/>
          </w:tcPr>
          <w:p w14:paraId="57C42AF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i/>
                <w:iCs/>
                <w:sz w:val="15"/>
                <w:szCs w:val="15"/>
              </w:rPr>
              <w:t>SPEI</w:t>
            </w:r>
            <w:r w:rsidRPr="009B0CD7">
              <w:rPr>
                <w:rFonts w:ascii="Times New Roman" w:eastAsia="宋体" w:hAnsi="Times New Roman" w:cs="Times New Roman"/>
                <w:sz w:val="15"/>
                <w:szCs w:val="15"/>
              </w:rPr>
              <w:t>-</w:t>
            </w:r>
            <w:r w:rsidRPr="009B0CD7">
              <w:rPr>
                <w:rFonts w:ascii="Times New Roman" w:eastAsia="宋体" w:hAnsi="Times New Roman" w:cs="Times New Roman"/>
                <w:i/>
                <w:iCs/>
                <w:sz w:val="15"/>
                <w:szCs w:val="15"/>
              </w:rPr>
              <w:t>D</w:t>
            </w:r>
            <w:r w:rsidRPr="009B0CD7">
              <w:rPr>
                <w:rFonts w:ascii="Times New Roman" w:eastAsia="宋体" w:hAnsi="Times New Roman" w:cs="Times New Roman"/>
                <w:sz w:val="15"/>
                <w:szCs w:val="15"/>
              </w:rPr>
              <w:t>(</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-1)</w:t>
            </w:r>
          </w:p>
        </w:tc>
        <w:tc>
          <w:tcPr>
            <w:tcW w:w="1134" w:type="dxa"/>
            <w:tcBorders>
              <w:left w:val="single" w:sz="4" w:space="0" w:color="auto"/>
              <w:right w:val="single" w:sz="4" w:space="0" w:color="auto"/>
            </w:tcBorders>
            <w:noWrap/>
            <w:vAlign w:val="center"/>
          </w:tcPr>
          <w:p w14:paraId="1BB03A9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0.58</w:t>
            </w:r>
          </w:p>
        </w:tc>
        <w:tc>
          <w:tcPr>
            <w:tcW w:w="1134" w:type="dxa"/>
            <w:tcBorders>
              <w:left w:val="single" w:sz="4" w:space="0" w:color="auto"/>
              <w:right w:val="single" w:sz="4" w:space="0" w:color="auto"/>
            </w:tcBorders>
            <w:noWrap/>
            <w:vAlign w:val="center"/>
          </w:tcPr>
          <w:p w14:paraId="52C480E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1071" w:type="dxa"/>
            <w:tcBorders>
              <w:left w:val="single" w:sz="4" w:space="0" w:color="auto"/>
            </w:tcBorders>
            <w:noWrap/>
            <w:vAlign w:val="center"/>
          </w:tcPr>
          <w:p w14:paraId="57930EA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对称</w:t>
            </w:r>
          </w:p>
        </w:tc>
      </w:tr>
      <w:tr w:rsidR="0081344D" w:rsidRPr="009B0CD7" w14:paraId="1E005FE2" w14:textId="77777777">
        <w:trPr>
          <w:trHeight w:val="280"/>
          <w:jc w:val="center"/>
        </w:trPr>
        <w:tc>
          <w:tcPr>
            <w:tcW w:w="846" w:type="dxa"/>
            <w:tcBorders>
              <w:right w:val="single" w:sz="4" w:space="0" w:color="auto"/>
            </w:tcBorders>
            <w:noWrap/>
            <w:vAlign w:val="center"/>
          </w:tcPr>
          <w:p w14:paraId="4AD7DB3E"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9</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5602B51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GAU</w:t>
            </w:r>
          </w:p>
        </w:tc>
        <w:tc>
          <w:tcPr>
            <w:tcW w:w="1144" w:type="dxa"/>
            <w:tcBorders>
              <w:left w:val="single" w:sz="4" w:space="0" w:color="auto"/>
              <w:right w:val="single" w:sz="4" w:space="0" w:color="auto"/>
            </w:tcBorders>
            <w:noWrap/>
            <w:vAlign w:val="center"/>
          </w:tcPr>
          <w:p w14:paraId="40E9E57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left w:val="single" w:sz="4" w:space="0" w:color="auto"/>
              <w:right w:val="single" w:sz="4" w:space="0" w:color="auto"/>
            </w:tcBorders>
            <w:noWrap/>
            <w:vAlign w:val="center"/>
          </w:tcPr>
          <w:p w14:paraId="68158D6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i/>
                <w:iCs/>
                <w:sz w:val="15"/>
                <w:szCs w:val="15"/>
              </w:rPr>
              <w:t>SPEI-JD</w:t>
            </w:r>
            <w:r w:rsidRPr="009B0CD7">
              <w:rPr>
                <w:rFonts w:ascii="Times New Roman" w:eastAsia="宋体" w:hAnsi="Times New Roman" w:cs="Times New Roman"/>
                <w:sz w:val="15"/>
                <w:szCs w:val="15"/>
              </w:rPr>
              <w:t>(</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-1)</w:t>
            </w:r>
          </w:p>
        </w:tc>
        <w:tc>
          <w:tcPr>
            <w:tcW w:w="1134" w:type="dxa"/>
            <w:tcBorders>
              <w:left w:val="single" w:sz="4" w:space="0" w:color="auto"/>
              <w:right w:val="single" w:sz="4" w:space="0" w:color="auto"/>
            </w:tcBorders>
            <w:noWrap/>
            <w:vAlign w:val="center"/>
          </w:tcPr>
          <w:p w14:paraId="1DDD991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0.57</w:t>
            </w:r>
          </w:p>
        </w:tc>
        <w:tc>
          <w:tcPr>
            <w:tcW w:w="1134" w:type="dxa"/>
            <w:tcBorders>
              <w:left w:val="single" w:sz="4" w:space="0" w:color="auto"/>
              <w:right w:val="single" w:sz="4" w:space="0" w:color="auto"/>
            </w:tcBorders>
            <w:noWrap/>
            <w:vAlign w:val="center"/>
          </w:tcPr>
          <w:p w14:paraId="5946821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0.01</w:t>
            </w:r>
          </w:p>
        </w:tc>
        <w:tc>
          <w:tcPr>
            <w:tcW w:w="1071" w:type="dxa"/>
            <w:tcBorders>
              <w:left w:val="single" w:sz="4" w:space="0" w:color="auto"/>
            </w:tcBorders>
            <w:noWrap/>
            <w:vAlign w:val="center"/>
          </w:tcPr>
          <w:p w14:paraId="00FA50F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对称</w:t>
            </w:r>
          </w:p>
        </w:tc>
      </w:tr>
      <w:tr w:rsidR="0081344D" w:rsidRPr="009B0CD7" w14:paraId="7337496F" w14:textId="77777777">
        <w:trPr>
          <w:trHeight w:val="280"/>
          <w:jc w:val="center"/>
        </w:trPr>
        <w:tc>
          <w:tcPr>
            <w:tcW w:w="846" w:type="dxa"/>
            <w:tcBorders>
              <w:right w:val="single" w:sz="4" w:space="0" w:color="auto"/>
            </w:tcBorders>
            <w:noWrap/>
            <w:vAlign w:val="center"/>
          </w:tcPr>
          <w:p w14:paraId="0F6B2045"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10</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1BC1BAC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GAU</w:t>
            </w:r>
          </w:p>
        </w:tc>
        <w:tc>
          <w:tcPr>
            <w:tcW w:w="1144" w:type="dxa"/>
            <w:tcBorders>
              <w:left w:val="single" w:sz="4" w:space="0" w:color="auto"/>
              <w:right w:val="single" w:sz="4" w:space="0" w:color="auto"/>
            </w:tcBorders>
            <w:noWrap/>
            <w:vAlign w:val="center"/>
          </w:tcPr>
          <w:p w14:paraId="7226BC2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STA</w:t>
            </w:r>
          </w:p>
        </w:tc>
        <w:tc>
          <w:tcPr>
            <w:tcW w:w="1702" w:type="dxa"/>
            <w:tcBorders>
              <w:left w:val="single" w:sz="4" w:space="0" w:color="auto"/>
              <w:right w:val="single" w:sz="4" w:space="0" w:color="auto"/>
            </w:tcBorders>
            <w:noWrap/>
            <w:vAlign w:val="center"/>
          </w:tcPr>
          <w:p w14:paraId="530DA057"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hAnsi="Times New Roman" w:cs="Times New Roman"/>
                <w:sz w:val="15"/>
                <w:szCs w:val="15"/>
              </w:rPr>
              <w:t>—</w:t>
            </w:r>
          </w:p>
        </w:tc>
        <w:tc>
          <w:tcPr>
            <w:tcW w:w="1134" w:type="dxa"/>
            <w:tcBorders>
              <w:left w:val="single" w:sz="4" w:space="0" w:color="auto"/>
              <w:right w:val="single" w:sz="4" w:space="0" w:color="auto"/>
            </w:tcBorders>
            <w:noWrap/>
            <w:vAlign w:val="center"/>
          </w:tcPr>
          <w:p w14:paraId="4CCCFC4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w:t>
            </w:r>
            <w:r w:rsidRPr="009B0CD7">
              <w:rPr>
                <w:rFonts w:ascii="Times New Roman" w:eastAsia="宋体" w:hAnsi="Times New Roman" w:cs="Times New Roman" w:hint="eastAsia"/>
                <w:sz w:val="15"/>
                <w:szCs w:val="15"/>
              </w:rPr>
              <w:t>0</w:t>
            </w:r>
          </w:p>
        </w:tc>
        <w:tc>
          <w:tcPr>
            <w:tcW w:w="1134" w:type="dxa"/>
            <w:tcBorders>
              <w:left w:val="single" w:sz="4" w:space="0" w:color="auto"/>
              <w:right w:val="single" w:sz="4" w:space="0" w:color="auto"/>
            </w:tcBorders>
            <w:noWrap/>
            <w:vAlign w:val="center"/>
          </w:tcPr>
          <w:p w14:paraId="6EF60A8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1071" w:type="dxa"/>
            <w:tcBorders>
              <w:left w:val="single" w:sz="4" w:space="0" w:color="auto"/>
            </w:tcBorders>
            <w:noWrap/>
            <w:vAlign w:val="center"/>
          </w:tcPr>
          <w:p w14:paraId="6FFDB5E0"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对称</w:t>
            </w:r>
          </w:p>
        </w:tc>
      </w:tr>
      <w:tr w:rsidR="0081344D" w:rsidRPr="009B0CD7" w14:paraId="5CD57D3E" w14:textId="77777777">
        <w:trPr>
          <w:trHeight w:val="280"/>
          <w:jc w:val="center"/>
        </w:trPr>
        <w:tc>
          <w:tcPr>
            <w:tcW w:w="846" w:type="dxa"/>
            <w:tcBorders>
              <w:right w:val="single" w:sz="4" w:space="0" w:color="auto"/>
            </w:tcBorders>
            <w:noWrap/>
            <w:vAlign w:val="center"/>
          </w:tcPr>
          <w:p w14:paraId="2B09194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11</w:t>
            </w:r>
            <w:r w:rsidRPr="009B0CD7">
              <w:rPr>
                <w:rFonts w:ascii="Times New Roman" w:eastAsia="宋体" w:hAnsi="Times New Roman" w:cs="Times New Roman"/>
                <w:sz w:val="15"/>
                <w:szCs w:val="15"/>
              </w:rPr>
              <w:t>月</w:t>
            </w:r>
          </w:p>
        </w:tc>
        <w:tc>
          <w:tcPr>
            <w:tcW w:w="1265" w:type="dxa"/>
            <w:tcBorders>
              <w:left w:val="single" w:sz="4" w:space="0" w:color="auto"/>
              <w:right w:val="single" w:sz="4" w:space="0" w:color="auto"/>
            </w:tcBorders>
            <w:noWrap/>
            <w:vAlign w:val="center"/>
          </w:tcPr>
          <w:p w14:paraId="171C105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GAU</w:t>
            </w:r>
          </w:p>
        </w:tc>
        <w:tc>
          <w:tcPr>
            <w:tcW w:w="1144" w:type="dxa"/>
            <w:tcBorders>
              <w:left w:val="single" w:sz="4" w:space="0" w:color="auto"/>
              <w:right w:val="single" w:sz="4" w:space="0" w:color="auto"/>
            </w:tcBorders>
            <w:noWrap/>
            <w:vAlign w:val="center"/>
          </w:tcPr>
          <w:p w14:paraId="2AAC898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STA</w:t>
            </w:r>
          </w:p>
        </w:tc>
        <w:tc>
          <w:tcPr>
            <w:tcW w:w="1702" w:type="dxa"/>
            <w:tcBorders>
              <w:left w:val="single" w:sz="4" w:space="0" w:color="auto"/>
              <w:right w:val="single" w:sz="4" w:space="0" w:color="auto"/>
            </w:tcBorders>
            <w:noWrap/>
            <w:vAlign w:val="center"/>
          </w:tcPr>
          <w:p w14:paraId="38245C9A"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hAnsi="Times New Roman" w:cs="Times New Roman"/>
                <w:sz w:val="15"/>
                <w:szCs w:val="15"/>
              </w:rPr>
              <w:t>—</w:t>
            </w:r>
          </w:p>
        </w:tc>
        <w:tc>
          <w:tcPr>
            <w:tcW w:w="1134" w:type="dxa"/>
            <w:tcBorders>
              <w:left w:val="single" w:sz="4" w:space="0" w:color="auto"/>
              <w:right w:val="single" w:sz="4" w:space="0" w:color="auto"/>
            </w:tcBorders>
            <w:noWrap/>
            <w:vAlign w:val="center"/>
          </w:tcPr>
          <w:p w14:paraId="66015D0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0.5</w:t>
            </w:r>
            <w:r w:rsidRPr="009B0CD7">
              <w:rPr>
                <w:rFonts w:ascii="Times New Roman" w:eastAsia="宋体" w:hAnsi="Times New Roman" w:cs="Times New Roman" w:hint="eastAsia"/>
                <w:sz w:val="15"/>
                <w:szCs w:val="15"/>
              </w:rPr>
              <w:t>0</w:t>
            </w:r>
          </w:p>
        </w:tc>
        <w:tc>
          <w:tcPr>
            <w:tcW w:w="1134" w:type="dxa"/>
            <w:tcBorders>
              <w:left w:val="single" w:sz="4" w:space="0" w:color="auto"/>
              <w:right w:val="single" w:sz="4" w:space="0" w:color="auto"/>
            </w:tcBorders>
            <w:noWrap/>
            <w:vAlign w:val="center"/>
          </w:tcPr>
          <w:p w14:paraId="5D59E02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0.00</w:t>
            </w:r>
          </w:p>
        </w:tc>
        <w:tc>
          <w:tcPr>
            <w:tcW w:w="1071" w:type="dxa"/>
            <w:tcBorders>
              <w:left w:val="single" w:sz="4" w:space="0" w:color="auto"/>
            </w:tcBorders>
            <w:noWrap/>
            <w:vAlign w:val="center"/>
          </w:tcPr>
          <w:p w14:paraId="5BF839FD"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对称</w:t>
            </w:r>
          </w:p>
        </w:tc>
      </w:tr>
      <w:tr w:rsidR="0081344D" w:rsidRPr="009B0CD7" w14:paraId="5EB3910B" w14:textId="77777777">
        <w:trPr>
          <w:trHeight w:val="280"/>
          <w:jc w:val="center"/>
        </w:trPr>
        <w:tc>
          <w:tcPr>
            <w:tcW w:w="846" w:type="dxa"/>
            <w:tcBorders>
              <w:bottom w:val="single" w:sz="12" w:space="0" w:color="auto"/>
              <w:right w:val="single" w:sz="4" w:space="0" w:color="auto"/>
            </w:tcBorders>
            <w:noWrap/>
            <w:vAlign w:val="center"/>
          </w:tcPr>
          <w:p w14:paraId="0532A7AB"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12</w:t>
            </w:r>
            <w:r w:rsidRPr="009B0CD7">
              <w:rPr>
                <w:rFonts w:ascii="Times New Roman" w:eastAsia="宋体" w:hAnsi="Times New Roman" w:cs="Times New Roman"/>
                <w:sz w:val="15"/>
                <w:szCs w:val="15"/>
              </w:rPr>
              <w:t>月</w:t>
            </w:r>
          </w:p>
        </w:tc>
        <w:tc>
          <w:tcPr>
            <w:tcW w:w="1265" w:type="dxa"/>
            <w:tcBorders>
              <w:left w:val="single" w:sz="4" w:space="0" w:color="auto"/>
              <w:bottom w:val="single" w:sz="12" w:space="0" w:color="auto"/>
              <w:right w:val="single" w:sz="4" w:space="0" w:color="auto"/>
            </w:tcBorders>
            <w:noWrap/>
            <w:vAlign w:val="center"/>
          </w:tcPr>
          <w:p w14:paraId="0356ED11"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FRK</w:t>
            </w:r>
          </w:p>
        </w:tc>
        <w:tc>
          <w:tcPr>
            <w:tcW w:w="1144" w:type="dxa"/>
            <w:tcBorders>
              <w:left w:val="single" w:sz="4" w:space="0" w:color="auto"/>
              <w:bottom w:val="single" w:sz="12" w:space="0" w:color="auto"/>
              <w:right w:val="single" w:sz="4" w:space="0" w:color="auto"/>
            </w:tcBorders>
            <w:noWrap/>
            <w:vAlign w:val="center"/>
          </w:tcPr>
          <w:p w14:paraId="38D1638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TV</w:t>
            </w:r>
          </w:p>
        </w:tc>
        <w:tc>
          <w:tcPr>
            <w:tcW w:w="1702" w:type="dxa"/>
            <w:tcBorders>
              <w:left w:val="single" w:sz="4" w:space="0" w:color="auto"/>
              <w:bottom w:val="single" w:sz="12" w:space="0" w:color="auto"/>
              <w:right w:val="single" w:sz="4" w:space="0" w:color="auto"/>
            </w:tcBorders>
            <w:noWrap/>
            <w:vAlign w:val="center"/>
          </w:tcPr>
          <w:p w14:paraId="53E39D96"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NAO(</w:t>
            </w:r>
            <w:r w:rsidRPr="009B0CD7">
              <w:rPr>
                <w:rFonts w:ascii="Times New Roman" w:eastAsia="宋体" w:hAnsi="Times New Roman" w:cs="Times New Roman"/>
                <w:i/>
                <w:iCs/>
                <w:sz w:val="15"/>
                <w:szCs w:val="15"/>
              </w:rPr>
              <w:t>t</w:t>
            </w:r>
            <w:r w:rsidRPr="009B0CD7">
              <w:rPr>
                <w:rFonts w:ascii="Times New Roman" w:eastAsia="宋体" w:hAnsi="Times New Roman" w:cs="Times New Roman"/>
                <w:sz w:val="15"/>
                <w:szCs w:val="15"/>
              </w:rPr>
              <w:t>-1)</w:t>
            </w:r>
          </w:p>
        </w:tc>
        <w:tc>
          <w:tcPr>
            <w:tcW w:w="1134" w:type="dxa"/>
            <w:tcBorders>
              <w:left w:val="single" w:sz="4" w:space="0" w:color="auto"/>
              <w:bottom w:val="single" w:sz="12" w:space="0" w:color="auto"/>
              <w:right w:val="single" w:sz="4" w:space="0" w:color="auto"/>
            </w:tcBorders>
            <w:noWrap/>
            <w:vAlign w:val="center"/>
          </w:tcPr>
          <w:p w14:paraId="5E216D24"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0.7</w:t>
            </w:r>
            <w:r w:rsidRPr="009B0CD7">
              <w:rPr>
                <w:rFonts w:ascii="Times New Roman" w:eastAsia="宋体" w:hAnsi="Times New Roman" w:cs="Times New Roman" w:hint="eastAsia"/>
                <w:sz w:val="15"/>
                <w:szCs w:val="15"/>
              </w:rPr>
              <w:t>0</w:t>
            </w:r>
          </w:p>
        </w:tc>
        <w:tc>
          <w:tcPr>
            <w:tcW w:w="1134" w:type="dxa"/>
            <w:tcBorders>
              <w:left w:val="single" w:sz="4" w:space="0" w:color="auto"/>
              <w:bottom w:val="single" w:sz="12" w:space="0" w:color="auto"/>
              <w:right w:val="single" w:sz="4" w:space="0" w:color="auto"/>
            </w:tcBorders>
            <w:noWrap/>
            <w:vAlign w:val="center"/>
          </w:tcPr>
          <w:p w14:paraId="4364DC43"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0.02</w:t>
            </w:r>
          </w:p>
        </w:tc>
        <w:tc>
          <w:tcPr>
            <w:tcW w:w="1071" w:type="dxa"/>
            <w:tcBorders>
              <w:left w:val="single" w:sz="4" w:space="0" w:color="auto"/>
              <w:bottom w:val="single" w:sz="12" w:space="0" w:color="auto"/>
            </w:tcBorders>
            <w:noWrap/>
            <w:vAlign w:val="center"/>
          </w:tcPr>
          <w:p w14:paraId="0F62DC8C" w14:textId="77777777" w:rsidR="0081344D" w:rsidRPr="009B0CD7" w:rsidRDefault="00000000">
            <w:pPr>
              <w:adjustRightInd w:val="0"/>
              <w:snapToGrid w:val="0"/>
              <w:spacing w:after="0" w:line="240" w:lineRule="auto"/>
              <w:jc w:val="center"/>
              <w:rPr>
                <w:rFonts w:ascii="Times New Roman" w:eastAsia="宋体" w:hAnsi="Times New Roman" w:cs="Times New Roman"/>
                <w:sz w:val="15"/>
                <w:szCs w:val="15"/>
              </w:rPr>
            </w:pPr>
            <w:r w:rsidRPr="009B0CD7">
              <w:rPr>
                <w:rFonts w:ascii="Times New Roman" w:eastAsia="宋体" w:hAnsi="Times New Roman" w:cs="Times New Roman"/>
                <w:sz w:val="15"/>
                <w:szCs w:val="15"/>
              </w:rPr>
              <w:t>无尾</w:t>
            </w:r>
          </w:p>
        </w:tc>
      </w:tr>
    </w:tbl>
    <w:p w14:paraId="29D036F4" w14:textId="77777777" w:rsidR="0081344D" w:rsidRPr="009B0CD7" w:rsidRDefault="00000000">
      <w:pPr>
        <w:adjustRightInd w:val="0"/>
        <w:snapToGrid w:val="0"/>
        <w:spacing w:after="0" w:line="240" w:lineRule="auto"/>
        <w:ind w:firstLineChars="200" w:firstLine="300"/>
        <w:rPr>
          <w:rFonts w:ascii="Times New Roman" w:eastAsia="宋体" w:hAnsi="Times New Roman" w:cs="Times New Roman"/>
          <w:sz w:val="15"/>
          <w:szCs w:val="15"/>
          <w14:ligatures w14:val="none"/>
        </w:rPr>
      </w:pPr>
      <w:r w:rsidRPr="009B0CD7">
        <w:rPr>
          <w:rFonts w:ascii="Times New Roman" w:eastAsia="宋体" w:hAnsi="Times New Roman" w:cs="Times New Roman"/>
          <w:sz w:val="15"/>
          <w:szCs w:val="15"/>
          <w14:ligatures w14:val="none"/>
        </w:rPr>
        <w:t>注：</w:t>
      </w:r>
      <w:r w:rsidRPr="009B0CD7">
        <w:rPr>
          <w:rFonts w:ascii="Times New Roman" w:eastAsia="宋体" w:hAnsi="Times New Roman" w:cs="Times New Roman"/>
          <w:sz w:val="15"/>
          <w:szCs w:val="15"/>
          <w14:ligatures w14:val="none"/>
        </w:rPr>
        <w:t>GAU</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FRK</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GUM</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CLA</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TC</w:t>
      </w:r>
      <w:r w:rsidRPr="009B0CD7">
        <w:rPr>
          <w:rFonts w:ascii="Times New Roman" w:eastAsia="宋体" w:hAnsi="Times New Roman" w:cs="Times New Roman"/>
          <w:sz w:val="15"/>
          <w:szCs w:val="15"/>
          <w14:ligatures w14:val="none"/>
        </w:rPr>
        <w:t>和</w:t>
      </w:r>
      <w:r w:rsidRPr="009B0CD7">
        <w:rPr>
          <w:rFonts w:ascii="Times New Roman" w:eastAsia="宋体" w:hAnsi="Times New Roman" w:cs="Times New Roman"/>
          <w:sz w:val="15"/>
          <w:szCs w:val="15"/>
          <w14:ligatures w14:val="none"/>
        </w:rPr>
        <w:t>SG</w:t>
      </w:r>
      <w:r w:rsidRPr="009B0CD7">
        <w:rPr>
          <w:rFonts w:ascii="Times New Roman" w:eastAsia="宋体" w:hAnsi="Times New Roman" w:cs="Times New Roman"/>
          <w:sz w:val="15"/>
          <w:szCs w:val="15"/>
          <w14:ligatures w14:val="none"/>
        </w:rPr>
        <w:t>分别表示</w:t>
      </w:r>
      <w:r w:rsidRPr="009B0CD7">
        <w:rPr>
          <w:rFonts w:ascii="Times New Roman" w:eastAsia="宋体" w:hAnsi="Times New Roman" w:cs="Times New Roman"/>
          <w:sz w:val="15"/>
          <w:szCs w:val="15"/>
          <w14:ligatures w14:val="none"/>
        </w:rPr>
        <w:t>Gaussian</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Frank</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Gumbel</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Clayton</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Student’s t</w:t>
      </w:r>
      <w:r w:rsidRPr="009B0CD7">
        <w:rPr>
          <w:rFonts w:ascii="Times New Roman" w:eastAsia="宋体" w:hAnsi="Times New Roman" w:cs="Times New Roman"/>
          <w:sz w:val="15"/>
          <w:szCs w:val="15"/>
          <w14:ligatures w14:val="none"/>
        </w:rPr>
        <w:t>和</w:t>
      </w:r>
      <w:r w:rsidRPr="009B0CD7">
        <w:rPr>
          <w:rFonts w:ascii="Times New Roman" w:eastAsia="宋体" w:hAnsi="Times New Roman" w:cs="Times New Roman"/>
          <w:sz w:val="15"/>
          <w:szCs w:val="15"/>
          <w14:ligatures w14:val="none"/>
        </w:rPr>
        <w:t>Survival Gumbel Copula</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TV</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Time-Varying Copula Model</w:t>
      </w:r>
      <w:r w:rsidRPr="009B0CD7">
        <w:rPr>
          <w:rFonts w:ascii="Times New Roman" w:eastAsia="宋体" w:hAnsi="Times New Roman" w:cs="Times New Roman"/>
          <w:sz w:val="15"/>
          <w:szCs w:val="15"/>
          <w14:ligatures w14:val="none"/>
        </w:rPr>
        <w:t>）和</w:t>
      </w:r>
      <w:r w:rsidRPr="009B0CD7">
        <w:rPr>
          <w:rFonts w:ascii="Times New Roman" w:eastAsia="宋体" w:hAnsi="Times New Roman" w:cs="Times New Roman"/>
          <w:sz w:val="15"/>
          <w:szCs w:val="15"/>
          <w14:ligatures w14:val="none"/>
        </w:rPr>
        <w:t>STA</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sz w:val="15"/>
          <w:szCs w:val="15"/>
          <w14:ligatures w14:val="none"/>
        </w:rPr>
        <w:t>Static Copula Model</w:t>
      </w:r>
      <w:r w:rsidRPr="009B0CD7">
        <w:rPr>
          <w:rFonts w:ascii="Times New Roman" w:eastAsia="宋体" w:hAnsi="Times New Roman" w:cs="Times New Roman"/>
          <w:sz w:val="15"/>
          <w:szCs w:val="15"/>
          <w14:ligatures w14:val="none"/>
        </w:rPr>
        <w:t>）分别表示时变</w:t>
      </w:r>
      <w:r w:rsidRPr="009B0CD7">
        <w:rPr>
          <w:rFonts w:ascii="Times New Roman" w:eastAsia="宋体" w:hAnsi="Times New Roman" w:cs="Times New Roman"/>
          <w:sz w:val="15"/>
          <w:szCs w:val="15"/>
          <w14:ligatures w14:val="none"/>
        </w:rPr>
        <w:t>Copula</w:t>
      </w:r>
      <w:r w:rsidRPr="009B0CD7">
        <w:rPr>
          <w:rFonts w:ascii="Times New Roman" w:eastAsia="宋体" w:hAnsi="Times New Roman" w:cs="Times New Roman"/>
          <w:sz w:val="15"/>
          <w:szCs w:val="15"/>
          <w14:ligatures w14:val="none"/>
        </w:rPr>
        <w:t>模型和静态</w:t>
      </w:r>
      <w:r w:rsidRPr="009B0CD7">
        <w:rPr>
          <w:rFonts w:ascii="Times New Roman" w:eastAsia="宋体" w:hAnsi="Times New Roman" w:cs="Times New Roman"/>
          <w:sz w:val="15"/>
          <w:szCs w:val="15"/>
          <w14:ligatures w14:val="none"/>
        </w:rPr>
        <w:t>Copula</w:t>
      </w:r>
      <w:r w:rsidRPr="009B0CD7">
        <w:rPr>
          <w:rFonts w:ascii="Times New Roman" w:eastAsia="宋体" w:hAnsi="Times New Roman" w:cs="Times New Roman"/>
          <w:sz w:val="15"/>
          <w:szCs w:val="15"/>
          <w14:ligatures w14:val="none"/>
        </w:rPr>
        <w:t>模型；</w:t>
      </w:r>
      <w:r w:rsidRPr="009B0CD7">
        <w:rPr>
          <w:rFonts w:ascii="Times New Roman" w:eastAsia="宋体" w:hAnsi="Times New Roman" w:cs="Times New Roman"/>
          <w:sz w:val="15"/>
          <w:szCs w:val="15"/>
          <w14:ligatures w14:val="none"/>
        </w:rPr>
        <w:t>T</w:t>
      </w:r>
      <w:r w:rsidRPr="009B0CD7">
        <w:rPr>
          <w:rFonts w:ascii="Times New Roman" w:eastAsia="宋体" w:hAnsi="Times New Roman" w:cs="Times New Roman"/>
          <w:sz w:val="15"/>
          <w:szCs w:val="15"/>
          <w14:ligatures w14:val="none"/>
        </w:rPr>
        <w:t>表示标准化时间趋势项；</w:t>
      </w:r>
      <w:r w:rsidRPr="009B0CD7">
        <w:rPr>
          <w:rFonts w:ascii="Times New Roman" w:eastAsia="宋体" w:hAnsi="Times New Roman" w:cs="Times New Roman"/>
          <w:i/>
          <w:iCs/>
          <w:sz w:val="15"/>
          <w:szCs w:val="15"/>
          <w14:ligatures w14:val="none"/>
        </w:rPr>
        <w:t>SPEI-JD</w:t>
      </w:r>
      <w:r w:rsidRPr="009B0CD7">
        <w:rPr>
          <w:rFonts w:ascii="Times New Roman" w:eastAsia="宋体" w:hAnsi="Times New Roman" w:cs="Times New Roman"/>
          <w:sz w:val="15"/>
          <w:szCs w:val="15"/>
          <w14:ligatures w14:val="none"/>
        </w:rPr>
        <w:t>表示双水源区</w:t>
      </w:r>
      <w:r w:rsidRPr="009B0CD7">
        <w:rPr>
          <w:rFonts w:ascii="Times New Roman" w:eastAsia="宋体" w:hAnsi="Times New Roman" w:cs="Times New Roman"/>
          <w:i/>
          <w:iCs/>
          <w:sz w:val="15"/>
          <w:szCs w:val="15"/>
          <w14:ligatures w14:val="none"/>
        </w:rPr>
        <w:t>SPEI-3</w:t>
      </w:r>
      <w:r w:rsidRPr="009B0CD7">
        <w:rPr>
          <w:rFonts w:ascii="Times New Roman" w:eastAsia="宋体" w:hAnsi="Times New Roman" w:cs="Times New Roman"/>
          <w:sz w:val="15"/>
          <w:szCs w:val="15"/>
          <w14:ligatures w14:val="none"/>
        </w:rPr>
        <w:t>共同干旱强度指标，</w:t>
      </w:r>
      <w:r w:rsidRPr="009B0CD7">
        <w:rPr>
          <w:rFonts w:ascii="Times New Roman" w:eastAsia="宋体" w:hAnsi="Times New Roman" w:cs="Times New Roman"/>
          <w:i/>
          <w:iCs/>
          <w:sz w:val="15"/>
          <w:szCs w:val="15"/>
          <w14:ligatures w14:val="none"/>
        </w:rPr>
        <w:t>SPEI-D</w:t>
      </w:r>
      <w:r w:rsidRPr="009B0CD7">
        <w:rPr>
          <w:rFonts w:ascii="Times New Roman" w:eastAsia="宋体" w:hAnsi="Times New Roman" w:cs="Times New Roman"/>
          <w:sz w:val="15"/>
          <w:szCs w:val="15"/>
          <w14:ligatures w14:val="none"/>
        </w:rPr>
        <w:t>表示双水源区</w:t>
      </w:r>
      <w:r w:rsidRPr="009B0CD7">
        <w:rPr>
          <w:rFonts w:ascii="Times New Roman" w:eastAsia="宋体" w:hAnsi="Times New Roman" w:cs="Times New Roman"/>
          <w:i/>
          <w:iCs/>
          <w:sz w:val="15"/>
          <w:szCs w:val="15"/>
          <w14:ligatures w14:val="none"/>
        </w:rPr>
        <w:t>SPEI-3</w:t>
      </w:r>
      <w:r w:rsidRPr="009B0CD7">
        <w:rPr>
          <w:rFonts w:ascii="Times New Roman" w:eastAsia="宋体" w:hAnsi="Times New Roman" w:cs="Times New Roman"/>
          <w:sz w:val="15"/>
          <w:szCs w:val="15"/>
          <w14:ligatures w14:val="none"/>
        </w:rPr>
        <w:t>干旱差异指标；上标</w:t>
      </w:r>
      <w:r w:rsidRPr="009B0CD7">
        <w:rPr>
          <w:rFonts w:ascii="Times New Roman" w:eastAsia="宋体" w:hAnsi="Times New Roman" w:cs="Times New Roman" w:hint="eastAsia"/>
          <w:sz w:val="15"/>
          <w:szCs w:val="15"/>
          <w14:ligatures w14:val="none"/>
        </w:rPr>
        <w:t>2</w:t>
      </w:r>
      <w:r w:rsidRPr="009B0CD7">
        <w:rPr>
          <w:rFonts w:ascii="Times New Roman" w:eastAsia="宋体" w:hAnsi="Times New Roman" w:cs="Times New Roman"/>
          <w:sz w:val="15"/>
          <w:szCs w:val="15"/>
          <w14:ligatures w14:val="none"/>
        </w:rPr>
        <w:t>表示平方项，</w:t>
      </w:r>
      <w:r w:rsidRPr="009B0CD7">
        <w:rPr>
          <w:rFonts w:ascii="Times New Roman" w:eastAsia="宋体" w:hAnsi="Times New Roman" w:cs="Times New Roman"/>
          <w:sz w:val="15"/>
          <w:szCs w:val="15"/>
          <w14:ligatures w14:val="none"/>
        </w:rPr>
        <w:t>(</w:t>
      </w:r>
      <w:r w:rsidRPr="009B0CD7">
        <w:rPr>
          <w:rFonts w:ascii="Times New Roman" w:eastAsia="宋体" w:hAnsi="Times New Roman" w:cs="Times New Roman"/>
          <w:i/>
          <w:iCs/>
          <w:sz w:val="15"/>
          <w:szCs w:val="15"/>
          <w14:ligatures w14:val="none"/>
        </w:rPr>
        <w:t>t</w:t>
      </w:r>
      <w:r w:rsidRPr="009B0CD7">
        <w:rPr>
          <w:rFonts w:ascii="Times New Roman" w:eastAsia="宋体" w:hAnsi="Times New Roman" w:cs="Times New Roman"/>
          <w:sz w:val="15"/>
          <w:szCs w:val="15"/>
          <w14:ligatures w14:val="none"/>
        </w:rPr>
        <w:t>−1)</w:t>
      </w:r>
      <w:r w:rsidRPr="009B0CD7">
        <w:rPr>
          <w:rFonts w:ascii="Times New Roman" w:eastAsia="宋体" w:hAnsi="Times New Roman" w:cs="Times New Roman"/>
          <w:sz w:val="15"/>
          <w:szCs w:val="15"/>
          <w14:ligatures w14:val="none"/>
        </w:rPr>
        <w:t>表示一阶滞后项。</w:t>
      </w:r>
    </w:p>
    <w:p w14:paraId="33D8EDF5"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结合不同</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族的理论尾部依赖特征可以看出，</w:t>
      </w:r>
      <w:r w:rsidRPr="009B0CD7">
        <w:rPr>
          <w:rFonts w:ascii="Times New Roman" w:eastAsia="宋体" w:hAnsi="Times New Roman" w:cs="Times New Roman" w:hint="eastAsia"/>
          <w:sz w:val="21"/>
          <w:szCs w:val="21"/>
        </w:rPr>
        <w:t>1</w:t>
      </w:r>
      <w:r w:rsidRPr="009B0CD7">
        <w:rPr>
          <w:rFonts w:ascii="Times New Roman" w:eastAsia="宋体" w:hAnsi="Times New Roman" w:cs="Times New Roman" w:hint="eastAsia"/>
          <w:sz w:val="21"/>
          <w:szCs w:val="21"/>
        </w:rPr>
        <w:t>月和</w:t>
      </w:r>
      <w:r w:rsidRPr="009B0CD7">
        <w:rPr>
          <w:rFonts w:ascii="Times New Roman" w:eastAsia="宋体" w:hAnsi="Times New Roman" w:cs="Times New Roman" w:hint="eastAsia"/>
          <w:sz w:val="21"/>
          <w:szCs w:val="21"/>
        </w:rPr>
        <w:t>6</w:t>
      </w:r>
      <w:r w:rsidRPr="009B0CD7">
        <w:rPr>
          <w:rFonts w:ascii="Times New Roman" w:eastAsia="宋体" w:hAnsi="Times New Roman" w:cs="Times New Roman" w:hint="eastAsia"/>
          <w:sz w:val="21"/>
          <w:szCs w:val="21"/>
        </w:rPr>
        <w:t>月均选中</w:t>
      </w:r>
      <w:r w:rsidRPr="009B0CD7">
        <w:rPr>
          <w:rFonts w:ascii="Times New Roman" w:eastAsia="宋体" w:hAnsi="Times New Roman" w:cs="Times New Roman" w:hint="eastAsia"/>
          <w:sz w:val="21"/>
          <w:szCs w:val="21"/>
        </w:rPr>
        <w:t xml:space="preserve">Survival Gumbel </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族</w:t>
      </w:r>
      <w:r w:rsidRPr="009B0CD7">
        <w:rPr>
          <w:rFonts w:ascii="Times New Roman" w:eastAsia="宋体" w:hAnsi="Times New Roman" w:cs="Times New Roman" w:hint="eastAsia"/>
          <w:sz w:val="21"/>
          <w:szCs w:val="21"/>
        </w:rPr>
        <w:t>模型，</w:t>
      </w:r>
      <w:r w:rsidRPr="009B0CD7">
        <w:rPr>
          <w:rFonts w:ascii="Times New Roman" w:eastAsia="宋体" w:hAnsi="Times New Roman" w:cs="Times New Roman"/>
          <w:sz w:val="21"/>
          <w:szCs w:val="21"/>
        </w:rPr>
        <w:t>表现为下尾依赖</w:t>
      </w:r>
      <w:r w:rsidRPr="009B0CD7">
        <w:rPr>
          <w:rFonts w:ascii="Times New Roman" w:eastAsia="宋体" w:hAnsi="Times New Roman" w:cs="Times New Roman" w:hint="eastAsia"/>
          <w:sz w:val="21"/>
          <w:szCs w:val="21"/>
        </w:rPr>
        <w:t>，说明冬季和初夏存在较明显的同步低流量尾部风险。</w:t>
      </w:r>
      <w:r w:rsidRPr="009B0CD7">
        <w:rPr>
          <w:rFonts w:ascii="Times New Roman" w:eastAsia="宋体" w:hAnsi="Times New Roman" w:cs="Times New Roman"/>
          <w:sz w:val="21"/>
          <w:szCs w:val="21"/>
        </w:rPr>
        <w:t>2</w:t>
      </w:r>
      <w:r w:rsidRPr="009B0CD7">
        <w:rPr>
          <w:rFonts w:ascii="Times New Roman" w:eastAsia="宋体" w:hAnsi="Times New Roman" w:cs="Times New Roman"/>
          <w:sz w:val="21"/>
          <w:szCs w:val="21"/>
        </w:rPr>
        <w:t>月</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月</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月均优选</w:t>
      </w:r>
      <w:r w:rsidRPr="009B0CD7">
        <w:rPr>
          <w:rFonts w:ascii="Times New Roman" w:eastAsia="宋体" w:hAnsi="Times New Roman" w:cs="Times New Roman"/>
          <w:sz w:val="21"/>
          <w:szCs w:val="21"/>
        </w:rPr>
        <w:t>Gumbel Copula</w:t>
      </w:r>
      <w:r w:rsidRPr="009B0CD7">
        <w:rPr>
          <w:rFonts w:ascii="Times New Roman" w:eastAsia="宋体" w:hAnsi="Times New Roman" w:cs="Times New Roman"/>
          <w:sz w:val="21"/>
          <w:szCs w:val="21"/>
        </w:rPr>
        <w:t>，理论上主要表现为上尾依赖，其中</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月虽不具有显著渐近下尾依赖，但其</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达到</w:t>
      </w:r>
      <w:r w:rsidRPr="009B0CD7">
        <w:rPr>
          <w:rFonts w:ascii="Times New Roman" w:eastAsia="宋体" w:hAnsi="Times New Roman" w:cs="Times New Roman"/>
          <w:sz w:val="21"/>
          <w:szCs w:val="21"/>
        </w:rPr>
        <w:t>0.78</w:t>
      </w:r>
      <w:r w:rsidRPr="009B0CD7">
        <w:rPr>
          <w:rFonts w:ascii="Times New Roman" w:eastAsia="宋体" w:hAnsi="Times New Roman" w:cs="Times New Roman"/>
          <w:sz w:val="21"/>
          <w:szCs w:val="21"/>
        </w:rPr>
        <w:t>，表明在有限双枯阈值条件下仍能较好区分历史双枯年份</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hint="eastAsia"/>
          <w:sz w:val="21"/>
          <w:szCs w:val="21"/>
        </w:rPr>
        <w:t>7</w:t>
      </w:r>
      <w:r w:rsidRPr="009B0CD7">
        <w:rPr>
          <w:rFonts w:ascii="Times New Roman" w:eastAsia="宋体" w:hAnsi="Times New Roman" w:cs="Times New Roman" w:hint="eastAsia"/>
          <w:sz w:val="21"/>
          <w:szCs w:val="21"/>
        </w:rPr>
        <w:t>月、</w:t>
      </w:r>
      <w:r w:rsidRPr="009B0CD7">
        <w:rPr>
          <w:rFonts w:ascii="Times New Roman" w:eastAsia="宋体" w:hAnsi="Times New Roman" w:cs="Times New Roman" w:hint="eastAsia"/>
          <w:sz w:val="21"/>
          <w:szCs w:val="21"/>
        </w:rPr>
        <w:t>10</w:t>
      </w:r>
      <w:r w:rsidRPr="009B0CD7">
        <w:rPr>
          <w:rFonts w:ascii="Times New Roman" w:eastAsia="宋体" w:hAnsi="Times New Roman" w:cs="Times New Roman" w:hint="eastAsia"/>
          <w:sz w:val="21"/>
          <w:szCs w:val="21"/>
        </w:rPr>
        <w:t>月和</w:t>
      </w:r>
      <w:r w:rsidRPr="009B0CD7">
        <w:rPr>
          <w:rFonts w:ascii="Times New Roman" w:eastAsia="宋体" w:hAnsi="Times New Roman" w:cs="Times New Roman" w:hint="eastAsia"/>
          <w:sz w:val="21"/>
          <w:szCs w:val="21"/>
        </w:rPr>
        <w:t>11</w:t>
      </w:r>
      <w:r w:rsidRPr="009B0CD7">
        <w:rPr>
          <w:rFonts w:ascii="Times New Roman" w:eastAsia="宋体" w:hAnsi="Times New Roman" w:cs="Times New Roman" w:hint="eastAsia"/>
          <w:sz w:val="21"/>
          <w:szCs w:val="21"/>
        </w:rPr>
        <w:t>月为静态</w:t>
      </w:r>
      <w:r w:rsidRPr="009B0CD7">
        <w:rPr>
          <w:rFonts w:ascii="Times New Roman" w:eastAsia="宋体" w:hAnsi="Times New Roman" w:cs="Times New Roman" w:hint="eastAsia"/>
          <w:sz w:val="21"/>
          <w:szCs w:val="21"/>
        </w:rPr>
        <w:t>Gaussian</w:t>
      </w:r>
      <w:r w:rsidRPr="009B0CD7">
        <w:rPr>
          <w:rFonts w:ascii="Times New Roman" w:eastAsia="宋体" w:hAnsi="Times New Roman" w:cs="Times New Roman" w:hint="eastAsia"/>
          <w:sz w:val="21"/>
          <w:szCs w:val="21"/>
        </w:rPr>
        <w:t>模型，</w:t>
      </w:r>
      <w:r w:rsidRPr="009B0CD7">
        <w:rPr>
          <w:rFonts w:ascii="Times New Roman" w:eastAsia="宋体" w:hAnsi="Times New Roman" w:cs="Times New Roman"/>
          <w:i/>
          <w:iCs/>
          <w:sz w:val="21"/>
          <w:szCs w:val="21"/>
        </w:rPr>
        <w:t>AUC</w:t>
      </w:r>
      <w:r w:rsidRPr="009B0CD7">
        <w:rPr>
          <w:rFonts w:ascii="Times New Roman" w:eastAsia="宋体" w:hAnsi="Times New Roman" w:cs="Times New Roman" w:hint="eastAsia"/>
          <w:sz w:val="21"/>
          <w:szCs w:val="21"/>
        </w:rPr>
        <w:t>接近</w:t>
      </w:r>
      <w:r w:rsidRPr="009B0CD7">
        <w:rPr>
          <w:rFonts w:ascii="Times New Roman" w:eastAsia="宋体" w:hAnsi="Times New Roman" w:cs="Times New Roman" w:hint="eastAsia"/>
          <w:sz w:val="21"/>
          <w:szCs w:val="21"/>
        </w:rPr>
        <w:t>0.500</w:t>
      </w:r>
      <w:r w:rsidRPr="009B0CD7">
        <w:rPr>
          <w:rFonts w:ascii="Times New Roman" w:eastAsia="宋体" w:hAnsi="Times New Roman" w:cs="Times New Roman" w:hint="eastAsia"/>
          <w:sz w:val="21"/>
          <w:szCs w:val="21"/>
        </w:rPr>
        <w:t>，说明这些月份主要反映多年平均相依关系，外部协变量未明显改善逐年风险排序能力。总体来看，双水源同步偏枯风险并非全年均表现出强尾部依赖，而是在特定月份更为突出。</w:t>
      </w:r>
    </w:p>
    <w:p w14:paraId="242D9624" w14:textId="77777777" w:rsidR="0081344D" w:rsidRPr="009B0CD7" w:rsidRDefault="00000000">
      <w:pPr>
        <w:keepNext/>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t xml:space="preserve">2.3.2 </w:t>
      </w:r>
      <w:r w:rsidRPr="009B0CD7">
        <w:rPr>
          <w:rFonts w:ascii="Times New Roman" w:eastAsia="楷体" w:hAnsi="Times New Roman" w:cs="Times New Roman"/>
          <w:sz w:val="21"/>
          <w:szCs w:val="22"/>
          <w14:ligatures w14:val="none"/>
        </w:rPr>
        <w:t>不同协变量方案的模型识别能力对比</w:t>
      </w:r>
    </w:p>
    <w:p w14:paraId="03E59728"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hint="eastAsia"/>
          <w:sz w:val="21"/>
          <w:szCs w:val="21"/>
        </w:rPr>
        <w:t>基于</w:t>
      </w:r>
      <w:r w:rsidRPr="009B0CD7">
        <w:rPr>
          <w:rFonts w:ascii="Times New Roman" w:eastAsia="宋体" w:hAnsi="Times New Roman" w:cs="Times New Roman" w:hint="eastAsia"/>
          <w:sz w:val="21"/>
          <w:szCs w:val="21"/>
        </w:rPr>
        <w:t>GAMLSS</w:t>
      </w:r>
      <w:r w:rsidRPr="009B0CD7">
        <w:rPr>
          <w:rFonts w:ascii="Times New Roman" w:eastAsia="宋体" w:hAnsi="Times New Roman" w:cs="Times New Roman" w:hint="eastAsia"/>
          <w:sz w:val="21"/>
          <w:szCs w:val="21"/>
        </w:rPr>
        <w:t>边缘分布模型获得的</w:t>
      </w:r>
      <w:r w:rsidRPr="009B0CD7">
        <w:rPr>
          <w:rFonts w:ascii="Times New Roman" w:eastAsia="宋体" w:hAnsi="Times New Roman" w:cs="Times New Roman" w:hint="eastAsia"/>
          <w:sz w:val="21"/>
          <w:szCs w:val="21"/>
        </w:rPr>
        <w:t>PIT</w:t>
      </w:r>
      <w:r w:rsidRPr="009B0CD7">
        <w:rPr>
          <w:rFonts w:ascii="Times New Roman" w:eastAsia="宋体" w:hAnsi="Times New Roman" w:cs="Times New Roman" w:hint="eastAsia"/>
          <w:sz w:val="21"/>
          <w:szCs w:val="21"/>
        </w:rPr>
        <w:t>序列以及前述月尺度推荐</w:t>
      </w:r>
      <w:r w:rsidRPr="009B0CD7">
        <w:rPr>
          <w:rFonts w:ascii="Times New Roman" w:eastAsia="宋体" w:hAnsi="Times New Roman" w:cs="Times New Roman" w:hint="eastAsia"/>
          <w:sz w:val="21"/>
          <w:szCs w:val="21"/>
        </w:rPr>
        <w:t>Copula</w:t>
      </w:r>
      <w:r w:rsidRPr="009B0CD7">
        <w:rPr>
          <w:rFonts w:ascii="Times New Roman" w:eastAsia="宋体" w:hAnsi="Times New Roman" w:cs="Times New Roman" w:hint="eastAsia"/>
          <w:sz w:val="21"/>
          <w:szCs w:val="21"/>
        </w:rPr>
        <w:t>族和尾部依赖特征，本文</w:t>
      </w:r>
      <w:r w:rsidRPr="009B0CD7">
        <w:rPr>
          <w:rFonts w:ascii="Times New Roman" w:eastAsia="宋体" w:hAnsi="Times New Roman" w:cs="Times New Roman"/>
          <w:sz w:val="21"/>
          <w:szCs w:val="21"/>
        </w:rPr>
        <w:t>进一步比较不同协变量</w:t>
      </w:r>
      <w:r w:rsidRPr="009B0CD7">
        <w:rPr>
          <w:rFonts w:ascii="Times New Roman" w:eastAsia="宋体" w:hAnsi="Times New Roman" w:cs="Times New Roman" w:hint="eastAsia"/>
          <w:sz w:val="21"/>
          <w:szCs w:val="21"/>
        </w:rPr>
        <w:t>候选</w:t>
      </w:r>
      <w:r w:rsidRPr="009B0CD7">
        <w:rPr>
          <w:rFonts w:ascii="Times New Roman" w:eastAsia="宋体" w:hAnsi="Times New Roman" w:cs="Times New Roman"/>
          <w:sz w:val="21"/>
          <w:szCs w:val="21"/>
        </w:rPr>
        <w:t>方案对模型风险识别能力的影响</w:t>
      </w:r>
      <w:r w:rsidRPr="009B0CD7">
        <w:rPr>
          <w:rFonts w:ascii="Times New Roman" w:eastAsia="宋体" w:hAnsi="Times New Roman" w:cs="Times New Roman" w:hint="eastAsia"/>
          <w:sz w:val="21"/>
          <w:szCs w:val="21"/>
        </w:rPr>
        <w:t>，结果如图</w:t>
      </w:r>
      <w:r w:rsidRPr="009B0CD7">
        <w:rPr>
          <w:rFonts w:ascii="Times New Roman" w:eastAsia="宋体" w:hAnsi="Times New Roman" w:cs="Times New Roman" w:hint="eastAsia"/>
          <w:sz w:val="21"/>
          <w:szCs w:val="21"/>
        </w:rPr>
        <w:t>5</w:t>
      </w:r>
      <w:r w:rsidRPr="009B0CD7">
        <w:rPr>
          <w:rFonts w:ascii="Times New Roman" w:eastAsia="宋体" w:hAnsi="Times New Roman" w:cs="Times New Roman" w:hint="eastAsia"/>
          <w:sz w:val="21"/>
          <w:szCs w:val="21"/>
        </w:rPr>
        <w:t>所示。</w:t>
      </w:r>
      <w:r w:rsidRPr="009B0CD7">
        <w:rPr>
          <w:rFonts w:ascii="Times New Roman" w:eastAsia="宋体" w:hAnsi="Times New Roman" w:cs="Times New Roman"/>
          <w:sz w:val="21"/>
          <w:szCs w:val="21"/>
        </w:rPr>
        <w:t>整体来看，仅采用大尺度气候指数时，模型对部分月份具有一定解释力，但整体</w:t>
      </w:r>
      <w:r w:rsidRPr="009B0CD7">
        <w:rPr>
          <w:rFonts w:ascii="Times New Roman" w:eastAsia="宋体" w:hAnsi="Times New Roman" w:cs="Times New Roman"/>
          <w:i/>
          <w:iCs/>
          <w:sz w:val="21"/>
          <w:szCs w:val="21"/>
        </w:rPr>
        <w:t>AUC</w:t>
      </w:r>
      <w:r w:rsidRPr="009B0CD7">
        <w:rPr>
          <w:rFonts w:ascii="Times New Roman" w:eastAsia="宋体" w:hAnsi="Times New Roman" w:cs="Times New Roman" w:hint="eastAsia"/>
          <w:sz w:val="21"/>
          <w:szCs w:val="21"/>
        </w:rPr>
        <w:t>相对较</w:t>
      </w:r>
      <w:r w:rsidRPr="009B0CD7">
        <w:rPr>
          <w:rFonts w:ascii="Times New Roman" w:eastAsia="宋体" w:hAnsi="Times New Roman" w:cs="Times New Roman"/>
          <w:sz w:val="21"/>
          <w:szCs w:val="21"/>
        </w:rPr>
        <w:t>低</w:t>
      </w:r>
      <w:r w:rsidRPr="009B0CD7">
        <w:rPr>
          <w:rFonts w:ascii="Times New Roman" w:eastAsia="宋体" w:hAnsi="Times New Roman" w:cs="Times New Roman" w:hint="eastAsia"/>
          <w:sz w:val="21"/>
          <w:szCs w:val="21"/>
        </w:rPr>
        <w:t>；引入</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hint="eastAsia"/>
          <w:sz w:val="21"/>
          <w:szCs w:val="21"/>
        </w:rPr>
        <w:t>后，</w:t>
      </w:r>
      <w:r w:rsidRPr="009B0CD7">
        <w:rPr>
          <w:rFonts w:ascii="Times New Roman" w:eastAsia="宋体" w:hAnsi="Times New Roman" w:cs="Times New Roman"/>
          <w:sz w:val="21"/>
          <w:szCs w:val="21"/>
        </w:rPr>
        <w:t>多个关键月份</w:t>
      </w:r>
      <w:r w:rsidRPr="009B0CD7">
        <w:rPr>
          <w:rFonts w:ascii="Times New Roman" w:eastAsia="宋体" w:hAnsi="Times New Roman" w:cs="Times New Roman"/>
          <w:i/>
          <w:iCs/>
          <w:sz w:val="21"/>
          <w:szCs w:val="21"/>
        </w:rPr>
        <w:t>AUC</w:t>
      </w:r>
      <w:r w:rsidRPr="009B0CD7">
        <w:rPr>
          <w:rFonts w:ascii="Times New Roman" w:eastAsia="宋体" w:hAnsi="Times New Roman" w:cs="Times New Roman" w:hint="eastAsia"/>
          <w:sz w:val="21"/>
          <w:szCs w:val="21"/>
        </w:rPr>
        <w:t>得到提升。</w:t>
      </w:r>
      <w:r w:rsidRPr="009B0CD7">
        <w:rPr>
          <w:rFonts w:ascii="Times New Roman" w:eastAsia="宋体" w:hAnsi="Times New Roman" w:cs="Times New Roman"/>
          <w:sz w:val="21"/>
          <w:szCs w:val="21"/>
        </w:rPr>
        <w:t>从方案平均结果看，气候指数与</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hint="eastAsia"/>
          <w:sz w:val="21"/>
          <w:szCs w:val="21"/>
        </w:rPr>
        <w:t>共</w:t>
      </w:r>
      <w:r w:rsidRPr="009B0CD7">
        <w:rPr>
          <w:rFonts w:ascii="Times New Roman" w:eastAsia="宋体" w:hAnsi="Times New Roman" w:cs="Times New Roman"/>
          <w:sz w:val="21"/>
          <w:szCs w:val="21"/>
        </w:rPr>
        <w:t>同纳入候选协变量集合时平均</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最高，表明同时考虑大尺度气候信息和局地干</w:t>
      </w:r>
      <w:r w:rsidRPr="009B0CD7">
        <w:rPr>
          <w:rFonts w:ascii="Times New Roman" w:eastAsia="宋体" w:hAnsi="Times New Roman" w:cs="Times New Roman"/>
          <w:sz w:val="21"/>
          <w:szCs w:val="21"/>
        </w:rPr>
        <w:lastRenderedPageBreak/>
        <w:t>旱信息有助于提升模型整体风险排序识别能力。从</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结果看，多数具有较高</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的协变量方案同时表现出正的</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，说明模型能够在历史双枯年份赋予相对较高的风险概率；但</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与</w:t>
      </w:r>
      <m:oMath>
        <m:r>
          <w:rPr>
            <w:rFonts w:ascii="Cambria Math" w:eastAsia="宋体" w:hAnsi="Cambria Math" w:cs="Times New Roman"/>
            <w:sz w:val="21"/>
            <w:szCs w:val="21"/>
          </w:rPr>
          <m:t>ΔP</m:t>
        </m:r>
      </m:oMath>
      <w:r w:rsidRPr="009B0CD7">
        <w:rPr>
          <w:rFonts w:ascii="Times New Roman" w:eastAsia="宋体" w:hAnsi="Times New Roman" w:cs="Times New Roman"/>
          <w:sz w:val="21"/>
          <w:szCs w:val="21"/>
        </w:rPr>
        <w:t>的变化并不完全一致，表明模型的年份排序识别能力与双枯、非双枯年份之间的概率区分程度并非完全同步。</w:t>
      </w:r>
    </w:p>
    <w:p w14:paraId="19E4963A"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从月份尺度看，</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对</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6</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8</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9</w:t>
      </w:r>
      <w:r w:rsidRPr="009B0CD7">
        <w:rPr>
          <w:rFonts w:ascii="Times New Roman" w:eastAsia="宋体" w:hAnsi="Times New Roman" w:cs="Times New Roman"/>
          <w:sz w:val="21"/>
          <w:szCs w:val="21"/>
        </w:rPr>
        <w:t>月的风险识别能力均有不同程度提升。其中，</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月在仅气候指数方案下</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为</w:t>
      </w:r>
      <w:r w:rsidRPr="009B0CD7">
        <w:rPr>
          <w:rFonts w:ascii="Times New Roman" w:eastAsia="宋体" w:hAnsi="Times New Roman" w:cs="Times New Roman"/>
          <w:sz w:val="21"/>
          <w:szCs w:val="21"/>
        </w:rPr>
        <w:t>0.500</w:t>
      </w:r>
      <w:r w:rsidRPr="009B0CD7">
        <w:rPr>
          <w:rFonts w:ascii="Times New Roman" w:eastAsia="宋体" w:hAnsi="Times New Roman" w:cs="Times New Roman"/>
          <w:sz w:val="21"/>
          <w:szCs w:val="21"/>
        </w:rPr>
        <w:t>，引入</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后提高至</w:t>
      </w:r>
      <w:r w:rsidRPr="009B0CD7">
        <w:rPr>
          <w:rFonts w:ascii="Times New Roman" w:eastAsia="宋体" w:hAnsi="Times New Roman" w:cs="Times New Roman"/>
          <w:sz w:val="21"/>
          <w:szCs w:val="21"/>
        </w:rPr>
        <w:t>0.635</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月提升最为显著，</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方案下</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达到</w:t>
      </w:r>
      <w:r w:rsidRPr="009B0CD7">
        <w:rPr>
          <w:rFonts w:ascii="Times New Roman" w:eastAsia="宋体" w:hAnsi="Times New Roman" w:cs="Times New Roman"/>
          <w:sz w:val="21"/>
          <w:szCs w:val="21"/>
        </w:rPr>
        <w:t>0.785</w:t>
      </w:r>
      <w:r w:rsidRPr="009B0CD7">
        <w:rPr>
          <w:rFonts w:ascii="Times New Roman" w:eastAsia="宋体" w:hAnsi="Times New Roman" w:cs="Times New Roman"/>
          <w:sz w:val="21"/>
          <w:szCs w:val="21"/>
        </w:rPr>
        <w:t>，表明该月双枯风险识别对局地干旱状态信息较为敏感；</w:t>
      </w:r>
      <w:r w:rsidRPr="009B0CD7">
        <w:rPr>
          <w:rFonts w:ascii="Times New Roman" w:eastAsia="宋体" w:hAnsi="Times New Roman" w:cs="Times New Roman"/>
          <w:sz w:val="21"/>
          <w:szCs w:val="21"/>
        </w:rPr>
        <w:t>6</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8</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9</w:t>
      </w:r>
      <w:r w:rsidRPr="009B0CD7">
        <w:rPr>
          <w:rFonts w:ascii="Times New Roman" w:eastAsia="宋体" w:hAnsi="Times New Roman" w:cs="Times New Roman"/>
          <w:sz w:val="21"/>
          <w:szCs w:val="21"/>
        </w:rPr>
        <w:t>月在</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方案下</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也分别达到</w:t>
      </w:r>
      <w:r w:rsidRPr="009B0CD7">
        <w:rPr>
          <w:rFonts w:ascii="Times New Roman" w:eastAsia="宋体" w:hAnsi="Times New Roman" w:cs="Times New Roman"/>
          <w:sz w:val="21"/>
          <w:szCs w:val="21"/>
        </w:rPr>
        <w:t>0.591</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0.577</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0.566</w:t>
      </w:r>
      <w:r w:rsidRPr="009B0CD7">
        <w:rPr>
          <w:rFonts w:ascii="Times New Roman" w:eastAsia="宋体" w:hAnsi="Times New Roman" w:cs="Times New Roman"/>
          <w:sz w:val="21"/>
          <w:szCs w:val="21"/>
        </w:rPr>
        <w:t>。上述结果表明，</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所表征的局地累积水分亏缺信息能够在冬季、春末及夏季至初秋部分月份改善双枯年份识别效果，但其作用强度具有一定月份差异</w:t>
      </w:r>
      <w:r w:rsidRPr="009B0CD7">
        <w:rPr>
          <w:rFonts w:ascii="Times New Roman" w:eastAsia="宋体" w:hAnsi="Times New Roman" w:cs="Times New Roman" w:hint="eastAsia"/>
          <w:sz w:val="21"/>
          <w:szCs w:val="21"/>
        </w:rPr>
        <w:t>。</w:t>
      </w:r>
    </w:p>
    <w:p w14:paraId="7163E77D" w14:textId="77777777" w:rsidR="0081344D" w:rsidRPr="009B0CD7" w:rsidRDefault="00000000">
      <w:pPr>
        <w:spacing w:after="0" w:line="240" w:lineRule="auto"/>
        <w:jc w:val="center"/>
        <w:rPr>
          <w:rFonts w:ascii="Times New Roman" w:eastAsia="宋体" w:hAnsi="Times New Roman" w:cs="Times New Roman"/>
        </w:rPr>
      </w:pPr>
      <w:r w:rsidRPr="009B0CD7">
        <w:rPr>
          <w:noProof/>
        </w:rPr>
        <w:drawing>
          <wp:inline distT="0" distB="0" distL="0" distR="0" wp14:anchorId="077562C5" wp14:editId="3D5AD883">
            <wp:extent cx="4802505" cy="2351405"/>
            <wp:effectExtent l="0" t="0" r="0" b="0"/>
            <wp:docPr id="14567440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44050" name="图片 3"/>
                    <pic:cNvPicPr>
                      <a:picLocks noChangeAspect="1" noChangeArrowheads="1"/>
                    </pic:cNvPicPr>
                  </pic:nvPicPr>
                  <pic:blipFill>
                    <a:blip r:embed="rId11"/>
                    <a:stretch>
                      <a:fillRect/>
                    </a:stretch>
                  </pic:blipFill>
                  <pic:spPr>
                    <a:xfrm>
                      <a:off x="0" y="0"/>
                      <a:ext cx="4802751" cy="2351597"/>
                    </a:xfrm>
                    <a:prstGeom prst="rect">
                      <a:avLst/>
                    </a:prstGeom>
                    <a:noFill/>
                    <a:ln>
                      <a:noFill/>
                    </a:ln>
                  </pic:spPr>
                </pic:pic>
              </a:graphicData>
            </a:graphic>
          </wp:inline>
        </w:drawing>
      </w:r>
    </w:p>
    <w:p w14:paraId="20B49DFF" w14:textId="5411A77A"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12" w:name="_Ref234595391"/>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5</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协变量方案</w:t>
      </w:r>
      <w:r w:rsidRPr="009B0CD7">
        <w:rPr>
          <w:rFonts w:ascii="Times New Roman" w:eastAsia="黑体" w:hAnsi="Times New Roman" w:cs="Times New Roman"/>
          <w:i/>
          <w:iCs/>
          <w:sz w:val="18"/>
          <w:szCs w:val="18"/>
          <w14:ligatures w14:val="none"/>
        </w:rPr>
        <w:t>AUC</w:t>
      </w:r>
      <w:r w:rsidRPr="009B0CD7">
        <w:rPr>
          <w:rFonts w:ascii="Times New Roman" w:eastAsia="黑体" w:hAnsi="Times New Roman" w:cs="Times New Roman" w:hint="eastAsia"/>
          <w:sz w:val="18"/>
          <w:szCs w:val="18"/>
          <w14:ligatures w14:val="none"/>
        </w:rPr>
        <w:t>及</w:t>
      </w:r>
      <m:oMath>
        <m:r>
          <w:rPr>
            <w:rFonts w:ascii="Cambria Math" w:eastAsia="黑体" w:hAnsi="Cambria Math" w:cs="Times New Roman"/>
            <w:sz w:val="18"/>
            <w:szCs w:val="18"/>
            <w14:ligatures w14:val="none"/>
          </w:rPr>
          <m:t>∆P</m:t>
        </m:r>
      </m:oMath>
      <w:r w:rsidRPr="009B0CD7">
        <w:rPr>
          <w:rFonts w:ascii="Times New Roman" w:eastAsia="黑体" w:hAnsi="Times New Roman" w:cs="Times New Roman"/>
          <w:sz w:val="18"/>
          <w:szCs w:val="18"/>
          <w14:ligatures w14:val="none"/>
        </w:rPr>
        <w:t>气泡热力图</w:t>
      </w:r>
      <w:bookmarkEnd w:id="12"/>
    </w:p>
    <w:p w14:paraId="4C1E1594" w14:textId="4289D1CB"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Fig.5</w:t>
      </w:r>
      <w:r w:rsidRPr="009B0CD7">
        <w:rPr>
          <w:rFonts w:ascii="Times New Roman" w:eastAsia="黑体" w:hAnsi="Times New Roman" w:cs="Times New Roman"/>
          <w:bCs/>
          <w:sz w:val="18"/>
          <w:szCs w:val="18"/>
          <w14:ligatures w14:val="none"/>
        </w:rPr>
        <w:t xml:space="preserve"> </w:t>
      </w:r>
      <w:r w:rsidRPr="009B0CD7">
        <w:rPr>
          <w:rFonts w:ascii="Times New Roman" w:eastAsia="黑体" w:hAnsi="Times New Roman" w:cs="Times New Roman" w:hint="eastAsia"/>
          <w:bCs/>
          <w:sz w:val="18"/>
          <w:szCs w:val="18"/>
          <w14:ligatures w14:val="none"/>
        </w:rPr>
        <w:t xml:space="preserve"> </w:t>
      </w:r>
      <w:r w:rsidRPr="009B0CD7">
        <w:rPr>
          <w:rFonts w:ascii="Times New Roman" w:eastAsia="黑体" w:hAnsi="Times New Roman" w:cs="Times New Roman"/>
          <w:bCs/>
          <w:sz w:val="18"/>
          <w:szCs w:val="18"/>
          <w14:ligatures w14:val="none"/>
        </w:rPr>
        <w:t xml:space="preserve">Bubble heatmap of </w:t>
      </w:r>
      <w:r w:rsidRPr="009B0CD7">
        <w:rPr>
          <w:rFonts w:ascii="Times New Roman" w:eastAsia="黑体" w:hAnsi="Times New Roman" w:cs="Times New Roman"/>
          <w:bCs/>
          <w:i/>
          <w:iCs/>
          <w:sz w:val="18"/>
          <w:szCs w:val="18"/>
          <w14:ligatures w14:val="none"/>
        </w:rPr>
        <w:t>AUC</w:t>
      </w:r>
      <w:r w:rsidRPr="009B0CD7">
        <w:rPr>
          <w:rFonts w:ascii="Times New Roman" w:eastAsia="黑体" w:hAnsi="Times New Roman" w:cs="Times New Roman"/>
          <w:bCs/>
          <w:sz w:val="18"/>
          <w:szCs w:val="18"/>
          <w14:ligatures w14:val="none"/>
        </w:rPr>
        <w:t xml:space="preserve"> and </w:t>
      </w:r>
      <m:oMath>
        <m:r>
          <w:rPr>
            <w:rFonts w:ascii="Cambria Math" w:eastAsia="黑体" w:hAnsi="Cambria Math" w:cs="Times New Roman"/>
            <w:sz w:val="18"/>
            <w:szCs w:val="18"/>
            <w14:ligatures w14:val="none"/>
          </w:rPr>
          <m:t>∆P</m:t>
        </m:r>
      </m:oMath>
      <w:r w:rsidRPr="009B0CD7">
        <w:rPr>
          <w:rFonts w:ascii="Times New Roman" w:eastAsia="黑体" w:hAnsi="Times New Roman" w:cs="Times New Roman"/>
          <w:bCs/>
          <w:sz w:val="18"/>
          <w:szCs w:val="18"/>
          <w14:ligatures w14:val="none"/>
        </w:rPr>
        <w:t xml:space="preserve"> under covariate schemes</w:t>
      </w:r>
    </w:p>
    <w:p w14:paraId="392EB5B8"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与之不同，</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月的大尺度气候指数方案表现更优。</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月最优模型以</w:t>
      </w:r>
      <w:r w:rsidRPr="009B0CD7">
        <w:rPr>
          <w:rFonts w:ascii="Times New Roman" w:eastAsia="宋体" w:hAnsi="Times New Roman" w:cs="Times New Roman"/>
          <w:sz w:val="21"/>
          <w:szCs w:val="21"/>
        </w:rPr>
        <w:t>PDO</w:t>
      </w:r>
      <w:r w:rsidRPr="009B0CD7">
        <w:rPr>
          <w:rFonts w:ascii="Times New Roman" w:eastAsia="宋体" w:hAnsi="Times New Roman" w:cs="Times New Roman" w:hint="eastAsia"/>
          <w:sz w:val="21"/>
          <w:szCs w:val="21"/>
          <w:vertAlign w:val="superscript"/>
        </w:rPr>
        <w:t>2</w:t>
      </w:r>
      <w:r w:rsidRPr="009B0CD7">
        <w:rPr>
          <w:rFonts w:ascii="Times New Roman" w:eastAsia="宋体" w:hAnsi="Times New Roman" w:cs="Times New Roman"/>
          <w:sz w:val="21"/>
          <w:szCs w:val="21"/>
        </w:rPr>
        <w:t>为协变量，</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为</w:t>
      </w:r>
      <w:r w:rsidRPr="009B0CD7">
        <w:rPr>
          <w:rFonts w:ascii="Times New Roman" w:eastAsia="宋体" w:hAnsi="Times New Roman" w:cs="Times New Roman"/>
          <w:sz w:val="21"/>
          <w:szCs w:val="21"/>
        </w:rPr>
        <w:t>0.595</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月最优模型以</w:t>
      </w:r>
      <w:r w:rsidRPr="009B0CD7">
        <w:rPr>
          <w:rFonts w:ascii="Times New Roman" w:eastAsia="宋体" w:hAnsi="Times New Roman" w:cs="Times New Roman"/>
          <w:sz w:val="21"/>
          <w:szCs w:val="21"/>
        </w:rPr>
        <w:t>NAO</w:t>
      </w:r>
      <w:r w:rsidRPr="009B0CD7">
        <w:rPr>
          <w:rFonts w:ascii="Times New Roman" w:eastAsia="宋体" w:hAnsi="Times New Roman" w:cs="Times New Roman"/>
          <w:sz w:val="21"/>
          <w:szCs w:val="21"/>
        </w:rPr>
        <w:t>一阶滞后项为协变量，</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达到</w:t>
      </w:r>
      <w:r w:rsidRPr="009B0CD7">
        <w:rPr>
          <w:rFonts w:ascii="Times New Roman" w:eastAsia="宋体" w:hAnsi="Times New Roman" w:cs="Times New Roman"/>
          <w:sz w:val="21"/>
          <w:szCs w:val="21"/>
        </w:rPr>
        <w:t>0.705</w:t>
      </w:r>
      <w:r w:rsidRPr="009B0CD7">
        <w:rPr>
          <w:rFonts w:ascii="Times New Roman" w:eastAsia="宋体" w:hAnsi="Times New Roman" w:cs="Times New Roman"/>
          <w:sz w:val="21"/>
          <w:szCs w:val="21"/>
        </w:rPr>
        <w:t>。该结果表明，不同月份双水源相依结构的有效识别信息存在差异，大尺度气候信息和局地干旱状态对模型风险识别能力的贡献具有</w:t>
      </w:r>
      <w:r w:rsidRPr="009B0CD7">
        <w:rPr>
          <w:rFonts w:ascii="Times New Roman" w:eastAsia="宋体" w:hAnsi="Times New Roman" w:cs="Times New Roman" w:hint="eastAsia"/>
          <w:sz w:val="21"/>
          <w:szCs w:val="21"/>
        </w:rPr>
        <w:t>季节性</w:t>
      </w:r>
      <w:r w:rsidRPr="009B0CD7">
        <w:rPr>
          <w:rFonts w:ascii="Times New Roman" w:eastAsia="宋体" w:hAnsi="Times New Roman" w:cs="Times New Roman"/>
          <w:sz w:val="21"/>
          <w:szCs w:val="21"/>
        </w:rPr>
        <w:t>。相关机制将在讨论部分进一步分析。</w:t>
      </w:r>
    </w:p>
    <w:p w14:paraId="4FFE1D59"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综合来看，图</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反映不同协变量方案在</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指标上的风险识别表现，而表</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中的推荐模型则依据多指标综合评价结果逐月确定。因此，组合协变量方案总体识别表现较优，并不意味着其在各月份均为最终推荐方案；不同月份推荐模型的差异反映了尾部拟合、事件识别、概率校准及模型复杂度等多方面评价结果的综合作用。</w:t>
      </w:r>
    </w:p>
    <w:p w14:paraId="62B8C070" w14:textId="77777777" w:rsidR="0081344D" w:rsidRPr="009B0CD7" w:rsidRDefault="00000000">
      <w:pPr>
        <w:keepNext/>
        <w:spacing w:after="0" w:line="240" w:lineRule="auto"/>
        <w:jc w:val="both"/>
        <w:outlineLvl w:val="2"/>
        <w:rPr>
          <w:rFonts w:ascii="Times New Roman" w:eastAsia="楷体" w:hAnsi="Times New Roman" w:cs="Times New Roman"/>
          <w:sz w:val="21"/>
          <w:szCs w:val="22"/>
          <w14:ligatures w14:val="none"/>
        </w:rPr>
      </w:pPr>
      <w:r w:rsidRPr="009B0CD7">
        <w:rPr>
          <w:rFonts w:ascii="Times New Roman" w:eastAsia="楷体" w:hAnsi="Times New Roman" w:cs="Times New Roman" w:hint="eastAsia"/>
          <w:sz w:val="21"/>
          <w:szCs w:val="22"/>
          <w14:ligatures w14:val="none"/>
        </w:rPr>
        <w:t xml:space="preserve">2.3.3 </w:t>
      </w:r>
      <w:r w:rsidRPr="009B0CD7">
        <w:rPr>
          <w:rFonts w:ascii="Times New Roman" w:eastAsia="楷体" w:hAnsi="Times New Roman" w:cs="Times New Roman"/>
          <w:sz w:val="21"/>
          <w:szCs w:val="22"/>
          <w14:ligatures w14:val="none"/>
        </w:rPr>
        <w:t>模型风险识别能力诊断</w:t>
      </w:r>
    </w:p>
    <w:p w14:paraId="64BB721C"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为检验模型对历史双枯事件的识别能力，</w:t>
      </w:r>
      <w:r w:rsidRPr="009B0CD7">
        <w:rPr>
          <w:rFonts w:ascii="Times New Roman" w:eastAsia="宋体" w:hAnsi="Times New Roman" w:cs="Times New Roman" w:hint="eastAsia"/>
          <w:sz w:val="21"/>
          <w:szCs w:val="21"/>
        </w:rPr>
        <w:t>图</w:t>
      </w:r>
      <w:r w:rsidRPr="009B0CD7">
        <w:rPr>
          <w:rFonts w:ascii="Times New Roman" w:eastAsia="宋体" w:hAnsi="Times New Roman" w:cs="Times New Roman" w:hint="eastAsia"/>
          <w:sz w:val="21"/>
          <w:szCs w:val="21"/>
        </w:rPr>
        <w:t>6</w:t>
      </w:r>
      <w:r w:rsidRPr="009B0CD7">
        <w:rPr>
          <w:rFonts w:ascii="Times New Roman" w:eastAsia="宋体" w:hAnsi="Times New Roman" w:cs="Times New Roman"/>
          <w:sz w:val="21"/>
          <w:szCs w:val="21"/>
        </w:rPr>
        <w:t>给出了</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联合诊断结果。当</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大于</w:t>
      </w:r>
      <w:r w:rsidRPr="009B0CD7">
        <w:rPr>
          <w:rFonts w:ascii="Times New Roman" w:eastAsia="宋体" w:hAnsi="Times New Roman" w:cs="Times New Roman"/>
          <w:sz w:val="21"/>
          <w:szCs w:val="21"/>
        </w:rPr>
        <w:t>0.5</w:t>
      </w:r>
      <w:r w:rsidRPr="009B0CD7">
        <w:rPr>
          <w:rFonts w:ascii="Times New Roman" w:eastAsia="宋体" w:hAnsi="Times New Roman" w:cs="Times New Roman"/>
          <w:sz w:val="21"/>
          <w:szCs w:val="21"/>
        </w:rPr>
        <w:t>且</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大于</w:t>
      </w:r>
      <w:r w:rsidRPr="009B0CD7">
        <w:rPr>
          <w:rFonts w:ascii="Times New Roman" w:eastAsia="宋体" w:hAnsi="Times New Roman" w:cs="Times New Roman"/>
          <w:sz w:val="21"/>
          <w:szCs w:val="21"/>
        </w:rPr>
        <w:t>0</w:t>
      </w:r>
      <w:r w:rsidRPr="009B0CD7">
        <w:rPr>
          <w:rFonts w:ascii="Times New Roman" w:eastAsia="宋体" w:hAnsi="Times New Roman" w:cs="Times New Roman"/>
          <w:sz w:val="21"/>
          <w:szCs w:val="21"/>
        </w:rPr>
        <w:t>时，说明模型能够赋予真实双枯年份更高的风险概率。结果显示，多数月份</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位于</w:t>
      </w:r>
      <w:r w:rsidRPr="009B0CD7">
        <w:rPr>
          <w:rFonts w:ascii="Times New Roman" w:eastAsia="宋体" w:hAnsi="Times New Roman" w:cs="Times New Roman"/>
          <w:sz w:val="21"/>
          <w:szCs w:val="21"/>
        </w:rPr>
        <w:t>0.56</w:t>
      </w:r>
      <w:r w:rsidRPr="009B0CD7">
        <w:rPr>
          <w:rFonts w:ascii="Times New Roman" w:hAnsi="Times New Roman" w:cs="Times New Roman"/>
          <w:szCs w:val="21"/>
        </w:rPr>
        <w:t>~</w:t>
      </w:r>
      <w:r w:rsidRPr="009B0CD7">
        <w:rPr>
          <w:rFonts w:ascii="Times New Roman" w:eastAsia="宋体" w:hAnsi="Times New Roman" w:cs="Times New Roman"/>
          <w:sz w:val="21"/>
          <w:szCs w:val="21"/>
        </w:rPr>
        <w:t>0.64</w:t>
      </w:r>
      <w:r w:rsidRPr="009B0CD7">
        <w:rPr>
          <w:rFonts w:ascii="Times New Roman" w:eastAsia="宋体" w:hAnsi="Times New Roman" w:cs="Times New Roman"/>
          <w:sz w:val="21"/>
          <w:szCs w:val="21"/>
        </w:rPr>
        <w:t>之间，整体呈现正向识别信号。</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月表现较好，</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分别达到</w:t>
      </w:r>
      <w:r w:rsidRPr="009B0CD7">
        <w:rPr>
          <w:rFonts w:ascii="Times New Roman" w:eastAsia="宋体" w:hAnsi="Times New Roman" w:cs="Times New Roman"/>
          <w:sz w:val="21"/>
          <w:szCs w:val="21"/>
        </w:rPr>
        <w:t>0.785</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0.705</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2</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7</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10</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11</w:t>
      </w:r>
      <w:r w:rsidRPr="009B0CD7">
        <w:rPr>
          <w:rFonts w:ascii="Times New Roman" w:eastAsia="宋体" w:hAnsi="Times New Roman" w:cs="Times New Roman"/>
          <w:sz w:val="21"/>
          <w:szCs w:val="21"/>
        </w:rPr>
        <w:t>月</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约为</w:t>
      </w:r>
      <w:r w:rsidRPr="009B0CD7">
        <w:rPr>
          <w:rFonts w:ascii="Times New Roman" w:eastAsia="宋体" w:hAnsi="Times New Roman" w:cs="Times New Roman"/>
          <w:sz w:val="21"/>
          <w:szCs w:val="21"/>
        </w:rPr>
        <w:t>0.500</w:t>
      </w:r>
      <w:r w:rsidRPr="009B0CD7">
        <w:rPr>
          <w:rFonts w:ascii="Times New Roman" w:eastAsia="宋体" w:hAnsi="Times New Roman" w:cs="Times New Roman"/>
          <w:sz w:val="21"/>
          <w:szCs w:val="21"/>
        </w:rPr>
        <w:t>，说明这些月份模型主要提供平均风险估计，难以识别具体双枯年份。</w:t>
      </w:r>
    </w:p>
    <w:p w14:paraId="06158BD2" w14:textId="77777777" w:rsidR="0081344D" w:rsidRPr="009B0CD7" w:rsidRDefault="00000000">
      <w:pPr>
        <w:spacing w:after="0" w:line="240" w:lineRule="auto"/>
        <w:jc w:val="center"/>
        <w:rPr>
          <w:rFonts w:ascii="Times New Roman" w:eastAsia="宋体" w:hAnsi="Times New Roman" w:cs="Times New Roman"/>
        </w:rPr>
      </w:pPr>
      <w:r w:rsidRPr="009B0CD7">
        <w:rPr>
          <w:noProof/>
        </w:rPr>
        <w:lastRenderedPageBreak/>
        <w:drawing>
          <wp:inline distT="0" distB="0" distL="0" distR="0" wp14:anchorId="6130F53A" wp14:editId="2E3C9188">
            <wp:extent cx="4328160" cy="2626360"/>
            <wp:effectExtent l="0" t="0" r="0" b="2540"/>
            <wp:docPr id="11349720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72076" name="图片 4"/>
                    <pic:cNvPicPr>
                      <a:picLocks noChangeAspect="1" noChangeArrowheads="1"/>
                    </pic:cNvPicPr>
                  </pic:nvPicPr>
                  <pic:blipFill>
                    <a:blip r:embed="rId12"/>
                    <a:stretch>
                      <a:fillRect/>
                    </a:stretch>
                  </pic:blipFill>
                  <pic:spPr>
                    <a:xfrm>
                      <a:off x="0" y="0"/>
                      <a:ext cx="4328271" cy="2626664"/>
                    </a:xfrm>
                    <a:prstGeom prst="rect">
                      <a:avLst/>
                    </a:prstGeom>
                    <a:noFill/>
                    <a:ln>
                      <a:noFill/>
                    </a:ln>
                  </pic:spPr>
                </pic:pic>
              </a:graphicData>
            </a:graphic>
          </wp:inline>
        </w:drawing>
      </w:r>
    </w:p>
    <w:p w14:paraId="03A19D22" w14:textId="63198741"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13" w:name="_Ref234595427"/>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6</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i/>
          <w:iCs/>
          <w:sz w:val="18"/>
          <w:szCs w:val="18"/>
          <w14:ligatures w14:val="none"/>
        </w:rPr>
        <w:t>AUC</w:t>
      </w:r>
      <w:r w:rsidRPr="009B0CD7">
        <w:rPr>
          <w:rFonts w:ascii="Times New Roman" w:eastAsia="黑体" w:hAnsi="Times New Roman" w:cs="Times New Roman" w:hint="eastAsia"/>
          <w:sz w:val="18"/>
          <w:szCs w:val="18"/>
          <w14:ligatures w14:val="none"/>
        </w:rPr>
        <w:t>-</w:t>
      </w:r>
      <m:oMath>
        <m:r>
          <w:rPr>
            <w:rFonts w:ascii="Cambria Math" w:eastAsia="黑体" w:hAnsi="Cambria Math" w:cs="Times New Roman"/>
            <w:sz w:val="18"/>
            <w:szCs w:val="18"/>
            <w14:ligatures w14:val="none"/>
          </w:rPr>
          <m:t>∆P</m:t>
        </m:r>
      </m:oMath>
      <w:r w:rsidRPr="009B0CD7">
        <w:rPr>
          <w:rFonts w:ascii="Times New Roman" w:eastAsia="黑体" w:hAnsi="Times New Roman" w:cs="Times New Roman"/>
          <w:sz w:val="18"/>
          <w:szCs w:val="18"/>
          <w14:ligatures w14:val="none"/>
        </w:rPr>
        <w:t>四象限诊断图</w:t>
      </w:r>
      <w:bookmarkEnd w:id="13"/>
    </w:p>
    <w:p w14:paraId="6A15CA69" w14:textId="3C423BCD"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 xml:space="preserve">Fig.6 </w:t>
      </w:r>
      <w:r w:rsidRPr="009B0CD7">
        <w:rPr>
          <w:rFonts w:ascii="Times New Roman" w:eastAsia="黑体" w:hAnsi="Times New Roman" w:cs="Times New Roman"/>
          <w:bCs/>
          <w:sz w:val="18"/>
          <w:szCs w:val="18"/>
          <w14:ligatures w14:val="none"/>
        </w:rPr>
        <w:t xml:space="preserve"> Four-quadrant diagnostic plot based on AUC and </w:t>
      </w:r>
      <m:oMath>
        <m:r>
          <m:rPr>
            <m:sty m:val="p"/>
          </m:rPr>
          <w:rPr>
            <w:rFonts w:ascii="Cambria Math" w:eastAsia="黑体" w:hAnsi="Cambria Math" w:cs="Times New Roman"/>
            <w:sz w:val="18"/>
            <w:szCs w:val="18"/>
            <w14:ligatures w14:val="none"/>
          </w:rPr>
          <m:t>∆</m:t>
        </m:r>
        <m:r>
          <w:rPr>
            <w:rFonts w:ascii="Cambria Math" w:eastAsia="黑体" w:hAnsi="Cambria Math" w:cs="Times New Roman"/>
            <w:sz w:val="18"/>
            <w:szCs w:val="18"/>
            <w14:ligatures w14:val="none"/>
          </w:rPr>
          <m:t>P</m:t>
        </m:r>
      </m:oMath>
    </w:p>
    <w:p w14:paraId="61030CA9"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推荐模型平均双枯概率与历史观测频率</w:t>
      </w:r>
      <w:r w:rsidRPr="009B0CD7">
        <w:rPr>
          <w:rFonts w:ascii="Times New Roman" w:eastAsia="宋体" w:hAnsi="Times New Roman" w:cs="Times New Roman" w:hint="eastAsia"/>
          <w:sz w:val="21"/>
          <w:szCs w:val="21"/>
        </w:rPr>
        <w:t>的对比如图</w:t>
      </w:r>
      <w:r w:rsidRPr="009B0CD7">
        <w:rPr>
          <w:rFonts w:ascii="Times New Roman" w:eastAsia="宋体" w:hAnsi="Times New Roman" w:cs="Times New Roman" w:hint="eastAsia"/>
          <w:sz w:val="21"/>
          <w:szCs w:val="21"/>
        </w:rPr>
        <w:t>7</w:t>
      </w:r>
      <w:r w:rsidRPr="009B0CD7">
        <w:rPr>
          <w:rFonts w:ascii="Times New Roman" w:eastAsia="宋体" w:hAnsi="Times New Roman" w:cs="Times New Roman" w:hint="eastAsia"/>
          <w:sz w:val="21"/>
          <w:szCs w:val="21"/>
        </w:rPr>
        <w:t>所示</w:t>
      </w:r>
      <w:r w:rsidRPr="009B0CD7">
        <w:rPr>
          <w:rFonts w:ascii="Times New Roman" w:eastAsia="宋体" w:hAnsi="Times New Roman" w:cs="Times New Roman"/>
          <w:sz w:val="21"/>
          <w:szCs w:val="21"/>
        </w:rPr>
        <w:t>。整体来看，多数月份模型估计概率与观测频率较为接近，说明模型对长期平均双枯风险水平具有较好刻画能力。其中</w:t>
      </w:r>
      <w:r w:rsidRPr="009B0CD7">
        <w:rPr>
          <w:rFonts w:ascii="Times New Roman" w:eastAsia="宋体" w:hAnsi="Times New Roman" w:cs="Times New Roman"/>
          <w:sz w:val="21"/>
          <w:szCs w:val="21"/>
        </w:rPr>
        <w:t>2</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7</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10</w:t>
      </w:r>
      <w:r w:rsidRPr="009B0CD7">
        <w:rPr>
          <w:rFonts w:ascii="Times New Roman" w:eastAsia="宋体" w:hAnsi="Times New Roman" w:cs="Times New Roman"/>
          <w:sz w:val="21"/>
          <w:szCs w:val="21"/>
        </w:rPr>
        <w:t>月误差较小；</w:t>
      </w:r>
      <w:r w:rsidRPr="009B0CD7">
        <w:rPr>
          <w:rFonts w:ascii="Times New Roman" w:eastAsia="宋体" w:hAnsi="Times New Roman" w:cs="Times New Roman"/>
          <w:sz w:val="21"/>
          <w:szCs w:val="21"/>
        </w:rPr>
        <w:t>11</w:t>
      </w:r>
      <w:r w:rsidRPr="009B0CD7">
        <w:rPr>
          <w:rFonts w:ascii="Times New Roman" w:eastAsia="宋体" w:hAnsi="Times New Roman" w:cs="Times New Roman"/>
          <w:sz w:val="21"/>
          <w:szCs w:val="21"/>
        </w:rPr>
        <w:t>月误差相对较大，表现为模型平均双枯概率高于历史观测频率，说明该月风险估计存在一定高估。总体而言，推荐模型能够较好反映多数月份双枯风险的长期平均特征，但个别月份仍存在概率校准偏差。</w:t>
      </w:r>
    </w:p>
    <w:p w14:paraId="4D09AC86" w14:textId="77777777" w:rsidR="0081344D" w:rsidRPr="009B0CD7" w:rsidRDefault="00000000">
      <w:pPr>
        <w:spacing w:after="0" w:line="240" w:lineRule="auto"/>
        <w:jc w:val="center"/>
        <w:rPr>
          <w:rFonts w:ascii="Times New Roman" w:eastAsia="宋体" w:hAnsi="Times New Roman" w:cs="Times New Roman"/>
        </w:rPr>
      </w:pPr>
      <w:r w:rsidRPr="009B0CD7">
        <w:rPr>
          <w:noProof/>
        </w:rPr>
        <w:drawing>
          <wp:inline distT="0" distB="0" distL="0" distR="0" wp14:anchorId="64A7D19D" wp14:editId="1521719E">
            <wp:extent cx="4697730" cy="2548255"/>
            <wp:effectExtent l="0" t="0" r="7620" b="4445"/>
            <wp:docPr id="20223906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90694" name="图片 5"/>
                    <pic:cNvPicPr>
                      <a:picLocks noChangeAspect="1" noChangeArrowheads="1"/>
                    </pic:cNvPicPr>
                  </pic:nvPicPr>
                  <pic:blipFill>
                    <a:blip r:embed="rId13"/>
                    <a:stretch>
                      <a:fillRect/>
                    </a:stretch>
                  </pic:blipFill>
                  <pic:spPr>
                    <a:xfrm>
                      <a:off x="0" y="0"/>
                      <a:ext cx="4697735" cy="2548663"/>
                    </a:xfrm>
                    <a:prstGeom prst="rect">
                      <a:avLst/>
                    </a:prstGeom>
                    <a:noFill/>
                    <a:ln>
                      <a:noFill/>
                    </a:ln>
                  </pic:spPr>
                </pic:pic>
              </a:graphicData>
            </a:graphic>
          </wp:inline>
        </w:drawing>
      </w:r>
    </w:p>
    <w:p w14:paraId="072C778F" w14:textId="362944C5"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14" w:name="_Ref234595434"/>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7</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模型平均双枯概率与观测频率对比</w:t>
      </w:r>
      <w:bookmarkEnd w:id="14"/>
    </w:p>
    <w:p w14:paraId="4FF36B7C" w14:textId="53FD0642"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 xml:space="preserve">Fig.7 </w:t>
      </w:r>
      <w:r w:rsidRPr="009B0CD7">
        <w:rPr>
          <w:rFonts w:ascii="Times New Roman" w:eastAsia="黑体" w:hAnsi="Times New Roman" w:cs="Times New Roman"/>
          <w:bCs/>
          <w:sz w:val="18"/>
          <w:szCs w:val="18"/>
          <w14:ligatures w14:val="none"/>
        </w:rPr>
        <w:t xml:space="preserve"> Comparison of model-estimated mean dual-drought probabilities and observed frequencies</w:t>
      </w:r>
    </w:p>
    <w:p w14:paraId="486F5946"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推荐模型的</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、概率误差和尾部依赖等关键指标</w:t>
      </w:r>
      <w:r w:rsidRPr="009B0CD7">
        <w:rPr>
          <w:rFonts w:ascii="Times New Roman" w:eastAsia="宋体" w:hAnsi="Times New Roman" w:cs="Times New Roman" w:hint="eastAsia"/>
          <w:sz w:val="21"/>
          <w:szCs w:val="21"/>
        </w:rPr>
        <w:t>情况如图</w:t>
      </w:r>
      <w:r w:rsidRPr="009B0CD7">
        <w:rPr>
          <w:rFonts w:ascii="Times New Roman" w:eastAsia="宋体" w:hAnsi="Times New Roman" w:cs="Times New Roman" w:hint="eastAsia"/>
          <w:sz w:val="21"/>
          <w:szCs w:val="21"/>
        </w:rPr>
        <w:t>8</w:t>
      </w:r>
      <w:r w:rsidRPr="009B0CD7">
        <w:rPr>
          <w:rFonts w:ascii="Times New Roman" w:eastAsia="宋体" w:hAnsi="Times New Roman" w:cs="Times New Roman" w:hint="eastAsia"/>
          <w:sz w:val="21"/>
          <w:szCs w:val="21"/>
        </w:rPr>
        <w:t>所示</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其中</w:t>
      </w:r>
      <w:r w:rsidRPr="009B0CD7">
        <w:rPr>
          <w:rFonts w:ascii="Times New Roman" w:eastAsia="宋体" w:hAnsi="Times New Roman" w:cs="Times New Roman"/>
          <w:sz w:val="21"/>
          <w:szCs w:val="21"/>
        </w:rPr>
        <w:t>上尾和下尾指标分别表示推荐</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模型对应的渐近上尾依赖系数和下尾依赖系数，用于衡量两个水源在极端高流量或极端低流量状态下同步发生的倾向。结合</w:t>
      </w:r>
      <m:oMath>
        <m:r>
          <w:rPr>
            <w:rFonts w:ascii="Cambria Math" w:eastAsia="宋体" w:hAnsi="Cambria Math" w:cs="Times New Roman"/>
            <w:sz w:val="21"/>
            <w:szCs w:val="21"/>
          </w:rPr>
          <m:t>AI</m:t>
        </m:r>
        <m:sSub>
          <m:sSubPr>
            <m:ctrlPr>
              <w:rPr>
                <w:rFonts w:ascii="Cambria Math" w:eastAsia="宋体" w:hAnsi="Cambria Math" w:cs="Times New Roman"/>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sz w:val="21"/>
          <w:szCs w:val="21"/>
        </w:rPr>
        <w:t>模型优选过程可知，模型的整体拟合优度、平均概率校准能力和具体风险年份识别能力并不完全一致。对于双枯风险研究而言，仅依赖</w:t>
      </w:r>
      <m:oMath>
        <m:r>
          <w:rPr>
            <w:rFonts w:ascii="Cambria Math" w:eastAsia="宋体" w:hAnsi="Cambria Math" w:cs="Times New Roman"/>
            <w:sz w:val="21"/>
            <w:szCs w:val="21"/>
          </w:rPr>
          <m:t>AI</m:t>
        </m:r>
        <m:sSub>
          <m:sSubPr>
            <m:ctrlPr>
              <w:rPr>
                <w:rFonts w:ascii="Cambria Math" w:eastAsia="宋体" w:hAnsi="Cambria Math" w:cs="Times New Roman"/>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sz w:val="21"/>
          <w:szCs w:val="21"/>
        </w:rPr>
        <w:t>等信息准则不足以全面评价模型效果，有必要结合</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等指标判断模型是否真正提升了历史风险事件识别能力。</w:t>
      </w:r>
    </w:p>
    <w:p w14:paraId="72C0BB7A" w14:textId="77777777" w:rsidR="0081344D" w:rsidRPr="009B0CD7" w:rsidRDefault="00000000">
      <w:pPr>
        <w:adjustRightInd w:val="0"/>
        <w:snapToGrid w:val="0"/>
        <w:spacing w:after="0" w:line="240" w:lineRule="auto"/>
        <w:jc w:val="center"/>
        <w:rPr>
          <w:rFonts w:ascii="Times New Roman" w:eastAsia="宋体" w:hAnsi="Times New Roman" w:cs="Times New Roman"/>
        </w:rPr>
      </w:pPr>
      <w:r w:rsidRPr="009B0CD7">
        <w:rPr>
          <w:noProof/>
        </w:rPr>
        <w:lastRenderedPageBreak/>
        <w:drawing>
          <wp:inline distT="0" distB="0" distL="0" distR="0" wp14:anchorId="3F107E5C" wp14:editId="76CC5F98">
            <wp:extent cx="4291330" cy="1959610"/>
            <wp:effectExtent l="0" t="0" r="0" b="2540"/>
            <wp:docPr id="181815345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53455" name="图片 7"/>
                    <pic:cNvPicPr>
                      <a:picLocks noChangeAspect="1" noChangeArrowheads="1"/>
                    </pic:cNvPicPr>
                  </pic:nvPicPr>
                  <pic:blipFill>
                    <a:blip r:embed="rId14"/>
                    <a:stretch>
                      <a:fillRect/>
                    </a:stretch>
                  </pic:blipFill>
                  <pic:spPr>
                    <a:xfrm>
                      <a:off x="0" y="0"/>
                      <a:ext cx="4291644" cy="1960229"/>
                    </a:xfrm>
                    <a:prstGeom prst="rect">
                      <a:avLst/>
                    </a:prstGeom>
                    <a:noFill/>
                    <a:ln>
                      <a:noFill/>
                    </a:ln>
                  </pic:spPr>
                </pic:pic>
              </a:graphicData>
            </a:graphic>
          </wp:inline>
        </w:drawing>
      </w:r>
    </w:p>
    <w:p w14:paraId="66E52A7C" w14:textId="05B36187" w:rsidR="0081344D" w:rsidRPr="009B0CD7" w:rsidRDefault="00000000">
      <w:pPr>
        <w:pStyle w:val="af6"/>
        <w:spacing w:after="0" w:line="240" w:lineRule="auto"/>
        <w:ind w:left="440" w:hanging="440"/>
        <w:jc w:val="center"/>
        <w:outlineLvl w:val="3"/>
        <w:rPr>
          <w:rFonts w:ascii="Times New Roman" w:eastAsia="黑体" w:hAnsi="Times New Roman" w:cs="Times New Roman"/>
          <w:sz w:val="18"/>
          <w:szCs w:val="18"/>
          <w14:ligatures w14:val="none"/>
        </w:rPr>
      </w:pPr>
      <w:bookmarkStart w:id="15" w:name="_Ref234595440"/>
      <w:r w:rsidRPr="009B0CD7">
        <w:rPr>
          <w:rFonts w:ascii="Times New Roman" w:eastAsia="黑体" w:hAnsi="Times New Roman" w:cs="Times New Roman" w:hint="eastAsia"/>
          <w:sz w:val="18"/>
          <w:szCs w:val="18"/>
          <w14:ligatures w14:val="none"/>
        </w:rPr>
        <w:t>图</w:t>
      </w:r>
      <w:r w:rsidRPr="009B0CD7">
        <w:rPr>
          <w:rFonts w:ascii="Times New Roman" w:eastAsia="黑体" w:hAnsi="Times New Roman" w:cs="Times New Roman" w:hint="eastAsia"/>
          <w:sz w:val="18"/>
          <w:szCs w:val="18"/>
          <w14:ligatures w14:val="none"/>
        </w:rPr>
        <w:t>8</w:t>
      </w:r>
      <w:r w:rsidR="005C7D72" w:rsidRPr="009B0CD7">
        <w:rPr>
          <w:rFonts w:ascii="Times New Roman" w:eastAsia="黑体" w:hAnsi="Times New Roman" w:cs="Times New Roman" w:hint="eastAsia"/>
          <w:sz w:val="18"/>
          <w:szCs w:val="18"/>
          <w14:ligatures w14:val="none"/>
        </w:rPr>
        <w:t xml:space="preserve">  </w:t>
      </w:r>
      <w:r w:rsidRPr="009B0CD7">
        <w:rPr>
          <w:rFonts w:ascii="Times New Roman" w:eastAsia="黑体" w:hAnsi="Times New Roman" w:cs="Times New Roman"/>
          <w:sz w:val="18"/>
          <w:szCs w:val="18"/>
          <w14:ligatures w14:val="none"/>
        </w:rPr>
        <w:t>推荐模型性能综合矩阵图</w:t>
      </w:r>
      <w:bookmarkEnd w:id="15"/>
    </w:p>
    <w:p w14:paraId="009BB7EF" w14:textId="2CE5E333" w:rsidR="0081344D" w:rsidRPr="009B0CD7" w:rsidRDefault="00000000">
      <w:pPr>
        <w:pStyle w:val="af6"/>
        <w:spacing w:after="0" w:line="240" w:lineRule="auto"/>
        <w:ind w:left="440" w:hanging="440"/>
        <w:jc w:val="center"/>
        <w:outlineLvl w:val="3"/>
        <w:rPr>
          <w:rFonts w:ascii="Times New Roman" w:eastAsia="黑体" w:hAnsi="Times New Roman" w:cs="Times New Roman"/>
          <w:bCs/>
          <w:sz w:val="18"/>
          <w:szCs w:val="18"/>
          <w14:ligatures w14:val="none"/>
        </w:rPr>
      </w:pPr>
      <w:r w:rsidRPr="009B0CD7">
        <w:rPr>
          <w:rFonts w:ascii="Times New Roman" w:eastAsia="黑体" w:hAnsi="Times New Roman" w:cs="Times New Roman" w:hint="eastAsia"/>
          <w:bCs/>
          <w:sz w:val="18"/>
          <w:szCs w:val="18"/>
          <w14:ligatures w14:val="none"/>
        </w:rPr>
        <w:t>Fig.8</w:t>
      </w:r>
      <w:r w:rsidRPr="009B0CD7">
        <w:rPr>
          <w:rFonts w:ascii="Times New Roman" w:eastAsia="黑体" w:hAnsi="Times New Roman" w:cs="Times New Roman"/>
          <w:bCs/>
          <w:sz w:val="18"/>
          <w:szCs w:val="18"/>
          <w14:ligatures w14:val="none"/>
        </w:rPr>
        <w:t xml:space="preserve"> </w:t>
      </w:r>
      <w:r w:rsidRPr="009B0CD7">
        <w:rPr>
          <w:rFonts w:ascii="Times New Roman" w:eastAsia="黑体" w:hAnsi="Times New Roman" w:cs="Times New Roman" w:hint="eastAsia"/>
          <w:bCs/>
          <w:sz w:val="18"/>
          <w:szCs w:val="18"/>
          <w14:ligatures w14:val="none"/>
        </w:rPr>
        <w:t xml:space="preserve"> </w:t>
      </w:r>
      <w:r w:rsidRPr="009B0CD7">
        <w:rPr>
          <w:rFonts w:ascii="Times New Roman" w:eastAsia="黑体" w:hAnsi="Times New Roman" w:cs="Times New Roman"/>
          <w:bCs/>
          <w:sz w:val="18"/>
          <w:szCs w:val="18"/>
          <w14:ligatures w14:val="none"/>
        </w:rPr>
        <w:t>Comprehensive performance matrix for recommended models</w:t>
      </w:r>
    </w:p>
    <w:p w14:paraId="70EBF9FA" w14:textId="77777777" w:rsidR="0081344D" w:rsidRPr="009B0CD7" w:rsidRDefault="00000000">
      <w:pPr>
        <w:spacing w:after="0" w:line="240" w:lineRule="auto"/>
        <w:jc w:val="both"/>
        <w:outlineLvl w:val="1"/>
        <w:rPr>
          <w:rFonts w:ascii="Times New Roman" w:eastAsia="黑体" w:hAnsi="Times New Roman" w:cs="Times New Roman"/>
          <w:sz w:val="21"/>
          <w:szCs w:val="22"/>
          <w14:ligatures w14:val="none"/>
        </w:rPr>
      </w:pPr>
      <w:r w:rsidRPr="009B0CD7">
        <w:rPr>
          <w:rFonts w:ascii="Times New Roman" w:eastAsia="黑体" w:hAnsi="Times New Roman" w:cs="Times New Roman" w:hint="eastAsia"/>
          <w:sz w:val="21"/>
          <w:szCs w:val="22"/>
          <w14:ligatures w14:val="none"/>
        </w:rPr>
        <w:t xml:space="preserve">2.4 </w:t>
      </w:r>
      <w:r w:rsidRPr="009B0CD7">
        <w:rPr>
          <w:rFonts w:ascii="Times New Roman" w:eastAsia="黑体" w:hAnsi="Times New Roman" w:cs="Times New Roman"/>
          <w:sz w:val="21"/>
          <w:szCs w:val="22"/>
          <w14:ligatures w14:val="none"/>
        </w:rPr>
        <w:t>双枯风险概率季节差异及工程启示</w:t>
      </w:r>
    </w:p>
    <w:p w14:paraId="27E1E7D4"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基于各月份推荐</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w:t>
      </w:r>
      <w:r w:rsidRPr="009B0CD7">
        <w:rPr>
          <w:rFonts w:ascii="Times New Roman" w:eastAsia="宋体" w:hAnsi="Times New Roman" w:cs="Times New Roman" w:hint="eastAsia"/>
          <w:sz w:val="21"/>
          <w:szCs w:val="21"/>
        </w:rPr>
        <w:t>及式（</w:t>
      </w:r>
      <w:r w:rsidRPr="009B0CD7">
        <w:rPr>
          <w:rFonts w:ascii="Times New Roman" w:eastAsia="宋体" w:hAnsi="Times New Roman" w:cs="Times New Roman" w:hint="eastAsia"/>
          <w:sz w:val="21"/>
          <w:szCs w:val="21"/>
        </w:rPr>
        <w:t>14</w:t>
      </w:r>
      <w:r w:rsidRPr="009B0CD7">
        <w:rPr>
          <w:rFonts w:ascii="Times New Roman" w:eastAsia="宋体" w:hAnsi="Times New Roman" w:cs="Times New Roman" w:hint="eastAsia"/>
          <w:sz w:val="21"/>
          <w:szCs w:val="21"/>
        </w:rPr>
        <w:t>）计算</w:t>
      </w:r>
      <w:r w:rsidRPr="009B0CD7">
        <w:rPr>
          <w:rFonts w:ascii="Times New Roman" w:eastAsia="宋体" w:hAnsi="Times New Roman" w:cs="Times New Roman"/>
          <w:sz w:val="21"/>
          <w:szCs w:val="21"/>
        </w:rPr>
        <w:t>1956—2010</w:t>
      </w:r>
      <w:r w:rsidRPr="009B0CD7">
        <w:rPr>
          <w:rFonts w:ascii="Times New Roman" w:eastAsia="宋体" w:hAnsi="Times New Roman" w:cs="Times New Roman"/>
          <w:sz w:val="21"/>
          <w:szCs w:val="21"/>
        </w:rPr>
        <w:t>年各月份年度</w:t>
      </w:r>
      <w:r w:rsidRPr="009B0CD7">
        <w:rPr>
          <w:rFonts w:ascii="Times New Roman" w:eastAsia="宋体" w:hAnsi="Times New Roman" w:cs="Times New Roman" w:hint="eastAsia"/>
          <w:sz w:val="21"/>
          <w:szCs w:val="21"/>
        </w:rPr>
        <w:t>平均双枯概率</w:t>
      </w:r>
      <w:r w:rsidRPr="009B0CD7">
        <w:rPr>
          <w:rFonts w:ascii="Times New Roman" w:eastAsia="宋体" w:hAnsi="Times New Roman" w:cs="Times New Roman"/>
          <w:sz w:val="21"/>
          <w:szCs w:val="21"/>
        </w:rPr>
        <w:t>。结果表明，</w:t>
      </w:r>
      <w:r w:rsidRPr="009B0CD7">
        <w:rPr>
          <w:rFonts w:ascii="Times New Roman" w:eastAsia="宋体" w:hAnsi="Times New Roman" w:cs="Times New Roman"/>
          <w:sz w:val="21"/>
          <w:szCs w:val="21"/>
        </w:rPr>
        <w:t>1956—2010</w:t>
      </w:r>
      <w:r w:rsidRPr="009B0CD7">
        <w:rPr>
          <w:rFonts w:ascii="Times New Roman" w:eastAsia="宋体" w:hAnsi="Times New Roman" w:cs="Times New Roman"/>
          <w:sz w:val="21"/>
          <w:szCs w:val="21"/>
        </w:rPr>
        <w:t>年期间双水源联合偏枯风险具有明显季节差异。各月份平均双枯概率介于</w:t>
      </w:r>
      <w:r w:rsidRPr="009B0CD7">
        <w:rPr>
          <w:rFonts w:ascii="Times New Roman" w:eastAsia="宋体" w:hAnsi="Times New Roman" w:cs="Times New Roman"/>
          <w:sz w:val="21"/>
          <w:szCs w:val="21"/>
        </w:rPr>
        <w:t>0.194</w:t>
      </w:r>
      <w:r w:rsidRPr="009B0CD7">
        <w:rPr>
          <w:rFonts w:ascii="Times New Roman" w:hAnsi="Times New Roman" w:cs="Times New Roman"/>
          <w:szCs w:val="21"/>
        </w:rPr>
        <w:t>~</w:t>
      </w:r>
      <w:r w:rsidRPr="009B0CD7">
        <w:rPr>
          <w:rFonts w:ascii="Times New Roman" w:eastAsia="宋体" w:hAnsi="Times New Roman" w:cs="Times New Roman"/>
          <w:sz w:val="21"/>
          <w:szCs w:val="21"/>
        </w:rPr>
        <w:t>0.275</w:t>
      </w:r>
      <w:r w:rsidRPr="009B0CD7">
        <w:rPr>
          <w:rFonts w:ascii="Times New Roman" w:eastAsia="宋体" w:hAnsi="Times New Roman" w:cs="Times New Roman"/>
          <w:sz w:val="21"/>
          <w:szCs w:val="21"/>
        </w:rPr>
        <w:t>之间，其中</w:t>
      </w:r>
      <w:r w:rsidRPr="009B0CD7">
        <w:rPr>
          <w:rFonts w:ascii="Times New Roman" w:eastAsia="宋体" w:hAnsi="Times New Roman" w:cs="Times New Roman"/>
          <w:sz w:val="21"/>
          <w:szCs w:val="21"/>
        </w:rPr>
        <w:t>7</w:t>
      </w:r>
      <w:r w:rsidRPr="009B0CD7">
        <w:rPr>
          <w:rFonts w:ascii="Times New Roman" w:eastAsia="宋体" w:hAnsi="Times New Roman" w:cs="Times New Roman"/>
          <w:sz w:val="21"/>
          <w:szCs w:val="21"/>
        </w:rPr>
        <w:t>月平均概率最高，为</w:t>
      </w:r>
      <w:r w:rsidRPr="009B0CD7">
        <w:rPr>
          <w:rFonts w:ascii="Times New Roman" w:eastAsia="宋体" w:hAnsi="Times New Roman" w:cs="Times New Roman"/>
          <w:sz w:val="21"/>
          <w:szCs w:val="21"/>
        </w:rPr>
        <w:t>0.275</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6</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8</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9</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10</w:t>
      </w:r>
      <w:r w:rsidRPr="009B0CD7">
        <w:rPr>
          <w:rFonts w:ascii="Times New Roman" w:eastAsia="宋体" w:hAnsi="Times New Roman" w:cs="Times New Roman"/>
          <w:sz w:val="21"/>
          <w:szCs w:val="21"/>
        </w:rPr>
        <w:t>月也维持在较高水平，说明夏季至初秋是双水源同步偏枯风险较为突出的时期。</w:t>
      </w:r>
      <w:r w:rsidRPr="009B0CD7">
        <w:rPr>
          <w:rFonts w:ascii="Times New Roman" w:eastAsia="宋体" w:hAnsi="Times New Roman" w:cs="Times New Roman"/>
          <w:sz w:val="21"/>
          <w:szCs w:val="21"/>
        </w:rPr>
        <w:t>2</w:t>
      </w:r>
      <w:r w:rsidRPr="009B0CD7">
        <w:rPr>
          <w:rFonts w:ascii="Times New Roman" w:eastAsia="宋体" w:hAnsi="Times New Roman" w:cs="Times New Roman"/>
          <w:sz w:val="21"/>
          <w:szCs w:val="21"/>
        </w:rPr>
        <w:t>月平均概率最低，为</w:t>
      </w:r>
      <w:r w:rsidRPr="009B0CD7">
        <w:rPr>
          <w:rFonts w:ascii="Times New Roman" w:eastAsia="宋体" w:hAnsi="Times New Roman" w:cs="Times New Roman"/>
          <w:sz w:val="21"/>
          <w:szCs w:val="21"/>
        </w:rPr>
        <w:t>0.194</w:t>
      </w:r>
      <w:r w:rsidRPr="009B0CD7">
        <w:rPr>
          <w:rFonts w:ascii="Times New Roman" w:eastAsia="宋体" w:hAnsi="Times New Roman" w:cs="Times New Roman"/>
          <w:sz w:val="21"/>
          <w:szCs w:val="21"/>
        </w:rPr>
        <w:t>，整体风险相对较弱。</w:t>
      </w:r>
    </w:p>
    <w:p w14:paraId="208786B6"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需要指出的是，平均双枯概率较高并不等同于相依结构具有显著动态变化。</w:t>
      </w:r>
      <w:r w:rsidRPr="009B0CD7">
        <w:rPr>
          <w:rFonts w:ascii="Times New Roman" w:eastAsia="宋体" w:hAnsi="Times New Roman" w:cs="Times New Roman"/>
          <w:sz w:val="21"/>
          <w:szCs w:val="21"/>
        </w:rPr>
        <w:t>7</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10</w:t>
      </w:r>
      <w:r w:rsidRPr="009B0CD7">
        <w:rPr>
          <w:rFonts w:ascii="Times New Roman" w:eastAsia="宋体" w:hAnsi="Times New Roman" w:cs="Times New Roman"/>
          <w:sz w:val="21"/>
          <w:szCs w:val="21"/>
        </w:rPr>
        <w:t>月虽然平均概率较高，但最优模型为静态</w:t>
      </w:r>
      <w:r w:rsidRPr="009B0CD7">
        <w:rPr>
          <w:rFonts w:ascii="Times New Roman" w:eastAsia="宋体" w:hAnsi="Times New Roman" w:cs="Times New Roman"/>
          <w:sz w:val="21"/>
          <w:szCs w:val="21"/>
        </w:rPr>
        <w:t>Gaussian</w:t>
      </w:r>
      <w:r w:rsidRPr="009B0CD7">
        <w:rPr>
          <w:rFonts w:ascii="Times New Roman" w:eastAsia="宋体" w:hAnsi="Times New Roman" w:cs="Times New Roman"/>
          <w:sz w:val="21"/>
          <w:szCs w:val="21"/>
        </w:rPr>
        <w:t>模型，说明</w:t>
      </w:r>
      <w:r w:rsidRPr="009B0CD7">
        <w:rPr>
          <w:rFonts w:ascii="Times New Roman" w:eastAsia="宋体" w:hAnsi="Times New Roman" w:cs="Times New Roman" w:hint="eastAsia"/>
          <w:sz w:val="21"/>
          <w:szCs w:val="21"/>
        </w:rPr>
        <w:t>其</w:t>
      </w:r>
      <w:r w:rsidRPr="009B0CD7">
        <w:rPr>
          <w:rFonts w:ascii="Times New Roman" w:eastAsia="宋体" w:hAnsi="Times New Roman" w:cs="Times New Roman"/>
          <w:sz w:val="21"/>
          <w:szCs w:val="21"/>
        </w:rPr>
        <w:t>主要表现为相对稳定的平均相关结构；而</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月、</w:t>
      </w:r>
      <w:r w:rsidRPr="009B0CD7">
        <w:rPr>
          <w:rFonts w:ascii="Times New Roman" w:eastAsia="宋体" w:hAnsi="Times New Roman" w:cs="Times New Roman" w:hint="eastAsia"/>
          <w:sz w:val="21"/>
          <w:szCs w:val="21"/>
        </w:rPr>
        <w:t>3</w:t>
      </w:r>
      <w:r w:rsidRPr="009B0CD7">
        <w:rPr>
          <w:rFonts w:ascii="Times New Roman" w:eastAsia="宋体" w:hAnsi="Times New Roman" w:cs="Times New Roman" w:hint="eastAsia"/>
          <w:sz w:val="21"/>
          <w:szCs w:val="21"/>
        </w:rPr>
        <w:t>月、</w:t>
      </w:r>
      <w:r w:rsidRPr="009B0CD7">
        <w:rPr>
          <w:rFonts w:ascii="Times New Roman" w:eastAsia="宋体" w:hAnsi="Times New Roman" w:cs="Times New Roman" w:hint="eastAsia"/>
          <w:sz w:val="21"/>
          <w:szCs w:val="21"/>
        </w:rPr>
        <w:t>4</w:t>
      </w:r>
      <w:r w:rsidRPr="009B0CD7">
        <w:rPr>
          <w:rFonts w:ascii="Times New Roman" w:eastAsia="宋体" w:hAnsi="Times New Roman" w:cs="Times New Roman" w:hint="eastAsia"/>
          <w:sz w:val="21"/>
          <w:szCs w:val="21"/>
        </w:rPr>
        <w:t>月、</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6</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8</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9</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月优选为时变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模型，说明这些月份的相依结构与外部气候或干旱因子变化有关。综合来看，引大济湟工程双水源双枯风险表现出平均风险夏秋较高</w:t>
      </w:r>
      <w:r w:rsidRPr="009B0CD7">
        <w:rPr>
          <w:rFonts w:ascii="Times New Roman" w:eastAsia="宋体" w:hAnsi="Times New Roman" w:cs="Times New Roman" w:hint="eastAsia"/>
          <w:sz w:val="21"/>
          <w:szCs w:val="21"/>
        </w:rPr>
        <w:t>，春季、</w:t>
      </w:r>
      <w:r w:rsidRPr="009B0CD7">
        <w:rPr>
          <w:rFonts w:ascii="Times New Roman" w:eastAsia="宋体" w:hAnsi="Times New Roman" w:cs="Times New Roman"/>
          <w:sz w:val="21"/>
          <w:szCs w:val="21"/>
        </w:rPr>
        <w:t>夏末</w:t>
      </w:r>
      <w:r w:rsidRPr="009B0CD7">
        <w:rPr>
          <w:rFonts w:ascii="Times New Roman" w:eastAsia="宋体" w:hAnsi="Times New Roman" w:cs="Times New Roman" w:hint="eastAsia"/>
          <w:sz w:val="21"/>
          <w:szCs w:val="21"/>
        </w:rPr>
        <w:t>及</w:t>
      </w:r>
      <w:r w:rsidRPr="009B0CD7">
        <w:rPr>
          <w:rFonts w:ascii="Times New Roman" w:eastAsia="宋体" w:hAnsi="Times New Roman" w:cs="Times New Roman"/>
          <w:sz w:val="21"/>
          <w:szCs w:val="21"/>
        </w:rPr>
        <w:t>冬季</w:t>
      </w:r>
      <w:r w:rsidRPr="009B0CD7">
        <w:rPr>
          <w:rFonts w:ascii="Times New Roman" w:eastAsia="宋体" w:hAnsi="Times New Roman" w:cs="Times New Roman" w:hint="eastAsia"/>
          <w:sz w:val="21"/>
          <w:szCs w:val="21"/>
        </w:rPr>
        <w:t>部分</w:t>
      </w:r>
      <w:r w:rsidRPr="009B0CD7">
        <w:rPr>
          <w:rFonts w:ascii="Times New Roman" w:eastAsia="宋体" w:hAnsi="Times New Roman" w:cs="Times New Roman"/>
          <w:sz w:val="21"/>
          <w:szCs w:val="21"/>
        </w:rPr>
        <w:t>月份的双枯概率具有更明显的动态变化特征。该结果表明，跨流域调水系统风险管理不能仅依据多年平均来水过程判断，还应考虑不同月份风险形成机制及模型识别能力差异。</w:t>
      </w:r>
    </w:p>
    <w:p w14:paraId="0A47ADAA" w14:textId="77777777" w:rsidR="0081344D" w:rsidRPr="009B0CD7" w:rsidRDefault="00000000">
      <w:pPr>
        <w:keepNext/>
        <w:spacing w:after="0" w:line="240" w:lineRule="auto"/>
        <w:jc w:val="both"/>
        <w:outlineLvl w:val="0"/>
        <w:rPr>
          <w:rFonts w:ascii="Times New Roman" w:eastAsia="宋体" w:hAnsi="Times New Roman" w:cs="Times New Roman"/>
          <w:sz w:val="28"/>
          <w:szCs w:val="28"/>
          <w14:ligatures w14:val="none"/>
        </w:rPr>
      </w:pPr>
      <w:r w:rsidRPr="009B0CD7">
        <w:rPr>
          <w:rFonts w:ascii="Times New Roman" w:eastAsia="宋体" w:hAnsi="Times New Roman" w:cs="Times New Roman" w:hint="eastAsia"/>
          <w:sz w:val="28"/>
          <w:szCs w:val="28"/>
          <w14:ligatures w14:val="none"/>
        </w:rPr>
        <w:t xml:space="preserve">3 </w:t>
      </w:r>
      <w:r w:rsidRPr="009B0CD7">
        <w:rPr>
          <w:rFonts w:ascii="Times New Roman" w:eastAsia="宋体" w:hAnsi="Times New Roman" w:cs="Times New Roman" w:hint="eastAsia"/>
          <w:sz w:val="28"/>
          <w:szCs w:val="28"/>
          <w14:ligatures w14:val="none"/>
        </w:rPr>
        <w:t>讨论</w:t>
      </w:r>
    </w:p>
    <w:p w14:paraId="7ADE1969"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传统水文频率分析多基于平稳性假设，但在变化环境下这一前提已难以满足。本研究表明，石头峡与黑泉水库月径流边缘分布及两水源间相依结构均存在不同程度的非平稳特征，且二者演化并不完全同步。因此，构建</w:t>
      </w:r>
      <w:r w:rsidRPr="009B0CD7">
        <w:rPr>
          <w:rFonts w:ascii="Times New Roman" w:eastAsia="宋体" w:hAnsi="Times New Roman" w:cs="Times New Roman"/>
          <w:sz w:val="21"/>
          <w:szCs w:val="21"/>
        </w:rPr>
        <w:t>GAMLSS</w:t>
      </w:r>
      <w:r w:rsidRPr="009B0CD7">
        <w:rPr>
          <w:rFonts w:ascii="Times New Roman" w:hAnsi="Times New Roman" w:cs="Times New Roman"/>
          <w:szCs w:val="21"/>
        </w:rPr>
        <w:t>—</w:t>
      </w:r>
      <w:r w:rsidRPr="009B0CD7">
        <w:rPr>
          <w:rFonts w:ascii="Times New Roman" w:eastAsia="宋体" w:hAnsi="Times New Roman" w:cs="Times New Roman"/>
          <w:sz w:val="21"/>
          <w:szCs w:val="21"/>
        </w:rPr>
        <w:t>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框架同时刻画单一水源的非平稳变化与双水源动态相依结构，有助于更全面识别跨流域调水系统的联合干旱风险。</w:t>
      </w:r>
    </w:p>
    <w:p w14:paraId="3581DC5D"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从两水源边缘分布非平稳特征看，其月份差异可从水源区补给组成、年内径流分配及气候敏感性差异加以理解。石头峡水库</w:t>
      </w:r>
      <w:r w:rsidRPr="009B0CD7">
        <w:rPr>
          <w:rFonts w:ascii="Times New Roman" w:eastAsia="宋体" w:hAnsi="Times New Roman" w:cs="Times New Roman"/>
          <w:sz w:val="21"/>
          <w:szCs w:val="21"/>
        </w:rPr>
        <w:t>1—3</w:t>
      </w:r>
      <w:r w:rsidRPr="009B0CD7">
        <w:rPr>
          <w:rFonts w:ascii="Times New Roman" w:eastAsia="宋体" w:hAnsi="Times New Roman" w:cs="Times New Roman"/>
          <w:sz w:val="21"/>
          <w:szCs w:val="21"/>
        </w:rPr>
        <w:t>月及</w:t>
      </w:r>
      <w:r w:rsidRPr="009B0CD7">
        <w:rPr>
          <w:rFonts w:ascii="Times New Roman" w:eastAsia="宋体" w:hAnsi="Times New Roman" w:cs="Times New Roman"/>
          <w:sz w:val="21"/>
          <w:szCs w:val="21"/>
        </w:rPr>
        <w:t>11—12</w:t>
      </w:r>
      <w:r w:rsidRPr="009B0CD7">
        <w:rPr>
          <w:rFonts w:ascii="Times New Roman" w:eastAsia="宋体" w:hAnsi="Times New Roman" w:cs="Times New Roman"/>
          <w:sz w:val="21"/>
          <w:szCs w:val="21"/>
        </w:rPr>
        <w:t>月径流总体水平上升、</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月下降，反映出大通河外调水源冬春季和春末径流过程存在不同方向的阶段性变化</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黑泉水库</w:t>
      </w:r>
      <w:r w:rsidRPr="009B0CD7">
        <w:rPr>
          <w:rFonts w:ascii="Times New Roman" w:eastAsia="宋体" w:hAnsi="Times New Roman" w:cs="Times New Roman"/>
          <w:sz w:val="21"/>
          <w:szCs w:val="21"/>
        </w:rPr>
        <w:t>3—8</w:t>
      </w:r>
      <w:r w:rsidRPr="009B0CD7">
        <w:rPr>
          <w:rFonts w:ascii="Times New Roman" w:eastAsia="宋体" w:hAnsi="Times New Roman" w:cs="Times New Roman"/>
          <w:sz w:val="21"/>
          <w:szCs w:val="21"/>
        </w:rPr>
        <w:t>月径流总体水平下降，则说明湟水本地水源春夏季来水过程对区域干湿状态和蒸散发变化较为敏感。进一步结合协变量识别结果看，已有研究指出</w:t>
      </w:r>
      <w:r w:rsidRPr="009B0CD7">
        <w:rPr>
          <w:rFonts w:ascii="Times New Roman" w:eastAsia="宋体" w:hAnsi="Times New Roman" w:cs="Times New Roman"/>
          <w:i/>
          <w:iCs/>
          <w:sz w:val="21"/>
          <w:szCs w:val="21"/>
        </w:rPr>
        <w:t>SPEI</w:t>
      </w:r>
      <w:r w:rsidRPr="009B0CD7">
        <w:rPr>
          <w:rFonts w:ascii="Times New Roman" w:eastAsia="宋体" w:hAnsi="Times New Roman" w:cs="Times New Roman"/>
          <w:sz w:val="21"/>
          <w:szCs w:val="21"/>
        </w:rPr>
        <w:t>能够较好表征气候变暖背景下由降水和蒸散发共同作用形成的干旱过程</w:t>
      </w:r>
      <w:r w:rsidRPr="009B0CD7">
        <w:rPr>
          <w:rFonts w:ascii="Times New Roman" w:hAnsi="Times New Roman" w:cs="Times New Roman"/>
          <w:kern w:val="0"/>
          <w:sz w:val="21"/>
          <w:szCs w:val="21"/>
          <w:vertAlign w:val="superscript"/>
        </w:rPr>
        <w:t>[4, 35-38]</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本文引入</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hint="eastAsia"/>
          <w:sz w:val="21"/>
          <w:szCs w:val="21"/>
        </w:rPr>
        <w:t>后，</w:t>
      </w:r>
      <w:r w:rsidRPr="009B0CD7">
        <w:rPr>
          <w:rFonts w:ascii="Times New Roman" w:eastAsia="宋体" w:hAnsi="Times New Roman" w:cs="Times New Roman"/>
          <w:sz w:val="21"/>
          <w:szCs w:val="21"/>
        </w:rPr>
        <w:t>对</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6</w:t>
      </w:r>
      <w:r w:rsidRPr="009B0CD7">
        <w:rPr>
          <w:rFonts w:ascii="Times New Roman" w:eastAsia="宋体" w:hAnsi="Times New Roman" w:cs="Times New Roman"/>
          <w:sz w:val="21"/>
          <w:szCs w:val="21"/>
        </w:rPr>
        <w:t>月、</w:t>
      </w:r>
      <w:r w:rsidRPr="009B0CD7">
        <w:rPr>
          <w:rFonts w:ascii="Times New Roman" w:eastAsia="宋体" w:hAnsi="Times New Roman" w:cs="Times New Roman"/>
          <w:sz w:val="21"/>
          <w:szCs w:val="21"/>
        </w:rPr>
        <w:t>8</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9</w:t>
      </w:r>
      <w:r w:rsidRPr="009B0CD7">
        <w:rPr>
          <w:rFonts w:ascii="Times New Roman" w:eastAsia="宋体" w:hAnsi="Times New Roman" w:cs="Times New Roman"/>
          <w:sz w:val="21"/>
          <w:szCs w:val="21"/>
        </w:rPr>
        <w:t>月模型识别能力提升明显，表明局地累积水分亏缺状态对部分月份双水源同步偏枯风险具有较强指示作用</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与之不同，</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月和</w:t>
      </w:r>
      <w:r w:rsidRPr="009B0CD7">
        <w:rPr>
          <w:rFonts w:ascii="Times New Roman" w:eastAsia="宋体" w:hAnsi="Times New Roman" w:cs="Times New Roman"/>
          <w:sz w:val="21"/>
          <w:szCs w:val="21"/>
        </w:rPr>
        <w:t>12</w:t>
      </w:r>
      <w:r w:rsidRPr="009B0CD7">
        <w:rPr>
          <w:rFonts w:ascii="Times New Roman" w:eastAsia="宋体" w:hAnsi="Times New Roman" w:cs="Times New Roman"/>
          <w:sz w:val="21"/>
          <w:szCs w:val="21"/>
        </w:rPr>
        <w:t>月仍以大尺度气候指数或其滞后项为</w:t>
      </w:r>
      <w:r w:rsidRPr="009B0CD7">
        <w:rPr>
          <w:rFonts w:ascii="Times New Roman" w:eastAsia="宋体" w:hAnsi="Times New Roman" w:cs="Times New Roman" w:hint="eastAsia"/>
          <w:sz w:val="21"/>
          <w:szCs w:val="21"/>
        </w:rPr>
        <w:t>协变量</w:t>
      </w:r>
      <w:r w:rsidRPr="009B0CD7">
        <w:rPr>
          <w:rFonts w:ascii="Times New Roman" w:eastAsia="宋体" w:hAnsi="Times New Roman" w:cs="Times New Roman"/>
          <w:sz w:val="21"/>
          <w:szCs w:val="21"/>
        </w:rPr>
        <w:t>，说明双水源相依结构的有效识别信息具有明显季节差异</w:t>
      </w:r>
      <w:r w:rsidRPr="009B0CD7">
        <w:rPr>
          <w:rFonts w:ascii="Times New Roman" w:eastAsia="宋体" w:hAnsi="Times New Roman" w:cs="Times New Roman" w:hint="eastAsia"/>
          <w:sz w:val="21"/>
          <w:szCs w:val="21"/>
        </w:rPr>
        <w:t>。已有研究表明，青藏高原及其北部地区气温、降水和积雪变化与西风、季风及</w:t>
      </w:r>
      <w:r w:rsidRPr="009B0CD7">
        <w:rPr>
          <w:rFonts w:ascii="Times New Roman" w:eastAsia="宋体" w:hAnsi="Times New Roman" w:cs="Times New Roman" w:hint="eastAsia"/>
          <w:sz w:val="21"/>
          <w:szCs w:val="21"/>
        </w:rPr>
        <w:t>NAO-AO</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hint="eastAsia"/>
          <w:sz w:val="21"/>
          <w:szCs w:val="21"/>
        </w:rPr>
        <w:t>PDO</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hint="eastAsia"/>
          <w:sz w:val="21"/>
          <w:szCs w:val="21"/>
        </w:rPr>
        <w:t>ENSO</w:t>
      </w:r>
      <w:r w:rsidRPr="009B0CD7">
        <w:rPr>
          <w:rFonts w:ascii="Times New Roman" w:eastAsia="宋体" w:hAnsi="Times New Roman" w:cs="Times New Roman" w:hint="eastAsia"/>
          <w:sz w:val="21"/>
          <w:szCs w:val="21"/>
        </w:rPr>
        <w:t>等大尺度环流或海气振荡存在联系</w:t>
      </w:r>
      <w:r w:rsidRPr="009B0CD7">
        <w:rPr>
          <w:rFonts w:ascii="Times New Roman" w:hAnsi="Times New Roman" w:cs="Times New Roman"/>
          <w:kern w:val="0"/>
          <w:sz w:val="21"/>
          <w:szCs w:val="21"/>
          <w:vertAlign w:val="superscript"/>
        </w:rPr>
        <w:t>[45-48]</w:t>
      </w:r>
      <w:r w:rsidRPr="009B0CD7">
        <w:rPr>
          <w:rFonts w:ascii="Times New Roman" w:eastAsia="宋体" w:hAnsi="Times New Roman" w:cs="Times New Roman" w:hint="eastAsia"/>
          <w:sz w:val="21"/>
          <w:szCs w:val="21"/>
        </w:rPr>
        <w:t>；这类变化可通过影响区域降水、气温、积雪累积与消融条件，进而改变两水源径流过程的同步性。</w:t>
      </w:r>
      <w:r w:rsidRPr="009B0CD7">
        <w:rPr>
          <w:rFonts w:ascii="Times New Roman" w:eastAsia="宋体" w:hAnsi="Times New Roman" w:cs="Times New Roman"/>
          <w:sz w:val="21"/>
          <w:szCs w:val="21"/>
        </w:rPr>
        <w:t>需要说明的是，上述解释主要基于本文统计模型识别结果和已有研究认识，尚未直接引入大气环流场、积雪、冻土、地下水和工程运行资料开展物理归因验证。</w:t>
      </w:r>
      <w:r w:rsidRPr="009B0CD7">
        <w:rPr>
          <w:rFonts w:ascii="Times New Roman" w:eastAsia="宋体" w:hAnsi="Times New Roman" w:cs="Times New Roman"/>
          <w:sz w:val="21"/>
          <w:szCs w:val="21"/>
        </w:rPr>
        <w:lastRenderedPageBreak/>
        <w:t>因此，后续仍需结合多源过程资料进一步揭示非平稳径流变化和双水源相依结构时变性的形成机制。</w:t>
      </w:r>
    </w:p>
    <w:p w14:paraId="51EFA224"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在方法层面，该框架优势在于同时纳入边缘分布非平稳性与相依结构时变性，并引入</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和</w:t>
      </w:r>
      <m:oMath>
        <m:r>
          <w:rPr>
            <w:rFonts w:ascii="Cambria Math" w:eastAsia="宋体" w:hAnsi="Cambria Math" w:cs="Times New Roman"/>
            <w:sz w:val="21"/>
            <w:szCs w:val="21"/>
          </w:rPr>
          <m:t>∆P</m:t>
        </m:r>
      </m:oMath>
      <w:r w:rsidRPr="009B0CD7">
        <w:rPr>
          <w:rFonts w:ascii="Times New Roman" w:eastAsia="宋体" w:hAnsi="Times New Roman" w:cs="Times New Roman"/>
          <w:sz w:val="21"/>
          <w:szCs w:val="21"/>
        </w:rPr>
        <w:t>等概率识别指标，弥补了单纯依赖</w:t>
      </w:r>
      <m:oMath>
        <m:r>
          <w:rPr>
            <w:rFonts w:ascii="Cambria Math" w:eastAsia="宋体" w:hAnsi="Cambria Math" w:cs="Times New Roman"/>
            <w:sz w:val="21"/>
            <w:szCs w:val="21"/>
          </w:rPr>
          <m:t>AI</m:t>
        </m:r>
        <m:sSub>
          <m:sSubPr>
            <m:ctrlPr>
              <w:rPr>
                <w:rFonts w:ascii="Cambria Math" w:eastAsia="宋体" w:hAnsi="Cambria Math" w:cs="Times New Roman"/>
                <w:iCs/>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sz w:val="21"/>
          <w:szCs w:val="21"/>
        </w:rPr>
        <w:t>的不足，实现了对多水源系统动态联合风险的同步刻画</w:t>
      </w:r>
      <w:r w:rsidRPr="009B0CD7">
        <w:rPr>
          <w:rFonts w:ascii="Times New Roman" w:hAnsi="Times New Roman" w:cs="Times New Roman"/>
          <w:kern w:val="0"/>
          <w:sz w:val="21"/>
          <w:szCs w:val="21"/>
          <w:vertAlign w:val="superscript"/>
        </w:rPr>
        <w:t>[10, 23, 29</w:t>
      </w:r>
      <w:r w:rsidRPr="009B0CD7">
        <w:rPr>
          <w:rFonts w:ascii="Times New Roman" w:hAnsi="Times New Roman" w:cs="Times New Roman" w:hint="eastAsia"/>
          <w:kern w:val="0"/>
          <w:sz w:val="21"/>
          <w:szCs w:val="21"/>
          <w:vertAlign w:val="superscript"/>
        </w:rPr>
        <w:t>-</w:t>
      </w:r>
      <w:r w:rsidRPr="009B0CD7">
        <w:rPr>
          <w:rFonts w:ascii="Times New Roman" w:hAnsi="Times New Roman" w:cs="Times New Roman"/>
          <w:kern w:val="0"/>
          <w:sz w:val="21"/>
          <w:szCs w:val="21"/>
          <w:vertAlign w:val="superscript"/>
        </w:rPr>
        <w:t>30]</w:t>
      </w:r>
      <w:r w:rsidRPr="009B0CD7">
        <w:rPr>
          <w:rFonts w:ascii="Times New Roman" w:eastAsia="宋体" w:hAnsi="Times New Roman" w:cs="Times New Roman"/>
          <w:sz w:val="21"/>
          <w:szCs w:val="21"/>
        </w:rPr>
        <w:t>。对于极端事件样本相对有限的双枯风险识别问题，引入事件匹配和排序识别指标具有一定必要性</w:t>
      </w:r>
      <w:r w:rsidRPr="009B0CD7">
        <w:rPr>
          <w:rFonts w:ascii="Times New Roman" w:hAnsi="Times New Roman" w:cs="Times New Roman"/>
          <w:kern w:val="0"/>
          <w:sz w:val="21"/>
          <w:szCs w:val="21"/>
          <w:vertAlign w:val="superscript"/>
        </w:rPr>
        <w:t>[43</w:t>
      </w:r>
      <w:r w:rsidRPr="009B0CD7">
        <w:rPr>
          <w:rFonts w:ascii="Times New Roman" w:hAnsi="Times New Roman" w:cs="Times New Roman" w:hint="eastAsia"/>
          <w:kern w:val="0"/>
          <w:sz w:val="21"/>
          <w:szCs w:val="21"/>
          <w:vertAlign w:val="superscript"/>
        </w:rPr>
        <w:t>-</w:t>
      </w:r>
      <w:r w:rsidRPr="009B0CD7">
        <w:rPr>
          <w:rFonts w:ascii="Times New Roman" w:hAnsi="Times New Roman" w:cs="Times New Roman"/>
          <w:kern w:val="0"/>
          <w:sz w:val="21"/>
          <w:szCs w:val="21"/>
          <w:vertAlign w:val="superscript"/>
        </w:rPr>
        <w:t>44]</w:t>
      </w:r>
      <w:r w:rsidRPr="009B0CD7">
        <w:rPr>
          <w:rFonts w:ascii="Times New Roman" w:eastAsia="宋体" w:hAnsi="Times New Roman" w:cs="Times New Roman"/>
          <w:sz w:val="21"/>
          <w:szCs w:val="21"/>
        </w:rPr>
        <w:t>。同时，考虑到月尺度样本量有限，本文在时变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参数构造中采用相对简洁的协变量函数形式，并通过</w:t>
      </w:r>
      <m:oMath>
        <m:r>
          <w:rPr>
            <w:rFonts w:ascii="Cambria Math" w:eastAsia="宋体" w:hAnsi="Cambria Math" w:cs="Times New Roman"/>
            <w:sz w:val="21"/>
            <w:szCs w:val="21"/>
          </w:rPr>
          <m:t>AI</m:t>
        </m:r>
        <m:sSub>
          <m:sSubPr>
            <m:ctrlPr>
              <w:rPr>
                <w:rFonts w:ascii="Cambria Math" w:eastAsia="宋体" w:hAnsi="Cambria Math" w:cs="Times New Roman"/>
                <w:i/>
                <w:sz w:val="21"/>
                <w:szCs w:val="21"/>
              </w:rPr>
            </m:ctrlPr>
          </m:sSubPr>
          <m:e>
            <m:r>
              <w:rPr>
                <w:rFonts w:ascii="Cambria Math" w:eastAsia="宋体" w:hAnsi="Cambria Math" w:cs="Times New Roman"/>
                <w:sz w:val="21"/>
                <w:szCs w:val="21"/>
              </w:rPr>
              <m:t>C</m:t>
            </m:r>
          </m:e>
          <m:sub>
            <m:r>
              <m:rPr>
                <m:sty m:val="p"/>
              </m:rPr>
              <w:rPr>
                <w:rFonts w:ascii="Cambria Math" w:eastAsia="宋体" w:hAnsi="Cambria Math" w:cs="Times New Roman"/>
                <w:sz w:val="21"/>
                <w:szCs w:val="21"/>
              </w:rPr>
              <m:t>c</m:t>
            </m:r>
          </m:sub>
        </m:sSub>
      </m:oMath>
      <w:r w:rsidRPr="009B0CD7">
        <w:rPr>
          <w:rFonts w:ascii="Times New Roman" w:eastAsia="宋体" w:hAnsi="Times New Roman" w:cs="Times New Roman"/>
          <w:sz w:val="21"/>
          <w:szCs w:val="21"/>
        </w:rPr>
        <w:t>及风险识别指标共同控制模型复杂度，以降低过拟合风险、提高模型解释性和结果稳健性。后续在更长序列或多源过程资料支撑下，可进一步探索非线性参数形式、多变量</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或</w:t>
      </w:r>
      <w:r w:rsidRPr="009B0CD7">
        <w:rPr>
          <w:rFonts w:ascii="Times New Roman" w:eastAsia="宋体" w:hAnsi="Times New Roman" w:cs="Times New Roman"/>
          <w:sz w:val="21"/>
          <w:szCs w:val="21"/>
        </w:rPr>
        <w:t>Vine Copula</w:t>
      </w:r>
      <w:r w:rsidRPr="009B0CD7">
        <w:rPr>
          <w:rFonts w:ascii="Times New Roman" w:eastAsia="宋体" w:hAnsi="Times New Roman" w:cs="Times New Roman"/>
          <w:sz w:val="21"/>
          <w:szCs w:val="21"/>
        </w:rPr>
        <w:t>结构，以提升复杂多水源系统联合风险刻画能力。需说明的是，本文径流序列截至</w:t>
      </w:r>
      <w:r w:rsidRPr="009B0CD7">
        <w:rPr>
          <w:rFonts w:ascii="Times New Roman" w:eastAsia="宋体" w:hAnsi="Times New Roman" w:cs="Times New Roman"/>
          <w:sz w:val="21"/>
          <w:szCs w:val="21"/>
        </w:rPr>
        <w:t>2010</w:t>
      </w:r>
      <w:r w:rsidRPr="009B0CD7">
        <w:rPr>
          <w:rFonts w:ascii="Times New Roman" w:eastAsia="宋体" w:hAnsi="Times New Roman" w:cs="Times New Roman"/>
          <w:sz w:val="21"/>
          <w:szCs w:val="21"/>
        </w:rPr>
        <w:t>年，近期径流序列可能同时受到气候变化和人类活动的共同影响</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后续可结合最新实测径流、水库运行、取用水过程等资料，构建包含气候因子与人类活动因子的联合驱动模型，进一步揭示双水源相依结构时变性的成因机制。</w:t>
      </w:r>
    </w:p>
    <w:p w14:paraId="712C2E6B"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对于工程调度而言，应充分考虑来水丰枯遭遇不确定性和多源供水关系对调度策略的影响，将双水源同步偏枯风险纳入调度决策</w:t>
      </w:r>
      <w:r w:rsidRPr="009B0CD7">
        <w:rPr>
          <w:rFonts w:ascii="Times New Roman" w:hAnsi="Times New Roman" w:cs="Times New Roman"/>
          <w:kern w:val="0"/>
          <w:sz w:val="21"/>
          <w:szCs w:val="21"/>
          <w:vertAlign w:val="superscript"/>
        </w:rPr>
        <w:t>[31</w:t>
      </w:r>
      <w:r w:rsidRPr="009B0CD7">
        <w:rPr>
          <w:rFonts w:ascii="Times New Roman" w:hAnsi="Times New Roman" w:cs="Times New Roman" w:hint="eastAsia"/>
          <w:kern w:val="0"/>
          <w:sz w:val="21"/>
          <w:szCs w:val="21"/>
          <w:vertAlign w:val="superscript"/>
        </w:rPr>
        <w:t>-</w:t>
      </w:r>
      <w:r w:rsidRPr="009B0CD7">
        <w:rPr>
          <w:rFonts w:ascii="Times New Roman" w:hAnsi="Times New Roman" w:cs="Times New Roman"/>
          <w:kern w:val="0"/>
          <w:sz w:val="21"/>
          <w:szCs w:val="21"/>
          <w:vertAlign w:val="superscript"/>
        </w:rPr>
        <w:t>32, 49]</w:t>
      </w:r>
      <w:r w:rsidRPr="009B0CD7">
        <w:rPr>
          <w:rFonts w:ascii="Times New Roman" w:eastAsia="宋体" w:hAnsi="Times New Roman" w:cs="Times New Roman"/>
          <w:sz w:val="21"/>
          <w:szCs w:val="21"/>
        </w:rPr>
        <w:t>。同时，</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及其派生指标在部分关键月份表现出较好的风险识别能力，可作为调度预警的重要参考，并用于构建</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气象干旱</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水文响应</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双水源联合风险</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的滚动监测机制</w:t>
      </w:r>
      <w:r w:rsidRPr="009B0CD7">
        <w:rPr>
          <w:rFonts w:ascii="Times New Roman" w:hAnsi="Times New Roman" w:cs="Times New Roman"/>
          <w:kern w:val="0"/>
          <w:sz w:val="21"/>
          <w:szCs w:val="21"/>
          <w:vertAlign w:val="superscript"/>
        </w:rPr>
        <w:t>[50]</w:t>
      </w:r>
      <w:r w:rsidRPr="009B0CD7">
        <w:rPr>
          <w:rFonts w:ascii="Times New Roman" w:eastAsia="宋体" w:hAnsi="Times New Roman" w:cs="Times New Roman"/>
          <w:sz w:val="21"/>
          <w:szCs w:val="21"/>
        </w:rPr>
        <w:t>。在此基础上，后续研究可结合</w:t>
      </w:r>
      <w:r w:rsidRPr="009B0CD7">
        <w:rPr>
          <w:rFonts w:ascii="Times New Roman" w:eastAsia="宋体" w:hAnsi="Times New Roman" w:cs="Times New Roman"/>
          <w:sz w:val="21"/>
          <w:szCs w:val="21"/>
        </w:rPr>
        <w:t>CMIP6</w:t>
      </w:r>
      <w:r w:rsidRPr="009B0CD7">
        <w:rPr>
          <w:rFonts w:ascii="Times New Roman" w:eastAsia="宋体" w:hAnsi="Times New Roman" w:cs="Times New Roman"/>
          <w:sz w:val="21"/>
          <w:szCs w:val="21"/>
        </w:rPr>
        <w:t>气候情景数据，借鉴已有未来干旱风险评估思路，将本文框架拓展至未来气候变化情景下的调水系统风险评估</w:t>
      </w:r>
      <w:r w:rsidRPr="009B0CD7">
        <w:rPr>
          <w:rFonts w:ascii="Times New Roman" w:hAnsi="Times New Roman" w:cs="Times New Roman"/>
          <w:kern w:val="0"/>
          <w:sz w:val="21"/>
          <w:szCs w:val="21"/>
          <w:vertAlign w:val="superscript"/>
        </w:rPr>
        <w:t>[51]</w:t>
      </w:r>
      <w:r w:rsidRPr="009B0CD7">
        <w:rPr>
          <w:rFonts w:ascii="Times New Roman" w:eastAsia="宋体" w:hAnsi="Times New Roman" w:cs="Times New Roman"/>
          <w:sz w:val="21"/>
          <w:szCs w:val="21"/>
        </w:rPr>
        <w:t>。总体而言，本文提出的双重非平稳动态风险分析框架可为引大济湟工程及类似多水源调水系统在变化环境下的动态风险评估、调度预警和适应性管理提供方法参考。</w:t>
      </w:r>
    </w:p>
    <w:p w14:paraId="46FDBBED" w14:textId="77777777" w:rsidR="0081344D" w:rsidRPr="009B0CD7" w:rsidRDefault="00000000">
      <w:pPr>
        <w:keepNext/>
        <w:spacing w:after="0" w:line="240" w:lineRule="auto"/>
        <w:jc w:val="both"/>
        <w:outlineLvl w:val="0"/>
        <w:rPr>
          <w:rFonts w:ascii="Times New Roman" w:eastAsia="宋体" w:hAnsi="Times New Roman" w:cs="Times New Roman"/>
          <w:sz w:val="28"/>
          <w:szCs w:val="28"/>
          <w14:ligatures w14:val="none"/>
        </w:rPr>
      </w:pPr>
      <w:r w:rsidRPr="009B0CD7">
        <w:rPr>
          <w:rFonts w:ascii="Times New Roman" w:eastAsia="宋体" w:hAnsi="Times New Roman" w:cs="Times New Roman" w:hint="eastAsia"/>
          <w:sz w:val="28"/>
          <w:szCs w:val="28"/>
          <w14:ligatures w14:val="none"/>
        </w:rPr>
        <w:t xml:space="preserve">4 </w:t>
      </w:r>
      <w:r w:rsidRPr="009B0CD7">
        <w:rPr>
          <w:rFonts w:ascii="Times New Roman" w:eastAsia="宋体" w:hAnsi="Times New Roman" w:cs="Times New Roman" w:hint="eastAsia"/>
          <w:sz w:val="28"/>
          <w:szCs w:val="28"/>
          <w14:ligatures w14:val="none"/>
        </w:rPr>
        <w:t>结论</w:t>
      </w:r>
    </w:p>
    <w:p w14:paraId="0F1F5316"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本文以引大济湟工程</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大通河</w:t>
      </w:r>
      <w:r w:rsidRPr="009B0CD7">
        <w:rPr>
          <w:rFonts w:ascii="Times New Roman" w:hAnsi="Times New Roman" w:cs="Times New Roman"/>
          <w:szCs w:val="21"/>
        </w:rPr>
        <w:t>—</w:t>
      </w:r>
      <w:r w:rsidRPr="009B0CD7">
        <w:rPr>
          <w:rFonts w:ascii="Times New Roman" w:eastAsia="宋体" w:hAnsi="Times New Roman" w:cs="Times New Roman"/>
          <w:sz w:val="21"/>
          <w:szCs w:val="21"/>
        </w:rPr>
        <w:t>湟水</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双水源供水系统为研究对象，构建了耦合</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非平稳边缘分布与时变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相依结构的</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双重非平稳</w:t>
      </w:r>
      <w:r w:rsidRPr="009B0CD7">
        <w:rPr>
          <w:rFonts w:ascii="Times New Roman" w:eastAsia="宋体" w:hAnsi="Times New Roman" w:cs="Times New Roman" w:hint="eastAsia"/>
          <w:sz w:val="21"/>
          <w:szCs w:val="21"/>
        </w:rPr>
        <w:t>”</w:t>
      </w:r>
      <w:r w:rsidRPr="009B0CD7">
        <w:rPr>
          <w:rFonts w:ascii="Times New Roman" w:eastAsia="宋体" w:hAnsi="Times New Roman" w:cs="Times New Roman"/>
          <w:sz w:val="21"/>
          <w:szCs w:val="21"/>
        </w:rPr>
        <w:t>动态风险分析框架，对双水源同步偏枯联合风险进行了量化评估。主要结论如下：</w:t>
      </w:r>
    </w:p>
    <w:p w14:paraId="3FC31A41"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1</w:t>
      </w:r>
      <w:r w:rsidRPr="009B0CD7">
        <w:rPr>
          <w:rFonts w:ascii="Times New Roman" w:eastAsia="宋体" w:hAnsi="Times New Roman" w:cs="Times New Roman"/>
          <w:sz w:val="21"/>
          <w:szCs w:val="21"/>
        </w:rPr>
        <w:t>）双水源月径流序列存在明显非平稳特征。</w:t>
      </w:r>
      <w:r w:rsidRPr="009B0CD7">
        <w:rPr>
          <w:rFonts w:ascii="Times New Roman" w:eastAsia="宋体" w:hAnsi="Times New Roman" w:cs="Times New Roman"/>
          <w:sz w:val="21"/>
          <w:szCs w:val="21"/>
        </w:rPr>
        <w:t>24</w:t>
      </w:r>
      <w:r w:rsidRPr="009B0CD7">
        <w:rPr>
          <w:rFonts w:ascii="Times New Roman" w:eastAsia="宋体" w:hAnsi="Times New Roman" w:cs="Times New Roman"/>
          <w:sz w:val="21"/>
          <w:szCs w:val="21"/>
        </w:rPr>
        <w:t>组月尺度径流序列中，共有</w:t>
      </w:r>
      <w:r w:rsidRPr="009B0CD7">
        <w:rPr>
          <w:rFonts w:ascii="Times New Roman" w:eastAsia="宋体" w:hAnsi="Times New Roman" w:cs="Times New Roman"/>
          <w:sz w:val="21"/>
          <w:szCs w:val="21"/>
        </w:rPr>
        <w:t>13</w:t>
      </w:r>
      <w:r w:rsidRPr="009B0CD7">
        <w:rPr>
          <w:rFonts w:ascii="Times New Roman" w:eastAsia="宋体" w:hAnsi="Times New Roman" w:cs="Times New Roman"/>
          <w:sz w:val="21"/>
          <w:szCs w:val="21"/>
        </w:rPr>
        <w:t>组最优</w:t>
      </w:r>
      <w:r w:rsidRPr="009B0CD7">
        <w:rPr>
          <w:rFonts w:ascii="Times New Roman" w:eastAsia="宋体" w:hAnsi="Times New Roman" w:cs="Times New Roman"/>
          <w:sz w:val="21"/>
          <w:szCs w:val="21"/>
        </w:rPr>
        <w:t>GAMLSS</w:t>
      </w:r>
      <w:r w:rsidRPr="009B0CD7">
        <w:rPr>
          <w:rFonts w:ascii="Times New Roman" w:eastAsia="宋体" w:hAnsi="Times New Roman" w:cs="Times New Roman"/>
          <w:sz w:val="21"/>
          <w:szCs w:val="21"/>
        </w:rPr>
        <w:t>边缘分布模型表现为非平稳结构，占比为</w:t>
      </w:r>
      <w:r w:rsidRPr="009B0CD7">
        <w:rPr>
          <w:rFonts w:ascii="Times New Roman" w:eastAsia="宋体" w:hAnsi="Times New Roman" w:cs="Times New Roman"/>
          <w:sz w:val="21"/>
          <w:szCs w:val="21"/>
        </w:rPr>
        <w:t>54.2%</w:t>
      </w:r>
      <w:r w:rsidRPr="009B0CD7">
        <w:rPr>
          <w:rFonts w:ascii="Times New Roman" w:eastAsia="宋体" w:hAnsi="Times New Roman" w:cs="Times New Roman"/>
          <w:sz w:val="21"/>
          <w:szCs w:val="21"/>
        </w:rPr>
        <w:t>；其中石头峡水库主要表现为</w:t>
      </w:r>
      <w:r w:rsidRPr="009B0CD7">
        <w:rPr>
          <w:rFonts w:ascii="Times New Roman" w:eastAsia="宋体" w:hAnsi="Times New Roman" w:cs="Times New Roman"/>
          <w:sz w:val="21"/>
          <w:szCs w:val="21"/>
        </w:rPr>
        <w:t>1—3</w:t>
      </w:r>
      <w:r w:rsidRPr="009B0CD7">
        <w:rPr>
          <w:rFonts w:ascii="Times New Roman" w:eastAsia="宋体" w:hAnsi="Times New Roman" w:cs="Times New Roman"/>
          <w:sz w:val="21"/>
          <w:szCs w:val="21"/>
        </w:rPr>
        <w:t>月及</w:t>
      </w:r>
      <w:r w:rsidRPr="009B0CD7">
        <w:rPr>
          <w:rFonts w:ascii="Times New Roman" w:eastAsia="宋体" w:hAnsi="Times New Roman" w:cs="Times New Roman"/>
          <w:sz w:val="21"/>
          <w:szCs w:val="21"/>
        </w:rPr>
        <w:t>11—12</w:t>
      </w:r>
      <w:r w:rsidRPr="009B0CD7">
        <w:rPr>
          <w:rFonts w:ascii="Times New Roman" w:eastAsia="宋体" w:hAnsi="Times New Roman" w:cs="Times New Roman"/>
          <w:sz w:val="21"/>
          <w:szCs w:val="21"/>
        </w:rPr>
        <w:t>月径流总体水平上升、</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月下降，黑泉水库则以</w:t>
      </w:r>
      <w:r w:rsidRPr="009B0CD7">
        <w:rPr>
          <w:rFonts w:ascii="Times New Roman" w:eastAsia="宋体" w:hAnsi="Times New Roman" w:cs="Times New Roman"/>
          <w:sz w:val="21"/>
          <w:szCs w:val="21"/>
        </w:rPr>
        <w:t>3—8</w:t>
      </w:r>
      <w:r w:rsidRPr="009B0CD7">
        <w:rPr>
          <w:rFonts w:ascii="Times New Roman" w:eastAsia="宋体" w:hAnsi="Times New Roman" w:cs="Times New Roman"/>
          <w:sz w:val="21"/>
          <w:szCs w:val="21"/>
        </w:rPr>
        <w:t>月径流下降为主要特征，表明两水源非平稳响应具有明显季节差异和空间异质性。</w:t>
      </w:r>
    </w:p>
    <w:p w14:paraId="3AD31059"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2</w:t>
      </w:r>
      <w:r w:rsidRPr="009B0CD7">
        <w:rPr>
          <w:rFonts w:ascii="Times New Roman" w:eastAsia="宋体" w:hAnsi="Times New Roman" w:cs="Times New Roman"/>
          <w:sz w:val="21"/>
          <w:szCs w:val="21"/>
        </w:rPr>
        <w:t>）双水源径流联合相依关系具有明显季节差异和动态变化特征。月尺度最优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模型并不存在全年一致的相依结构，</w:t>
      </w:r>
      <w:r w:rsidRPr="009B0CD7">
        <w:rPr>
          <w:rFonts w:ascii="Times New Roman" w:eastAsia="宋体" w:hAnsi="Times New Roman" w:cs="Times New Roman"/>
          <w:sz w:val="21"/>
          <w:szCs w:val="21"/>
        </w:rPr>
        <w:t>Gaussian Copula</w:t>
      </w:r>
      <w:r w:rsidRPr="009B0CD7">
        <w:rPr>
          <w:rFonts w:ascii="Times New Roman" w:eastAsia="宋体" w:hAnsi="Times New Roman" w:cs="Times New Roman"/>
          <w:sz w:val="21"/>
          <w:szCs w:val="21"/>
        </w:rPr>
        <w:t>族出现</w:t>
      </w:r>
      <w:r w:rsidRPr="009B0CD7">
        <w:rPr>
          <w:rFonts w:ascii="Times New Roman" w:eastAsia="宋体" w:hAnsi="Times New Roman" w:cs="Times New Roman"/>
          <w:sz w:val="21"/>
          <w:szCs w:val="21"/>
        </w:rPr>
        <w:t>6</w:t>
      </w:r>
      <w:r w:rsidRPr="009B0CD7">
        <w:rPr>
          <w:rFonts w:ascii="Times New Roman" w:eastAsia="宋体" w:hAnsi="Times New Roman" w:cs="Times New Roman"/>
          <w:sz w:val="21"/>
          <w:szCs w:val="21"/>
        </w:rPr>
        <w:t>个月，表明多数月份以对称相依关系为主；</w:t>
      </w:r>
      <w:r w:rsidRPr="009B0CD7">
        <w:rPr>
          <w:rFonts w:ascii="Times New Roman" w:eastAsia="宋体" w:hAnsi="Times New Roman" w:cs="Times New Roman"/>
          <w:sz w:val="21"/>
          <w:szCs w:val="21"/>
        </w:rPr>
        <w:t>Gumbel</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Survival Gumbel</w:t>
      </w:r>
      <w:r w:rsidRPr="009B0CD7">
        <w:rPr>
          <w:rFonts w:ascii="Times New Roman" w:eastAsia="宋体" w:hAnsi="Times New Roman" w:cs="Times New Roman"/>
          <w:sz w:val="21"/>
          <w:szCs w:val="21"/>
        </w:rPr>
        <w:t>和</w:t>
      </w:r>
      <w:r w:rsidRPr="009B0CD7">
        <w:rPr>
          <w:rFonts w:ascii="Times New Roman" w:eastAsia="宋体" w:hAnsi="Times New Roman" w:cs="Times New Roman"/>
          <w:sz w:val="21"/>
          <w:szCs w:val="21"/>
        </w:rPr>
        <w:t>Frank Copula</w:t>
      </w:r>
      <w:r w:rsidRPr="009B0CD7">
        <w:rPr>
          <w:rFonts w:ascii="Times New Roman" w:eastAsia="宋体" w:hAnsi="Times New Roman" w:cs="Times New Roman"/>
          <w:sz w:val="21"/>
          <w:szCs w:val="21"/>
        </w:rPr>
        <w:t>族则出现在部分月份，说明双水源系统在特定季节存在不同形式的尾部依赖或非对称相依特征。</w:t>
      </w:r>
    </w:p>
    <w:p w14:paraId="4E26ECEA"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3</w:t>
      </w:r>
      <w:r w:rsidRPr="009B0CD7">
        <w:rPr>
          <w:rFonts w:ascii="Times New Roman" w:eastAsia="宋体" w:hAnsi="Times New Roman" w:cs="Times New Roman"/>
          <w:sz w:val="21"/>
          <w:szCs w:val="21"/>
        </w:rPr>
        <w:t>）相依结构时变性在部分月份较为突出。在静态与时变</w:t>
      </w:r>
      <w:r w:rsidRPr="009B0CD7">
        <w:rPr>
          <w:rFonts w:ascii="Times New Roman" w:eastAsia="宋体" w:hAnsi="Times New Roman" w:cs="Times New Roman"/>
          <w:sz w:val="21"/>
          <w:szCs w:val="21"/>
        </w:rPr>
        <w:t>Copula</w:t>
      </w:r>
      <w:r w:rsidRPr="009B0CD7">
        <w:rPr>
          <w:rFonts w:ascii="Times New Roman" w:eastAsia="宋体" w:hAnsi="Times New Roman" w:cs="Times New Roman"/>
          <w:sz w:val="21"/>
          <w:szCs w:val="21"/>
        </w:rPr>
        <w:t>候选模型比较中，</w:t>
      </w:r>
      <w:r w:rsidRPr="009B0CD7">
        <w:rPr>
          <w:rFonts w:ascii="Times New Roman" w:eastAsia="宋体" w:hAnsi="Times New Roman" w:cs="Times New Roman"/>
          <w:sz w:val="21"/>
          <w:szCs w:val="21"/>
        </w:rPr>
        <w:t>8</w:t>
      </w:r>
      <w:r w:rsidRPr="009B0CD7">
        <w:rPr>
          <w:rFonts w:ascii="Times New Roman" w:eastAsia="宋体" w:hAnsi="Times New Roman" w:cs="Times New Roman"/>
          <w:sz w:val="21"/>
          <w:szCs w:val="21"/>
        </w:rPr>
        <w:t>个月份优选为时变模型，占全年月份的</w:t>
      </w:r>
      <w:r w:rsidRPr="009B0CD7">
        <w:rPr>
          <w:rFonts w:ascii="Times New Roman" w:eastAsia="宋体" w:hAnsi="Times New Roman" w:cs="Times New Roman"/>
          <w:sz w:val="21"/>
          <w:szCs w:val="21"/>
        </w:rPr>
        <w:t>66.7%</w:t>
      </w:r>
      <w:r w:rsidRPr="009B0CD7">
        <w:rPr>
          <w:rFonts w:ascii="Times New Roman" w:eastAsia="宋体" w:hAnsi="Times New Roman" w:cs="Times New Roman"/>
          <w:sz w:val="21"/>
          <w:szCs w:val="21"/>
        </w:rPr>
        <w:t>，</w:t>
      </w:r>
      <w:r w:rsidRPr="009B0CD7">
        <w:rPr>
          <w:rFonts w:ascii="Times New Roman" w:eastAsia="宋体" w:hAnsi="Times New Roman" w:cs="Times New Roman" w:hint="eastAsia"/>
          <w:sz w:val="21"/>
          <w:szCs w:val="21"/>
        </w:rPr>
        <w:t>表明双水源相依结构在部分月份与外部气候及干旱因子变化存在统计联系</w:t>
      </w:r>
      <w:r w:rsidRPr="009B0CD7">
        <w:rPr>
          <w:rFonts w:ascii="Times New Roman" w:eastAsia="宋体" w:hAnsi="Times New Roman" w:cs="Times New Roman"/>
          <w:sz w:val="21"/>
          <w:szCs w:val="21"/>
        </w:rPr>
        <w:t>；其中</w:t>
      </w:r>
      <w:r w:rsidRPr="009B0CD7">
        <w:rPr>
          <w:rFonts w:ascii="Times New Roman" w:eastAsia="宋体" w:hAnsi="Times New Roman" w:cs="Times New Roman"/>
          <w:i/>
          <w:iCs/>
          <w:sz w:val="21"/>
          <w:szCs w:val="21"/>
        </w:rPr>
        <w:t>SPEI-3</w:t>
      </w:r>
      <w:r w:rsidRPr="009B0CD7">
        <w:rPr>
          <w:rFonts w:ascii="Times New Roman" w:eastAsia="宋体" w:hAnsi="Times New Roman" w:cs="Times New Roman"/>
          <w:sz w:val="21"/>
          <w:szCs w:val="21"/>
        </w:rPr>
        <w:t>及其派生指标对部分关键月份双枯风险识别贡献较大，</w:t>
      </w:r>
      <w:r w:rsidRPr="009B0CD7">
        <w:rPr>
          <w:rFonts w:ascii="Times New Roman" w:eastAsia="宋体" w:hAnsi="Times New Roman" w:cs="Times New Roman"/>
          <w:sz w:val="21"/>
          <w:szCs w:val="21"/>
        </w:rPr>
        <w:t>5</w:t>
      </w:r>
      <w:r w:rsidRPr="009B0CD7">
        <w:rPr>
          <w:rFonts w:ascii="Times New Roman" w:eastAsia="宋体" w:hAnsi="Times New Roman" w:cs="Times New Roman"/>
          <w:sz w:val="21"/>
          <w:szCs w:val="21"/>
        </w:rPr>
        <w:t>月模型识别效果最佳（</w:t>
      </w:r>
      <w:r w:rsidRPr="009B0CD7">
        <w:rPr>
          <w:rFonts w:ascii="Times New Roman" w:eastAsia="宋体" w:hAnsi="Times New Roman" w:cs="Times New Roman"/>
          <w:i/>
          <w:iCs/>
          <w:sz w:val="21"/>
          <w:szCs w:val="21"/>
        </w:rPr>
        <w:t>AUC</w:t>
      </w:r>
      <w:r w:rsidRPr="009B0CD7">
        <w:rPr>
          <w:rFonts w:ascii="Times New Roman" w:eastAsia="宋体" w:hAnsi="Times New Roman" w:cs="Times New Roman"/>
          <w:sz w:val="21"/>
          <w:szCs w:val="21"/>
        </w:rPr>
        <w:t>=0.78</w:t>
      </w:r>
      <w:r w:rsidRPr="009B0CD7">
        <w:rPr>
          <w:rFonts w:ascii="Times New Roman" w:eastAsia="宋体" w:hAnsi="Times New Roman" w:cs="Times New Roman"/>
          <w:sz w:val="21"/>
          <w:szCs w:val="21"/>
        </w:rPr>
        <w:t>）。</w:t>
      </w:r>
    </w:p>
    <w:p w14:paraId="465BAAE5" w14:textId="77777777" w:rsidR="0081344D" w:rsidRPr="009B0CD7" w:rsidRDefault="00000000">
      <w:pPr>
        <w:spacing w:after="0" w:line="240" w:lineRule="auto"/>
        <w:ind w:firstLineChars="200" w:firstLine="420"/>
        <w:jc w:val="both"/>
        <w:rPr>
          <w:rFonts w:ascii="Times New Roman" w:eastAsia="宋体" w:hAnsi="Times New Roman" w:cs="Times New Roman"/>
          <w:sz w:val="21"/>
          <w:szCs w:val="21"/>
        </w:rPr>
      </w:pP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4</w:t>
      </w:r>
      <w:r w:rsidRPr="009B0CD7">
        <w:rPr>
          <w:rFonts w:ascii="Times New Roman" w:eastAsia="宋体" w:hAnsi="Times New Roman" w:cs="Times New Roman"/>
          <w:sz w:val="21"/>
          <w:szCs w:val="21"/>
        </w:rPr>
        <w:t>）双枯联合风险呈现夏秋季较高、冬春季较低的季节分异特征。研究结果表明，引大济湟工程调度中不宜简单假设外调水源与本地水源能够稳定互补，应重点关注关键月份双水源同步偏枯风险，并逐步建立基于气候</w:t>
      </w:r>
      <w:r w:rsidRPr="009B0CD7">
        <w:rPr>
          <w:rFonts w:ascii="Times New Roman" w:eastAsia="宋体" w:hAnsi="Times New Roman" w:cs="Times New Roman"/>
          <w:sz w:val="21"/>
          <w:szCs w:val="21"/>
        </w:rPr>
        <w:t>-</w:t>
      </w:r>
      <w:r w:rsidRPr="009B0CD7">
        <w:rPr>
          <w:rFonts w:ascii="Times New Roman" w:eastAsia="宋体" w:hAnsi="Times New Roman" w:cs="Times New Roman"/>
          <w:sz w:val="21"/>
          <w:szCs w:val="21"/>
        </w:rPr>
        <w:t>干旱监测和动态联合概率识别的适应性调度机制。</w:t>
      </w:r>
    </w:p>
    <w:p w14:paraId="45B7DD85" w14:textId="77777777" w:rsidR="0081344D" w:rsidRPr="009B0CD7" w:rsidRDefault="0081344D">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p>
    <w:p w14:paraId="39BA1859" w14:textId="77777777" w:rsidR="0081344D" w:rsidRPr="009B0CD7" w:rsidRDefault="00000000">
      <w:pPr>
        <w:keepNext/>
        <w:adjustRightInd w:val="0"/>
        <w:snapToGrid w:val="0"/>
        <w:spacing w:after="0" w:line="240" w:lineRule="auto"/>
        <w:jc w:val="both"/>
        <w:outlineLvl w:val="0"/>
        <w:rPr>
          <w:rFonts w:ascii="Times New Roman" w:eastAsia="宋体" w:hAnsi="Times New Roman" w:cs="Times New Roman"/>
          <w:sz w:val="28"/>
          <w:szCs w:val="28"/>
          <w14:ligatures w14:val="none"/>
        </w:rPr>
      </w:pPr>
      <w:r w:rsidRPr="009B0CD7">
        <w:rPr>
          <w:rFonts w:ascii="Times New Roman" w:eastAsia="宋体" w:hAnsi="Times New Roman" w:cs="Times New Roman" w:hint="eastAsia"/>
          <w:sz w:val="28"/>
          <w:szCs w:val="28"/>
          <w14:ligatures w14:val="none"/>
        </w:rPr>
        <w:t>参考文献</w:t>
      </w:r>
    </w:p>
    <w:p w14:paraId="3344F0CA"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 XIONG J H, YANG Y T. Climate change and hydrological extremes[J]. Current Climate Change Reports, 2024, 11(1): 1. </w:t>
      </w:r>
    </w:p>
    <w:p w14:paraId="76D642C8"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 </w:t>
      </w:r>
      <w:r w:rsidRPr="009B0CD7">
        <w:rPr>
          <w:rFonts w:ascii="Times New Roman" w:eastAsia="宋体" w:hAnsi="Times New Roman" w:cs="Times New Roman" w:hint="eastAsia"/>
          <w:kern w:val="0"/>
          <w:sz w:val="15"/>
          <w:szCs w:val="15"/>
        </w:rPr>
        <w:t>夏琳蓉</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唐颖</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隆院男</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等</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基于</w:t>
      </w:r>
      <w:r w:rsidRPr="009B0CD7">
        <w:rPr>
          <w:rFonts w:ascii="Times New Roman" w:eastAsia="宋体" w:hAnsi="Times New Roman" w:cs="Times New Roman" w:hint="eastAsia"/>
          <w:kern w:val="0"/>
          <w:sz w:val="15"/>
          <w:szCs w:val="15"/>
        </w:rPr>
        <w:t>GAMLSS</w:t>
      </w:r>
      <w:r w:rsidRPr="009B0CD7">
        <w:rPr>
          <w:rFonts w:ascii="Times New Roman" w:eastAsia="宋体" w:hAnsi="Times New Roman" w:cs="Times New Roman" w:hint="eastAsia"/>
          <w:kern w:val="0"/>
          <w:sz w:val="15"/>
          <w:szCs w:val="15"/>
        </w:rPr>
        <w:t>模型的资水流域最大日径流研究</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水利水电技术</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中英文</w:t>
      </w:r>
      <w:r w:rsidRPr="009B0CD7">
        <w:rPr>
          <w:rFonts w:ascii="Times New Roman" w:eastAsia="宋体" w:hAnsi="Times New Roman" w:cs="Times New Roman" w:hint="eastAsia"/>
          <w:kern w:val="0"/>
          <w:sz w:val="15"/>
          <w:szCs w:val="15"/>
        </w:rPr>
        <w:t>), 2026, 57(1): 183-191.</w:t>
      </w:r>
      <w:r w:rsidRPr="009B0CD7">
        <w:rPr>
          <w:rFonts w:ascii="Times New Roman" w:eastAsia="宋体" w:hAnsi="Times New Roman" w:cs="Times New Roman" w:hint="eastAsia"/>
          <w:kern w:val="0"/>
          <w:sz w:val="15"/>
          <w:szCs w:val="15"/>
        </w:rPr>
        <w:br/>
        <w:t xml:space="preserve">XIA L R, TANG Y, LONG Y N, et al. Research on annual maximum daily runoff of Zishui River Basin Based on GAMLSS model[J]. Water Resources and Hydropower Engineering, 2026, 57(1): 183-191. </w:t>
      </w:r>
    </w:p>
    <w:p w14:paraId="14CCE4DA"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 RAHMAN G, JUNG M K, KIM T W, et al. Drought impact, vulnerability, risk assessment, management and mitigation under climate </w:t>
      </w:r>
      <w:r w:rsidRPr="009B0CD7">
        <w:rPr>
          <w:rFonts w:ascii="Times New Roman" w:eastAsia="宋体" w:hAnsi="Times New Roman" w:cs="Times New Roman" w:hint="eastAsia"/>
          <w:kern w:val="0"/>
          <w:sz w:val="15"/>
          <w:szCs w:val="15"/>
        </w:rPr>
        <w:lastRenderedPageBreak/>
        <w:t xml:space="preserve">change: A comprehensive review[J]. KSCE Journal of Civil Engineering, 2025, 29(1): 100120. </w:t>
      </w:r>
    </w:p>
    <w:p w14:paraId="13742BC8"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 VICENTE-SERRANO S M, BEGUERÍA S, LÓPEZ-MORENO J I. A multiscalar drought index sensitive to global warming: The standardized precipitation evapotranspiration index[J]. Journal of Climate, 2010, 23(7): 1696-1718. </w:t>
      </w:r>
    </w:p>
    <w:p w14:paraId="6AC04E0D"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[5] EDWARDS E, SANCHEZ L, SEKHRI S. The economics of drought[J]. Annual Review of Resource Economics, 2024, 16: 105-124. </w:t>
      </w:r>
    </w:p>
    <w:p w14:paraId="6E7F43FA"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[6] </w:t>
      </w:r>
      <w:r w:rsidRPr="009B0CD7">
        <w:rPr>
          <w:rFonts w:ascii="Times New Roman" w:eastAsia="宋体" w:hAnsi="Times New Roman" w:cs="Times New Roman" w:hint="eastAsia"/>
          <w:kern w:val="0"/>
          <w:sz w:val="15"/>
          <w:szCs w:val="15"/>
        </w:rPr>
        <w:t>朱晓钰</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穆振侠</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宋志林</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等</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基于</w:t>
      </w:r>
      <w:r w:rsidRPr="009B0CD7">
        <w:rPr>
          <w:rFonts w:ascii="Times New Roman" w:eastAsia="宋体" w:hAnsi="Times New Roman" w:cs="Times New Roman" w:hint="eastAsia"/>
          <w:kern w:val="0"/>
          <w:sz w:val="15"/>
          <w:szCs w:val="15"/>
        </w:rPr>
        <w:t>GAMLSS</w:t>
      </w:r>
      <w:r w:rsidRPr="009B0CD7">
        <w:rPr>
          <w:rFonts w:ascii="Times New Roman" w:eastAsia="宋体" w:hAnsi="Times New Roman" w:cs="Times New Roman" w:hint="eastAsia"/>
          <w:kern w:val="0"/>
          <w:sz w:val="15"/>
          <w:szCs w:val="15"/>
        </w:rPr>
        <w:t>模型的吐鲁番阿拉沟河流域非平稳水文干旱分析</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水利水电技术</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中英文</w:t>
      </w:r>
      <w:r w:rsidRPr="009B0CD7">
        <w:rPr>
          <w:rFonts w:ascii="Times New Roman" w:eastAsia="宋体" w:hAnsi="Times New Roman" w:cs="Times New Roman" w:hint="eastAsia"/>
          <w:kern w:val="0"/>
          <w:sz w:val="15"/>
          <w:szCs w:val="15"/>
        </w:rPr>
        <w:t>), 2026, 57(7): 17-32.</w:t>
      </w:r>
      <w:r w:rsidRPr="009B0CD7">
        <w:rPr>
          <w:rFonts w:ascii="Times New Roman" w:eastAsia="宋体" w:hAnsi="Times New Roman" w:cs="Times New Roman" w:hint="eastAsia"/>
          <w:kern w:val="0"/>
          <w:sz w:val="15"/>
          <w:szCs w:val="15"/>
        </w:rPr>
        <w:br/>
        <w:t xml:space="preserve">ZHU X Y, MU Z X, SONG Z L, et al. Analysis of non-stationary hydrological drought in Alagou River Basin of Turpan based on GAMLSS model[J]. Water Resources and Hydropower Engineering, 2026, 57(7): 17-32. </w:t>
      </w:r>
    </w:p>
    <w:p w14:paraId="235FC64F"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[7] FISCHER S, SCHUMANN A H. Temporal changes in the frequency of flood types and their impact on flood statistics[J]. Journal of Hydrology X, 2024, 22: 100171. </w:t>
      </w:r>
    </w:p>
    <w:p w14:paraId="2C477B2C"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[8] MILLY P C D, BETANCOURT J, FALKENMARK M, et al. Stationarity is dead: Whither water management?[J]. Science, 2008, 319(5863): 573-574. </w:t>
      </w:r>
    </w:p>
    <w:p w14:paraId="4D4D22D9"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[9] TWINOMUHANGI M B, BAMUTAZE Y, KABENGE I, et al. Analysis of stationary and non-stationary hydrological extremes under a changing environment: A systematic review[J]. HydroResearch, 2025, 8: 332-350. </w:t>
      </w:r>
    </w:p>
    <w:p w14:paraId="233EACD6"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[10] CHEN C, PENG T, SINGH V P, et al. Assessment of dynamic hydrological drought risk from a non-stationary perspective[J]. Hydrological Processes, 2024, 38(8): e15267. </w:t>
      </w:r>
    </w:p>
    <w:p w14:paraId="36794497"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[11] SERINALDI F, KILSBY C G. Stationarity is undead: Uncertainty dominates the distribution of extremes[J]. Advances in Water Resources, 2015, 77: 17-36. </w:t>
      </w:r>
    </w:p>
    <w:p w14:paraId="65492D32"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[12] KUNDZEWICZ Z W, ROBSON A J. Change detection in hydrological records: A review of the methodology/Revue m</w:t>
      </w:r>
      <w:r w:rsidRPr="009B0CD7">
        <w:rPr>
          <w:rFonts w:ascii="Times New Roman" w:eastAsia="宋体" w:hAnsi="Times New Roman" w:cs="Times New Roman" w:hint="eastAsia"/>
          <w:kern w:val="0"/>
          <w:sz w:val="15"/>
          <w:szCs w:val="15"/>
        </w:rPr>
        <w:t>é</w:t>
      </w:r>
      <w:r w:rsidRPr="009B0CD7">
        <w:rPr>
          <w:rFonts w:ascii="Times New Roman" w:eastAsia="宋体" w:hAnsi="Times New Roman" w:cs="Times New Roman" w:hint="eastAsia"/>
          <w:kern w:val="0"/>
          <w:sz w:val="15"/>
          <w:szCs w:val="15"/>
        </w:rPr>
        <w:t>thodologique de la d</w:t>
      </w:r>
      <w:r w:rsidRPr="009B0CD7">
        <w:rPr>
          <w:rFonts w:ascii="Times New Roman" w:eastAsia="宋体" w:hAnsi="Times New Roman" w:cs="Times New Roman" w:hint="eastAsia"/>
          <w:kern w:val="0"/>
          <w:sz w:val="15"/>
          <w:szCs w:val="15"/>
        </w:rPr>
        <w:t>é</w:t>
      </w:r>
      <w:r w:rsidRPr="009B0CD7">
        <w:rPr>
          <w:rFonts w:ascii="Times New Roman" w:eastAsia="宋体" w:hAnsi="Times New Roman" w:cs="Times New Roman" w:hint="eastAsia"/>
          <w:kern w:val="0"/>
          <w:sz w:val="15"/>
          <w:szCs w:val="15"/>
        </w:rPr>
        <w:t xml:space="preserve">tection de changements dans les chroniques hydrologiques[J]. Hydrological Sciences Journal, 2004, 49(1): 7-19. </w:t>
      </w:r>
    </w:p>
    <w:p w14:paraId="4357B6EC"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[13] VILLARINI G, SERINALDI F, SMITH J A, et al. On the stationarity of annual flood peaks in the continental United States during the 20th century[J]. Water Resources Research, 2009, 45(8): 2008WR007645. </w:t>
      </w:r>
    </w:p>
    <w:p w14:paraId="17115AD2"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[14] ZHANG D D, YAN D H, WANG Y C, et al. GAMLSS-based nonstationary modeling of extreme precipitation in Beijing</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Tianjin</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 xml:space="preserve">Hebei region of China[J]. Natural Hazards, 2015, 77(2): 1037-1053. </w:t>
      </w:r>
    </w:p>
    <w:p w14:paraId="0FD5F106"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[15] YU J, KIM T W, PARK D H. Future hydrological drought risk assessment based on nonstationary joint drought management index[J]. Water, 2019, 11(3): 532. </w:t>
      </w:r>
    </w:p>
    <w:p w14:paraId="1D8C38A4"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[16] RIGBY R A, STASINOPOULOS D M. Generalized additive models for location, scale and shape[J]. Journal of the Royal Statistical Society Series C: Applied Statistics, 2005, 54(3): 507-554. </w:t>
      </w:r>
    </w:p>
    <w:p w14:paraId="2765ADAB"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[17] </w:t>
      </w:r>
      <w:r w:rsidRPr="009B0CD7">
        <w:rPr>
          <w:rFonts w:ascii="Times New Roman" w:eastAsia="宋体" w:hAnsi="Times New Roman" w:cs="Times New Roman" w:hint="eastAsia"/>
          <w:kern w:val="0"/>
          <w:sz w:val="15"/>
          <w:szCs w:val="15"/>
        </w:rPr>
        <w:t>冷吉卫</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马凯</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李运刚</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等</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基于</w:t>
      </w:r>
      <w:r w:rsidRPr="009B0CD7">
        <w:rPr>
          <w:rFonts w:ascii="Times New Roman" w:eastAsia="宋体" w:hAnsi="Times New Roman" w:cs="Times New Roman" w:hint="eastAsia"/>
          <w:kern w:val="0"/>
          <w:sz w:val="15"/>
          <w:szCs w:val="15"/>
        </w:rPr>
        <w:t>GAMLSS</w:t>
      </w:r>
      <w:r w:rsidRPr="009B0CD7">
        <w:rPr>
          <w:rFonts w:ascii="Times New Roman" w:eastAsia="宋体" w:hAnsi="Times New Roman" w:cs="Times New Roman" w:hint="eastAsia"/>
          <w:kern w:val="0"/>
          <w:sz w:val="15"/>
          <w:szCs w:val="15"/>
        </w:rPr>
        <w:t>模型的元江—红河上游径流非一致性研究</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应用基础与工程科学学报</w:t>
      </w:r>
      <w:r w:rsidRPr="009B0CD7">
        <w:rPr>
          <w:rFonts w:ascii="Times New Roman" w:eastAsia="宋体" w:hAnsi="Times New Roman" w:cs="Times New Roman" w:hint="eastAsia"/>
          <w:kern w:val="0"/>
          <w:sz w:val="15"/>
          <w:szCs w:val="15"/>
        </w:rPr>
        <w:t>, 2025, 33(2): 324-337.</w:t>
      </w:r>
      <w:r w:rsidRPr="009B0CD7">
        <w:rPr>
          <w:rFonts w:ascii="Times New Roman" w:eastAsia="宋体" w:hAnsi="Times New Roman" w:cs="Times New Roman" w:hint="eastAsia"/>
          <w:kern w:val="0"/>
          <w:sz w:val="15"/>
          <w:szCs w:val="15"/>
        </w:rPr>
        <w:br/>
        <w:t xml:space="preserve">LENG J W, MA K, LI Y G, et al. GAMLSS model-based analysis on non-stationary of runoff in the upper catchment of the red river basin[J]. Journal of Basic Science and Engineering, 2025, 33(2): 324-337. </w:t>
      </w:r>
    </w:p>
    <w:p w14:paraId="02C4348B"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[18] NIU B, LI Y, LIU D L, et al. Improved identification and monitoring of meteorological, agricultural, and hydrological droughts using the modified nonstationary drought indices in the Yellow River Basin of China[J]. Journal of Hydrology, 2024, 643: 131788. </w:t>
      </w:r>
    </w:p>
    <w:p w14:paraId="3C206D8C"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[19] ZHONG H Y, LIAO T, FANG G H, et al. Exploring optimal joint operating rules for large-scale inter-basin water transfer projects with multiple water sources, diversion routes, and water demand areas[J]. Journal of Hydrology: Regional Studies, 2023, 49: 101504. </w:t>
      </w:r>
    </w:p>
    <w:p w14:paraId="43175E6A"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[20] NAZEMI A, WHEATER H S. On inclusion of water resource management in Earth system models</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 xml:space="preserve">Part 1: Problem definition and representation of water demand[J]. Hydrology and Earth System Sciences, 2015, 19(1): 33-61. </w:t>
      </w:r>
    </w:p>
    <w:p w14:paraId="728DEF15"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[21] NAZEMI A, WHEATER H S. On inclusion of water resource management in Earth system models</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 xml:space="preserve">Part 2: Representation of water supply and allocation and opportunities for improved modeling[J]. Hydrology and Earth System Sciences, 2015, 19(1): 63-90. </w:t>
      </w:r>
    </w:p>
    <w:p w14:paraId="4A19EC05"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[22] </w:t>
      </w:r>
      <w:r w:rsidRPr="009B0CD7">
        <w:rPr>
          <w:rFonts w:ascii="Times New Roman" w:eastAsia="宋体" w:hAnsi="Times New Roman" w:cs="Times New Roman" w:hint="eastAsia"/>
          <w:kern w:val="0"/>
          <w:sz w:val="15"/>
          <w:szCs w:val="15"/>
        </w:rPr>
        <w:t>刘章君</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郭生练</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许新发</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等</w:t>
      </w:r>
      <w:r w:rsidRPr="009B0CD7">
        <w:rPr>
          <w:rFonts w:ascii="Times New Roman" w:eastAsia="宋体" w:hAnsi="Times New Roman" w:cs="Times New Roman" w:hint="eastAsia"/>
          <w:kern w:val="0"/>
          <w:sz w:val="15"/>
          <w:szCs w:val="15"/>
        </w:rPr>
        <w:t>. Copula</w:t>
      </w:r>
      <w:r w:rsidRPr="009B0CD7">
        <w:rPr>
          <w:rFonts w:ascii="Times New Roman" w:eastAsia="宋体" w:hAnsi="Times New Roman" w:cs="Times New Roman" w:hint="eastAsia"/>
          <w:kern w:val="0"/>
          <w:sz w:val="15"/>
          <w:szCs w:val="15"/>
        </w:rPr>
        <w:t>函数在水文水资源中的研究进展与述评</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水科学进展</w:t>
      </w:r>
      <w:r w:rsidRPr="009B0CD7">
        <w:rPr>
          <w:rFonts w:ascii="Times New Roman" w:eastAsia="宋体" w:hAnsi="Times New Roman" w:cs="Times New Roman" w:hint="eastAsia"/>
          <w:kern w:val="0"/>
          <w:sz w:val="15"/>
          <w:szCs w:val="15"/>
        </w:rPr>
        <w:t>, 2021, 32(1): 148-159.</w:t>
      </w:r>
      <w:r w:rsidRPr="009B0CD7">
        <w:rPr>
          <w:rFonts w:ascii="Times New Roman" w:eastAsia="宋体" w:hAnsi="Times New Roman" w:cs="Times New Roman" w:hint="eastAsia"/>
          <w:kern w:val="0"/>
          <w:sz w:val="15"/>
          <w:szCs w:val="15"/>
        </w:rPr>
        <w:br/>
        <w:t xml:space="preserve">LIU Z J, GUO S L, XU X F, et al. Application of Copula functions in hydrology and water resources: A state-of-the-art review[J]. Advances in Water Science, 2021, 32(1): 148-159. </w:t>
      </w:r>
    </w:p>
    <w:p w14:paraId="5F804B2A" w14:textId="0125D1CD"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[23] </w:t>
      </w:r>
      <w:r w:rsidRPr="009B0CD7">
        <w:rPr>
          <w:rFonts w:ascii="Times New Roman" w:eastAsia="宋体" w:hAnsi="Times New Roman" w:cs="Times New Roman" w:hint="eastAsia"/>
          <w:kern w:val="0"/>
          <w:sz w:val="15"/>
          <w:szCs w:val="15"/>
        </w:rPr>
        <w:t>张润</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陈伏龙</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何朝飞</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等</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基于</w:t>
      </w:r>
      <w:r w:rsidRPr="009B0CD7">
        <w:rPr>
          <w:rFonts w:ascii="Times New Roman" w:eastAsia="宋体" w:hAnsi="Times New Roman" w:cs="Times New Roman" w:hint="eastAsia"/>
          <w:kern w:val="0"/>
          <w:sz w:val="15"/>
          <w:szCs w:val="15"/>
        </w:rPr>
        <w:t>Vine Copula</w:t>
      </w:r>
      <w:r w:rsidRPr="009B0CD7">
        <w:rPr>
          <w:rFonts w:ascii="Times New Roman" w:eastAsia="宋体" w:hAnsi="Times New Roman" w:cs="Times New Roman" w:hint="eastAsia"/>
          <w:kern w:val="0"/>
          <w:sz w:val="15"/>
          <w:szCs w:val="15"/>
        </w:rPr>
        <w:t>的非一致性水文干旱动态风险评估模型</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农业工程学报</w:t>
      </w:r>
      <w:r w:rsidRPr="009B0CD7">
        <w:rPr>
          <w:rFonts w:ascii="Times New Roman" w:eastAsia="宋体" w:hAnsi="Times New Roman" w:cs="Times New Roman" w:hint="eastAsia"/>
          <w:kern w:val="0"/>
          <w:sz w:val="15"/>
          <w:szCs w:val="15"/>
        </w:rPr>
        <w:t>, 2026, 42(5): 147-157.</w:t>
      </w:r>
      <w:r w:rsidRPr="009B0CD7">
        <w:rPr>
          <w:rFonts w:ascii="Times New Roman" w:eastAsia="宋体" w:hAnsi="Times New Roman" w:cs="Times New Roman" w:hint="eastAsia"/>
          <w:kern w:val="0"/>
          <w:sz w:val="15"/>
          <w:szCs w:val="15"/>
        </w:rPr>
        <w:br/>
        <w:t>ZHANG R, CHEN F L, HE C F, et al. Model for est</w:t>
      </w:r>
      <w:r w:rsidR="005C7D72" w:rsidRPr="009B0CD7">
        <w:rPr>
          <w:rFonts w:ascii="Times New Roman" w:eastAsia="宋体" w:hAnsi="Times New Roman" w:cs="Times New Roman" w:hint="eastAsia"/>
          <w:kern w:val="0"/>
          <w:sz w:val="15"/>
          <w:szCs w:val="15"/>
        </w:rPr>
        <w:t>i</w:t>
      </w:r>
      <w:r w:rsidRPr="009B0CD7">
        <w:rPr>
          <w:rFonts w:ascii="Times New Roman" w:eastAsia="宋体" w:hAnsi="Times New Roman" w:cs="Times New Roman" w:hint="eastAsia"/>
          <w:kern w:val="0"/>
          <w:sz w:val="15"/>
          <w:szCs w:val="15"/>
        </w:rPr>
        <w:t xml:space="preserve">mating non-consistency hydrological drought dynamic risks based on Vine Copula[J]. Transactions of the Chinese Society of Agricultural Engineering, 2026, 42(5): 147-157. </w:t>
      </w:r>
    </w:p>
    <w:p w14:paraId="57D071CF"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[24] MIRABBASI R, FAKHERI-FARD A, DINPASHOH Y. Bivariate drought frequency analysis using the copula method[J]. Theoretical and Applied Climatology, 2012, 108(1): 191-206. </w:t>
      </w:r>
    </w:p>
    <w:p w14:paraId="72AAED16"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[25] SHIAU J T. Fitting drought duration and severity with two-dimensional copulas[J]. Water Resources Management, 2006, 20(5): 795-815. </w:t>
      </w:r>
    </w:p>
    <w:p w14:paraId="22564B7F"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[26] KIM W, KANG S, WOO S, et al. Bivariate copula framework for drought risk assessment under climate change and practical water supply systems[J]. Natural Hazards, 2025, 121(18): 22067-22094. </w:t>
      </w:r>
    </w:p>
    <w:p w14:paraId="639B0D31"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[27] HAO Z C, AGHAKOUCHAK A. Multivariate Standardized Drought Index: A parametric multi-index model[J]. Advances in Water Resources, 2013, 57: 12-18. </w:t>
      </w:r>
    </w:p>
    <w:p w14:paraId="4E560AA2"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[28] HAO Z C, AGHAKOUCHAK A. A nonparametric multivariate multi-index drought monitoring framework[J]. Journal of Hydrometeorology, 2014, 15(1): 89-101. </w:t>
      </w:r>
    </w:p>
    <w:p w14:paraId="55E2D007"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[29] SARHADI A, BURN D H, CONCEPCIÓN AUSÍN M, et al. Time-varying nonstationary multivariate risk analysis using a dynamic Bayesian copula[J]. Water Resources Research, 2016, 52(3): 2327-2349. </w:t>
      </w:r>
    </w:p>
    <w:p w14:paraId="79537AF3"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[30] LIU W L, ZHANG J R, ZHOU Z X, et al. Hydrological drought dynamic using copula functions and drought center migration in the Ganjiang river basin[J]. Scientific Reports, 2025, 15: 39209. </w:t>
      </w:r>
    </w:p>
    <w:p w14:paraId="12A0B763"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[31] ZHONG H Y, WU S Y, YAN M, et al. Derivation of optimal scheduling strategies for large-scale inter-basin water transfer projects considering streamflow wet-dry encounter uncertainty of multiple reservoirs[J]. Journal of Hydrology, 2025, 662: 133784. </w:t>
      </w:r>
    </w:p>
    <w:p w14:paraId="3AA8153A"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[32] MING B, ZHONG H Y, ZHANG W, et al. Deriving operating rules for inter-basin water transfer projects incorporating a scenario reduction strategy[J]. Journal of Hydrology, 2023, 624: 129854. </w:t>
      </w:r>
    </w:p>
    <w:p w14:paraId="5D4317C1"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[33] </w:t>
      </w:r>
      <w:r w:rsidRPr="009B0CD7">
        <w:rPr>
          <w:rFonts w:ascii="Times New Roman" w:eastAsia="宋体" w:hAnsi="Times New Roman" w:cs="Times New Roman" w:hint="eastAsia"/>
          <w:kern w:val="0"/>
          <w:sz w:val="15"/>
          <w:szCs w:val="15"/>
        </w:rPr>
        <w:t>董军</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胡进宝</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魏国孝</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大通河流域径流变化及特征分析</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水资源与水工程学报</w:t>
      </w:r>
      <w:r w:rsidRPr="009B0CD7">
        <w:rPr>
          <w:rFonts w:ascii="Times New Roman" w:eastAsia="宋体" w:hAnsi="Times New Roman" w:cs="Times New Roman" w:hint="eastAsia"/>
          <w:kern w:val="0"/>
          <w:sz w:val="15"/>
          <w:szCs w:val="15"/>
        </w:rPr>
        <w:t>, 2018, 29(6): 75-80.</w:t>
      </w:r>
      <w:r w:rsidRPr="009B0CD7">
        <w:rPr>
          <w:rFonts w:ascii="Times New Roman" w:eastAsia="宋体" w:hAnsi="Times New Roman" w:cs="Times New Roman" w:hint="eastAsia"/>
          <w:kern w:val="0"/>
          <w:sz w:val="15"/>
          <w:szCs w:val="15"/>
        </w:rPr>
        <w:br/>
        <w:t xml:space="preserve">DONG J, HU J B, WEI G X. Analysis of runoff variation and characteristics in Datong River Basin[J]. Journal of Water Resources and Water Engineering, 2018, 29(6): 75-80. </w:t>
      </w:r>
    </w:p>
    <w:p w14:paraId="71F31E1A"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[34] </w:t>
      </w:r>
      <w:r w:rsidRPr="009B0CD7">
        <w:rPr>
          <w:rFonts w:ascii="Times New Roman" w:eastAsia="宋体" w:hAnsi="Times New Roman" w:cs="Times New Roman" w:hint="eastAsia"/>
          <w:kern w:val="0"/>
          <w:sz w:val="15"/>
          <w:szCs w:val="15"/>
        </w:rPr>
        <w:t>杨青</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马世震</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高晓鹏</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青海省湟水流域水环境现状评价</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青海环境</w:t>
      </w:r>
      <w:r w:rsidRPr="009B0CD7">
        <w:rPr>
          <w:rFonts w:ascii="Times New Roman" w:eastAsia="宋体" w:hAnsi="Times New Roman" w:cs="Times New Roman" w:hint="eastAsia"/>
          <w:kern w:val="0"/>
          <w:sz w:val="15"/>
          <w:szCs w:val="15"/>
        </w:rPr>
        <w:t xml:space="preserve">, 1994, 4(2): 63-68. </w:t>
      </w:r>
    </w:p>
    <w:p w14:paraId="16D6C73B" w14:textId="77777777" w:rsidR="0081344D" w:rsidRPr="009B0CD7" w:rsidRDefault="00000000">
      <w:pPr>
        <w:autoSpaceDE w:val="0"/>
        <w:autoSpaceDN w:val="0"/>
        <w:adjustRightInd w:val="0"/>
        <w:snapToGrid w:val="0"/>
        <w:spacing w:after="0" w:line="240" w:lineRule="auto"/>
        <w:ind w:leftChars="136" w:left="299"/>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YANG Q, MA S Z, GAO X P. Assessment of water environment status in Huangshui River Basin of Qinghai Province[J]. Qinghai Environment, 1994(2): 63-68.</w:t>
      </w:r>
    </w:p>
    <w:p w14:paraId="48A5D89B"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[35] WANG Y F, LIU G X, GUO E L. Spatial distribution and temporal variation of drought in Inner Mongolia during 1901</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 xml:space="preserve">2014 using Standardized Precipitation Evapotranspiration Index[J]. Science of the Total Environment, 2019, 654: 850-862. </w:t>
      </w:r>
    </w:p>
    <w:p w14:paraId="1D7398AA"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[36] MARIANI R V, LYRA G B, ABREU M C, et al. Validação da SPEIbase para a região sudeste brasileira[J]. Revista Brasileira de Meteorologia, 2024, 39: e339230056. </w:t>
      </w:r>
    </w:p>
    <w:p w14:paraId="76B469E0"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[37] PASCALE S, RAGONE F. Widespread multi-year droughts in Italy: Identification and causes of development[J]. International Journal of Climatology, 2025, 45(8): e8827. </w:t>
      </w:r>
    </w:p>
    <w:p w14:paraId="024EB874"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[38] </w:t>
      </w:r>
      <w:r w:rsidRPr="009B0CD7">
        <w:rPr>
          <w:rFonts w:ascii="Times New Roman" w:eastAsia="宋体" w:hAnsi="Times New Roman" w:cs="Times New Roman" w:hint="eastAsia"/>
          <w:kern w:val="0"/>
          <w:sz w:val="15"/>
          <w:szCs w:val="15"/>
        </w:rPr>
        <w:t>张巧凤</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于红博</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黄方</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蒙古高原干旱时空特征及对植被物候的累积影响</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干旱区研究</w:t>
      </w:r>
      <w:r w:rsidRPr="009B0CD7">
        <w:rPr>
          <w:rFonts w:ascii="Times New Roman" w:eastAsia="宋体" w:hAnsi="Times New Roman" w:cs="Times New Roman" w:hint="eastAsia"/>
          <w:kern w:val="0"/>
          <w:sz w:val="15"/>
          <w:szCs w:val="15"/>
        </w:rPr>
        <w:t>, 2024, 41(9): 1548-1559.</w:t>
      </w:r>
      <w:r w:rsidRPr="009B0CD7">
        <w:rPr>
          <w:rFonts w:ascii="Times New Roman" w:eastAsia="宋体" w:hAnsi="Times New Roman" w:cs="Times New Roman" w:hint="eastAsia"/>
          <w:kern w:val="0"/>
          <w:sz w:val="15"/>
          <w:szCs w:val="15"/>
        </w:rPr>
        <w:br/>
        <w:t xml:space="preserve">ZHANG Q F, YU H B, HUANG F. The spatiotemporal dynamics of drought and the cumulative impact on vegetation phenology in the Mongolian Plateau[J]. Arid Zone Research, 2024, 41(9): 1548-1559. </w:t>
      </w:r>
    </w:p>
    <w:p w14:paraId="2106FA35"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lastRenderedPageBreak/>
        <w:t xml:space="preserve">[39] AKAIKE H. A new look at the statistical model identification[J]. IEEE Transactions on Automatic Control, 1974, 19(6): 716-723. </w:t>
      </w:r>
    </w:p>
    <w:p w14:paraId="23B98259"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[40] CAMMALLERI C, DE MICHELE C, TORETI A. Exploring the joint probability of precipitation and soil moisture over Europe using copulas[J]. Hydrology and Earth System Sciences, 2024, 28(1): 103-115. </w:t>
      </w:r>
    </w:p>
    <w:p w14:paraId="1ECA5891"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[41] FAWCETT T. An introduction to ROC analysis[J]. Pattern Recognition Letters, 2006, 27(8): 861-874. </w:t>
      </w:r>
    </w:p>
    <w:p w14:paraId="53B46A0C"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[42] AL MOTERI M, ALROWAIS F, MTOUAA W, et al. An enhanced drought forecasting in coastal arid regions using deep learning approach with evaporation index[J]. Environmental Research, 2024, 246: 118171. </w:t>
      </w:r>
    </w:p>
    <w:p w14:paraId="4B55311D"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[43] SUJON K M, HASSAN R, CHOI K, et al. Accuracy, precision, recall, f1-score, or MCC? Empirical evidence from advanced statistics, ML, and XAI for evaluating business predictive models[J]. Journal of Big Data, 2025, 12(1): 268. </w:t>
      </w:r>
    </w:p>
    <w:p w14:paraId="1E4A0ED0"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[44] THARWAT A. Classification assessment methods[J]. Applied Computing and Informatics, 2021, 17(1): 168-192. </w:t>
      </w:r>
    </w:p>
    <w:p w14:paraId="1A26FCE9"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[45] CUO L, ZHANG Y X, WANG Q C, et al. Climate change on the northern Tibetan Plateau during 1957</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 xml:space="preserve">2009: Spatial patterns and possible mechanisms[J]. Journal of Climate, 2013, 26(1): 85-109. </w:t>
      </w:r>
    </w:p>
    <w:p w14:paraId="64C124B9"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[46] XIANG Y Y, WANG T, WANG H J, et al. Influence of the Pacific decadal oscillation on winter temperatures and precipitation over the southern Tibetan Plateau[J]. Journal of Geophysical Research: Atmospheres, 2024, 129(6): e2023JD038653. </w:t>
      </w:r>
    </w:p>
    <w:p w14:paraId="60AAC23E"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[47] ZHANG Z X, ZHANG L, LIU Y F, et al. Responses of annual streamflow variability to annual precipitation, extreme climate events and large-scale climate phenomena in the Qinghai-Tibet Plateau[J]. Journal of Hydrology, 2024, 632: 130969. </w:t>
      </w:r>
    </w:p>
    <w:p w14:paraId="11EABA17"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[48] JIANG X W, ZHANG T T, TAM C Y, et al. Impacts of ENSO and IOD on snow depth over the Tibetan Plateau: Roles of convections over the western north Pacific and Indian Ocean[J]. Journal of Geophysical Research: Atmospheres, 2019, 124(22): 11961-11975. </w:t>
      </w:r>
    </w:p>
    <w:p w14:paraId="74F1B79B"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[49] </w:t>
      </w:r>
      <w:r w:rsidRPr="009B0CD7">
        <w:rPr>
          <w:rFonts w:ascii="Times New Roman" w:eastAsia="宋体" w:hAnsi="Times New Roman" w:cs="Times New Roman" w:hint="eastAsia"/>
          <w:kern w:val="0"/>
          <w:sz w:val="15"/>
          <w:szCs w:val="15"/>
        </w:rPr>
        <w:t>米子甲</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李想</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沈延青</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等</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基于</w:t>
      </w:r>
      <w:r w:rsidRPr="009B0CD7">
        <w:rPr>
          <w:rFonts w:ascii="Times New Roman" w:eastAsia="宋体" w:hAnsi="Times New Roman" w:cs="Times New Roman" w:hint="eastAsia"/>
          <w:kern w:val="0"/>
          <w:sz w:val="15"/>
          <w:szCs w:val="15"/>
        </w:rPr>
        <w:t>Copula</w:t>
      </w:r>
      <w:r w:rsidRPr="009B0CD7">
        <w:rPr>
          <w:rFonts w:ascii="Times New Roman" w:eastAsia="宋体" w:hAnsi="Times New Roman" w:cs="Times New Roman" w:hint="eastAsia"/>
          <w:kern w:val="0"/>
          <w:sz w:val="15"/>
          <w:szCs w:val="15"/>
        </w:rPr>
        <w:t>函数和蒙特卡洛法的黄河上游多站径流相关分析与随机模拟</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水利水电技术</w:t>
      </w:r>
      <w:r w:rsidRPr="009B0CD7">
        <w:rPr>
          <w:rFonts w:ascii="Times New Roman" w:eastAsia="宋体" w:hAnsi="Times New Roman" w:cs="Times New Roman" w:hint="eastAsia"/>
          <w:kern w:val="0"/>
          <w:sz w:val="15"/>
          <w:szCs w:val="15"/>
        </w:rPr>
        <w:t>(</w:t>
      </w:r>
      <w:r w:rsidRPr="009B0CD7">
        <w:rPr>
          <w:rFonts w:ascii="Times New Roman" w:eastAsia="宋体" w:hAnsi="Times New Roman" w:cs="Times New Roman" w:hint="eastAsia"/>
          <w:kern w:val="0"/>
          <w:sz w:val="15"/>
          <w:szCs w:val="15"/>
        </w:rPr>
        <w:t>中英文</w:t>
      </w:r>
      <w:r w:rsidRPr="009B0CD7">
        <w:rPr>
          <w:rFonts w:ascii="Times New Roman" w:eastAsia="宋体" w:hAnsi="Times New Roman" w:cs="Times New Roman" w:hint="eastAsia"/>
          <w:kern w:val="0"/>
          <w:sz w:val="15"/>
          <w:szCs w:val="15"/>
        </w:rPr>
        <w:t>), 2025, 56(12): 67-86.</w:t>
      </w:r>
      <w:r w:rsidRPr="009B0CD7">
        <w:rPr>
          <w:rFonts w:ascii="Times New Roman" w:eastAsia="宋体" w:hAnsi="Times New Roman" w:cs="Times New Roman" w:hint="eastAsia"/>
          <w:kern w:val="0"/>
          <w:sz w:val="15"/>
          <w:szCs w:val="15"/>
        </w:rPr>
        <w:br/>
        <w:t xml:space="preserve">MI Z J, LI X, SHEN Y Q, et al. Correlation analysis and stochastic simulation of multi-station runoff in the Upper Yellow River based on Copula Functions and Monte Carlo Method[J]. Water Resources and Hydropower Engineering, 2025, 56(12): 67-86. </w:t>
      </w:r>
    </w:p>
    <w:p w14:paraId="781D9870"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r w:rsidRPr="009B0CD7">
        <w:rPr>
          <w:rFonts w:ascii="Times New Roman" w:eastAsia="宋体" w:hAnsi="Times New Roman" w:cs="Times New Roman" w:hint="eastAsia"/>
          <w:kern w:val="0"/>
          <w:sz w:val="15"/>
          <w:szCs w:val="15"/>
        </w:rPr>
        <w:t xml:space="preserve">[50] </w:t>
      </w:r>
      <w:r w:rsidRPr="009B0CD7">
        <w:rPr>
          <w:rFonts w:ascii="Times New Roman" w:eastAsia="宋体" w:hAnsi="Times New Roman" w:cs="Times New Roman" w:hint="eastAsia"/>
          <w:kern w:val="0"/>
          <w:sz w:val="15"/>
          <w:szCs w:val="15"/>
        </w:rPr>
        <w:t>胡江</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李星</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朱清帅</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等</w:t>
      </w:r>
      <w:r w:rsidRPr="009B0CD7">
        <w:rPr>
          <w:rFonts w:ascii="Times New Roman" w:eastAsia="宋体" w:hAnsi="Times New Roman" w:cs="Times New Roman" w:hint="eastAsia"/>
          <w:kern w:val="0"/>
          <w:sz w:val="15"/>
          <w:szCs w:val="15"/>
        </w:rPr>
        <w:t xml:space="preserve">. </w:t>
      </w:r>
      <w:r w:rsidRPr="009B0CD7">
        <w:rPr>
          <w:rFonts w:ascii="Times New Roman" w:eastAsia="宋体" w:hAnsi="Times New Roman" w:cs="Times New Roman" w:hint="eastAsia"/>
          <w:kern w:val="0"/>
          <w:sz w:val="15"/>
          <w:szCs w:val="15"/>
        </w:rPr>
        <w:t>国家水网背景下调水工程运行风险评估技术研究进展</w:t>
      </w:r>
      <w:r w:rsidRPr="009B0CD7">
        <w:rPr>
          <w:rFonts w:ascii="Times New Roman" w:eastAsia="宋体" w:hAnsi="Times New Roman" w:cs="Times New Roman" w:hint="eastAsia"/>
          <w:kern w:val="0"/>
          <w:sz w:val="15"/>
          <w:szCs w:val="15"/>
        </w:rPr>
        <w:t xml:space="preserve">[J]. </w:t>
      </w:r>
      <w:r w:rsidRPr="009B0CD7">
        <w:rPr>
          <w:rFonts w:ascii="Times New Roman" w:eastAsia="宋体" w:hAnsi="Times New Roman" w:cs="Times New Roman" w:hint="eastAsia"/>
          <w:kern w:val="0"/>
          <w:sz w:val="15"/>
          <w:szCs w:val="15"/>
        </w:rPr>
        <w:t>水科学进展</w:t>
      </w:r>
      <w:r w:rsidRPr="009B0CD7">
        <w:rPr>
          <w:rFonts w:ascii="Times New Roman" w:eastAsia="宋体" w:hAnsi="Times New Roman" w:cs="Times New Roman" w:hint="eastAsia"/>
          <w:kern w:val="0"/>
          <w:sz w:val="15"/>
          <w:szCs w:val="15"/>
        </w:rPr>
        <w:t>, 2025, 36(6): 1042-1057.</w:t>
      </w:r>
      <w:r w:rsidRPr="009B0CD7">
        <w:rPr>
          <w:rFonts w:ascii="Times New Roman" w:eastAsia="宋体" w:hAnsi="Times New Roman" w:cs="Times New Roman" w:hint="eastAsia"/>
          <w:kern w:val="0"/>
          <w:sz w:val="15"/>
          <w:szCs w:val="15"/>
        </w:rPr>
        <w:br/>
        <w:t xml:space="preserve">HU J, LI X, ZHU Q S, et al. Research progress on operational risk assessment technologies for water transfer projects in the background of the National Water Network[J]. Advances in Water Science, 2025, 36(6): 1042-1057. </w:t>
      </w:r>
    </w:p>
    <w:p w14:paraId="226DE684" w14:textId="77777777" w:rsidR="0081344D" w:rsidRPr="009B0CD7" w:rsidRDefault="00000000">
      <w:pPr>
        <w:autoSpaceDE w:val="0"/>
        <w:autoSpaceDN w:val="0"/>
        <w:adjustRightInd w:val="0"/>
        <w:snapToGrid w:val="0"/>
        <w:spacing w:after="0" w:line="240" w:lineRule="auto"/>
        <w:ind w:left="340" w:hanging="340"/>
        <w:jc w:val="both"/>
        <w:rPr>
          <w:rFonts w:ascii="Times New Roman" w:eastAsia="宋体" w:hAnsi="Times New Roman" w:cs="Times New Roman"/>
          <w:kern w:val="0"/>
          <w:sz w:val="15"/>
          <w:szCs w:val="15"/>
        </w:rPr>
      </w:pPr>
      <w:bookmarkStart w:id="16" w:name="_nebDCA0DAE3_EDB8_4176_8229_E8D12BAA0653"/>
      <w:r w:rsidRPr="009B0CD7">
        <w:rPr>
          <w:rFonts w:ascii="Times New Roman" w:eastAsia="宋体" w:hAnsi="Times New Roman" w:cs="Times New Roman" w:hint="eastAsia"/>
          <w:kern w:val="0"/>
          <w:sz w:val="15"/>
          <w:szCs w:val="15"/>
        </w:rPr>
        <w:t xml:space="preserve">[51] LIU R T, YIN J B, SLATER L, et al. Machine-learning-constrained projection of bivariate hydrological drought magnitudes and socioeconomic risks over China[J]. Hydrology and Earth System Sciences, 2024, 28(14): 3305-3326. </w:t>
      </w:r>
      <w:bookmarkEnd w:id="16"/>
    </w:p>
    <w:sectPr w:rsidR="0081344D" w:rsidRPr="009B0CD7">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CCD3" w14:textId="77777777" w:rsidR="006F1422" w:rsidRDefault="006F1422">
      <w:pPr>
        <w:spacing w:line="240" w:lineRule="auto"/>
        <w:rPr>
          <w:rFonts w:hint="eastAsia"/>
        </w:rPr>
      </w:pPr>
      <w:r>
        <w:separator/>
      </w:r>
    </w:p>
  </w:endnote>
  <w:endnote w:type="continuationSeparator" w:id="0">
    <w:p w14:paraId="410326B5" w14:textId="77777777" w:rsidR="006F1422" w:rsidRDefault="006F1422">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96951"/>
    </w:sdtPr>
    <w:sdtContent>
      <w:p w14:paraId="5AACFC31" w14:textId="77777777" w:rsidR="0081344D" w:rsidRDefault="00000000">
        <w:pPr>
          <w:pStyle w:val="a6"/>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5CE94" w14:textId="77777777" w:rsidR="006F1422" w:rsidRDefault="006F1422">
      <w:pPr>
        <w:spacing w:after="0"/>
        <w:rPr>
          <w:rFonts w:hint="eastAsia"/>
        </w:rPr>
      </w:pPr>
      <w:r>
        <w:separator/>
      </w:r>
    </w:p>
  </w:footnote>
  <w:footnote w:type="continuationSeparator" w:id="0">
    <w:p w14:paraId="097ABA7D" w14:textId="77777777" w:rsidR="006F1422" w:rsidRDefault="006F1422">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ADDIN NE.CacheBib" w:val="{\rtf1\ansi\ansicpg936\pard\plain{\fonttbl{\f0\fnil\fcharset134\fprq2 {\u23435 ?}{\u20307 ?};}{\f1\fnil\fcharset0\fprq2 Times New Roman;}}{\colortbl;\red0\green0\blue0;}\par\pard\plain \qc{\f0\fs40\b\cf1 {\u21442 ?}{\u32771 ?}{\u25991 ?}{\u29486 ?}}\par\pard\plain \fi-840\li840\qj{\f1\fs20\cf1  }{\f1\fs20\cf1 [}{\f1\fs20\cf1 1}{\f1\fs20\cf1 ]\tab }{\bkmkstart _nebBE09C6D9_1F22_4238_95DF_3572C889EC3A}{\f1\fs20\cf1 Climate Change 2021 - The Physical Science Basis: Working Group I Contribution to the Sixth Assessment Report of the Intergovernmental Panel on Climate Change}{\f1\fs20\cf1 [M]. }{\f1\fs20\cf1 Cambridge University Press}{\f1\fs20\cf1 , }{\f1\fs20\cf1 2023}{\f1\fs20\cf1 .}{\bkmkend _nebBE09C6D9_1F22_4238_95DF_3572C889EC3A}\par\pard\plain \fi-840\li840\qj{\f1\fs20\cf1  }{\f1\fs20\cf1 [}{\f1\fs20\cf1 2}{\f1\fs20\cf1 ]\tab }{\bkmkstart _nebC8626BBD_3E2C_4F0B_8AB0_34CF6B9729BF}{\f0\fs20\cf1 {\u22799 ?}{\u29747 ?}{\u33993 ?}}{\f1\fs20\cf1 , }{\f0\fs20\cf1 {\u21776 ?}{\u39062 ?}}{\f1\fs20\cf1 , }{\f0\fs20\cf1 {\u38534 ?}{\u38498 ?}{\u30007 ?}}{\f1\fs20\cf1 , }{\f0\fs20\cf1 {\u31561 ?}}{\f1\fs20\cf1 . }{\f0\fs20\cf1 {\u22522 ?}{\u20110 ?}}{\f1\fs20\cf1 GAMLSS}{\f0\fs20\cf1 {\u27169 ?}{\u22411 ?}{\u30340 ?}{\u36164 ?}{\u27700 ?}{\u27969 ?}{\u22495 ?}{\u26368 ?}{\u22823 ?}{\u26085 ?}{\u24452 ?}{\u27969 ?}{\u30740 ?}{\u31350 ?}}{\f1\fs20\cf1 [J]. }{\f0\fs20\cf1 {\u27700 ?}{\u21033 ?}{\u27700 ?}{\u30005 ?}{\u25216 ?}{\u26415 ?}}{\f1\fs20\cf1 (}{\f0\fs20\cf1 {\u20013 ?}{\u33521 ?}{\u25991 ?}}{\f1\fs20\cf1 )}{\f1\fs20\cf1 , }{\f1\fs20\cf1 2026}{\f1\fs20\cf1 ,}{\f1\fs20\cf1 57}{\f1\fs20\cf1 (}{\f1\fs20\cf1 01}{\f1\fs20\cf1 )}{\f1\fs20\cf1 :}{\f1\fs20\cf1 183-191}{\f1\fs20\cf1 .}{\bkmkend _nebC8626BBD_3E2C_4F0B_8AB0_34CF6B9729BF}\par\pard\plain \fi-840\li840\qj{\f1\fs20\cf1  }{\f1\fs20\cf1 [}{\f1\fs20\cf1 3}{\f1\fs20\cf1 ]\tab }{\bkmkstart _nebCC6D981B_789C_441E_99A9_76C28A1583FE}{\f0\fs20\cf1 {\u24464 ?}{\u34945 ?}}{\f1\fs20\cf1 . }{\f0\fs20\cf1 {\u22522 ?}{\u20110 ?}}{\f1\fs20\cf1 GAMLSS}{\f0\fs20\cf1 {\u26694 ?}{\u26550 ?}{\u19979 ?}{\u38750 ?}{\u24179 ?}{\u31283 ?}{\u27668 ?}{\u35937 ?}{\u24178 ?}{\u26097 ?}{\u21644 ?}{\u27700 ?}{\u25991 ?}{\u24178 ?}{\u26097 ?}{\u25351 ?}{\u25968 ?}{\u30340 ?}{\u26500 ?}{\u24314 ?}{\u21450 ?}{\u24178 ?}{\u26097 ?}{\u20256 ?}{\u25773 ?}{\u20998 ?}{\u26512 ?}}{\f1\fs20\cf1 [D]. }{\f0\fs20\cf1 {\u19996 ?}{\u21271 ?}{\u20892 ?}{\u19994 ?}{\u22823 ?}{\u23398 ?}}{\f1\fs20\cf1 ,}{\f1\fs20\cf1  }{\f1\fs20\cf1 2025}{\f1\fs20\cf1 .}{\bkmkend _nebCC6D981B_789C_441E_99A9_76C28A1583FE}\par\pard\plain \fi-840\li840\qj{\f1\fs20\cf1  }{\f1\fs20\cf1 [}{\f1\fs20\cf1 4}{\f1\fs20\cf1 ]\tab }{\bkmkstart _neb67EC3440_942D_4142_80EA_C19D8657200C}{\f1\fs20\cf1 Vicente-Serrano S M}{\f1\fs20\cf1 , }{\f1\fs20\cf1 Beguer{\u237 ?}a S}{\f1\fs20\cf1 , }{\f1\fs20\cf1 L{\u243 ?}pez-Moreno J I}{\f1\fs20\cf1 . }{\f1\fs20\cf1 A Multiscalar Drought Index Sensitive to Global Warming: The Standardized Precipitation Evapotranspiration Index}{\f1\fs20\cf1 [J]. }{\f1\fs20\cf1 Journal of Climate}{\f1\fs20\cf1 , }{\f1\fs20\cf1 2010}{\f1\fs20\cf1 ,}{\f1\fs20\cf1 23}{\f1\fs20\cf1 (}{\f1\fs20\cf1 7}{\f1\fs20\cf1 )}{\f1\fs20\cf1 :}{\f1\fs20\cf1 1696-1718}{\f1\fs20\cf1 .}{\bkmkend _neb67EC3440_942D_4142_80EA_C19D8657200C}\par\pard\plain \fi-840\li840\qj{\f1\fs20\cf1  }{\f1\fs20\cf1 [}{\f1\fs20\cf1 5}{\f1\fs20\cf1 ]\tab }{\bkmkstart _nebE7791805_068C_4CA3_B267_0B0CFE12BBCB}{\f0\fs20\cf1 {\u20522 ?}{\u28145 ?}{\u28023 ?}}{\f1\fs20\cf1 , }{\f0\fs20\cf1 {\u21525 ?}{\u23071 ?}}{\f1\fs20\cf1 , }{\f0\fs20\cf1 {\u21016 ?}{\u38745 ?}{\u26976 ?}}{\f1\fs20\cf1 , }{\f0\fs20\cf1 {\u31561 ?}}{\f1\fs20\cf1 . }{\f0\fs20\cf1 {\u21464 ?}{\u21270 ?}{\u29615 ?}{\u22659 ?}{\u19979 ?}{\u25105 ?}{\u22269 ?}{\u24178 ?}{\u26097 ?}{\u28798 ?}{\u23475 ?}{\u28436 ?}{\u21464 ?}{\u36235 ?}{\u21183 ?}{\u20998 ?}{\u26512 ?}}{\f1\fs20\cf1 [J]. }{\f0\fs20\cf1 {\u20013 ?}{\u22269 ?}{\u38450 ?}{\u27739 ?}{\u25239 ?}{\u26097 ?}}{\f1\fs20\cf1 , }{\f1\fs20\cf1 2022}{\f1\fs20\cf1 ,}{\f1\fs20\cf1 32}{\f1\fs20\cf1 (}{\f1\fs20\cf1 10}{\f1\fs20\cf1 )}{\f1\fs20\cf1 :}{\f1\fs20\cf1 1-7}{\f1\fs20\cf1 .}{\bkmkend _nebE7791805_068C_4CA3_B267_0B0CFE12BBCB}\par\pard\plain \fi-840\li840\qj{\f1\fs20\cf1  }{\f1\fs20\cf1 [}{\f1\fs20\cf1 6}{\f1\fs20\cf1 ]\tab }{\bkmkstart _nebE051F659_4635_45D7_8C02_EDBAC2C7CA25}{\f0\fs20\cf1 {\u26417 ?}{\u26195 ?}{\u38064 ?}}{\f1\fs20\cf1 , }{\f0\fs20\cf1 {\u31302 ?}{\u25391 ?}{\u20384 ?}}{\f1\fs20\cf1 , }{\f0\fs20\cf1 {\u23435 ?}{\u24535 ?}{\u26519 ?}}{\f1\fs20\cf1 , }{\f0\fs20\cf1 {\u31561 ?}}{\f1\fs20\cf1 . }{\f0\fs20\cf1 {\u22522 ?}{\u20110 ?}}{\f1\fs20\cf1 GAMLSS}{\f0\fs20\cf1 {\u27169 ?}{\u22411 ?}{\u30340 ?}{\u21520 ?}{\u40065 ?}{\u30058 ?}{\u38463 ?}{\u25289 ?}{\u27807 ?}{\u27827 ?}{\u27969 ?}{\u22495 ?}{\u38750 ?}{\u24179 ?}{\u31283 ?}{\u27700 ?}{\u25991 ?}{\u24178 ?}{\u26097 ?}{\u20998 ?}{\u26512 ?}}{\f1\fs20\cf1 [J]. }{\f0\fs20\cf1 {\u27700 ?}{\u21033 ?}{\u27700 ?}{\u30005 ?}{\u25216 ?}{\u26415 ?}}{\f1\fs20\cf1 (}{\f0\fs20\cf1 {\u20013 ?}{\u33521 ?}{\u25991 ?}}{\f1\fs20\cf1 )}{\f1\fs20\cf1 , }{\f1\fs20\cf1 2026}{\f1\fs20\cf1 :}{\f1\fs20\cf1 1-19}{\f1\fs20\cf1 .}{\bkmkend _nebE051F659_4635_45D7_8C02_EDBAC2C7CA25}\par\pard\plain \fi-840\li840\qj{\f1\fs20\cf1  }{\f1\fs20\cf1 [}{\f1\fs20\cf1 7}{\f1\fs20\cf1 ]\tab }{\bkmkstart _neb70FB8522_2487_4666_844B_229C7217011C}{\f1\fs20\cf1 Fischer S}{\f1\fs20\cf1 , }{\f1\fs20\cf1 Schumann A H}{\f1\fs20\cf1 . }{\f1\fs20\cf1 Temporal changes in the frequency of flood types and their impact on flood statistics}{\f1\fs20\cf1 [J]. }{\f1\fs20\cf1 Journal of Hydrology X}{\f1\fs20\cf1 , }{\f1\fs20\cf1 2024}{\f1\fs20\cf1 ,}{\f1\fs20\cf1 22}{\f1\fs20\cf1 :}{\f1\fs20\cf1 100171}{\f1\fs20\cf1 .}{\bkmkend _neb70FB8522_2487_4666_844B_229C7217011C}\par\pard\plain \fi-840\li840\qj{\f1\fs20\cf1  }{\f1\fs20\cf1 [}{\f1\fs20\cf1 8}{\f1\fs20\cf1 ]\tab }{\bkmkstart _neb88C6ADFE_E886_4FC8_89E2_103FF5321711}{\f1\fs20\cf1 Milly P C D}{\f1\fs20\cf1 , }{\f1\fs20\cf1 Betancourt J}{\f1\fs20\cf1 , }{\f1\fs20\cf1 Falkenmark M}{\f1\fs20\cf1 , et al}{\f1\fs20\cf1 . }{\f1\fs20\cf1 Climate change. Stationarity is dead: whither water management?}{\f1\fs20\cf1 [J]. }{\f1\fs20\cf1 Science (New York, N.Y.)}{\f1\fs20\cf1 , }{\f1\fs20\cf1 2008}{\f1\fs20\cf1 ,}{\f1\fs20\cf1 319}{\f1\fs20\cf1 (}{\f1\fs20\cf1 5863}{\f1\fs20\cf1 )}{\f1\fs20\cf1 :}{\f1\fs20\cf1 573-574}{\f1\fs20\cf1 .}{\bkmkend _neb88C6ADFE_E886_4FC8_89E2_103FF5321711}\par\pard\plain \fi-840\li840\qj{\f1\fs20\cf1  }{\f1\fs20\cf1 [}{\f1\fs20\cf1 9}{\f1\fs20\cf1 ]\tab }{\bkmkstart _nebFA5B4F22_20AD_4C28_87C6_E8F2CC823D05}{\f1\fs20\cf1 Twinomuhangi M B}{\f1\fs20\cf1 , }{\f1\fs20\cf1 Bamutaze Y}{\f1\fs20\cf1 , }{\f1\fs20\cf1 Kabenge I}{\f1\fs20\cf1 , et al}{\f1\fs20\cf1 . }{\f1\fs20\cf1 Analysis of stationary and non-stationary hydrological extremes under a changing environment: A systematic review}{\f1\fs20\cf1 [J]. }{\f1\fs20\cf1 HydroResearch}{\f1\fs20\cf1 , }{\f1\fs20\cf1 2025}{\f1\fs20\cf1 ,}{\f1\fs20\cf1 8}{\f1\fs20\cf1 :}{\f1\fs20\cf1 332-350}{\f1\fs20\cf1 .}{\bkmkend _nebFA5B4F22_20AD_4C28_87C6_E8F2CC823D05}\par\pard\plain \fi-840\li840\qj{\f1\fs20\cf1 [}{\f1\fs20\cf1 10}{\f1\fs20\cf1 ]\tab }{\bkmkstart _neb108373ED_9A70_4A13_95FC_F23E6318AC04}{\f1\fs20\cf1 Chen C}{\f1\fs20\cf1 , }{\f1\fs20\cf1 Peng T}{\f1\fs20\cf1 , }{\f1\fs20\cf1 Singh V P}{\f1\fs20\cf1 , et al}{\f1\fs20\cf1 . }{\f1\fs20\cf1 Assessment of dynamic hydrological drought risk from a non{\u8208 ?}stationary perspective}{\f1\fs20\cf1 [J]. }{\f1\fs20\cf1 Hydrological Processes}{\f1\fs20\cf1 , }{\f1\fs20\cf1 2024}{\f1\fs20\cf1 ,}{\f1\fs20\cf1 38}{\f1\fs20\cf1 (}{\f1\fs20\cf1 8}{\f1\fs20\cf1 )}{\f1\fs20\cf1 .}{\bkmkend _neb108373ED_9A70_4A13_95FC_F23E6318AC04}\par\pard\plain \fi-840\li840\qj{\f1\fs20\cf1 [}{\f1\fs20\cf1 11}{\f1\fs20\cf1 ]\tab }{\bkmkstart _neb8394CB9C_1694_4C34_8105_BDD1F426CAA4}{\f1\fs20\cf1 Serinaldi F}{\f1\fs20\cf1 , }{\f1\fs20\cf1 Kilsby C G}{\f1\fs20\cf1 . }{\f1\fs20\cf1 Stationarity is undead: Uncertainty dominates the distribution of extremes}{\f1\fs20\cf1 [J]. }{\f1\fs20\cf1 Advances in Water Resources}{\f1\fs20\cf1 , }{\f1\fs20\cf1 2015}{\f1\fs20\cf1 ,}{\f1\fs20\cf1 77}{\f1\fs20\cf1 :}{\f1\fs20\cf1 17-36}{\f1\fs20\cf1 .}{\bkmkend _neb8394CB9C_1694_4C34_8105_BDD1F426CAA4}\par\pard\plain \fi-840\li840\qj{\f1\fs20\cf1 [}{\f1\fs20\cf1 12}{\f1\fs20\cf1 ]\tab }{\bkmkstart _neb351D476C_5161_42FA_9D88_7F3E7F81A811}{\f1\fs20\cf1 Kundzewicz Z W}{\f1\fs20\cf1 , }{\f1\fs20\cf1 Robson A J}{\f1\fs20\cf1 . }{\f1\fs20\cf1 Change detection in hydrological records{\u8212 ?}a review of the methodology / Revue m{\u233 ?}thodologique de la d{\u233 ?}tection de changements dans les chroniques hydrologiques}{\f1\fs20\cf1 [J]. }{\f1\fs20\cf1 Hydrological Sciences Journal}{\f1\fs20\cf1 , }{\f1\fs20\cf1 2011}{\f1\fs20\cf1 ,}{\f1\fs20\cf1 49}{\f1\fs20\cf1 (}{\f1\fs20\cf1 1}{\f1\fs20\cf1 )}{\f1\fs20\cf1 :}{\f1\fs20\cf1 7-19}{\f1\fs20\cf1 .}{\bkmkend _neb351D476C_5161_42FA_9D88_7F3E7F81A811}\par\pard\plain \fi-840\li840\qj{\f1\fs20\cf1 [}{\f1\fs20\cf1 13}{\f1\fs20\cf1 ]\tab }{\bkmkstart _neb24418F64_0C09_49F9_8500_12C836F788C2}{\f1\fs20\cf1 Villarini G}{\f1\fs20\cf1 , }{\f1\fs20\cf1 Serinaldi F}{\f1\fs20\cf1 , }{\f1\fs20\cf1 Smith J A}{\f1\fs20\cf1 , et al}{\f1\fs20\cf1 . }{\f1\fs20\cf1 On the stationarity of annual flood peaks in the continental United States during the 20th century}{\f1\fs20\cf1 [J]. }{\f1\fs20\cf1 Water Resources Research}{\f1\fs20\cf1 , }{\f1\fs20\cf1 2009}{\f1\fs20\cf1 ,}{\f1\fs20\cf1 45}{\f1\fs20\cf1 (}{\f1\fs20\cf1 8}{\f1\fs20\cf1 )}{\f1\fs20\cf1 .}{\bkmkend _neb24418F64_0C09_49F9_8500_12C836F788C2}\par\pard\plain \fi-840\li840\qj{\f1\fs20\cf1 [}{\f1\fs20\cf1 14}{\f1\fs20\cf1 ]\tab }{\bkmkstart _nebE6DB002B_A8A7_42C0_B4C8_08AEF45F51FA}{\f1\fs20\cf1 Zhang D D}{\f1\fs20\cf1 , }{\f1\fs20\cf1 Yan D H}{\f1\fs20\cf1 , }{\f1\fs20\cf1 Wang Y C}{\f1\fs20\cf1 , et al}{\f1\fs20\cf1 . }{\f1\fs20\cf1 GAMLSS-based nonstationary modeling of extreme precipitation in Beijing{\u8211 ?}Tianjin{\u8211 ?}Hebei region of China}{\f1\fs20\cf1 [J]. }{\f1\fs20\cf1 Natural Hazards}{\f1\fs20\cf1 , }{\f1\fs20\cf1 2015}{\f1\fs20\cf1 ,}{\f1\fs20\cf1 77}{\f1\fs20\cf1 (}{\f1\fs20\cf1 2}{\f1\fs20\cf1 )}{\f1\fs20\cf1 :}{\f1\fs20\cf1 1037-1053}{\f1\fs20\cf1 .}{\bkmkend _nebE6DB002B_A8A7_42C0_B4C8_08AEF45F51FA}\par\pard\plain \fi-840\li840\qj{\f1\fs20\cf1 [}{\f1\fs20\cf1 15}{\f1\fs20\cf1 ]\tab }{\bkmkstart _nebE874D6BC_8444_47BB_95B9_4A22A48849EA}{\f1\fs20\cf1 Yu J}{\f1\fs20\cf1 , }{\f1\fs20\cf1 Kim T E W}{\f1\fs20\cf1 , }{\f1\fs20\cf1 Park D H}{\f1\fs20\cf1 . }{\f1\fs20\cf1 Future Hydrological Drought Risk Assessment Based on Nonstationary Joint Drought Management Index}{\f1\fs20\cf1 [J]. }{\f1\fs20\cf1 Water}{\f1\fs20\cf1 , }{\f1\fs20\cf1 2019}{\f1\fs20\cf1 ,}{\f1\fs20\cf1 11}{\f1\fs20\cf1 (}{\f1\fs20\cf1 3}{\f1\fs20\cf1 )}{\f1\fs20\cf1 :}{\f1\fs20\cf1 532}{\f1\fs20\cf1 .}{\bkmkend _nebE874D6BC_8444_47BB_95B9_4A22A48849EA}\par\pard\plain \fi-840\li840\qj{\f1\fs20\cf1 [}{\f1\fs20\cf1 16}{\f1\fs20\cf1 ]\tab }{\bkmkstart _neb60010D74_AF9F_47E2_BC10_7CC12B03E437}{\f1\fs20\cf1 Rigby R A}{\f1\fs20\cf1 , }{\f1\fs20\cf1 Stasinopoulos D M}{\f1\fs20\cf1 . }{\f1\fs20\cf1 Generalized Additive Models for Location, Scale and Shape}{\f1\fs20\cf1 [J]. }{\f1\fs20\cf1 Journal of the Royal Statistical Society Series C: Applied Statistics}{\f1\fs20\cf1 , }{\f1\fs20\cf1 2005}{\f1\fs20\cf1 ,}{\f1\fs20\cf1 54}{\f1\fs20\cf1 (}{\f1\fs20\cf1 3}{\f1\fs20\cf1 )}{\f1\fs20\cf1 :}{\f1\fs20\cf1 507-554}{\f1\fs20\cf1 .}{\bkmkend _neb60010D74_AF9F_47E2_BC10_7CC12B03E437}\par\pard\plain \fi-840\li840\qj{\f1\fs20\cf1 [}{\f1\fs20\cf1 17}{\f1\fs20\cf1 ]\tab }{\bkmkstart _nebD3759321_3209_4C0E_A499_4481DC74F25C}{\f0\fs20\cf1 {\u20919 ?}{\u21513 ?}{\u21355 ?}}{\f1\fs20\cf1 , }{\f0\fs20\cf1 {\u39532 ?}{\u20975 ?}}{\f1\fs20\cf1 , }{\f0\fs20\cf1 {\u26446 ?}{\u36816 ?}{\u21018 ?}}{\f1\fs20\cf1 , }{\f0\fs20\cf1 {\u31561 ?}}{\f1\fs20\cf1 . }{\f0\fs20\cf1 {\u22522 ?}{\u20110 ?}}{\f1\fs20\cf1 GAMLSS}{\f0\fs20\cf1 {\u27169 ?}{\u22411 ?}{\u30340 ?}{\u20803 ?}{\u27743 ?}}{\f1\fs20\cf1 {\u8212 ?}}{\f0\fs20\cf1 {\u32418 ?}{\u27827 ?}{\u19978 ?}{\u28216 ?}{\u24452 ?}{\u27969 ?}{\u38750 ?}{\u19968 ?}{\u33268 ?}{\u24615 ?}{\u30740 ?}{\u31350 ?}}{\f1\fs20\cf1 [J]. }{\f0\fs20\cf1 {\u24212 ?}{\u29992 ?}{\u22522 ?}{\u30784 ?}{\u19982 ?}{\u24037 ?}{\u31243 ?}{\u31185 ?}{\u23398 ?}{\u23398 ?}{\u25253 ?}}{\f1\fs20\cf1 , }{\f1\fs20\cf1 2025}{\f1\fs20\cf1 ,}{\f1\fs20\cf1 33}{\f1\fs20\cf1 (}{\f1\fs20\cf1 02}{\f1\fs20\cf1 )}{\f1\fs20\cf1 :}{\f1\fs20\cf1 324-337}{\f1\fs20\cf1 .}{\bkmkend _nebD3759321_3209_4C0E_A499_4481DC74F25C}\par\pard\plain \fi-840\li840\qj{\f1\fs20\cf1 [}{\f1\fs20\cf1 18}{\f1\fs20\cf1 ]\tab }{\bkmkstart _nebD4AD3112_9076_4E83_AF48_FBE0558BDDA8}{\f0\fs20\cf1 {\u37101 ?}{\u36335 ?}}{\f1\fs20\cf1 . }{\f1\fs20\cf1 Frequency Analysis of River Runoff Based on GAMLSS Model}{\f1\fs20\cf1 [J]. }{\f1\fs20\cf1 Journal of Water Resources Research}{\f1\fs20\cf1 , }{\f1\fs20\cf1 2022}{\f1\fs20\cf1 ,}{\f1\fs20\cf1 11}{\f1\fs20\cf1 (}{\f1\fs20\cf1 03}{\f1\fs20\cf1 )}{\f1\fs20\cf1 :}{\f1\fs20\cf1 260-266}{\f1\fs20\cf1 .}{\bkmkend _nebD4AD3112_9076_4E83_AF48_FBE0558BDDA8}\par\pard\plain \fi-840\li840\qj{\f1\fs20\cf1 [}{\f1\fs20\cf1 19}{\f1\fs20\cf1 ]\tab }{\bkmkstart _neb70D25F11_EE26_486D_A493_21CAB3E48DA3}{\f1\fs20\cf1 Zhong H}{\f1\fs20\cf1 , }{\f1\fs20\cf1 Liao T}{\f1\fs20\cf1 , }{\f1\fs20\cf1 Fang G}{\f1\fs20\cf1 , et al}{\f1\fs20\cf1 . }{\f1\fs20\cf1 Exploring optimal joint operating rules for large-scale inter-basin water transfer projects with multiple water sources, diversion routes, and water demand areas}{\f1\fs20\cf1 [J]. }{\f1\fs20\cf1 Journal of Hydrology: Regional Studies}{\f1\fs20\cf1 , }{\f1\fs20\cf1 2023}{\f1\fs20\cf1 ,}{\f1\fs20\cf1 49}{\f1\fs20\cf1 :}{\f1\fs20\cf1 101504}{\f1\fs20\cf1 .}{\bkmkend _neb70D25F11_EE26_486D_A493_21CAB3E48DA3}\par\pard\plain \fi-840\li840\qj{\f1\fs20\cf1 [}{\f1\fs20\cf1 20}{\f1\fs20\cf1 ]\tab }{\bkmkstart _nebD898DB78_0AB7_4FDA_9AFA_220E932016CC}{\f1\fs20\cf1 Nazemi A}{\f1\fs20\cf1 , }{\f1\fs20\cf1 Wheater H S}{\f1\fs20\cf1 . }{\f1\fs20\cf1 On inclusion of water resource management in Earth system models {\u8211 ?} Part 1: Problem definition and representation of water demand}{\f1\fs20\cf1 [J]. }{\f1\fs20\cf1 Hydrology and Earth System Sciences}{\f1\fs20\cf1 , }{\f1\fs20\cf1 2015}{\f1\fs20\cf1 ,}{\f1\fs20\cf1 19}{\f1\fs20\cf1 (}{\f1\fs20\cf1 1}{\f1\fs20\cf1 )}{\f1\fs20\cf1 :}{\f1\fs20\cf1 33-61}{\f1\fs20\cf1 .}{\bkmkend _nebD898DB78_0AB7_4FDA_9AFA_220E932016CC}\par\pard\plain \fi-840\li840\qj{\f1\fs20\cf1 [}{\f1\fs20\cf1 21}{\f1\fs20\cf1 ]\tab }{\bkmkstart _nebEE98D286_3E10_49B2_8224_45434366400D}{\f1\fs20\cf1 Nazemi A}{\f1\fs20\cf1 , }{\f1\fs20\cf1 Wheater H S}{\f1\fs20\cf1 . }{\f1\fs20\cf1 On inclusion of water resource management in Earth system models {\u8211 ?} Part 2: Representation of water supply and allocation and opportunities for improved modeling}{\f1\fs20\cf1 [J]. }{\f1\fs20\cf1 Hydrology and Earth System Sciences}{\f1\fs20\cf1 , }{\f1\fs20\cf1 2015}{\f1\fs20\cf1 ,}{\f1\fs20\cf1 19}{\f1\fs20\cf1 (}{\f1\fs20\cf1 1}{\f1\fs20\cf1 )}{\f1\fs20\cf1 :}{\f1\fs20\cf1 63-90}{\f1\fs20\cf1 .}{\bkmkend _nebEE98D286_3E10_49B2_8224_45434366400D}\par\pard\plain \fi-840\li840\qj{\f1\fs20\cf1 [}{\f1\fs20\cf1 22}{\f1\fs20\cf1 ]\tab }{\bkmkstart _nebDC238526_412F_4E26_8E0E_EAE99722E6D8}{\f0\fs20\cf1 {\u21016 ?}{\u31456 ?}{\u21531 ?}}{\f1\fs20\cf1 , }{\f0\fs20\cf1 {\u37101 ?}{\u29983 ?}{\u32451 ?}}{\f1\fs20\cf1 , }{\f0\fs20\cf1 {\u35768 ?}{\u26032 ?}{\u21457 ?}}{\f1\fs20\cf1 , }{\f0\fs20\cf1 {\u31561 ?}}{\f1\fs20\cf1 . }{\f1\fs20\cf1 Copula}{\f0\fs20\cf1 {\u20989 ?}{\u25968 ?}{\u22312 ?}{\u27700 ?}{\u25991 ?}{\u27700 ?}{\u36164 ?}{\u28304 ?}{\u20013 ?}{\u30340 ?}{\u30740 ?}{\u31350 ?}{\u36827 ?}{\u23637 ?}{\u19982 ?}{\u36848 ?}{\u35780 ?}}{\f1\fs20\cf1 [J]. }{\f0\fs20\cf1 {\u27700 ?}{\u31185 ?}{\u23398 ?}{\u36827 ?}{\u23637 ?}}{\f1\fs20\cf1 , }{\f1\fs20\cf1 2021}{\f1\fs20\cf1 ,}{\f1\fs20\cf1 32}{\f1\fs20\cf1 (}{\f1\fs20\cf1 1}{\f1\fs20\cf1 )}{\f1\fs20\cf1 :}{\f1\fs20\cf1 148-159}{\f1\fs20\cf1 .}{\bkmkend _nebDC238526_412F_4E26_8E0E_EAE99722E6D8}\par\pard\plain \fi-840\li840\qj{\f1\fs20\cf1 [}{\f1\fs20\cf1 23}{\f1\fs20\cf1 ]\tab }{\bkmkstart _neb5A5451E4_3CFD_4940_AC0A_99EB9C7B7848}{\f0\fs20\cf1 {\u24352 ?}{\u28070 ?}}{\f1\fs20\cf1 , }{\f0\fs20\cf1 {\u38472 ?}{\u20239 ?}{\u40857 ?}}{\f1\fs20\cf1 , }{\f0\fs20\cf1 {\u20309 ?}{\u26397 ?}{\u39134 ?}}{\f1\fs20\cf1 , }{\f0\fs20\cf1 {\u31561 ?}}{\f1\fs20\cf1 . }{\f0\fs20\cf1 {\u22522 ?}{\u20110 ?}}{\f1\fs20\cf1 Vine Copula}{\f0\fs20\cf1 {\u30340 ?}{\u38750 ?}{\u19968 ?}{\u33268 ?}{\u24615 ?}{\u27700 ?}{\u25991 ?}{\u24178 ?}{\u26097 ?}{\u21160 ?}{\u24577 ?}{\u39118 ?}{\u38505 ?}{\u35780 ?}{\u20272 ?}{\u27169 ?}{\u22411 ?}}{\f1\fs20\cf1 [J]. }{\f0\fs20\cf1 {\u20892 ?}{\u19994 ?}{\u24037 ?}{\u31243 ?}{\u23398 ?}{\u25253 ?}}{\f1\fs20\cf1 , }{\f1\fs20\cf1 2026}{\f1\fs20\cf1 ,}{\f1\fs20\cf1 42}{\f1\fs20\cf1 (}{\f1\fs20\cf1 05}{\f1\fs20\cf1 )}{\f1\fs20\cf1 :}{\f1\fs20\cf1 147-157}{\f1\fs20\cf1 .}{\bkmkend _neb5A5451E4_3CFD_4940_AC0A_99EB9C7B7848}\par\pard\plain \fi-840\li840\qj{\f1\fs20\cf1 [}{\f1\fs20\cf1 24}{\f1\fs20\cf1 ]\tab }{\bkmkstart _neb22F62A66_488D_47C5_8523_8FDFB6F872DB}{\f1\fs20\cf1 Mirabbasi R}{\f1\fs20\cf1 , }{\f1\fs20\cf1 Fakheri-Fard A}{\f1\fs20\cf1 , }{\f1\fs20\cf1 Dinpashoh Y}{\f1\fs20\cf1 . }{\f1\fs20\cf1 Bivariate drought frequency analysis using the copula method}{\f1\fs20\cf1 [J]. }{\f1\fs20\cf1 Theoretical and Applied Climatology}{\f1\fs20\cf1 , }{\f1\fs20\cf1 2011}{\f1\fs20\cf1 ,}{\f1\fs20\cf1 108}{\f1\fs20\cf1 (}{\f1\fs20\cf1 1-2}{\f1\fs20\cf1 )}{\f1\fs20\cf1 :}{\f1\fs20\cf1 191-206}{\f1\fs20\cf1 .}{\bkmkend _neb22F62A66_488D_47C5_8523_8FDFB6F872DB}\par\pard\plain \fi-840\li840\qj{\f1\fs20\cf1 [}{\f1\fs20\cf1 25}{\f1\fs20\cf1 ]\tab }{\bkmkstart _nebCBC4EC7F_9B5A_4C6B_A732_CEF034A535D2}{\f1\fs20\cf1 Shiau J T}{\f1\fs20\cf1 . }{\f1\fs20\cf1 Fitting Drought Duration and Severity with Two-Dimensional Copulas}{\f1\fs20\cf1 [J]. }{\f1\fs20\cf1 Water Resources Management}{\f1\fs20\cf1 , }{\f1\fs20\cf1 2006}{\f1\fs20\cf1 ,}{\f1\fs20\cf1 20}{\f1\fs20\cf1 (}{\f1\fs20\cf1 5}{\f1\fs20\cf1 )}{\f1\fs20\cf1 :}{\f1\fs20\cf1 795-815}{\f1\fs20\cf1 .}{\bkmkend _nebCBC4EC7F_9B5A_4C6B_A732_CEF034A535D2}\par\pard\plain \fi-840\li840\qj{\f1\fs20\cf1 [}{\f1\fs20\cf1 26}{\f1\fs20\cf1 ]\tab }{\bkmkstart _neb279B1EC2_0DE7_414C_886F_C0A892DEAF5D}{\f1\fs20\cf1 Kim W}{\f1\fs20\cf1 , }{\f1\fs20\cf1 Kang S}{\f1\fs20\cf1 , }{\f1\fs20\cf1 Woo S}{\f1\fs20\cf1 , et al}{\f1\fs20\cf1 . }{\f1\fs20\cf1 Bivariate copula framework for drought risk assessment under climate change and practical water supply systems}{\f1\fs20\cf1 [J]. }{\f1\fs20\cf1 Natural Hazards}{\f1\fs20\cf1 , }{\f1\fs20\cf1 2025}{\f1\fs20\cf1 .}{\bkmkend _neb279B1EC2_0DE7_414C_886F_C0A892DEAF5D}\par\pard\plain \fi-840\li840\qj{\f1\fs20\cf1 [}{\f1\fs20\cf1 27}{\f1\fs20\cf1 ]\tab }{\bkmkstart _neb83AABABE_080E_4250_9E87_AB4C08D83731}{\f1\fs20\cf1 Hao Z}{\f1\fs20\cf1 , }{\f1\fs20\cf1 AghaKouchak A}{\f1\fs20\cf1 . }{\f1\fs20\cf1 Multivariate Standardized Drought Index: A parametric multi-index model}{\f1\fs20\cf1 [J]. }{\f1\fs20\cf1 Advances in Water Resources}{\f1\fs20\cf1 , }{\f1\fs20\cf1 2013}{\f1\fs20\cf1 ,}{\f1\fs20\cf1 57}{\f1\fs20\cf1 :}{\f1\fs20\cf1 12-18}{\f1\fs20\cf1 .}{\bkmkend _neb83AABABE_080E_4250_9E87_AB4C08D83731}\par\pard\plain \fi-840\li840\qj{\f1\fs20\cf1 [}{\f1\fs20\cf1 28}{\f1\fs20\cf1 ]\tab }{\bkmkstart _neb7ED2B1F0_0DAB_4C15_9859_44352722013D}{\f1\fs20\cf1 Hao Z}{\f1\fs20\cf1 , }{\f1\fs20\cf1 AghaKouchak A}{\f1\fs20\cf1 . }{\f1\fs20\cf1 A Nonparametric Multivariate Multi-Index Drought Monitoring Framework}{\f1\fs20\cf1 [J]. }{\f1\fs20\cf1 Journal of Hydrometeorology}{\f1\fs20\cf1 , }{\f1\fs20\cf1 2014}{\f1\fs20\cf1 ,}{\f1\fs20\cf1 15}{\f1\fs20\cf1 (}{\f1\fs20\cf1 1}{\f1\fs20\cf1 )}{\f1\fs20\cf1 :}{\f1\fs20\cf1 89-101}{\f1\fs20\cf1 .}{\bkmkend _neb7ED2B1F0_0DAB_4C15_9859_44352722013D}\par\pard\plain \fi-840\li840\qj{\f1\fs20\cf1 [}{\f1\fs20\cf1 29}{\f1\fs20\cf1 ]\tab }{\bkmkstart _neb31831C77_E123_40B1_BB41_C6CA7985195D}{\f1\fs20\cf1 Sarhadi A}{\f1\fs20\cf1 , }{\f1\fs20\cf1 Burn D H}{\f1\fs20\cf1 , }{\f1\fs20\cf1 Concepci{\u243 ?}n Aus{\u237 ?}n M}{\f1\fs20\cf1 , et al}{\f1\fs20\cf1 . }{\f1\fs20\cf1 Time{\u8208 ?}varying nonstationary multivariate risk analysis using a dynamic Bayesian copula}{\f1\fs20\cf1 [J]. }{\f1\fs20\cf1 Water resources research}{\f1\fs20\cf1 , }{\f1\fs20\cf1 2016}{\f1\fs20\cf1 ,}{\f1\fs20\cf1 52}{\f1\fs20\cf1 (}{\f1\fs20\cf1 3}{\f1\fs20\cf1 )}{\f1\fs20\cf1 :}{\f1\fs20\cf1 2327-2349}{\f1\fs20\cf1 .}{\bkmkend _neb31831C77_E123_40B1_BB41_C6CA7985195D}\par\pard\plain \fi-840\li840\qj{\f1\fs20\cf1 [}{\f1\fs20\cf1 30}{\f1\fs20\cf1 ]\tab }{\bkmkstart _neb414416C2_D20E_4662_86FE_56C0695EAA47}{\f1\fs20\cf1 Liu W}{\f1\fs20\cf1 , }{\f1\fs20\cf1 Zhang J}{\f1\fs20\cf1 , }{\f1\fs20\cf1 Zhou Z}{\f1\fs20\cf1 , et al}{\f1\fs20\cf1 . }{\f1\fs20\cf1 Hydrological drought dynamic using copula functions and drought center migration in the Ganjiang river basin}{\f1\fs20\cf1 [J]. }{\f1\fs20\cf1 Scientific Reports}{\f1\fs20\cf1 , }{\f1\fs20\cf1 2025}{\f1\fs20\cf1 ,}{\f1\fs20\cf1 15}{\f1\fs20\cf1 (}{\f1\fs20\cf1 1}{\f1\fs20\cf1 )}{\f1\fs20\cf1 .}{\bkmkend _neb414416C2_D20E_4662_86FE_56C0695EAA47}\par\pard\plain \fi-840\li840\qj{\f1\fs20\cf1 [}{\f1\fs20\cf1 31}{\f1\fs20\cf1 ]\tab }{\bkmkstart _neb75B201BC_6CF4_4183_8797_BB4AE72C689D}{\f1\fs20\cf1 Zhong H}{\f1\fs20\cf1 , }{\f1\fs20\cf1 Wu S}{\f1\fs20\cf1 , }{\f1\fs20\cf1 Yan M}{\f1\fs20\cf1 , et al}{\f1\fs20\cf1 . }{\f1\fs20\cf1 Derivation of optimal scheduling strategies for large-scale inter-basin water transfer projects considering streamflow wet-dry encounter uncertainty of multiple reservoirs}{\f1\fs20\cf1 [J]. }{\f1\fs20\cf1 Journal of Hydrology}{\f1\fs20\cf1 , }{\f1\fs20\cf1 2025}{\f1\fs20\cf1 ,}{\f1\fs20\cf1 662}{\f1\fs20\cf1 :}{\f1\fs20\cf1 133784}{\f1\fs20\cf1 .}{\bkmkend _neb75B201BC_6CF4_4183_8797_BB4AE72C689D}\par\pard\plain \fi-840\li840\qj{\f1\fs20\cf1 [}{\f1\fs20\cf1 32}{\f1\fs20\cf1 ]\tab }{\bkmkstart _neb98C410F2_33A9_4582_9E76_F0F286BCBD64}{\f1\fs20\cf1 Ming B}{\f1\fs20\cf1 , }{\f1\fs20\cf1 Zhong H}{\f1\fs20\cf1 , }{\f1\fs20\cf1 Zhang W}{\f1\fs20\cf1 , et al}{\f1\fs20\cf1 . }{\f1\fs20\cf1 Deriving operating rules for inter-basin water transfer projects incorporating a scenario reduction strategy}{\f1\fs20\cf1 [J]. }{\f1\fs20\cf1 Journal of Hydrology}{\f1\fs20\cf1 , }{\f1\fs20\cf1 2023}{\f1\fs20\cf1 ,}{\f1\fs20\cf1 624}{\f1\fs20\cf1 :}{\f1\fs20\cf1 129854}{\f1\fs20\cf1 .}{\bkmkend _neb98C410F2_33A9_4582_9E76_F0F286BCBD64}\par\pard\plain \fi-840\li840\qj{\f1\fs20\cf1 [}{\f1\fs20\cf1 33}{\f1\fs20\cf1 ]\tab }{\bkmkstart _nebBE325D73_86AF_44B8_B0C5_3B11175E25B5}{\f0\fs20\cf1 {\u33891 ?}{\u20891 ?}}{\f1\fs20\cf1 , }{\f0\fs20\cf1 {\u32993 ?}{\u36827 ?}{\u23453 ?}}{\f1\fs20\cf1 , }{\f0\fs20\cf1 {\u39759 ?}{\u22269 ?}{\u23389 ?}}{\f1\fs20\cf1 . }{\f0\fs20\cf1 {\u22823 ?}{\u36890 ?}{\u27827 ?}{\u27969 ?}{\u22495 ?}{\u24452 ?}{\u27969 ?}{\u21464 ?}{\u21270 ?}{\u21450 ?}{\u29305 ?}{\u24449 ?}{\u20998 ?}{\u26512 ?}}{\f1\fs20\cf1 [J]. }{\f0\fs20\cf1 {\u27700 ?}{\u36164 ?}{\u28304 ?}{\u19982 ?}{\u27700 ?}{\u24037 ?}{\u31243 ?}{\u23398 ?}{\u25253 ?}}{\f1\fs20\cf1 , }{\f1\fs20\cf1 2018}{\f1\fs20\cf1 ,}{\f1\fs20\cf1 29}{\f1\fs20\cf1 (}{\f1\fs20\cf1 6}{\f1\fs20\cf1 )}{\f1\fs20\cf1 :}{\f1\fs20\cf1 75-80, 87}{\f1\fs20\cf1 .}{\bkmkend _nebBE325D73_86AF_44B8_B0C5_3B11175E25B5}\par\pard\plain \fi-840\li840\qj{\f1\fs20\cf1 [}{\f1\fs20\cf1 34}{\f1\fs20\cf1 ]\tab }{\bkmkstart _neb852C7182_792E_4E2C_B880_D4EBBDBAD328}{\f0\fs20\cf1 {\u26472 ?}{\u38738 ?}}{\f1\fs20\cf1 , }{\f0\fs20\cf1 {\u39532 ?}{\u19990 ?}{\u38663 ?}}{\f1\fs20\cf1 , }{\f0\fs20\cf1 {\u39640 ?}{\u26195 ?}{\u40527 ?}}{\f1\fs20\cf1 . }{\f0\fs20\cf1 {\u38738 ?}{\u28023 ?}{\u30465 ?}{\u28255 ?}{\u27700 ?}{\u27969 ?}{\u22495 ?}{\u27700 ?}{\u29615 ?}{\u22659 ?}{\u29616 ?}{\u29366 ?}{\u35780 ?}{\u20215 ?}}{\f1\fs20\cf1 [J]. }{\f0\fs20\cf1 {\u38738 ?}{\u28023 ?}{\u29615 ?}{\u22659 ?}}{\f1\fs20\cf1 , }{\f1\fs20\cf1 1994}{\f1\fs20\cf1 (}{\f1\fs20\cf1 02}{\f1\fs20\cf1 )}{\f1\fs20\cf1 :}{\f1\fs20\cf1 63-68}{\f1\fs20\cf1 .}{\bkmkend _neb852C7182_792E_4E2C_B880_D4EBBDBAD328}\par\pard\plain \fi-840\li840\qj{\f1\fs20\cf1 [}{\f1\fs20\cf1 35}{\f1\fs20\cf1 ]\tab }{\bkmkstart _neb9DB353D6_C945_40B3_8FC2_1106EF69A12F}{\f1\fs20\cf1 Wang Y}{\f1\fs20\cf1 , }{\f1\fs20\cf1 Liu G}{\f1\fs20\cf1 , }{\f1\fs20\cf1 Guo E}{\f1\fs20\cf1 . }{\f1\fs20\cf1 Spatial distribution and temporal variation of drought in Inner Mongolia during 1901{\u8211 ?}2014 using Standardized Precipitation Evapotranspiration Index}{\f1\fs20\cf1 [J]. }{\f1\fs20\cf1 Science of The Total Environment}{\f1\fs20\cf1 , }{\f1\fs20\cf1 2019}{\f1\fs20\cf1 ,}{\f1\fs20\cf1 654}{\f1\fs20\cf1 :}{\f1\fs20\cf1 850-862}{\f1\fs20\cf1 .}{\bkmkend _neb9DB353D6_C945_40B3_8FC2_1106EF69A12F}\par\pard\plain \fi-840\li840\qj{\f1\fs20\cf1 [}{\f1\fs20\cf1 36}{\f1\fs20\cf1 ]\tab }{\bkmkstart _nebAA413736_A734_4AB1_BD9F_E99E25DF67FF}{\f1\fs20\cf1 Mariani R V}{\f1\fs20\cf1 , }{\f1\fs20\cf1 Lyra G B}{\f1\fs20\cf1 , }{\f1\fs20\cf1 Abreu M C}{\f1\fs20\cf1 , et al}{\f1\fs20\cf1 . }{\f1\fs20\cf1 Valida{\u231 ?}{\u227 ?}o da SPEIbase para a Regi{\u227 ?}o Sudeste Brasileira}{\f1\fs20\cf1 [J]. }{\f1\fs20\cf1 Revista Brasileira de Meteorologia}{\f1\fs20\cf1 , }{\f1\fs20\cf1 2024}{\f1\fs20\cf1 ,}{\f1\fs20\cf1 39}{\f1\fs20\cf1 :}{\f1\fs20\cf1 e339230056}{\f1\fs20\cf1 .}{\bkmkend _nebAA413736_A734_4AB1_BD9F_E99E25DF67FF}\par\pard\plain \fi-840\li840\qj{\f1\fs20\cf1 [}{\f1\fs20\cf1 37}{\f1\fs20\cf1 ]\tab }{\bkmkstart _nebEC2C9E06_3BC0_40EB_9B03_F99811786C4D}{\f1\fs20\cf1 Fu B}{\f1\fs20\cf1 , }{\f1\fs20\cf1 Jing J}{\f1\fs20\cf1 . }{\f1\fs20\cf1 Application of SPEI index in drought evolution in southwest China}{\f1\fs20\cf1 [J]. }{\f1\fs20\cf1 Fifth International Conference on Geology, Mapping, and Remote Sensing (ICGMRS 2024)}{\f1\fs20\cf1 , }{\f1\fs20\cf1 2024}{\f1\fs20\cf1 :}{\f1\fs20\cf1 36}{\f1\fs20\cf1 .}{\bkmkend _nebEC2C9E06_3BC0_40EB_9B03_F99811786C4D}\par\pard\plain \fi-840\li840\qj{\f1\fs20\cf1 [}{\f1\fs20\cf1 38}{\f1\fs20\cf1 ]\tab }{\bkmkstart _nebC30DD465_AF84_43C4_9CCB_A778B79F04F2}{\f1\fs20\cf1 Qiaofeng Z}{\f1\fs20\cf1 , }{\f1\fs20\cf1 Hongbo Y U}{\f1\fs20\cf1 , }{\f1\fs20\cf1 Fang H}{\f1\fs20\cf1 . }{\f1\fs20\cf1 The spatiotemporal dynamics of drought and the cumulative impact on vegetation phenology in the Mongolian Plateau}{\f1\fs20\cf1 [J]. }{\f1\fs20\cf1 Arid Zone Research}{\f1\fs20\cf1 , }{\f1\fs20\cf1 2024}{\f1\fs20\cf1 ,}{\f1\fs20\cf1 41}{\f1\fs20\cf1 (}{\f1\fs20\cf1 9}{\f1\fs20\cf1 )}{\f1\fs20\cf1 :}{\f1\fs20\cf1 1548-1559}{\f1\fs20\cf1 .}{\bkmkend _nebC30DD465_AF84_43C4_9CCB_A778B79F04F2}\par\pard\plain \fi-840\li840\qj{\f1\fs20\cf1 [}{\f1\fs20\cf1 39}{\f1\fs20\cf1 ]\tab }{\bkmkstart _neb056A6B98_848E_40A9_8627_5E6AB4D8CE33}{\f1\fs20\cf1 Akaike H}{\f1\fs20\cf1 . }{\f1\fs20\cf1 A new look at the statistical model identification}{\f1\fs20\cf1 [J]. }{\f1\fs20\cf1 IEEE Transactions on Automatic Control}{\f1\fs20\cf1 , }{\f1\fs20\cf1 1974}{\f1\fs20\cf1 ,}{\f1\fs20\cf1 19}{\f1\fs20\cf1 (}{\f1\fs20\cf1 6}{\f1\fs20\cf1 )}{\f1\fs20\cf1 :}{\f1\fs20\cf1 716-723}{\f1\fs20\cf1 .}{\bkmkend _neb056A6B98_848E_40A9_8627_5E6AB4D8CE33}\par\pard\plain \fi-840\li840\qj{\f1\fs20\cf1 [}{\f1\fs20\cf1 40}{\f1\fs20\cf1 ]\tab }{\bkmkstart _nebC9837922_348B_4FA4_B7BA_DB6D952E7078}{\f1\fs20\cf1 Worland S C}{\f1\fs20\cf1 , }{\f1\fs20\cf1 Steinschneider S}{\f1\fs20\cf1 , }{\f1\fs20\cf1 Farmer W}{\f1\fs20\cf1 , et al}{\f1\fs20\cf1 . }{\f1\fs20\cf1 Copula Theory as a Generalized Framework for Flow{\u8208 ?}Duration Curve Based Streamflow Estimates in Ungaged and Partially Gaged Catchments}{\f1\fs20\cf1 [J]. }{\f1\fs20\cf1 Water resources research}{\f1\fs20\cf1 , }{\f1\fs20\cf1 2019}{\f1\fs20\cf1 ,}{\f1\fs20\cf1 55}{\f1\fs20\cf1 (}{\f1\fs20\cf1 11}{\f1\fs20\cf1 )}{\f1\fs20\cf1 :}{\f1\fs20\cf1 9378-9397}{\f1\fs20\cf1 .}{\bkmkend _nebC9837922_348B_4FA4_B7BA_DB6D952E7078}\par\pard\plain \fi-840\li840\qj{\f1\fs20\cf1 [}{\f1\fs20\cf1 41}{\f1\fs20\cf1 ]\tab }{\bkmkstart _neb265B048D_C821_433D_9357_8D9EA97E6805}{\f1\fs20\cf1 Fawcett T}{\f1\fs20\cf1 . }{\f1\fs20\cf1 An introduction to ROC analysis}{\f1\fs20\cf1 [J]. }{\f1\fs20\cf1 Pattern Recognition Letters}{\f1\fs20\cf1 , }{\f1\fs20\cf1 2006}{\f1\fs20\cf1 ,}{\f1\fs20\cf1 27}{\f1\fs20\cf1 (}{\f1\fs20\cf1 8}{\f1\fs20\cf1 )}{\f1\fs20\cf1 :}{\f1\fs20\cf1 861-874}{\f1\fs20\cf1 .}{\bkmkend _neb265B048D_C821_433D_9357_8D9EA97E6805}\par\pard\plain \fi-840\li840\qj{\f1\fs20\cf1 [}{\f1\fs20\cf1 42}{\f1\fs20\cf1 ]\tab }{\bkmkstart _nebE7369E54_9805_43B0_883D_0DE45FFB3C03}{\f1\fs20\cf1 Moteri M A}{\f1\fs20\cf1 , }{\f1\fs20\cf1 Alrowais F}{\f1\fs20\cf1 , }{\f1\fs20\cf1 Mtouaa W}{\f1\fs20\cf1 , et al}{\f1\fs20\cf1 . }{\f1\fs20\cf1 An enhanced drought forecasting in coastal arid regions using deep learning approach with evaporation index}{\f1\fs20\cf1 [J]. }{\f1\fs20\cf1 Environmental Research}{\f1\fs20\cf1 , }{\f1\fs20\cf1 2024}{\f1\fs20\cf1 ,}{\f1\fs20\cf1 246}{\f1\fs20\cf1 :}{\f1\fs20\cf1 118171}{\f1\fs20\cf1 .}{\bkmkend _nebE7369E54_9805_43B0_883D_0DE45FFB3C03}\par\pard\plain \fi-840\li840\qj{\f1\fs20\cf1 [}{\f1\fs20\cf1 43}{\f1\fs20\cf1 ]\tab }{\bkmkstart _nebE5E96088_34EC_4FC9_9F5D_5CBD6772CE40}{\f1\fs20\cf1 Sujon K M}{\f1\fs20\cf1 , }{\f1\fs20\cf1 Hassan R}{\f1\fs20\cf1 , }{\f1\fs20\cf1 Choi K}{\f1\fs20\cf1 , et al}{\f1\fs20\cf1 . }{\f1\fs20\cf1 Accuracy, precision, recall, f1-score, or MCC? empirical evidence from advanced statistics, ML, and XAI for evaluating business predictive models}{\f1\fs20\cf1 [J]. }{\f1\fs20\cf1 Journal of Big Data}{\f1\fs20\cf1 , }{\f1\fs20\cf1 2025}{\f1\fs20\cf1 ,}{\f1\fs20\cf1 12}{\f1\fs20\cf1 (}{\f1\fs20\cf1 1}{\f1\fs20\cf1 )}{\f1\fs20\cf1 .}{\bkmkend _nebE5E96088_34EC_4FC9_9F5D_5CBD6772CE40}\par\pard\plain \fi-840\li840\qj{\f1\fs20\cf1 [}{\f1\fs20\cf1 44}{\f1\fs20\cf1 ]\tab }{\bkmkstart _neb8B61007A_05A0_445E_A28B_22EB4EF77DE0}{\f1\fs20\cf1 Tharwat A}{\f1\fs20\cf1 . }{\f1\fs20\cf1 Classification assessment methods}{\f1\fs20\cf1 [J]. }{\f1\fs20\cf1 Applied Computing and Informatics}{\f1\fs20\cf1 , }{\f1\fs20\cf1 2020}{\f1\fs20\cf1 ,}{\f1\fs20\cf1 17}{\f1\fs20\cf1 (}{\f1\fs20\cf1 1}{\f1\fs20\cf1 )}{\f1\fs20\cf1 :}{\f1\fs20\cf1 168-192}{\f1\fs20\cf1 .}{\bkmkend _neb8B61007A_05A0_445E_A28B_22EB4EF77DE0}\par\pard\plain \fi-840\li840\qj{\f1\fs20\cf1 [}{\f1\fs20\cf1 45}{\f1\fs20\cf1 ]\tab }{\bkmkstart _nebD4280B35_EBDF_4B81_AAC8_A37EDA7F8A99}{\f1\fs20\cf1 Cuo L}{\f1\fs20\cf1 , }{\f1\fs20\cf1 Zhang Y}{\f1\fs20\cf1 , }{\f1\fs20\cf1 Wang Q}{\f1\fs20\cf1 , et al}{\f1\fs20\cf1 . }{\f1\fs20\cf1 Climate Change on the Northern Tibetan Plateau during 1957{\u8211 ?}2009: Spatial Patterns and Possible Mechanisms}{\f1\fs20\cf1 [J]. }{\f1\fs20\cf1 Journal of Climate}{\f1\fs20\cf1 , }{\f1\fs20\cf1 2013}{\f1\fs20\cf1 ,}{\f1\fs20\cf1 26}{\f1\fs20\cf1 (}{\f1\fs20\cf1 1}{\f1\fs20\cf1 )}{\f1\fs20\cf1 :}{\f1\fs20\cf1 85-109}{\f1\fs20\cf1 .}{\bkmkend _nebD4280B35_EBDF_4B81_AAC8_A37EDA7F8A99}\par\pard\plain \fi-840\li840\qj{\f1\fs20\cf1 [}{\f1\fs20\cf1 46}{\f1\fs20\cf1 ]\tab }{\bkmkstart _neb82704258_A510_4216_91A1_A216CF83091E}{\f1\fs20\cf1 Xiang Y}{\f1\fs20\cf1 , }{\f1\fs20\cf1 Wang T}{\f1\fs20\cf1 , }{\f1\fs20\cf1 Wang H}{\f1\fs20\cf1 , et al}{\f1\fs20\cf1 . }{\f1\fs20\cf1 Influence of the Pacific Decadal Oscillation on Winter Temperatures and Precipitation Over the Southern Tibetan Plateau}{\f1\fs20\cf1 [J]. }{\f1\fs20\cf1 Journal of Geophysical Research: Atmospheres}{\f1\fs20\cf1 , }{\f1\fs20\cf1 2024}{\f1\fs20\cf1 ,}{\f1\fs20\cf1 129}{\f1\fs20\cf1 (}{\f1\fs20\cf1 6}{\f1\fs20\cf1 )}{\f1\fs20\cf1 .}{\bkmkend _neb82704258_A510_4216_91A1_A216CF83091E}\par\pard\plain \fi-840\li840\qj{\f1\fs20\cf1 [}{\f1\fs20\cf1 47}{\f1\fs20\cf1 ]\tab }{\bkmkstart _nebDD1CFF2E_155E_456D_A8CB_9A06B7C77AE5}{\f1\fs20\cf1 Zhang Z}{\f1\fs20\cf1 , }{\f1\fs20\cf1 Zhang L}{\f1\fs20\cf1 , }{\f1\fs20\cf1 Liu Y}{\f1\fs20\cf1 , et al}{\f1\fs20\cf1 . }{\f1\fs20\cf1 Responses of annual streamflow variability to annual precipitation, extreme climate events and large-scale climate phenomena in the Qinghai-Tibet Plateau}{\f1\fs20\cf1 [J]. }{\f1\fs20\cf1 Journal of Hydrology}{\f1\fs20\cf1 , }{\f1\fs20\cf1 2024}{\f1\fs20\cf1 ,}{\f1\fs20\cf1 632}{\f1\fs20\cf1 :}{\f1\fs20\cf1 130969}{\f1\fs20\cf1 .}{\bkmkend _nebDD1CFF2E_155E_456D_A8CB_9A06B7C77AE5}\par\pard\plain \fi-840\li840\qj{\f1\fs20\cf1 [}{\f1\fs20\cf1 48}{\f1\fs20\cf1 ]\tab }{\bkmkstart _nebA8267C5C_D2BD_4775_8D92_9D8BBC7CCA4E}{\f1\fs20\cf1 Jiang X}{\f1\fs20\cf1 , }{\f1\fs20\cf1 Zhang T}{\f1\fs20\cf1 , }{\f1\fs20\cf1 Tam C Y}{\f1\fs20\cf1 , et al}{\f1\fs20\cf1 . }{\f1\fs20\cf1 Impacts of ENSO and IOD on Snow Depth Over the Tibetan Plateau: Roles of Convections Over the Western North Pacific and Indian Ocean}{\f1\fs20\cf1 [J]. }{\f1\fs20\cf1 Journal of Geophysical Research: Atmospheres}{\f1\fs20\cf1 , }{\f1\fs20\cf1 2019}{\f1\fs20\cf1 ,}{\f1\fs20\cf1 124}{\f1\fs20\cf1 (}{\f1\fs20\cf1 22}{\f1\fs20\cf1 )}{\f1\fs20\cf1 :}{\f1\fs20\cf1 11961-11975}{\f1\fs20\cf1 .}{\bkmkend _nebA8267C5C_D2BD_4775_8D92_9D8BBC7CCA4E}\par\pard\plain \fi-840\li840\qj{\f1\fs20\cf1 [}{\f1\fs20\cf1 49}{\f1\fs20\cf1 ]\tab }{\bkmkstart _neb082E24CB_1C0F_444E_B56F_825A84A6628C}{\f0\fs20\cf1 {\u31859 ?}{\u23376 ?}{\u30002 ?}}{\f1\fs20\cf1 , }{\f0\fs20\cf1 {\u26446 ?}{\u24819 ?}}{\f1\fs20\cf1 , }{\f0\fs20\cf1 {\u27784 ?}{\u24310 ?}{\u38738 ?}}{\f1\fs20\cf1 , }{\f0\fs20\cf1 {\u31561 ?}}{\f1\fs20\cf1 . }{\f0\fs20\cf1 {\u22522 ?}{\u20110 ?}}{\f1\fs20\cf1 Copula}{\f0\fs20\cf1 {\u20989 ?}{\u25968 ?}{\u21644 ?}{\u33945 ?}{\u29305 ?}{\u21345 ?}{\u27931 ?}{\u27861 ?}{\u30340 ?}{\u40644 ?}{\u27827 ?}{\u19978 ?}{\u28216 ?}{\u22810 ?}{\u31449 ?}{\u24452 ?}{\u27969 ?}{\u30456 ?}{\u20851 ?}{\u20998 ?}{\u26512 ?}{\u19982 ?}{\u38543 ?}{\u26426 ?}{\u27169 ?}{\u25311 ?}}{\f1\fs20\cf1 [J]. }{\f0\fs20\cf1 {\u27700 ?}{\u21033 ?}{\u27700 ?}{\u30005 ?}{\u25216 ?}{\u26415 ?}}{\f1\fs20\cf1 (}{\f0\fs20\cf1 {\u20013 ?}{\u33521 ?}{\u25991 ?}}{\f1\fs20\cf1 )}{\f1\fs20\cf1 , }{\f1\fs20\cf1 2025}{\f1\fs20\cf1 ,}{\f1\fs20\cf1 56}{\f1\fs20\cf1 (}{\f1\fs20\cf1 12}{\f1\fs20\cf1 )}{\f1\fs20\cf1 :}{\f1\fs20\cf1 67-86}{\f1\fs20\cf1 .}{\bkmkend _neb082E24CB_1C0F_444E_B56F_825A84A6628C}\par\pard\plain \fi-840\li840\qj{\f1\fs20\cf1 [}{\f1\fs20\cf1 50}{\f1\fs20\cf1 ]\tab }{\bkmkstart _nebADA50800_8568_49E9_B5C5_22B1B5505AEF}{\f0\fs20\cf1 {\u32993 ?}{\u27743 ?}}{\f1\fs20\cf1 , }{\f0\fs20\cf1 {\u26446 ?}{\u26143 ?}}{\f1\fs20\cf1 , }{\f0\fs20\cf1 {\u26417 ?}{\u28165 ?}{\u24069 ?}}{\f1\fs20\cf1 , }{\f0\fs20\cf1 {\u31561 ?}}{\f1\fs20\cf1 . }{\f0\fs20\cf1 {\u22269 ?}{\u23478 ?}{\u27700 ?}{\u32593 ?}{\u32972 ?}{\u26223 ?}{\u19979 ?}{\u35843 ?}{\u27700 ?}{\u24037 ?}{\u31243 ?}{\u36816 ?}{\u34892 ?}{\u39118 ?}{\u38505 ?}{\u35780 ?}{\u20272 ?}{\u25216 ?}{\u26415 ?}{\u30740 ?}{\u31350 ?}{\u36827 ?}{\u23637 ?}}{\f1\fs20\cf1 [J]. }{\f0\fs20\cf1 {\u27700 ?}{\u31185 ?}{\u23398 ?}{\u36827 ?}{\u23637 ?}}{\f1\fs20\cf1 , }{\f1\fs20\cf1 2025}{\f1\fs20\cf1 ,}{\f1\fs20\cf1 36}{\f1\fs20\cf1 (}{\f1\fs20\cf1 06}{\f1\fs20\cf1 )}{\f1\fs20\cf1 :}{\f1\fs20\cf1 1042-1057}{\f1\fs20\cf1 .}{\bkmkend _nebADA50800_8568_49E9_B5C5_22B1B5505AEF}\par\pard\plain \fi-840\li840\qj{\f1\fs20\cf1 [}{\f1\fs20\cf1 51}{\f1\fs20\cf1 ]\tab }{\bkmkstart _nebDCA0DAE3_EDB8_4176_8229_E8D12BAA0653}{\f1\fs20\cf1 Liu R}{\f1\fs20\cf1 , }{\f1\fs20\cf1 Yin J}{\f1\fs20\cf1 , }{\f1\fs20\cf1 Slater L}{\f1\fs20\cf1 , et al}{\f1\fs20\cf1 . }{\f1\fs20\cf1 Machine-learning-constrained projection of bivariate hydrological drought magnitudes and socioeconomic risks over China}{\f1\fs20\cf1 [J]. }{\f1\fs20\cf1 Hydrology and Earth System Sciences}{\f1\fs20\cf1 , }{\f1\fs20\cf1 2024}{\f1\fs20\cf1 ,}{\f1\fs20\cf1 28}{\f1\fs20\cf1 (}{\f1\fs20\cf1 14}{\f1\fs20\cf1 )}{\f1\fs20\cf1 :}{\f1\fs20\cf1 3305-3326}{\f1\fs20\cf1 .}{\bkmkend _nebDCA0DAE3_EDB8_4176_8229_E8D12BAA0653}\par\pard\plain \fi-840\li840\qj}"/>
    <w:docVar w:name=" ADDIN NE.CacheRef.{09383A56-C03B-4EE9-85A8-8D37D5E30368}" w:val="{\rtf1\ansi\ansicpg936\pard\plain{\fonttbl{\f0\fnil\fcharset0\fprq2 Times New Roman;}}{\colortbl;\red0\green0\blue0;}{\f0\fs22\super\cf1 [}{\f0\fs22\super\cf1 1}{\f0\fs22\super\cf1 , }{\f0\fs22\super\cf1 2}{\f0\fs22\super\cf1 ]}}"/>
    <w:docVar w:name=" ADDIN NE.CacheRef.{0AAE1A93-BF2C-4D01-9294-3AEF5690FB76}" w:val="{\rtf1\ansi\ansicpg936\pard\plain{\fonttbl{\f0\fnil\fcharset0\fprq2 Times New Roman;}}{\colortbl;\red0\green0\blue0;}{\f0\fs22\super\cf1 [}{\f0\fs22\super\cf1 24}{\f0\fs22\super\cf1 ]}}"/>
    <w:docVar w:name=" ADDIN NE.CacheRef.{0C0EAF13-BCA6-45C8-9ECA-D0B313787C57}" w:val="{\rtf1\ansi\ansicpg936\pard\plain{\fonttbl{\f0\fnil\fcharset0\fprq2 Times New Roman;}}{\colortbl;\red0\green0\blue0;}{\f0\fs22\super\cf1 [}{\f0\fs22\super\cf1 19}{\f0\fs22\super\cf1 -}{\f0\fs22\super\cf1 22}{\f0\fs22\super\cf1 , }{\f0\fs22\super\cf1 31}{\f0\fs22\super\cf1 , }{\f0\fs22\super\cf1 32}{\f0\fs22\super\cf1 ]}}"/>
    <w:docVar w:name=" ADDIN NE.CacheRef.{177F80A6-3F90-4163-AE89-8425429267EA}" w:val="{\rtf1\ansi\ansicpg936\pard\plain{\fonttbl{\f0\fnil\fcharset0\fprq2 Times New Roman;}}{\colortbl;\red0\green0\blue0;}{\f0\fs22\super\cf1 [}{\f0\fs22\super\cf1 6}{\f0\fs22\super\cf1 , }{\f0\fs22\super\cf1 9}{\f0\fs22\super\cf1 , }{\f0\fs22\super\cf1 10}{\f0\fs22\super\cf1 , }{\f0\fs22\super\cf1 17}{\f0\fs22\super\cf1 , }{\f0\fs22\super\cf1 18}{\f0\fs22\super\cf1 ]}}"/>
    <w:docVar w:name=" ADDIN NE.CacheRef.{17CE8073-CB08-4653-AAEF-AFFF43CC9C78}" w:val="{\rtf1\ansi\ansicpg936\pard\plain{\colortbl;\red8\green0\blue0;}{\fs22\cf1 (}{\fs22\cf1 {\u33891 ?}{\u20891 ?}}{\fs22\cf1  et al.}{\fs22\cf1 , }{\fs22\cf1 2018}{\fs22\cf1 )}}"/>
    <w:docVar w:name=" ADDIN NE.CacheRef.{1CD01AB6-2FAE-4F93-ADF2-28BC7E46DEB5}" w:val="{\rtf1\ansi\ansicpg936\pard\plain{\fonttbl{\f0\fnil\fcharset0\fprq2 Times New Roman;}}{\colortbl;\red0\green0\blue0;}{\f0\fs22\super\cf1 [}{\f0\fs22\super\cf1 14}{\f0\fs22\super\cf1 -}{\f0\fs22\super\cf1 16}{\f0\fs22\super\cf1 ]}}"/>
    <w:docVar w:name=" ADDIN NE.CacheRef.{22AD1AAD-14BA-4077-882A-6E1F5FE6C6F7}" w:val="{\rtf1\ansi\ansicpg936\pard\plain{\fonttbl{\f0\fnil\fcharset0\fprq2 Times New Roman;}}{\colortbl;\red8\green0\blue0;}{\f0\fs22\cf1 (}{\f0\fs22\cf1 Milly}{\f0\fs22\cf1  et al.}{\f0\fs22\cf1 , }{\f0\fs22\cf1 2008}{\f0\fs22\cf1 )}}"/>
    <w:docVar w:name=" ADDIN NE.CacheRef.{2482A823-FFB3-42BE-8CA8-C607EADE2547}" w:val="{\rtf1\ansi\ansicpg936\pard\plain{\fonttbl{\f0\fnil\fcharset0\fprq2 Times New Roman;}}{\colortbl;\red0\green0\blue0;}{\f0\fs21\super\cf1 [}{\f0\fs21\super\cf1 41}{\f0\fs21\super\cf1 , }{\f0\fs21\super\cf1 42}{\f0\fs21\super\cf1 ]}}"/>
    <w:docVar w:name=" ADDIN NE.CacheRef.{285CF08D-4D3E-4208-B908-D3B9834BCE42}" w:val="{\rtf1\ansi\ansicpg936\pard\plain{\fonttbl{\f0\fnil\fcharset0\fprq2 Times New Roman;}}{\colortbl;\red0\green0\blue0;}{\f0\fs22\super\cf1 [}{\f0\fs22\super\cf1 45}{\f0\fs22\super\cf1 ]}}"/>
    <w:docVar w:name=" ADDIN NE.CacheRef.{2FB9054A-0CC4-4023-A3B4-A732F8B5E2C9}" w:val="{\rtf1\ansi\ansicpg936\pard\plain{\fonttbl{\f0\fnil\fcharset0\fprq2 Times New Roman;}}{\colortbl;\red0\green0\blue0;}{\f0\fs22\super\cf1 [}{\f0\fs22\super\cf1 6}{\f0\fs22\super\cf1 ]}}"/>
    <w:docVar w:name=" ADDIN NE.CacheRef.{3706B43E-AAD4-4D6D-B4D5-C56A75C98A76}" w:val="{\rtf1\ansi\ansicpg936\pard\plain{\fonttbl{\f0\fnil\fcharset0\fprq2 Times New Roman;}}{\colortbl;\red8\green0\blue0;}{\f0\fs22\cf1 (}{\f0\fs22\cf1 Zhong}{\f0\fs22\cf1  et al.}{\f0\fs22\cf1 , }{\f0\fs22\cf1 2025}{\f0\fs22\cf1 )}}"/>
    <w:docVar w:name=" ADDIN NE.CacheRef.{37930416-8106-438B-AB09-B3FD8B699DCF}" w:val="{\rtf1\ansi\ansicpg936\pard\plain{\fonttbl{\f0\fnil\fcharset0\fprq2 Times New Roman;}}{\colortbl;\red0\green0\blue0;}{\f0\fs22\super\cf1 [}{\f0\fs22\super\cf1 8}{\f0\fs22\super\cf1 -}{\f0\fs22\super\cf1 12}{\f0\fs22\super\cf1 ]}}"/>
    <w:docVar w:name=" ADDIN NE.CacheRef.{3BCA9105-B143-4E4A-A5EB-CC75E40FEE51}" w:val="{\rtf1\ansi\ansicpg936\pard\plain{\fonttbl{\f0\fnil\fcharset0\fprq2 Times New Roman;}}{\colortbl;\red0\green0\blue0;}{\f0\fs22\super\cf1 [}{\f0\fs22\super\cf1 19}{\f0\fs22\super\cf1 -}{\f0\fs22\super\cf1 21}{\f0\fs22\super\cf1 ]}}"/>
    <w:docVar w:name=" ADDIN NE.CacheRef.{3F4A51BF-505A-439B-B904-5DBE89B24855}" w:val="{\rtf1\ansi\ansicpg936\pard\plain{\fonttbl{\f0\fnil\fcharset0\fprq2 Times New Roman;}}{\colortbl;\red8\green0\blue0;}{\f0\fs22\cf1 (}{\f0\fs22\cf1 Rigby}{\f0\fs22\cf1  and }{\f0\fs22\cf1 Stasinopoulos}{\f0\fs22\cf1 , }{\f0\fs22\cf1 2005}{\f0\fs22\cf1 )}}"/>
    <w:docVar w:name=" ADDIN NE.CacheRef.{437B2CDC-4FAF-4E40-8043-BF78982A639D}" w:val="{\rtf1\ansi\ansicpg936\pard\plain{\fonttbl{\f0\fnil\fcharset0\fprq2 Times New Roman;}}{\colortbl;\red0\green0\blue0;}{\f0\fs22\super\cf1 [}{\f0\fs22\super\cf1 28}{\f0\fs22\super\cf1 ]}}"/>
    <w:docVar w:name=" ADDIN NE.CacheRef.{4B11D399-F0D2-424D-BCB3-9CCC33EFF2A4}" w:val="{\rtf1\ansi\ansicpg936\pard\plain{\fonttbl{\f0\fnil\fcharset0\fprq2 Times New Roman;}}{\colortbl;\red0\green0\blue0;}{\f0\fs22\super\cf1 [}{\f0\fs22\super\cf1 22}{\f0\fs22\super\cf1 -}{\f0\fs22\super\cf1 24}{\f0\fs22\super\cf1 ]}}"/>
    <w:docVar w:name=" ADDIN NE.CacheRef.{4C333A63-7417-4ED5-862B-D22481A08C73}" w:val="{\rtf1\ansi\ansicpg936\pard\plain{\fonttbl{\f0\fnil\fcharset0\fprq2 Times New Roman;}}{\colortbl;\red0\green0\blue0;}{\f0\fs21\super\cf1 [}{\f0\fs21\super\cf1 33}{\f0\fs21\super\cf1 ]}}"/>
    <w:docVar w:name=" ADDIN NE.CacheRef.{4CD7ADAF-7283-4A4F-B9A8-34027E04E7CD}" w:val="{\rtf1\ansi\ansicpg936\pard\plain{\fonttbl{\f0\fnil\fcharset0\fprq2 Times New Roman;}}{\colortbl;\red0\green0\blue0;}{\f0\fs21\super\cf1 [}{\f0\fs21\super\cf1 35}{\f0\fs21\super\cf1 -}{\f0\fs21\super\cf1 38}{\f0\fs21\super\cf1 ]}}"/>
    <w:docVar w:name=" ADDIN NE.CacheRef.{4DC34D72-AEDD-4C71-8EBA-2E90855ED7E2}" w:val="{\rtf1\ansi\ansicpg936\pard\plain{\fonttbl{\f0\fnil\fcharset0\fprq2 Times New Roman;}}{\colortbl;\red0\green0\blue0;}{\f0\fs21\super\cf1 [}{\f0\fs21\super\cf1 45}{\f0\fs21\super\cf1 -}{\f0\fs21\super\cf1 48}{\f0\fs21\super\cf1 ]}}"/>
    <w:docVar w:name=" ADDIN NE.CacheRef.{56DA927D-284C-4D88-AC07-931BBEDB3046}" w:val="{\rtf1\ansi\ansicpg936\pard\plain{\fonttbl{\f0\fnil\fcharset0\fprq2 Times New Roman;}}{\colortbl;\red0\green0\blue0;}{\f0\fs21\super\cf1 [}{\f0\fs21\super\cf1 44}{\f0\fs21\super\cf1 , }{\f0\fs21\super\cf1 45}{\f0\fs21\super\cf1 ]}}"/>
    <w:docVar w:name=" ADDIN NE.CacheRef.{58B27D68-697B-4C88-B0AD-DADBE4902C8A}" w:val="{\rtf1\ansi\ansicpg936\pard\plain{\fonttbl{\f0\fnil\fcharset0\fprq2 Times New Roman;}}{\colortbl;\red0\green0\blue0;}{\f0\fs22\super\cf1 [}{\f0\fs22\super\cf1 31}{\f0\fs22\super\cf1 ]}}"/>
    <w:docVar w:name=" ADDIN NE.CacheRef.{5AEFA3DF-D5F5-4BF6-82CE-7336F95BB001}" w:val="{\rtf1\ansi\ansicpg936\pard\plain{\fonttbl{\f0\fnil\fcharset0\fprq2 Times New Roman;}}{\colortbl;\red0\green0\blue0;}{\f0\fs21\super\cf1 [}{\f0\fs21\super\cf1 40}{\f0\fs21\super\cf1 ]}}"/>
    <w:docVar w:name=" ADDIN NE.CacheRef.{6186D39C-72D2-4799-8FE1-725BEEAD6AA1}" w:val="{\rtf1\ansi\ansicpg936\pard\plain{\fonttbl{\f0\fnil\fcharset0\fprq2 Times New Roman;}}{\colortbl;\red0\green0\blue0;}{\f0\fs21\super\cf1 [}{\f0\fs21\super\cf1 4}{\f0\fs21\super\cf1 , }{\f0\fs21\super\cf1 35}{\f0\fs21\super\cf1 -}{\f0\fs21\super\cf1 38}{\f0\fs21\super\cf1 ]}}"/>
    <w:docVar w:name=" ADDIN NE.CacheRef.{6746357C-5501-431B-B54A-010C68B742BF}" w:val="{\rtf1\ansi\ansicpg936\pard\plain{\fonttbl{\f0\fnil\fcharset0\fprq2 Times New Roman;}}{\colortbl;\red8\green0\blue0;}{\f0\fs22\cf1 (}{\f0\fs22\cf1 {\u33891 ?}{\u20891 ?}}{\f0\fs22\cf1  et al.}{\f0\fs22\cf1 , }{\f0\fs22\cf1 2018}{\f0\fs22\cf1 )}}"/>
    <w:docVar w:name=" ADDIN NE.CacheRef.{7A09C6F0-2BE3-4484-9998-6B50A5941C4E}" w:val="{\rtf1\ansi\ansicpg936\pard\plain{\colortbl;\red8\green0\blue0;}{\fs22\cf1 (}{\fs22\cf1 {\u24464 ?}{\u34945 ?}}{\fs22\cf1 , }{\fs22\cf1 2025}{\fs22\cf1 )}}"/>
    <w:docVar w:name=" ADDIN NE.CacheRef.{7C9FB540-7756-428A-B51A-3B8C983D9418}" w:val="{\rtf1\ansi\ansicpg936\pard\plain{\fonttbl{\f0\fnil\fcharset0\fprq2 Times New Roman;}}{\colortbl;\red0\green0\blue0;}{\f0\fs21\super\cf1 [}{\f0\fs21\super\cf1 16}{\f0\fs21\super\cf1 ]}}"/>
    <w:docVar w:name=" ADDIN NE.CacheRef.{827F6D56-AB9D-4490-A21B-EC3789684B64}" w:val="{\rtf1\ansi\ansicpg936\pard\plain{\fonttbl{\f0\fnil\fcharset0\fprq2 Times New Roman;}}{\colortbl;\red0\green0\blue0;}{\f0\fs22\super\cf1 [}{\f0\fs22\super\cf1 10}{\f0\fs22\super\cf1 ]}}"/>
    <w:docVar w:name=" ADDIN NE.CacheRef.{8D871351-94A0-489D-9BFD-53AF045D3D4B}" w:val="{\rtf1\ansi\ansicpg936\pard\plain{\fonttbl{\f0\fnil\fcharset0\fprq2 Times New Roman;}}{\colortbl;\red0\green0\blue0;}{\f0\fs21\super\cf1 [}{\f0\fs21\super\cf1 43}{\f0\fs21\super\cf1 , }{\f0\fs21\super\cf1 44}{\f0\fs21\super\cf1 ]}}"/>
    <w:docVar w:name=" ADDIN NE.CacheRef.{8DA989DD-299A-4778-ADDC-A1683A450485}" w:val="{\rtf1\ansi\ansicpg936\pard\plain{\fonttbl{\f0\fnil\fcharset0\fprq2 Times New Roman;}}{\colortbl;\red0\green0\blue0;}{\f0\fs22\super\cf1 [}{\f0\fs22\super\cf1 6}{\f0\fs22\super\cf1 ]}}"/>
    <w:docVar w:name=" ADDIN NE.CacheRef.{8E6855CE-2048-4CBA-84AA-D63B7F0D1B56}" w:val="{\rtf1\ansi\ansicpg936\pard\plain{\fonttbl{\f0\fnil\fcharset0\fprq2 Times New Roman;}}{\colortbl;\red0\green0\blue0;}{\f0\fs22\super\cf1 [}{\f0\fs22\super\cf1 12}{\f0\fs22\super\cf1 ]}}"/>
    <w:docVar w:name=" ADDIN NE.CacheRef.{944F8B02-64E3-428D-8A2E-B115B863A6A2}" w:val="{\rtf1\ansi\ansicpg936\pard\plain{\fonttbl{\f0\fnil\fcharset0\fprq2 Times New Roman;}}{\colortbl;\red0\green0\blue0;}{\f0\fs22\super\cf1 [}{\f0\fs22\super\cf1 22}{\f0\fs22\super\cf1 ]}}"/>
    <w:docVar w:name=" ADDIN NE.CacheRef.{954BE26E-6562-4AE8-BDE9-16F1E3260744}" w:val="{\rtf1\ansi\ansicpg936\pard\plain{\fonttbl{\f0\fnil\fcharset0\fprq2 Times New Roman;}}{\colortbl;\red0\green0\blue0;}{\f0\fs22\super\cf1 [}{\f0\fs22\super\cf1 7}{\f0\fs22\super\cf1 -}{\f0\fs22\super\cf1 11}{\f0\fs22\super\cf1 ]}}"/>
    <w:docVar w:name=" ADDIN NE.CacheRef.{9A9D345F-F9F2-4D25-83B7-91F8BDD58C8D}" w:val="{\rtf1\ansi\ansicpg936\pard\plain{\fonttbl{\f0\fnil\fcharset0\fprq2 Times New Roman;}}{\colortbl;\red0\green0\blue0;}{\f0\fs22\super\cf1 [}{\f0\fs22\super\cf1 26}{\f0\fs22\super\cf1 ]}}"/>
    <w:docVar w:name=" ADDIN NE.CacheRef.{9BC4C4CD-2BB6-48A6-892D-E8A36520D377}" w:val="{\rtf1\ansi\ansicpg936\pard\plain{\fonttbl{\f0\fnil\fcharset0\fprq2 Times New Roman;}}{\colortbl;\red0\green0\blue0;}{\f0\fs22\super\cf1 [}{\f0\fs22\super\cf1 25}{\f0\fs22\super\cf1 ]}}"/>
    <w:docVar w:name=" ADDIN NE.CacheRef.{9EEE1319-4F36-4A5F-8272-6CED0E08C1E9}" w:val="{\rtf1\ansi\ansicpg936\pard\plain{\fonttbl{\f0\fnil\fcharset0\fprq2 Times New Roman;}}{\colortbl;\red0\green0\blue0;}{\f0\fs21\super\cf1 [}{\f0\fs21\super\cf1 43}{\f0\fs21\super\cf1 , }{\f0\fs21\super\cf1 44}{\f0\fs21\super\cf1 ]}}"/>
    <w:docVar w:name=" ADDIN NE.CacheRef.{9F7D7788-A06D-473C-AE77-DECE650549AE}" w:val="{\rtf1\ansi\ansicpg936\pard\plain{\fonttbl{\f0\fnil\fcharset0\fprq2 Times New Roman;}}{\colortbl;\red0\green0\blue0;}{\f0\fs22\super\cf1 [}{\f0\fs22\super\cf1 7}{\f0\fs22\super\cf1 ]}}"/>
    <w:docVar w:name=" ADDIN NE.CacheRef.{A268A5B8-7D4E-41CD-BE2A-8F9EA5584724}" w:val="{\rtf1\ansi\ansicpg936\pard\plain{\fonttbl{\f0\fnil\fcharset0\fprq2 Times New Roman;}}{\colortbl;\red0\green0\blue0;}{\f0\fs22\super\cf1 [}{\f0\fs22\super\cf1 5}{\f0\fs22\super\cf1 , }{\f0\fs22\super\cf1 6}{\f0\fs22\super\cf1 ]}}"/>
    <w:docVar w:name=" ADDIN NE.CacheRef.{A2C0B655-36D4-4650-B23E-A6E2F7D824D8}" w:val="{\rtf1\ansi\ansicpg936\pard\plain{\fonttbl{\f0\fnil\fcharset0\fprq2 Times New Roman;}}{\colortbl;\red0\green0\blue0;}{\f0\fs21\super\cf1 [}{\f0\fs21\super\cf1 22}{\f0\fs21\super\cf1 , }{\f0\fs21\super\cf1 40}{\f0\fs21\super\cf1 ]}}"/>
    <w:docVar w:name=" ADDIN NE.CacheRef.{A40F2774-3B85-4374-917C-32AB37326DB0}" w:val="{\rtf1\ansi\ansicpg936\pard\plain{\fonttbl{\f0\fnil\fcharset0\fprq2 Times New Roman;}}{\colortbl;\red0\green0\blue0;}{\f0\fs21\super\cf1 [}{\f0\fs21\super\cf1 10}{\f0\fs21\super\cf1 , }{\f0\fs21\super\cf1 23}{\f0\fs21\super\cf1 , }{\f0\fs21\super\cf1 29}{\f0\fs21\super\cf1 , }{\f0\fs21\super\cf1 30}{\f0\fs21\super\cf1 ]}}"/>
    <w:docVar w:name=" ADDIN NE.CacheRef.{A95500B0-2C6B-41A0-86A0-9464123AA025}" w:val="{\rtf1\ansi\ansicpg936\pard\plain{\fonttbl{\f0\fnil\fcharset0\fprq2 Times New Roman;}}{\colortbl;\red0\green0\blue0;}{\f0\fs22\super\cf1 [}{\f0\fs22\super\cf1 9}{\f0\fs22\super\cf1 ]}}"/>
    <w:docVar w:name=" ADDIN NE.CacheRef.{AB7625BB-46E5-4840-AD31-5CC3FF460834}" w:val="{\rtf1\ansi\ansicpg936\pard\plain{\fonttbl{\f0\fnil\fcharset0\fprq2 Times New Roman;}}{\colortbl;\red0\green0\blue0;}{\f0\fs22\super\cf1 [}{\f0\fs22\super\cf1 1}{\f0\fs22\super\cf1 -}{\f0\fs22\super\cf1 3}{\f0\fs22\super\cf1 ]}}"/>
    <w:docVar w:name=" ADDIN NE.CacheRef.{AB9F596E-EB97-44DB-94D6-21EB86408AF0}" w:val="{\rtf1\ansi\ansicpg936\pard\plain{\fonttbl{\f0\fnil\fcharset0\fprq2 Times New Roman;}}{\colortbl;\red0\green0\blue0;}{\f0\fs22\super\cf1 [}{\f0\fs22\super\cf1 16}{\f0\fs22\super\cf1 ]}}"/>
    <w:docVar w:name=" ADDIN NE.CacheRef.{B2094E3D-F4FB-4CBA-B3BD-3176C8264E79}" w:val="{\rtf1\ansi\ansicpg936\pard\plain{\fonttbl{\f0\fnil\fcharset0\fprq2 Times New Roman;}}{\colortbl;\red0\green0\blue0;}{\f0\fs22\super\cf1 [}{\f0\fs22\super\cf1 18}{\f0\fs22\super\cf1 ]}}"/>
    <w:docVar w:name=" ADDIN NE.CacheRef.{B26E6D42-BB3B-4630-8A92-7D60F006754A}" w:val="{\rtf1\ansi\ansicpg936\pard\plain{\fonttbl{\f0\fnil\fcharset0\fprq2 Times New Roman;}}{\colortbl;\red0\green0\blue0;}{\f0\fs22\super\cf1 [}{\f0\fs22\super\cf1 11}{\f0\fs22\super\cf1 ]}}"/>
    <w:docVar w:name=" ADDIN NE.CacheRef.{B48F88D6-1D1C-46E7-9DD3-E62CA3E2D02E}" w:val="{\rtf1\ansi\ansicpg936\pard\plain{\fonttbl{\f0\fnil\fcharset0\fprq2 Times New Roman;}}{\colortbl;\red0\green0\blue0;}{\f0\fs22\super\cf1 [}{\f0\fs22\super\cf1 25}{\f0\fs22\super\cf1 ]}}"/>
    <w:docVar w:name=" ADDIN NE.CacheRef.{BB01162C-4B00-4A74-9917-302B3DF83D6E}" w:val="{\rtf1\ansi\ansicpg936\pard\plain{\fonttbl{\f0\fnil\fcharset0\fprq2 Times New Roman;}}{\colortbl;\red0\green0\blue0;}{\f0\fs22\super\cf1 [}{\f0\fs22\super\cf1 3}{\f0\fs22\super\cf1 , }{\f0\fs22\super\cf1 4}{\f0\fs22\super\cf1 ]}}"/>
    <w:docVar w:name=" ADDIN NE.CacheRef.{C93FCBBB-081C-480A-8F37-7729D39094EC}" w:val="{\rtf1\ansi\ansicpg936\pard\plain{\fonttbl{\f0\fnil\fcharset0\fprq2 Times New Roman;}}{\colortbl;\red0\green0\blue0;}{\f0\fs21\super\cf1 [}{\f0\fs21\super\cf1 50}{\f0\fs21\super\cf1 ]}}"/>
    <w:docVar w:name=" ADDIN NE.CacheRef.{CE5ED211-2B03-4680-A7B5-D2B0F9C19760}" w:val="{\rtf1\ansi\ansicpg936\pard\plain{\fonttbl{\f0\fnil\fcharset0\fprq2 Times New Roman;}}{\colortbl;\red0\green0\blue0;}{\f0\fs21\super\cf1 [}{\f0\fs21\super\cf1 46}{\f0\fs21\super\cf1 , }{\f0\fs21\super\cf1 47}{\f0\fs21\super\cf1 ]}}"/>
    <w:docVar w:name=" ADDIN NE.CacheRef.{CE6F8E6F-7340-42CE-B54B-DA0C4A3DC4EC}" w:val="{\rtf1\ansi\ansicpg936\pard\plain{\fonttbl{\f0\fnil\fcharset0\fprq2 Times New Roman;}}{\colortbl;\red0\green0\blue0;}{\f0\fs22\super\cf1 [}{\f0\fs22\super\cf1 24}{\f0\fs22\super\cf1 ]}}"/>
    <w:docVar w:name=" ADDIN NE.CacheRef.{CF59F433-4115-421F-BAC1-494FA9DC4F7E}" w:val="{\rtf1\ansi\ansicpg936\pard\plain{\fonttbl{\f0\fnil\fcharset0\fprq2 Times New Roman;}}{\colortbl;\red0\green0\blue0;}{\f0\fs22\super\cf1 [}{\f0\fs22\super\cf1 27}{\f0\fs22\super\cf1 ]}}"/>
    <w:docVar w:name=" ADDIN NE.CacheRef.{D062D4BE-81C0-4F53-AF4E-F8F23B35E270}" w:val="{\rtf1\ansi\ansicpg936\pard\plain{\fonttbl{\f0\fnil\fcharset0\fprq2 Times New Roman;}}{\colortbl;\red0\green0\blue0;}{\f0\fs22\super\cf1 [}{\f0\fs22\super\cf1 17}{\f0\fs22\super\cf1 ]}}"/>
    <w:docVar w:name=" ADDIN NE.CacheRef.{D370723F-5920-450B-A862-409059479D8F}" w:val="{\rtf1\ansi\ansicpg936\pard\plain{\fonttbl{\f0\fnil\fcharset0\fprq2 Times New Roman;}}{\colortbl;\red0\green0\blue0;}{\f0\fs22\super\cf1 [}{\f0\fs22\super\cf1 13}{\f0\fs22\super\cf1 ]}}"/>
    <w:docVar w:name=" ADDIN NE.CacheRef.{D8538629-32E7-45B4-957D-FE01E0C6B9E8}" w:val="{\rtf1\ansi\ansicpg936\pard\plain{\fonttbl{\f0\fnil\fcharset0\fprq2 Times New Roman;}}{\colortbl;\red0\green0\blue0;}{\f0\fs21\super\cf1 [}{\f0\fs21\super\cf1 51}{\f0\fs21\super\cf1 ]}}"/>
    <w:docVar w:name=" ADDIN NE.CacheRef.{DB30B15B-F1C1-4106-A24E-E7F05A5E1360}" w:val="{\rtf1\ansi\ansicpg936\pard\plain{\fonttbl{\f0\fnil\fcharset0\fprq2 Times New Roman;}}{\colortbl;\red0\green0\blue0;}{\f0\fs22\super\cf1 [}{\f0\fs22\super\cf1 3}{\f0\fs22\super\cf1 ]}}"/>
    <w:docVar w:name=" ADDIN NE.CacheRef.{DCAB0DC0-3A73-4DC4-AF5A-F9DD09ADEA4C}" w:val="{\rtf1\ansi\ansicpg936\pard\plain{\fonttbl{\f0\fnil\fcharset0\fprq2 Times New Roman;}}{\colortbl;\red8\green0\blue0;}{\f0\fs22\cf1 (}{\f0\fs22\cf1 Rigby}{\f0\fs22\cf1  and }{\f0\fs22\cf1 Stasinopoulos}{\f0\fs22\cf1 , }{\f0\fs22\cf1 2005}{\f0\fs22\cf1 )}}"/>
    <w:docVar w:name=" ADDIN NE.CacheRef.{DD1361E1-BE49-4790-8BE6-B63EBE8B06C3}" w:val="{\rtf1\ansi\ansicpg936\pard\plain{\fonttbl{\f0\fnil\fcharset0\fprq2 Times New Roman;}}{\colortbl;\red0\green0\blue0;}{\f0\fs21\super\cf1 [}{\f0\fs21\super\cf1 31}{\f0\fs21\super\cf1 , }{\f0\fs21\super\cf1 32}{\f0\fs21\super\cf1 , }{\f0\fs21\super\cf1 49}{\f0\fs21\super\cf1 ]}}"/>
    <w:docVar w:name=" ADDIN NE.CacheRef.{E9974BE0-916D-4CDD-BD27-5AD2481DEB61}" w:val="{\rtf1\ansi\ansicpg936\pard\plain{\fonttbl{\f0\fnil\fcharset0\fprq2 Times New Roman;}}{\colortbl;\red0\green0\blue0;}{\f0\fs21\super\cf1 [}{\f0\fs21\super\cf1 39}{\f0\fs21\super\cf1 ]}}"/>
    <w:docVar w:name=" ADDIN NE.CacheRef.{EAA348B1-6190-4166-B283-275CDE58E561}" w:val="{\rtf1\ansi\ansicpg936\pard\plain{\fonttbl{\f0\fnil\fcharset0\fprq2 Times New Roman;}}{\colortbl;\red0\green0\blue0;}{\f0\fs22\super\cf1 [}{\f0\fs22\super\cf1 25}{\f0\fs22\super\cf1 ]}}"/>
    <w:docVar w:name=" ADDIN NE.CacheRef.{F2356E52-805C-4A1F-88AA-B2C7EDC56F75}" w:val="{\rtf1\ansi\ansicpg936\pard\plain{\fonttbl{\f0\fnil\fcharset0\fprq2 Times New Roman;}}{\colortbl;\red0\green0\blue0;}{\f0\fs22\super\cf1 [}{\f0\fs22\super\cf1 27}{\f0\fs22\super\cf1 -}{\f0\fs22\super\cf1 30}{\f0\fs22\super\cf1 ]}}"/>
    <w:docVar w:name=" ADDIN NE.CacheRef.{F6035AA0-48B4-4C26-929D-51C386C5657D}" w:val="{\rtf1\ansi\ansicpg936\pard\plain{\fonttbl{\f0\fnil\fcharset0\fprq2 Times New Roman;}}{\colortbl;\red0\green0\blue0;}{\f0\fs21\super\cf1 [}{\f0\fs21\super\cf1 34}{\f0\fs21\super\cf1 ]}}"/>
    <w:docVar w:name="NE.Ref{09383A56-C03B-4EE9-85A8-8D37D5E30368}" w:val=" ADDIN NE.Ref.{09383A56-C03B-4EE9-85A8-8D37D5E30368}&lt;Citation&gt;&lt;Group&gt;&lt;References&gt;&lt;Item&gt;&lt;ID&gt;2601&lt;/ID&gt;&lt;UID&gt;{BE09C6D9-1F22-4238-95DF-3572C889EC3A}&lt;/UID&gt;&lt;Title&gt;Climate Change 2021 - The Physical Science Basis: Working Group I Contribution to the Sixth Assessment Report of the Intergovernmental Panel on Climate Change&lt;/Title&gt;&lt;Template&gt;Book&lt;/Template&gt;&lt;Star&gt;0&lt;/Star&gt;&lt;Tag&gt;0&lt;/Tag&gt;&lt;Author/&gt;&lt;Year&gt;2023&lt;/Year&gt;&lt;Details&gt;&lt;_accessed&gt;66510260&lt;/_accessed&gt;&lt;_created&gt;66510258&lt;/_created&gt;&lt;_db_updated&gt;PKU Search&lt;/_db_updated&gt;&lt;_doi&gt;10.1017/9781009157896&lt;/_doi&gt;&lt;_isbn&gt;1009157892;9781009157896;&lt;/_isbn&gt;&lt;_keywords&gt;atmospheric science; climate change; climatology; environmental economics; environmental policy; environmental science; global warming; meteorology&lt;/_keywords&gt;&lt;_modified&gt;66510259&lt;/_modified&gt;&lt;_number&gt;1&lt;/_number&gt;&lt;_publisher&gt;Cambridge University Press&lt;/_publisher&gt;&lt;_url&gt;https://go.exlibris.link/yk9RtJXn&lt;/_url&gt;&lt;_language&gt;English&lt;/_language&gt;&lt;/Details&gt;&lt;Extra&gt;&lt;DBUID&gt;{F96A950B-833F-4880-A151-76DA2D6A2879}&lt;/DBUID&gt;&lt;/Extra&gt;&lt;/Item&gt;&lt;/References&gt;&lt;/Group&gt;&lt;Group&gt;&lt;References&gt;&lt;Item&gt;&lt;ID&gt;2581&lt;/ID&gt;&lt;UID&gt;{C8626BBD-3E2C-4F0B-8AB0-34CF6B9729BF}&lt;/UID&gt;&lt;Title&gt;基于GAMLSS模型的资水流域最大日径流研究&lt;/Title&gt;&lt;Template&gt;Journal Article&lt;/Template&gt;&lt;Star&gt;1&lt;/Star&gt;&lt;Tag&gt;5&lt;/Tag&gt;&lt;Author&gt;夏琳蓉; 唐颖; 隆院男; 宋昕熠; 黄春福&lt;/Author&gt;&lt;Year&gt;2026&lt;/Year&gt;&lt;Details&gt;&lt;_accessed&gt;66413827&lt;/_accessed&gt;&lt;_author_adr&gt;长沙理工大学水利与环境工程学院;洞庭湖水环境治理与生态修复湖南省重点实验室;&lt;/_author_adr&gt;&lt;_collection_scope&gt;PKU&lt;/_collection_scope&gt;&lt;_created&gt;66413821&lt;/_created&gt;&lt;_db_provider&gt;CNKI&lt;/_db_provider&gt;&lt;_doi&gt;10.13928/j.cnki.wrahe.2026.01.014&lt;/_doi&gt;&lt;_isbn&gt;1000-0860&lt;/_isbn&gt;&lt;_issue&gt;01&lt;/_issue&gt;&lt;_journal&gt;水利水电技术(中英文)&lt;/_journal&gt;&lt;_keywords&gt;GAMLSS模型;协变量;年最大日径流;气候变化;人类活动;降水;水文过程;极端降雨&lt;/_keywords&gt;&lt;_modified&gt;66509147&lt;/_modified&gt;&lt;_pages&gt;183-191&lt;/_pages&gt;&lt;_url&gt;https://link.cnki.net/doi/10.13928/j.cnki.wrahe.2026.01.014&lt;/_url&gt;&lt;_volume&gt;57&lt;/_volume&gt;&lt;_translated_author&gt;Xia, Lin rong;Tang, Ying;Long, Yuan nan;Song, Xin yi;Huang, Chun fu&lt;/_translated_author&gt;&lt;_language&gt;Chinese&lt;/_language&gt;&lt;/Details&gt;&lt;Extra&gt;&lt;DBUID&gt;{F96A950B-833F-4880-A151-76DA2D6A2879}&lt;/DBUID&gt;&lt;/Extra&gt;&lt;/Item&gt;&lt;/References&gt;&lt;/Group&gt;&lt;/Citation&gt;_x000a_"/>
    <w:docVar w:name="NE.Ref{0AAE1A93-BF2C-4D01-9294-3AEF5690FB76}" w:val=" ADDIN NE.Ref.{0AAE1A93-BF2C-4D01-9294-3AEF5690FB76}&lt;Citation&gt;&lt;Group&gt;&lt;References&gt;&lt;Item&gt;&lt;ID&gt;2614&lt;/ID&gt;&lt;UID&gt;{22F62A66-488D-47C5-8523-8FDFB6F872DB}&lt;/UID&gt;&lt;Title&gt;Bivariate drought frequency analysis using the copula method&lt;/Title&gt;&lt;Template&gt;Journal Article&lt;/Template&gt;&lt;Star&gt;0&lt;/Star&gt;&lt;Tag&gt;0&lt;/Tag&gt;&lt;Author&gt;Mirabbasi, Rasoul; Fakheri-Fard, Ahmad; Dinpashoh, Yagob&lt;/Author&gt;&lt;Year&gt;2011&lt;/Year&gt;&lt;Details&gt;&lt;_accessed&gt;66510345&lt;/_accessed&gt;&lt;_created&gt;66510345&lt;/_created&gt;&lt;_modified&gt;66510345&lt;/_modified&gt;&lt;_url&gt;http://dx.doi.org/10.1007/s00704-011-0524-7&lt;/_url&gt;&lt;_journal&gt;Theoretical and Applied Climatology&lt;/_journal&gt;&lt;_volume&gt;108&lt;/_volume&gt;&lt;_issue&gt;1-2&lt;/_issue&gt;&lt;_pages&gt;191-206&lt;/_pages&gt;&lt;_doi&gt;10.1007/s00704-011-0524-7&lt;/_doi&gt;&lt;_isbn&gt;0177-798X&lt;/_isbn&gt;&lt;_language&gt;en&lt;/_language&gt;&lt;_db_updated&gt;NESearch&lt;/_db_updated&gt;&lt;_impact_factor&gt;   2.700&lt;/_impact_factor&gt;&lt;_social_category&gt;气象与大气科学(4)&lt;/_social_category&gt;&lt;_collection_scope&gt;SCIE&lt;/_collection_scope&gt;&lt;/Details&gt;&lt;Extra&gt;&lt;DBUID&gt;{F96A950B-833F-4880-A151-76DA2D6A2879}&lt;/DBUID&gt;&lt;/Extra&gt;&lt;/Item&gt;&lt;/References&gt;&lt;/Group&gt;&lt;/Citation&gt;_x000a_"/>
    <w:docVar w:name="NE.Ref{0C0EAF13-BCA6-45C8-9ECA-D0B313787C57}" w:val=" ADDIN NE.Ref.{0C0EAF13-BCA6-45C8-9ECA-D0B313787C57}&lt;Citation&gt;&lt;Group&gt;&lt;References&gt;&lt;Item&gt;&lt;ID&gt;2595&lt;/ID&gt;&lt;UID&gt;{70D25F11-EE26-486D-A493-21CAB3E48DA3}&lt;/UID&gt;&lt;Title&gt;Exploring optimal joint operating rules for large-scale inter-basin water transfer projects with multiple water sources, diversion routes, and water demand areas&lt;/Title&gt;&lt;Template&gt;Journal Article&lt;/Template&gt;&lt;Star&gt;1&lt;/Star&gt;&lt;Tag&gt;5&lt;/Tag&gt;&lt;Author&gt;Zhong, Huayu; Liao, Tao; Fang, Guohua; Ren, Kang; Zhang, Shiwei&lt;/Author&gt;&lt;Year&gt;2023&lt;/Year&gt;&lt;Details&gt;&lt;_accessed&gt;66470011&lt;/_accessed&gt;&lt;_created&gt;66470011&lt;/_created&gt;&lt;_db_updated&gt;CrossRef&lt;/_db_updated&gt;&lt;_doi&gt;10.1016/j.ejrh.2023.101504&lt;/_doi&gt;&lt;_impact_factor&gt;   5.000&lt;/_impact_factor&gt;&lt;_isbn&gt;22145818&lt;/_isbn&gt;&lt;_journal&gt;Journal of Hydrology: Regional Studies&lt;/_journal&gt;&lt;_modified&gt;66509147&lt;/_modified&gt;&lt;_pages&gt;101504&lt;/_pages&gt;&lt;_tertiary_title&gt;Journal of Hydrology: Regional Studies&lt;/_tertiary_title&gt;&lt;_url&gt;https://linkinghub.elsevier.com/retrieve/pii/S221458182300191X_x000d__x000a_https://api.elsevier.com/content/article/PII:S221458182300191X?httpAccept=text/xml&lt;/_url&gt;&lt;_volume&gt;49&lt;/_volume&gt;&lt;_language&gt;English&lt;/_language&gt;&lt;/Details&gt;&lt;Extra&gt;&lt;DBUID&gt;{F96A950B-833F-4880-A151-76DA2D6A2879}&lt;/DBUID&gt;&lt;/Extra&gt;&lt;/Item&gt;&lt;/References&gt;&lt;/Group&gt;&lt;Group&gt;&lt;References&gt;&lt;Item&gt;&lt;ID&gt;2611&lt;/ID&gt;&lt;UID&gt;{D898DB78-0AB7-4FDA-9AFA-220E932016CC}&lt;/UID&gt;&lt;Title&gt;On inclusion of water resource management in Earth system models – Part 1: Problem definition and representation of water demand&lt;/Title&gt;&lt;Template&gt;Journal Article&lt;/Template&gt;&lt;Star&gt;0&lt;/Star&gt;&lt;Tag&gt;0&lt;/Tag&gt;&lt;Author&gt;Nazemi, A; Wheater, H S&lt;/Author&gt;&lt;Year&gt;2015&lt;/Year&gt;&lt;Details&gt;&lt;_accessed&gt;66510337&lt;/_accessed&gt;&lt;_collection_scope&gt;SCIE;EI&lt;/_collection_scope&gt;&lt;_created&gt;66510337&lt;/_created&gt;&lt;_db_updated&gt;NESearch&lt;/_db_updated&gt;&lt;_doi&gt;10.5194/hess-19-33-2015&lt;/_doi&gt;&lt;_impact_factor&gt;   5.800&lt;/_impact_factor&gt;&lt;_isbn&gt;1607-7938&lt;/_isbn&gt;&lt;_issue&gt;1&lt;/_issue&gt;&lt;_journal&gt;Hydrology and Earth System Sciences&lt;/_journal&gt;&lt;_language&gt;en&lt;/_language&gt;&lt;_modified&gt;66510337&lt;/_modified&gt;&lt;_pages&gt;33-61&lt;/_pages&gt;&lt;_social_category&gt;水资源(1) &amp;amp; 地球科学：综合(2)&lt;/_social_category&gt;&lt;_url&gt;http://dx.doi.org/10.5194/hess-19-33-2015&lt;/_url&gt;&lt;_volume&gt;19&lt;/_volume&gt;&lt;/Details&gt;&lt;Extra&gt;&lt;DBUID&gt;{F96A950B-833F-4880-A151-76DA2D6A2879}&lt;/DBUID&gt;&lt;/Extra&gt;&lt;/Item&gt;&lt;/References&gt;&lt;/Group&gt;&lt;Group&gt;&lt;References&gt;&lt;Item&gt;&lt;ID&gt;2612&lt;/ID&gt;&lt;UID&gt;{EE98D286-3E10-49B2-8224-45434366400D}&lt;/UID&gt;&lt;Title&gt;On inclusion of water resource management in Earth system models – Part 2: Representation of water supply and allocation and opportunities for improved modeling&lt;/Title&gt;&lt;Template&gt;Journal Article&lt;/Template&gt;&lt;Star&gt;0&lt;/Star&gt;&lt;Tag&gt;0&lt;/Tag&gt;&lt;Author&gt;Nazemi, A; Wheater, H S&lt;/Author&gt;&lt;Year&gt;2015&lt;/Year&gt;&lt;Details&gt;&lt;_accessed&gt;66510586&lt;/_accessed&gt;&lt;_collection_scope&gt;SCIE;EI&lt;/_collection_scope&gt;&lt;_created&gt;66510340&lt;/_created&gt;&lt;_db_updated&gt;NESearch&lt;/_db_updated&gt;&lt;_doi&gt;10.5194/hess-19-63-2015&lt;/_doi&gt;&lt;_impact_factor&gt;   5.800&lt;/_impact_factor&gt;&lt;_isbn&gt;1607-7938&lt;/_isbn&gt;&lt;_issue&gt;1&lt;/_issue&gt;&lt;_journal&gt;Hydrology and Earth System Sciences&lt;/_journal&gt;&lt;_language&gt;en&lt;/_language&gt;&lt;_modified&gt;66510586&lt;/_modified&gt;&lt;_pages&gt;63-90&lt;/_pages&gt;&lt;_social_category&gt;水资源(1) &amp;amp; 地球科学：综合(2)&lt;/_social_category&gt;&lt;_url&gt;http://dx.doi.org/10.5194/hess-19-63-2015&lt;/_url&gt;&lt;_volume&gt;19&lt;/_volume&gt;&lt;/Details&gt;&lt;Extra&gt;&lt;DBUID&gt;{F96A950B-833F-4880-A151-76DA2D6A2879}&lt;/DBUID&gt;&lt;/Extra&gt;&lt;/Item&gt;&lt;/References&gt;&lt;/Group&gt;&lt;Group&gt;&lt;References&gt;&lt;Item&gt;&lt;ID&gt;2593&lt;/ID&gt;&lt;UID&gt;{DC238526-412F-4E26-8E0E-EAE99722E6D8}&lt;/UID&gt;&lt;Title&gt;Copula函数在水文水资源中的研究进展与述评&lt;/Title&gt;&lt;Template&gt;Journal Article&lt;/Template&gt;&lt;Star&gt;1&lt;/Star&gt;&lt;Tag&gt;5&lt;/Tag&gt;&lt;Author&gt;刘章君; 郭生练; 许新发; 许世超; 成静清&lt;/Author&gt;&lt;Year&gt;2021&lt;/Year&gt;&lt;Details&gt;&lt;_accessed&gt;66469999&lt;/_accessed&gt;&lt;_collection_scope&gt;CSCD;EI;PKU&lt;/_collection_scope&gt;&lt;_created&gt;66469999&lt;/_created&gt;&lt;_db_provider&gt;WF&lt;/_db_provider&gt;&lt;_db_updated&gt;NESearch&lt;/_db_updated&gt;&lt;_doi&gt;10.14042/j.cnki.32.1309.2021.01.015&lt;/_doi&gt;&lt;_isbn&gt;1001-6791&lt;/_isbn&gt;&lt;_issue&gt;1&lt;/_issue&gt;&lt;_journal&gt;水科学进展&lt;/_journal&gt;&lt;_language&gt;cn&lt;/_language&gt;&lt;_modified&gt;66509147&lt;/_modified&gt;&lt;_pages&gt;148-159&lt;/_pages&gt;&lt;_tertiary_title&gt;Advances in Water Science&lt;/_tertiary_title&gt;&lt;_translated_title&gt;Application of Copula functions in hydrology and water resources:a state-of-the-art review&lt;/_translated_title&gt;&lt;_url&gt;https://d.wanfangdata.com.cn/periodical/skxjz202101015&lt;/_url&gt;&lt;_volume&gt;32&lt;/_volume&gt;&lt;_translated_author&gt;Liu, Zhang jun;Guo, Sheng lian;Xu, Xin fa;Xu, Shi chao;Cheng, Jing qing&lt;/_translated_author&gt;&lt;/Details&gt;&lt;Extra&gt;&lt;DBUID&gt;{F96A950B-833F-4880-A151-76DA2D6A2879}&lt;/DBUID&gt;&lt;/Extra&gt;&lt;/Item&gt;&lt;/References&gt;&lt;/Group&gt;&lt;Group&gt;&lt;References&gt;&lt;Item&gt;&lt;ID&gt;2576&lt;/ID&gt;&lt;UID&gt;{75B201BC-6CF4-4183-8797-BB4AE72C689D}&lt;/UID&gt;&lt;Title&gt;Derivation of optimal scheduling strategies for large-scale inter-basin water transfer projects considering streamflow wet-dry encounter uncertainty of multiple reservoirs&lt;/Title&gt;&lt;Template&gt;Journal Article&lt;/Template&gt;&lt;Star&gt;1&lt;/Star&gt;&lt;Tag&gt;5&lt;/Tag&gt;&lt;Author&gt;Zhong, Huayu; Wu, Shuyue; Yan, Min; Fang, Guohua&lt;/Author&gt;&lt;Year&gt;2025&lt;/Year&gt;&lt;Details&gt;&lt;_accessed&gt;66413824&lt;/_accessed&gt;&lt;_collection_scope&gt;SCIE;EI&lt;/_collection_scope&gt;&lt;_created&gt;66413759&lt;/_created&gt;&lt;_db_updated&gt;CrossRef&lt;/_db_updated&gt;&lt;_doi&gt;10.1016/j.jhydrol.2025.133784&lt;/_doi&gt;&lt;_impact_factor&gt;   6.300&lt;/_impact_factor&gt;&lt;_isbn&gt;00221694&lt;/_isbn&gt;&lt;_journal&gt;Journal of Hydrology&lt;/_journal&gt;&lt;_modified&gt;66509147&lt;/_modified&gt;&lt;_pages&gt;133784&lt;/_pages&gt;&lt;_social_category&gt;工程：土木(1) &amp;amp; 地球科学：综合(1) &amp;amp; 水资源(1)&lt;/_social_category&gt;&lt;_tertiary_title&gt;Journal of Hydrology&lt;/_tertiary_title&gt;&lt;_url&gt;https://linkinghub.elsevier.com/retrieve/pii/S0022169425011229_x000d__x000a_https://api.elsevier.com/content/article/PII:S0022169425011229?httpAccept=text/xml&lt;/_url&gt;&lt;_volume&gt;662&lt;/_volume&gt;&lt;_language&gt;English&lt;/_language&gt;&lt;/Details&gt;&lt;Extra&gt;&lt;DBUID&gt;{F96A950B-833F-4880-A151-76DA2D6A2879}&lt;/DBUID&gt;&lt;/Extra&gt;&lt;/Item&gt;&lt;/References&gt;&lt;/Group&gt;&lt;Group&gt;&lt;References&gt;&lt;Item&gt;&lt;ID&gt;2623&lt;/ID&gt;&lt;UID&gt;{98C410F2-33A9-4582-9E76-F0F286BCBD64}&lt;/UID&gt;&lt;Title&gt;Deriving operating rules for inter-basin water transfer projects incorporating a scenario reduction strategy&lt;/Title&gt;&lt;Template&gt;Journal Article&lt;/Template&gt;&lt;Star&gt;0&lt;/Star&gt;&lt;Tag&gt;0&lt;/Tag&gt;&lt;Author&gt;Ming, Bo; Zhong, Huayu; Zhang, Wei; Yang, Guang; Zhao, Zeqian; Huang, Qiang&lt;/Author&gt;&lt;Year&gt;2023&lt;/Year&gt;&lt;Details&gt;&lt;_accessed&gt;66510543&lt;/_accessed&gt;&lt;_collection_scope&gt;SCIE;EI&lt;/_collection_scope&gt;&lt;_created&gt;66510543&lt;/_created&gt;&lt;_db_updated&gt;NESearch&lt;/_db_updated&gt;&lt;_doi&gt;10.1016/j.jhydrol.2023.129854&lt;/_doi&gt;&lt;_impact_factor&gt;   6.300&lt;/_impact_factor&gt;&lt;_isbn&gt;0022-1694&lt;/_isbn&gt;&lt;_journal&gt;Journal of Hydrology&lt;/_journal&gt;&lt;_language&gt;en&lt;/_language&gt;&lt;_modified&gt;66510543&lt;/_modified&gt;&lt;_pages&gt;129854&lt;/_pages&gt;&lt;_social_category&gt;地球科学：综合(1) &amp;amp; 水资源(1) &amp;amp; 工程：土木(2)&lt;/_social_category&gt;&lt;_url&gt;http://dx.doi.org/10.1016/j.jhydrol.2023.129854&lt;/_url&gt;&lt;_volume&gt;624&lt;/_volume&gt;&lt;/Details&gt;&lt;Extra&gt;&lt;DBUID&gt;{F96A950B-833F-4880-A151-76DA2D6A2879}&lt;/DBUID&gt;&lt;/Extra&gt;&lt;/Item&gt;&lt;/References&gt;&lt;/Group&gt;&lt;/Citation&gt;_x000a_"/>
    <w:docVar w:name="NE.Ref{177F80A6-3F90-4163-AE89-8425429267EA}" w:val=" ADDIN NE.Ref.{177F80A6-3F90-4163-AE89-8425429267EA}&lt;Citation&gt;&lt;Group&gt;&lt;References&gt;&lt;Item&gt;&lt;ID&gt;2582&lt;/ID&gt;&lt;UID&gt;{E051F659-4635-45D7-8C02-EDBAC2C7CA25}&lt;/UID&gt;&lt;Title&gt;基于GAMLSS模型的吐鲁番阿拉沟河流域非平稳水文干旱分析&lt;/Title&gt;&lt;Template&gt;Journal Article&lt;/Template&gt;&lt;Star&gt;1&lt;/Star&gt;&lt;Tag&gt;5&lt;/Tag&gt;&lt;Author&gt;朱晓钰; 穆振侠; 宋志林; 王腾; 陈龙瑶&lt;/Author&gt;&lt;Year&gt;2026&lt;/Year&gt;&lt;Details&gt;&lt;_accessed&gt;66413829&lt;/_accessed&gt;&lt;_author_adr&gt;新疆农业大学水利与土木工程学院;新疆水利工程安全与水灾害防治重点实验室;&lt;/_author_adr&gt;&lt;_collection_scope&gt;PKU&lt;/_collection_scope&gt;&lt;_created&gt;66413826&lt;/_created&gt;&lt;_db_provider&gt;CNKI&lt;/_db_provider&gt;&lt;_isbn&gt;1000-0860&lt;/_isbn&gt;&lt;_journal&gt;水利水电技术(中英文)&lt;/_journal&gt;&lt;_keywords&gt;吐鲁番盆地;水文干旱;非平稳性;GAMLSS模型;Copula函数;气候变化;降水;水资源&lt;/_keywords&gt;&lt;_modified&gt;66509147&lt;/_modified&gt;&lt;_pages&gt;1-19&lt;/_pages&gt;&lt;_url&gt;https://link.cnki.net/urlid/10.1746.TV.20260131.1610.002&lt;/_url&gt;&lt;_translated_author&gt;Zhu, Xiao yu;Mu, Zhen xia;Song, Zhi lin;Wang, Teng;Chen, Long yao&lt;/_translated_author&gt;&lt;_language&gt;Chinese&lt;/_language&gt;&lt;/Details&gt;&lt;Extra&gt;&lt;DBUID&gt;{F96A950B-833F-4880-A151-76DA2D6A2879}&lt;/DBUID&gt;&lt;/Extra&gt;&lt;/Item&gt;&lt;/References&gt;&lt;/Group&gt;&lt;Group&gt;&lt;References&gt;&lt;Item&gt;&lt;ID&gt;2588&lt;/ID&gt;&lt;UID&gt;{FA5B4F22-20AD-4C28-87C6-E8F2CC823D05}&lt;/UID&gt;&lt;Title&gt;Analysis of stationary and non-stationary hydrological extremes under a changing environment: A systematic review&lt;/Title&gt;&lt;Template&gt;Journal Article&lt;/Template&gt;&lt;Star&gt;1&lt;/Star&gt;&lt;Tag&gt;5&lt;/Tag&gt;&lt;Author&gt;Twinomuhangi, Maximo Basheija; Bamutaze, Yazidhi; Kabenge, Isa; Wanyama, Joshua; Kizza, Michael; Gabiri, Geoffrey; Egli, Pascal Emanuel&lt;/Author&gt;&lt;Year&gt;2025&lt;/Year&gt;&lt;Details&gt;&lt;_accessed&gt;66413872&lt;/_accessed&gt;&lt;_created&gt;66413871&lt;/_created&gt;&lt;_db_updated&gt;NESearch&lt;/_db_updated&gt;&lt;_doi&gt;10.1016/j.hydres.2024.12.007&lt;/_doi&gt;&lt;_isbn&gt;2589-7578&lt;/_isbn&gt;&lt;_journal&gt;HydroResearch&lt;/_journal&gt;&lt;_language&gt;en&lt;/_language&gt;&lt;_modified&gt;66509147&lt;/_modified&gt;&lt;_pages&gt;332-350&lt;/_pages&gt;&lt;_url&gt;https://doi.org/10.1016/j.hydres.2024.12.007&lt;/_url&gt;&lt;_volume&gt;8&lt;/_volume&gt;&lt;/Details&gt;&lt;Extra&gt;&lt;DBUID&gt;{F96A950B-833F-4880-A151-76DA2D6A2879}&lt;/DBUID&gt;&lt;/Extra&gt;&lt;/Item&gt;&lt;/References&gt;&lt;/Group&gt;&lt;Group&gt;&lt;References&gt;&lt;Item&gt;&lt;ID&gt;2590&lt;/ID&gt;&lt;UID&gt;{108373ED-9A70-4A13-95FC-F23E6318AC04}&lt;/UID&gt;&lt;Title&gt;Assessment of dynamic hydrological drought risk from a non‐stationary perspective&lt;/Title&gt;&lt;Template&gt;Journal Article&lt;/Template&gt;&lt;Star&gt;1&lt;/Star&gt;&lt;Tag&gt;5&lt;/Tag&gt;&lt;Author&gt;Chen, Chen; Peng, Tao; Singh, Vijay P; Wang, Youxin; Zhang, Te; Dong, Xiaohua; Lin, Qingxia; Guo, Jiali; Liu, Ji; Fan, Tianyi; Wang, Gaoxu&lt;/Author&gt;&lt;Year&gt;2024&lt;/Year&gt;&lt;Details&gt;&lt;_accessed&gt;66470011&lt;/_accessed&gt;&lt;_collection_scope&gt;SCIE;EI&lt;/_collection_scope&gt;&lt;_created&gt;66413896&lt;/_created&gt;&lt;_db_updated&gt;NESearch&lt;/_db_updated&gt;&lt;_doi&gt;10.1002/hyp.15267&lt;/_doi&gt;&lt;_impact_factor&gt;   2.900&lt;/_impact_factor&gt;&lt;_isbn&gt;0885-6087&lt;/_isbn&gt;&lt;_issue&gt;8&lt;/_issue&gt;&lt;_journal&gt;Hydrological Processes&lt;/_journal&gt;&lt;_language&gt;en&lt;/_language&gt;&lt;_modified&gt;66509147&lt;/_modified&gt;&lt;_social_category&gt;水资源(3)&lt;/_social_category&gt;&lt;_url&gt;https://doi.org/10.1002/hyp.15267&lt;/_url&gt;&lt;_volume&gt;38&lt;/_volume&gt;&lt;/Details&gt;&lt;Extra&gt;&lt;DBUID&gt;{F96A950B-833F-4880-A151-76DA2D6A2879}&lt;/DBUID&gt;&lt;/Extra&gt;&lt;/Item&gt;&lt;/References&gt;&lt;/Group&gt;&lt;Group&gt;&lt;References&gt;&lt;Item&gt;&lt;ID&gt;2583&lt;/ID&gt;&lt;UID&gt;{D3759321-3209-4C0E-A499-4481DC74F25C}&lt;/UID&gt;&lt;Title&gt;基于GAMLSS模型的元江—红河上游径流非一致性研究&lt;/Title&gt;&lt;Template&gt;Journal Article&lt;/Template&gt;&lt;Star&gt;1&lt;/Star&gt;&lt;Tag&gt;5&lt;/Tag&gt;&lt;Author&gt;冷吉卫; 马凯; 李运刚; 何大明&lt;/Author&gt;&lt;Year&gt;2025&lt;/Year&gt;&lt;Details&gt;&lt;_accessed&gt;66413827&lt;/_accessed&gt;&lt;_author_adr&gt;云南大学国际河流与生态安全研究院;云南省国际河流与跨境生态安全重点实验室,云南大学;&lt;/_author_adr&gt;&lt;_collection_scope&gt;CSCD;EI;PKU&lt;/_collection_scope&gt;&lt;_created&gt;66413827&lt;/_created&gt;&lt;_db_provider&gt;CNKI&lt;/_db_provider&gt;&lt;_doi&gt;10.16058/j.issn.1005-0930.2025.02.003&lt;/_doi&gt;&lt;_isbn&gt;1005-0930&lt;/_isbn&gt;&lt;_issue&gt;02&lt;/_issue&gt;&lt;_journal&gt;应用基础与工程科学学报&lt;/_journal&gt;&lt;_keywords&gt;非一致性;GAMLSS;ENE;时变矩模型;设计年径流;元江—红河;跨境水资源&lt;/_keywords&gt;&lt;_modified&gt;66509147&lt;/_modified&gt;&lt;_pages&gt;324-337&lt;/_pages&gt;&lt;_url&gt;https://link.cnki.net/doi/10.16058/j.issn.1005-0930.2025.02.003&lt;/_url&gt;&lt;_volume&gt;33&lt;/_volume&gt;&lt;_translated_author&gt;Leng, Ji wei;Ma, Kai;Li, Yun gang;He, Da ming&lt;/_translated_author&gt;&lt;_language&gt;Chinese&lt;/_language&gt;&lt;/Details&gt;&lt;Extra&gt;&lt;DBUID&gt;{F96A950B-833F-4880-A151-76DA2D6A2879}&lt;/DBUID&gt;&lt;/Extra&gt;&lt;/Item&gt;&lt;/References&gt;&lt;/Group&gt;&lt;Group&gt;&lt;References&gt;&lt;Item&gt;&lt;ID&gt;2610&lt;/ID&gt;&lt;UID&gt;{D4AD3112-9076-4E83-AF48-FBE0558BDDA8}&lt;/UID&gt;&lt;Title&gt;Frequency Analysis of River Runoff Based on GAMLSS Model&lt;/Title&gt;&lt;Template&gt;Journal Article&lt;/Template&gt;&lt;Star&gt;0&lt;/Star&gt;&lt;Tag&gt;0&lt;/Tag&gt;&lt;Author&gt;郭路&lt;/Author&gt;&lt;Year&gt;2022&lt;/Year&gt;&lt;Details&gt;&lt;_accessed&gt;66544956&lt;/_accessed&gt;&lt;_created&gt;66510331&lt;/_created&gt;&lt;_db_updated&gt;CrossRef&lt;/_db_updated&gt;&lt;_doi&gt;10.12677/JWRR.2022.113028&lt;/_doi&gt;&lt;_isbn&gt;2166-6024&lt;/_isbn&gt;&lt;_issue&gt;03&lt;/_issue&gt;&lt;_journal&gt;Journal of Water Resources Research&lt;/_journal&gt;&lt;_modified&gt;66510332&lt;/_modified&gt;&lt;_pages&gt;260-266&lt;/_pages&gt;&lt;_tertiary_title&gt;JWRR&lt;/_tertiary_title&gt;&lt;_url&gt;https://www.hanspub.org/journal/paperinformation?paperid=53482&lt;/_url&gt;&lt;_volume&gt;11&lt;/_volume&gt;&lt;_translated_author&gt;Guo, Lu&lt;/_translated_author&gt;&lt;_language&gt;English&lt;/_language&gt;&lt;/Details&gt;&lt;Extra&gt;&lt;DBUID&gt;{F96A950B-833F-4880-A151-76DA2D6A2879}&lt;/DBUID&gt;&lt;/Extra&gt;&lt;/Item&gt;&lt;/References&gt;&lt;/Group&gt;&lt;/Citation&gt;_x000a_"/>
    <w:docVar w:name="NE.Ref{17CE8073-CB08-4653-AAEF-AFFF43CC9C78}" w:val=" ADDIN NE.Ref.{17CE8073-CB08-4653-AAEF-AFFF43CC9C78}&lt;Citation&gt;&lt;Group&gt;&lt;References&gt;&lt;Item&gt;&lt;ID&gt;2596&lt;/ID&gt;&lt;UID&gt;{BE325D73-86AF-44B8-B0C5-3B11175E25B5}&lt;/UID&gt;&lt;Title&gt;大通河流域径流变化及特征分析&lt;/Title&gt;&lt;Template&gt;Journal Article&lt;/Template&gt;&lt;Star&gt;0&lt;/Star&gt;&lt;Tag&gt;0&lt;/Tag&gt;&lt;Author&gt;董军; 胡进宝; 魏国孝&lt;/Author&gt;&lt;Year&gt;2018&lt;/Year&gt;&lt;Details&gt;&lt;_accessed&gt;66509150&lt;/_accessed&gt;&lt;_created&gt;66509150&lt;/_created&gt;&lt;_modified&gt;66509150&lt;/_modified&gt;&lt;_url&gt;https://d.wanfangdata.com.cn/periodical/xbszyysgc201806011&lt;/_url&gt;&lt;_journal&gt;水资源与水工程学报&lt;/_journal&gt;&lt;_volume&gt;29&lt;/_volume&gt;&lt;_issue&gt;6&lt;/_issue&gt;&lt;_pages&gt;75-80,87&lt;/_pages&gt;&lt;_tertiary_title&gt;Journal of Water Resources and Water Engineering&lt;/_tertiary_title&gt;&lt;_doi&gt;10.11705/j.issn.1672-643X.2018.06.11&lt;/_doi&gt;&lt;_isbn&gt;1672-643X&lt;/_isbn&gt;&lt;_translated_title&gt;Analysis of runoff variation and characteristics in Datong River Basin&lt;/_translated_title&gt;&lt;_db_provider&gt;WF&lt;/_db_provider&gt;&lt;_language&gt;cn&lt;/_language&gt;&lt;_db_updated&gt;NESearch&lt;/_db_updated&gt;&lt;_collection_scope&gt;CSCD;PKU&lt;/_collection_scope&gt;&lt;_translated_author&gt;Dong, Jun;Hu, Jin bao;Wei, Guo xiao&lt;/_translated_author&gt;&lt;/Details&gt;&lt;Extra&gt;&lt;DBUID&gt;{F96A950B-833F-4880-A151-76DA2D6A2879}&lt;/DBUID&gt;&lt;/Extra&gt;&lt;/Item&gt;&lt;/References&gt;&lt;/Group&gt;&lt;/Citation&gt;_x000a_"/>
    <w:docVar w:name="NE.Ref{1CD01AB6-2FAE-4F93-ADF2-28BC7E46DEB5}" w:val=" ADDIN NE.Ref.{1CD01AB6-2FAE-4F93-ADF2-28BC7E46DEB5}&lt;Citation&gt;&lt;Group&gt;&lt;References&gt;&lt;Item&gt;&lt;ID&gt;2608&lt;/ID&gt;&lt;UID&gt;{E6DB002B-A8A7-42C0-B4C8-08AEF45F51FA}&lt;/UID&gt;&lt;Title&gt;GAMLSS-based nonstationary modeling of extreme precipitation in Beijing–Tianjin–Hebei region of China&lt;/Title&gt;&lt;Template&gt;Journal Article&lt;/Template&gt;&lt;Star&gt;0&lt;/Star&gt;&lt;Tag&gt;0&lt;/Tag&gt;&lt;Author&gt;Zhang, Dong-dong; Yan, Deng-hua; Wang, Yi-Cheng; Lu, Fan; Liu, Shao-hua&lt;/Author&gt;&lt;Year&gt;2015&lt;/Year&gt;&lt;Details&gt;&lt;_accessed&gt;66510315&lt;/_accessed&gt;&lt;_collection_scope&gt;SCIE&lt;/_collection_scope&gt;&lt;_created&gt;66510315&lt;/_created&gt;&lt;_db_updated&gt;NESearch&lt;/_db_updated&gt;&lt;_doi&gt;10.1007/s11069-015-1638-5&lt;/_doi&gt;&lt;_impact_factor&gt;   3.700&lt;/_impact_factor&gt;&lt;_isbn&gt;0921-030X&lt;/_isbn&gt;&lt;_issue&gt;2&lt;/_issue&gt;&lt;_journal&gt;Natural Hazards&lt;/_journal&gt;&lt;_language&gt;en&lt;/_language&gt;&lt;_modified&gt;66510315&lt;/_modified&gt;&lt;_pages&gt;1037-1053&lt;/_pages&gt;&lt;_social_category&gt;地球科学：综合(3) &amp;amp; 气象与大气科学(3) &amp;amp; 水资源(3)&lt;/_social_category&gt;&lt;_url&gt;http://dx.doi.org/10.1007/s11069-015-1638-5&lt;/_url&gt;&lt;_volume&gt;77&lt;/_volume&gt;&lt;/Details&gt;&lt;Extra&gt;&lt;DBUID&gt;{F96A950B-833F-4880-A151-76DA2D6A2879}&lt;/DBUID&gt;&lt;/Extra&gt;&lt;/Item&gt;&lt;/References&gt;&lt;/Group&gt;&lt;Group&gt;&lt;References&gt;&lt;Item&gt;&lt;ID&gt;2609&lt;/ID&gt;&lt;UID&gt;{E874D6BC-8444-47BB-95B9-4A22A48849EA}&lt;/UID&gt;&lt;Title&gt;Future Hydrological Drought Risk Assessment Based on Nonstationary Joint Drought Management Index&lt;/Title&gt;&lt;Template&gt;Journal Article&lt;/Template&gt;&lt;Star&gt;0&lt;/Star&gt;&lt;Tag&gt;0&lt;/Tag&gt;&lt;Author&gt;Yu, Jisoo; Kim, Tae-Woong; Park, Dong-Hyeok&lt;/Author&gt;&lt;Year&gt;2019&lt;/Year&gt;&lt;Details&gt;&lt;_accessed&gt;66510317&lt;/_accessed&gt;&lt;_collection_scope&gt;SCIE;EI&lt;/_collection_scope&gt;&lt;_created&gt;66510317&lt;/_created&gt;&lt;_db_updated&gt;NESearch&lt;/_db_updated&gt;&lt;_doi&gt;10.3390/w11030532&lt;/_doi&gt;&lt;_impact_factor&gt;   3.000&lt;/_impact_factor&gt;&lt;_isbn&gt;2073-4441&lt;/_isbn&gt;&lt;_issue&gt;3&lt;/_issue&gt;&lt;_journal&gt;Water&lt;/_journal&gt;&lt;_language&gt;en&lt;/_language&gt;&lt;_modified&gt;66510317&lt;/_modified&gt;&lt;_pages&gt;532&lt;/_pages&gt;&lt;_social_category&gt;环境科学(4) &amp;amp; 水资源(4)&lt;/_social_category&gt;&lt;_url&gt;http://dx.doi.org/10.3390/w11030532&lt;/_url&gt;&lt;_volume&gt;11&lt;/_volume&gt;&lt;/Details&gt;&lt;Extra&gt;&lt;DBUID&gt;{F96A950B-833F-4880-A151-76DA2D6A2879}&lt;/DBUID&gt;&lt;/Extra&gt;&lt;/Item&gt;&lt;/References&gt;&lt;/Group&gt;&lt;Group&gt;&lt;References&gt;&lt;Item&gt;&lt;ID&gt;2592&lt;/ID&gt;&lt;UID&gt;{60010D74-AF9F-47E2-BC10-7CC12B03E437}&lt;/UID&gt;&lt;Title&gt;Generalized Additive Models for Location, Scale and Shape&lt;/Title&gt;&lt;Template&gt;Journal Article&lt;/Template&gt;&lt;Star&gt;1&lt;/Star&gt;&lt;Tag&gt;5&lt;/Tag&gt;&lt;Author&gt;Rigby, R A; Stasinopoulos, D M&lt;/Author&gt;&lt;Year&gt;2005&lt;/Year&gt;&lt;Details&gt;&lt;_accessed&gt;66469983&lt;/_accessed&gt;&lt;_created&gt;66469983&lt;/_created&gt;&lt;_date&gt;55442880&lt;/_date&gt;&lt;_db_updated&gt;CrossRef&lt;/_db_updated&gt;&lt;_doi&gt;10.1111/j.1467-9876.2005.00510.x&lt;/_doi&gt;&lt;_impact_factor&gt;   1.300&lt;/_impact_factor&gt;&lt;_isbn&gt;0035-9254&lt;/_isbn&gt;&lt;_issue&gt;3&lt;/_issue&gt;&lt;_journal&gt;Journal of the Royal Statistical Society Series C: Applied Statistics&lt;/_journal&gt;&lt;_modified&gt;66509147&lt;/_modified&gt;&lt;_pages&gt;507-554&lt;/_pages&gt;&lt;_social_category&gt;统计学与概率论(4)&lt;/_social_category&gt;&lt;_url&gt;https://academic.oup.com/jrsssc/article/54/3/507/7113027_x000d__x000a_https://academic.oup.com/jrsssc/article-pdf/54/3/507/50016951/jrsssc_54_3_507.pdf&lt;/_url&gt;&lt;_volume&gt;54&lt;/_volume&gt;&lt;_language&gt;English&lt;/_language&gt;&lt;/Details&gt;&lt;Extra&gt;&lt;DBUID&gt;{F96A950B-833F-4880-A151-76DA2D6A2879}&lt;/DBUID&gt;&lt;/Extra&gt;&lt;/Item&gt;&lt;/References&gt;&lt;/Group&gt;&lt;/Citation&gt;_x000a_"/>
    <w:docVar w:name="NE.Ref{22AD1AAD-14BA-4077-882A-6E1F5FE6C6F7}" w:val=" ADDIN NE.Ref.{22AD1AAD-14BA-4077-882A-6E1F5FE6C6F7}&lt;Citation&gt;&lt;Group&gt;&lt;References&gt;&lt;Item&gt;&lt;ID&gt;2587&lt;/ID&gt;&lt;UID&gt;{88C6ADFE-E886-4FC8-89E2-103FF5321711}&lt;/UID&gt;&lt;Title&gt;Climate change. Stationarity is dead: whither water management?&lt;/Title&gt;&lt;Template&gt;Journal Article&lt;/Template&gt;&lt;Star&gt;0&lt;/Star&gt;&lt;Tag&gt;0&lt;/Tag&gt;&lt;Author&gt;Milly, P C D; Betancourt, Julio; Falkenmark, Malin; Hirsch, Robert M; Kundzewicz, Zbigniew W; Lettenmaier, Dennis P; Stouffer, Ronald J&lt;/Author&gt;&lt;Year&gt;2008&lt;/Year&gt;&lt;Details&gt;&lt;_accessed&gt;66413861&lt;/_accessed&gt;&lt;_created&gt;66413855&lt;/_created&gt;&lt;_modified&gt;66413861&lt;/_modified&gt;&lt;_url&gt;https://pubmed.ncbi.nlm.nih.gov/18239110&lt;/_url&gt;&lt;_place_published&gt;United States&lt;/_place_published&gt;&lt;_journal&gt;Science (New York, N.Y.)&lt;/_journal&gt;&lt;_volume&gt;319&lt;/_volume&gt;&lt;_issue&gt;5863&lt;/_issue&gt;&lt;_pages&gt;573-574&lt;/_pages&gt;&lt;_doi&gt;10.1126/science.1151915&lt;/_doi&gt;&lt;_date_display&gt;2008/02/01&lt;/_date_display&gt;&lt;_date&gt;56846880&lt;/_date&gt;&lt;_isbn&gt;1095-9203&lt;/_isbn&gt;&lt;_accession_num&gt;18239110&lt;/_accession_num&gt;&lt;_db_updated&gt;PubMed&lt;/_db_updated&gt;&lt;/Details&gt;&lt;Extra&gt;&lt;DBUID&gt;{F96A950B-833F-4880-A151-76DA2D6A2879}&lt;/DBUID&gt;&lt;/Extra&gt;&lt;/Item&gt;&lt;/References&gt;&lt;/Group&gt;&lt;/Citation&gt;_x000a_"/>
    <w:docVar w:name="NE.Ref{2482A823-FFB3-42BE-8CA8-C607EADE2547}" w:val=" ADDIN NE.Ref.{2482A823-FFB3-42BE-8CA8-C607EADE2547}&lt;Citation&gt;&lt;Group&gt;&lt;References&gt;&lt;Item&gt;&lt;ID&gt;2640&lt;/ID&gt;&lt;UID&gt;{265B048D-C821-433D-9357-8D9EA97E6805}&lt;/UID&gt;&lt;Title&gt;An introduction to ROC analysis&lt;/Title&gt;&lt;Template&gt;Journal Article&lt;/Template&gt;&lt;Star&gt;0&lt;/Star&gt;&lt;Tag&gt;0&lt;/Tag&gt;&lt;Author&gt;Fawcett, Tom&lt;/Author&gt;&lt;Year&gt;2006&lt;/Year&gt;&lt;Details&gt;&lt;_accessed&gt;66541002&lt;/_accessed&gt;&lt;_collection_scope&gt;SCIE;EI&lt;/_collection_scope&gt;&lt;_created&gt;66541002&lt;/_created&gt;&lt;_db_updated&gt;NESearch&lt;/_db_updated&gt;&lt;_doi&gt;10.1016/j.patrec.2005.10.010&lt;/_doi&gt;&lt;_impact_factor&gt;   3.300&lt;/_impact_factor&gt;&lt;_isbn&gt;0167-8655&lt;/_isbn&gt;&lt;_issue&gt;8&lt;/_issue&gt;&lt;_journal&gt;Pattern Recognition Letters&lt;/_journal&gt;&lt;_language&gt;en&lt;/_language&gt;&lt;_modified&gt;66541002&lt;/_modified&gt;&lt;_pages&gt;861-874&lt;/_pages&gt;&lt;_social_category&gt;计算机：人工智能(3)&lt;/_social_category&gt;&lt;_url&gt;http://dx.doi.org/10.1016/j.patrec.2005.10.010&lt;/_url&gt;&lt;_volume&gt;27&lt;/_volume&gt;&lt;/Details&gt;&lt;Extra&gt;&lt;DBUID&gt;{F96A950B-833F-4880-A151-76DA2D6A2879}&lt;/DBUID&gt;&lt;/Extra&gt;&lt;/Item&gt;&lt;/References&gt;&lt;/Group&gt;&lt;Group&gt;&lt;References&gt;&lt;Item&gt;&lt;ID&gt;2641&lt;/ID&gt;&lt;UID&gt;{E7369E54-9805-43B0-883D-0DE45FFB3C03}&lt;/UID&gt;&lt;Title&gt;An enhanced drought forecasting in coastal arid regions using deep learning approach with evaporation index&lt;/Title&gt;&lt;Template&gt;Journal Article&lt;/Template&gt;&lt;Star&gt;0&lt;/Star&gt;&lt;Tag&gt;0&lt;/Tag&gt;&lt;Author&gt;Moteri, Moteeb Al; Alrowais, Fadwa; Mtouaa, Wafa; Aljehane, Nojood O; Alotaibi, Saud S; Marzouk, Radwa; Hilal, Anwer Mustafa; Ahmed, Noura Abdelaziz&lt;/Author&gt;&lt;Year&gt;2024&lt;/Year&gt;&lt;Details&gt;&lt;_accessed&gt;66541003&lt;/_accessed&gt;&lt;_collection_scope&gt;SCIE;EI&lt;/_collection_scope&gt;&lt;_created&gt;66541003&lt;/_created&gt;&lt;_db_updated&gt;NESearch&lt;/_db_updated&gt;&lt;_doi&gt;10.1016/j.envres.2024.118171&lt;/_doi&gt;&lt;_impact_factor&gt;   7.700&lt;/_impact_factor&gt;&lt;_isbn&gt;0013-9351&lt;/_isbn&gt;&lt;_journal&gt;Environmental Research&lt;/_journal&gt;&lt;_language&gt;en&lt;/_language&gt;&lt;_modified&gt;66541003&lt;/_modified&gt;&lt;_pages&gt;118171&lt;/_pages&gt;&lt;_social_category&gt;环境科学(2) &amp;amp; 公共卫生、环境卫生与职业卫生(2)&lt;/_social_category&gt;&lt;_url&gt;http://dx.doi.org/10.1016/j.envres.2024.118171&lt;/_url&gt;&lt;_volume&gt;246&lt;/_volume&gt;&lt;/Details&gt;&lt;Extra&gt;&lt;DBUID&gt;{F96A950B-833F-4880-A151-76DA2D6A2879}&lt;/DBUID&gt;&lt;/Extra&gt;&lt;/Item&gt;&lt;/References&gt;&lt;/Group&gt;&lt;/Citation&gt;_x000a_"/>
    <w:docVar w:name="NE.Ref{285CF08D-4D3E-4208-B908-D3B9834BCE42}" w:val=" ADDIN NE.Ref.{285CF08D-4D3E-4208-B908-D3B9834BCE42}&lt;Citation&gt;&lt;Group&gt;&lt;References&gt;&lt;Item&gt;&lt;ID&gt;2639&lt;/ID&gt;&lt;UID&gt;{B93B8E21-F84B-4974-BBF6-C0F3A57BCF5D}&lt;/UID&gt;&lt;Title&gt;多年冻土地下水及其变化研究进展&lt;/Title&gt;&lt;Template&gt;Journal Article&lt;/Template&gt;&lt;Star&gt;0&lt;/Star&gt;&lt;Tag&gt;0&lt;/Tag&gt;&lt;Author&gt;杜发; 李宗省; 贡觉扎西; 桂娟; 周慧玲&lt;/Author&gt;&lt;Year&gt;2023&lt;/Year&gt;&lt;Details&gt;&lt;_accessed&gt;66520453&lt;/_accessed&gt;&lt;_created&gt;66520453&lt;/_created&gt;&lt;_modified&gt;66520453&lt;/_modified&gt;&lt;_url&gt;https://d.wanfangdata.com.cn/periodical/bcdt202306010&lt;/_url&gt;&lt;_journal&gt;冰川冻土&lt;/_journal&gt;&lt;_volume&gt;45&lt;/_volume&gt;&lt;_issue&gt;6&lt;/_issue&gt;&lt;_pages&gt;1789-1803&lt;/_pages&gt;&lt;_tertiary_title&gt;Journal of Glaciology and Geocryology&lt;/_tertiary_title&gt;&lt;_doi&gt;10.7522/j.issn.1000-0240.2023.0132&lt;/_doi&gt;&lt;_isbn&gt;1000-0240&lt;/_isbn&gt;&lt;_translated_title&gt;A review of research on groundwater and its evolution in permafrost regions&lt;/_translated_title&gt;&lt;_db_provider&gt;WF&lt;/_db_provider&gt;&lt;_language&gt;cn&lt;/_language&gt;&lt;_db_updated&gt;NESearch&lt;/_db_updated&gt;&lt;_collection_scope&gt;CSCD&lt;/_collection_scope&gt;&lt;_translated_author&gt;Du, Fa;Li, Zong sheng;Gong, Jue zha xi;Gui, Juan;Zhou, Hui ling&lt;/_translated_author&gt;&lt;/Details&gt;&lt;Extra&gt;&lt;DBUID&gt;{F96A950B-833F-4880-A151-76DA2D6A2879}&lt;/DBUID&gt;&lt;/Extra&gt;&lt;/Item&gt;&lt;/References&gt;&lt;/Group&gt;&lt;/Citation&gt;_x000a_"/>
    <w:docVar w:name="NE.Ref{2FB9054A-0CC4-4023-A3B4-A732F8B5E2C9}" w:val=" ADDIN NE.Ref.{2FB9054A-0CC4-4023-A3B4-A732F8B5E2C9}&lt;Citation&gt;&lt;Group&gt;&lt;References&gt;&lt;Item&gt;&lt;ID&gt;2582&lt;/ID&gt;&lt;UID&gt;{E051F659-4635-45D7-8C02-EDBAC2C7CA25}&lt;/UID&gt;&lt;Title&gt;基于GAMLSS模型的吐鲁番阿拉沟河流域非平稳水文干旱分析&lt;/Title&gt;&lt;Template&gt;Journal Article&lt;/Template&gt;&lt;Star&gt;1&lt;/Star&gt;&lt;Tag&gt;5&lt;/Tag&gt;&lt;Author&gt;朱晓钰; 穆振侠; 宋志林; 王腾; 陈龙瑶&lt;/Author&gt;&lt;Year&gt;2026&lt;/Year&gt;&lt;Details&gt;&lt;_accessed&gt;66413829&lt;/_accessed&gt;&lt;_author_adr&gt;新疆农业大学水利与土木工程学院;新疆水利工程安全与水灾害防治重点实验室;&lt;/_author_adr&gt;&lt;_collection_scope&gt;PKU&lt;/_collection_scope&gt;&lt;_created&gt;66413826&lt;/_created&gt;&lt;_db_provider&gt;CNKI&lt;/_db_provider&gt;&lt;_isbn&gt;1000-0860&lt;/_isbn&gt;&lt;_journal&gt;水利水电技术(中英文)&lt;/_journal&gt;&lt;_keywords&gt;吐鲁番盆地;水文干旱;非平稳性;GAMLSS模型;Copula函数;气候变化;降水;水资源&lt;/_keywords&gt;&lt;_modified&gt;66509147&lt;/_modified&gt;&lt;_pages&gt;1-19&lt;/_pages&gt;&lt;_url&gt;https://link.cnki.net/urlid/10.1746.TV.20260131.1610.002&lt;/_url&gt;&lt;_translated_author&gt;Zhu, Xiao yu;Mu, Zhen xia;Song, Zhi lin;Wang, Teng;Chen, Long yao&lt;/_translated_author&gt;&lt;_language&gt;Chinese&lt;/_language&gt;&lt;/Details&gt;&lt;Extra&gt;&lt;DBUID&gt;{F96A950B-833F-4880-A151-76DA2D6A2879}&lt;/DBUID&gt;&lt;/Extra&gt;&lt;/Item&gt;&lt;/References&gt;&lt;/Group&gt;&lt;/Citation&gt;_x000a_"/>
    <w:docVar w:name="NE.Ref{3706B43E-AAD4-4D6D-B4D5-C56A75C98A76}" w:val=" ADDIN NE.Ref.{3706B43E-AAD4-4D6D-B4D5-C56A75C98A76}&lt;Citation&gt;&lt;Group&gt;&lt;References&gt;&lt;Item&gt;&lt;ID&gt;2576&lt;/ID&gt;&lt;UID&gt;{75B201BC-6CF4-4183-8797-BB4AE72C689D}&lt;/UID&gt;&lt;Title&gt;Derivation of optimal scheduling strategies for large-scale inter-basin water transfer projects considering streamflow wet-dry encounter uncertainty of multiple reservoirs&lt;/Title&gt;&lt;Template&gt;Journal Article&lt;/Template&gt;&lt;Star&gt;0&lt;/Star&gt;&lt;Tag&gt;0&lt;/Tag&gt;&lt;Author&gt;Zhong, Huayu; Wu, Shuyue; Yan, Min; Fang, Guohua&lt;/Author&gt;&lt;Year&gt;2025&lt;/Year&gt;&lt;Details&gt;&lt;_accessed&gt;66413824&lt;/_accessed&gt;&lt;_collection_scope&gt;SCIE;EI&lt;/_collection_scope&gt;&lt;_created&gt;66413759&lt;/_created&gt;&lt;_db_updated&gt;CrossRef&lt;/_db_updated&gt;&lt;_doi&gt;10.1016/j.jhydrol.2025.133784&lt;/_doi&gt;&lt;_impact_factor&gt;   6.300&lt;/_impact_factor&gt;&lt;_isbn&gt;00221694&lt;/_isbn&gt;&lt;_journal&gt;Journal of Hydrology&lt;/_journal&gt;&lt;_modified&gt;66413762&lt;/_modified&gt;&lt;_pages&gt;133784&lt;/_pages&gt;&lt;_social_category&gt;工程：土木(1) &amp;amp; 地球科学：综合(1) &amp;amp; 水资源(1)&lt;/_social_category&gt;&lt;_tertiary_title&gt;Journal of Hydrology&lt;/_tertiary_title&gt;&lt;_url&gt;https://linkinghub.elsevier.com/retrieve/pii/S0022169425011229_x000d__x000a_https://api.elsevier.com/content/article/PII:S0022169425011229?httpAccept=text/xml&lt;/_url&gt;&lt;_volume&gt;662&lt;/_volume&gt;&lt;/Details&gt;&lt;Extra&gt;&lt;DBUID&gt;{F96A950B-833F-4880-A151-76DA2D6A2879}&lt;/DBUID&gt;&lt;/Extra&gt;&lt;/Item&gt;&lt;/References&gt;&lt;/Group&gt;&lt;/Citation&gt;_x000a_"/>
    <w:docVar w:name="NE.Ref{37930416-8106-438B-AB09-B3FD8B699DCF}" w:val=" ADDIN NE.Ref.{37930416-8106-438B-AB09-B3FD8B699DCF}&lt;Citation&gt;&lt;Group&gt;&lt;References&gt;&lt;Item&gt;&lt;ID&gt;2587&lt;/ID&gt;&lt;UID&gt;{88C6ADFE-E886-4FC8-89E2-103FF5321711}&lt;/UID&gt;&lt;Title&gt;Climate change. Stationarity is dead: whither water management?&lt;/Title&gt;&lt;Template&gt;Journal Article&lt;/Template&gt;&lt;Star&gt;1&lt;/Star&gt;&lt;Tag&gt;5&lt;/Tag&gt;&lt;Author&gt;Milly, P C D; Betancourt, Julio; Falkenmark, Malin; Hirsch, Robert M; Kundzewicz, Zbigniew W; Lettenmaier, Dennis P; Stouffer, Ronald J&lt;/Author&gt;&lt;Year&gt;2008&lt;/Year&gt;&lt;Details&gt;&lt;_accessed&gt;66413861&lt;/_accessed&gt;&lt;_accession_num&gt;18239110&lt;/_accession_num&gt;&lt;_created&gt;66413855&lt;/_created&gt;&lt;_date&gt;56846880&lt;/_date&gt;&lt;_date_display&gt;2008/02/01&lt;/_date_display&gt;&lt;_db_updated&gt;PubMed&lt;/_db_updated&gt;&lt;_doi&gt;10.1126/science.1151915&lt;/_doi&gt;&lt;_isbn&gt;1095-9203&lt;/_isbn&gt;&lt;_issue&gt;5863&lt;/_issue&gt;&lt;_journal&gt;Science (New York, N.Y.)&lt;/_journal&gt;&lt;_modified&gt;66509147&lt;/_modified&gt;&lt;_pages&gt;573-574&lt;/_pages&gt;&lt;_place_published&gt;United States&lt;/_place_published&gt;&lt;_url&gt;https://pubmed.ncbi.nlm.nih.gov/18239110&lt;/_url&gt;&lt;_volume&gt;319&lt;/_volume&gt;&lt;_language&gt;English&lt;/_language&gt;&lt;/Details&gt;&lt;Extra&gt;&lt;DBUID&gt;{F96A950B-833F-4880-A151-76DA2D6A2879}&lt;/DBUID&gt;&lt;/Extra&gt;&lt;/Item&gt;&lt;/References&gt;&lt;/Group&gt;&lt;Group&gt;&lt;References&gt;&lt;Item&gt;&lt;ID&gt;2588&lt;/ID&gt;&lt;UID&gt;{FA5B4F22-20AD-4C28-87C6-E8F2CC823D05}&lt;/UID&gt;&lt;Title&gt;Analysis of stationary and non-stationary hydrological extremes under a changing environment: A systematic review&lt;/Title&gt;&lt;Template&gt;Journal Article&lt;/Template&gt;&lt;Star&gt;1&lt;/Star&gt;&lt;Tag&gt;5&lt;/Tag&gt;&lt;Author&gt;Twinomuhangi, Maximo Basheija; Bamutaze, Yazidhi; Kabenge, Isa; Wanyama, Joshua; Kizza, Michael; Gabiri, Geoffrey; Egli, Pascal Emanuel&lt;/Author&gt;&lt;Year&gt;2025&lt;/Year&gt;&lt;Details&gt;&lt;_accessed&gt;66413872&lt;/_accessed&gt;&lt;_created&gt;66413871&lt;/_created&gt;&lt;_db_updated&gt;NESearch&lt;/_db_updated&gt;&lt;_doi&gt;10.1016/j.hydres.2024.12.007&lt;/_doi&gt;&lt;_isbn&gt;2589-7578&lt;/_isbn&gt;&lt;_journal&gt;HydroResearch&lt;/_journal&gt;&lt;_language&gt;en&lt;/_language&gt;&lt;_modified&gt;66509147&lt;/_modified&gt;&lt;_pages&gt;332-350&lt;/_pages&gt;&lt;_url&gt;https://doi.org/10.1016/j.hydres.2024.12.007&lt;/_url&gt;&lt;_volume&gt;8&lt;/_volume&gt;&lt;/Details&gt;&lt;Extra&gt;&lt;DBUID&gt;{F96A950B-833F-4880-A151-76DA2D6A2879}&lt;/DBUID&gt;&lt;/Extra&gt;&lt;/Item&gt;&lt;/References&gt;&lt;/Group&gt;&lt;Group&gt;&lt;References&gt;&lt;Item&gt;&lt;ID&gt;2590&lt;/ID&gt;&lt;UID&gt;{108373ED-9A70-4A13-95FC-F23E6318AC04}&lt;/UID&gt;&lt;Title&gt;Assessment of dynamic hydrological drought risk from a non‐stationary perspective&lt;/Title&gt;&lt;Template&gt;Journal Article&lt;/Template&gt;&lt;Star&gt;1&lt;/Star&gt;&lt;Tag&gt;5&lt;/Tag&gt;&lt;Author&gt;Chen, Chen; Peng, Tao; Singh, Vijay P; Wang, Youxin; Zhang, Te; Dong, Xiaohua; Lin, Qingxia; Guo, Jiali; Liu, Ji; Fan, Tianyi; Wang, Gaoxu&lt;/Author&gt;&lt;Year&gt;2024&lt;/Year&gt;&lt;Details&gt;&lt;_accessed&gt;66470011&lt;/_accessed&gt;&lt;_collection_scope&gt;SCIE;EI&lt;/_collection_scope&gt;&lt;_created&gt;66413896&lt;/_created&gt;&lt;_db_updated&gt;NESearch&lt;/_db_updated&gt;&lt;_doi&gt;10.1002/hyp.15267&lt;/_doi&gt;&lt;_impact_factor&gt;   2.900&lt;/_impact_factor&gt;&lt;_isbn&gt;0885-6087&lt;/_isbn&gt;&lt;_issue&gt;8&lt;/_issue&gt;&lt;_journal&gt;Hydrological Processes&lt;/_journal&gt;&lt;_language&gt;en&lt;/_language&gt;&lt;_modified&gt;66509147&lt;/_modified&gt;&lt;_social_category&gt;水资源(3)&lt;/_social_category&gt;&lt;_url&gt;https://doi.org/10.1002/hyp.15267&lt;/_url&gt;&lt;_volume&gt;38&lt;/_volume&gt;&lt;/Details&gt;&lt;Extra&gt;&lt;DBUID&gt;{F96A950B-833F-4880-A151-76DA2D6A2879}&lt;/DBUID&gt;&lt;/Extra&gt;&lt;/Item&gt;&lt;/References&gt;&lt;/Group&gt;&lt;Group&gt;&lt;References&gt;&lt;Item&gt;&lt;ID&gt;2603&lt;/ID&gt;&lt;UID&gt;{24A45F0A-2FDB-4B86-9E8B-4B04422F65F4}&lt;/UID&gt;&lt;Title&gt;Temporal changes in the frequency of flood types and their impact on flood statistics&lt;/Title&gt;&lt;Template&gt;Journal Article&lt;/Template&gt;&lt;Star&gt;0&lt;/Star&gt;&lt;Tag&gt;0&lt;/Tag&gt;&lt;Author&gt;Fischer, Svenja; Schumann, Andreas H&lt;/Author&gt;&lt;Year&gt;2024&lt;/Year&gt;&lt;Details&gt;&lt;_accessed&gt;66510277&lt;/_accessed&gt;&lt;_created&gt;66510277&lt;/_created&gt;&lt;_modified&gt;66510277&lt;/_modified&gt;&lt;_url&gt;http://dx.doi.org/10.1016/j.hydroa.2024.100171&lt;/_url&gt;&lt;_journal&gt;Journal of Hydrology X&lt;/_journal&gt;&lt;_volume&gt;22&lt;/_volume&gt;&lt;_pages&gt;100171&lt;/_pages&gt;&lt;_doi&gt;10.1016/j.hydroa.2024.100171&lt;/_doi&gt;&lt;_isbn&gt;2589-9155&lt;/_isbn&gt;&lt;_language&gt;en&lt;/_language&gt;&lt;_db_updated&gt;NESearch&lt;/_db_updated&gt;&lt;_impact_factor&gt;   3.100&lt;/_impact_factor&gt;&lt;_social_category&gt;水资源(3) &amp;amp; 地球科学：综合(4)&lt;/_social_category&gt;&lt;_collection_scope&gt;ESCI;EI&lt;/_collection_scope&gt;&lt;/Details&gt;&lt;Extra&gt;&lt;DBUID&gt;{F96A950B-833F-4880-A151-76DA2D6A2879}&lt;/DBUID&gt;&lt;/Extra&gt;&lt;/Item&gt;&lt;/References&gt;&lt;/Group&gt;&lt;Group&gt;&lt;References&gt;&lt;Item&gt;&lt;ID&gt;2604&lt;/ID&gt;&lt;UID&gt;{8394CB9C-1694-4C34-8105-BDD1F426CAA4}&lt;/UID&gt;&lt;Title&gt;Stationarity is undead: Uncertainty dominates the distribution of extremes&lt;/Title&gt;&lt;Template&gt;Journal Article&lt;/Template&gt;&lt;Star&gt;0&lt;/Star&gt;&lt;Tag&gt;0&lt;/Tag&gt;&lt;Author&gt;Serinaldi, Francesco; Kilsby, Chris G&lt;/Author&gt;&lt;Year&gt;2015&lt;/Year&gt;&lt;Details&gt;&lt;_accessed&gt;66510279&lt;/_accessed&gt;&lt;_created&gt;66510278&lt;/_created&gt;&lt;_modified&gt;66510279&lt;/_modified&gt;&lt;_url&gt;http://dx.doi.org/10.1016/j.advwatres.2014.12.013&lt;/_url&gt;&lt;_journal&gt;Advances in Water Resources&lt;/_journal&gt;&lt;_volume&gt;77&lt;/_volume&gt;&lt;_pages&gt;17-36&lt;/_pages&gt;&lt;_doi&gt;10.1016/j.advwatres.2014.12.013&lt;/_doi&gt;&lt;_isbn&gt;0309-1708&lt;/_isbn&gt;&lt;_language&gt;en&lt;/_language&gt;&lt;_db_updated&gt;NESearch&lt;/_db_updated&gt;&lt;_impact_factor&gt;   4.200&lt;/_impact_factor&gt;&lt;_social_category&gt;水资源(2)&lt;/_social_category&gt;&lt;_collection_scope&gt;SCIE;EI&lt;/_collection_scope&gt;&lt;/Details&gt;&lt;Extra&gt;&lt;DBUID&gt;{F96A950B-833F-4880-A151-76DA2D6A2879}&lt;/DBUID&gt;&lt;/Extra&gt;&lt;/Item&gt;&lt;/References&gt;&lt;/Group&gt;&lt;/Citation&gt;_x000a_"/>
    <w:docVar w:name="NE.Ref{3BCA9105-B143-4E4A-A5EB-CC75E40FEE51}" w:val=" ADDIN NE.Ref.{3BCA9105-B143-4E4A-A5EB-CC75E40FEE51}&lt;Citation&gt;&lt;Group&gt;&lt;References&gt;&lt;Item&gt;&lt;ID&gt;2595&lt;/ID&gt;&lt;UID&gt;{70D25F11-EE26-486D-A493-21CAB3E48DA3}&lt;/UID&gt;&lt;Title&gt;Exploring optimal joint operating rules for large-scale inter-basin water transfer projects with multiple water sources, diversion routes, and water demand areas&lt;/Title&gt;&lt;Template&gt;Journal Article&lt;/Template&gt;&lt;Star&gt;1&lt;/Star&gt;&lt;Tag&gt;5&lt;/Tag&gt;&lt;Author&gt;Zhong, Huayu; Liao, Tao; Fang, Guohua; Ren, Kang; Zhang, Shiwei&lt;/Author&gt;&lt;Year&gt;2023&lt;/Year&gt;&lt;Details&gt;&lt;_accessed&gt;66470011&lt;/_accessed&gt;&lt;_created&gt;66470011&lt;/_created&gt;&lt;_db_updated&gt;CrossRef&lt;/_db_updated&gt;&lt;_doi&gt;10.1016/j.ejrh.2023.101504&lt;/_doi&gt;&lt;_impact_factor&gt;   5.000&lt;/_impact_factor&gt;&lt;_isbn&gt;22145818&lt;/_isbn&gt;&lt;_journal&gt;Journal of Hydrology: Regional Studies&lt;/_journal&gt;&lt;_modified&gt;66509147&lt;/_modified&gt;&lt;_pages&gt;101504&lt;/_pages&gt;&lt;_tertiary_title&gt;Journal of Hydrology: Regional Studies&lt;/_tertiary_title&gt;&lt;_url&gt;https://linkinghub.elsevier.com/retrieve/pii/S221458182300191X_x000d__x000a_https://api.elsevier.com/content/article/PII:S221458182300191X?httpAccept=text/xml&lt;/_url&gt;&lt;_volume&gt;49&lt;/_volume&gt;&lt;_language&gt;English&lt;/_language&gt;&lt;/Details&gt;&lt;Extra&gt;&lt;DBUID&gt;{F96A950B-833F-4880-A151-76DA2D6A2879}&lt;/DBUID&gt;&lt;/Extra&gt;&lt;/Item&gt;&lt;/References&gt;&lt;/Group&gt;&lt;Group&gt;&lt;References&gt;&lt;Item&gt;&lt;ID&gt;2611&lt;/ID&gt;&lt;UID&gt;{D898DB78-0AB7-4FDA-9AFA-220E932016CC}&lt;/UID&gt;&lt;Title&gt;On inclusion of water resource management in Earth system models – Part 1: Problem definition and representation of water demand&lt;/Title&gt;&lt;Template&gt;Journal Article&lt;/Template&gt;&lt;Star&gt;0&lt;/Star&gt;&lt;Tag&gt;0&lt;/Tag&gt;&lt;Author&gt;Nazemi, A; Wheater, H S&lt;/Author&gt;&lt;Year&gt;2015&lt;/Year&gt;&lt;Details&gt;&lt;_accessed&gt;66510337&lt;/_accessed&gt;&lt;_collection_scope&gt;SCIE;EI&lt;/_collection_scope&gt;&lt;_created&gt;66510337&lt;/_created&gt;&lt;_db_updated&gt;NESearch&lt;/_db_updated&gt;&lt;_doi&gt;10.5194/hess-19-33-2015&lt;/_doi&gt;&lt;_impact_factor&gt;   5.800&lt;/_impact_factor&gt;&lt;_isbn&gt;1607-7938&lt;/_isbn&gt;&lt;_issue&gt;1&lt;/_issue&gt;&lt;_journal&gt;Hydrology and Earth System Sciences&lt;/_journal&gt;&lt;_language&gt;en&lt;/_language&gt;&lt;_modified&gt;66510337&lt;/_modified&gt;&lt;_pages&gt;33-61&lt;/_pages&gt;&lt;_social_category&gt;水资源(1) &amp;amp; 地球科学：综合(2)&lt;/_social_category&gt;&lt;_url&gt;http://dx.doi.org/10.5194/hess-19-33-2015&lt;/_url&gt;&lt;_volume&gt;19&lt;/_volume&gt;&lt;/Details&gt;&lt;Extra&gt;&lt;DBUID&gt;{F96A950B-833F-4880-A151-76DA2D6A2879}&lt;/DBUID&gt;&lt;/Extra&gt;&lt;/Item&gt;&lt;/References&gt;&lt;/Group&gt;&lt;Group&gt;&lt;References&gt;&lt;Item&gt;&lt;ID&gt;2612&lt;/ID&gt;&lt;UID&gt;{EE98D286-3E10-49B2-8224-45434366400D}&lt;/UID&gt;&lt;Title&gt;On inclusion of water resource management in Earth system models – Part 2: Representation of water supply and allocation and opportunities for improved modeling&lt;/Title&gt;&lt;Template&gt;Journal Article&lt;/Template&gt;&lt;Star&gt;0&lt;/Star&gt;&lt;Tag&gt;0&lt;/Tag&gt;&lt;Author&gt;Nazemi, A; Wheater, H S&lt;/Author&gt;&lt;Year&gt;2015&lt;/Year&gt;&lt;Details&gt;&lt;_accessed&gt;66510586&lt;/_accessed&gt;&lt;_collection_scope&gt;SCIE;EI&lt;/_collection_scope&gt;&lt;_created&gt;66510340&lt;/_created&gt;&lt;_db_updated&gt;NESearch&lt;/_db_updated&gt;&lt;_doi&gt;10.5194/hess-19-63-2015&lt;/_doi&gt;&lt;_impact_factor&gt;   5.800&lt;/_impact_factor&gt;&lt;_isbn&gt;1607-7938&lt;/_isbn&gt;&lt;_issue&gt;1&lt;/_issue&gt;&lt;_journal&gt;Hydrology and Earth System Sciences&lt;/_journal&gt;&lt;_language&gt;en&lt;/_language&gt;&lt;_modified&gt;66510586&lt;/_modified&gt;&lt;_pages&gt;63-90&lt;/_pages&gt;&lt;_social_category&gt;水资源(1) &amp;amp; 地球科学：综合(2)&lt;/_social_category&gt;&lt;_url&gt;http://dx.doi.org/10.5194/hess-19-63-2015&lt;/_url&gt;&lt;_volume&gt;19&lt;/_volume&gt;&lt;/Details&gt;&lt;Extra&gt;&lt;DBUID&gt;{F96A950B-833F-4880-A151-76DA2D6A2879}&lt;/DBUID&gt;&lt;/Extra&gt;&lt;/Item&gt;&lt;/References&gt;&lt;/Group&gt;&lt;/Citation&gt;_x000a_"/>
    <w:docVar w:name="NE.Ref{3F4A51BF-505A-439B-B904-5DBE89B24855}" w:val=" ADDIN NE.Ref.{3F4A51BF-505A-439B-B904-5DBE89B24855}&lt;Citation&gt;&lt;Group&gt;&lt;References&gt;&lt;Item&gt;&lt;ID&gt;2592&lt;/ID&gt;&lt;UID&gt;{60010D74-AF9F-47E2-BC10-7CC12B03E437}&lt;/UID&gt;&lt;Title&gt;Generalized Additive Models for Location, Scale and Shape&lt;/Title&gt;&lt;Template&gt;Journal Article&lt;/Template&gt;&lt;Star&gt;0&lt;/Star&gt;&lt;Tag&gt;0&lt;/Tag&gt;&lt;Author&gt;Rigby, R A; Stasinopoulos, D M&lt;/Author&gt;&lt;Year&gt;2005&lt;/Year&gt;&lt;Details&gt;&lt;_doi&gt;10.1111/j.1467-9876.2005.00510.x&lt;/_doi&gt;&lt;_accessed&gt;66469983&lt;/_accessed&gt;&lt;_created&gt;66469983&lt;/_created&gt;&lt;_modified&gt;66469983&lt;/_modified&gt;&lt;_url&gt;https://academic.oup.com/jrsssc/article/54/3/507/7113027_x000d__x000a_https://academic.oup.com/jrsssc/article-pdf/54/3/507/50016951/jrsssc_54_3_507.pdf&lt;/_url&gt;&lt;_journal&gt;Journal of the Royal Statistical Society Series C: Applied Statistics&lt;/_journal&gt;&lt;_volume&gt;54&lt;/_volume&gt;&lt;_issue&gt;3&lt;/_issue&gt;&lt;_pages&gt;507-554&lt;/_pages&gt;&lt;_date&gt;55442880&lt;/_date&gt;&lt;_isbn&gt;0035-9254&lt;/_isbn&gt;&lt;_db_updated&gt;CrossRef&lt;/_db_updated&gt;&lt;_impact_factor&gt;   1.300&lt;/_impact_factor&gt;&lt;_social_category&gt;统计学与概率论(4)&lt;/_social_category&gt;&lt;/Details&gt;&lt;Extra&gt;&lt;DBUID&gt;{F96A950B-833F-4880-A151-76DA2D6A2879}&lt;/DBUID&gt;&lt;/Extra&gt;&lt;/Item&gt;&lt;/References&gt;&lt;/Group&gt;&lt;/Citation&gt;_x000a_"/>
    <w:docVar w:name="NE.Ref{437B2CDC-4FAF-4E40-8043-BF78982A639D}" w:val=" ADDIN NE.Ref.{437B2CDC-4FAF-4E40-8043-BF78982A639D}&lt;Citation&gt;&lt;Group&gt;&lt;References&gt;&lt;Item&gt;&lt;ID&gt;2617&lt;/ID&gt;&lt;UID&gt;{A758BE44-84F5-4FFF-98C7-BFCE6899B50D}&lt;/UID&gt;&lt;Title&gt;Bivariate drought frequency analysis using the copula method&lt;/Title&gt;&lt;Template&gt;Journal Article&lt;/Template&gt;&lt;Star&gt;0&lt;/Star&gt;&lt;Tag&gt;0&lt;/Tag&gt;&lt;Author&gt;Mirabbasi, Rasoul; Fakheri-Fard, Ahmad; Dinpashoh, Yagob&lt;/Author&gt;&lt;Year&gt;2011&lt;/Year&gt;&lt;Details&gt;&lt;_accessed&gt;66510363&lt;/_accessed&gt;&lt;_created&gt;66510363&lt;/_created&gt;&lt;_modified&gt;66510363&lt;/_modified&gt;&lt;_url&gt;http://dx.doi.org/10.1007/s00704-011-0524-7&lt;/_url&gt;&lt;_journal&gt;Theoretical and Applied Climatology&lt;/_journal&gt;&lt;_volume&gt;108&lt;/_volume&gt;&lt;_issue&gt;1-2&lt;/_issue&gt;&lt;_pages&gt;191-206&lt;/_pages&gt;&lt;_doi&gt;10.1007/s00704-011-0524-7&lt;/_doi&gt;&lt;_isbn&gt;0177-798X&lt;/_isbn&gt;&lt;_language&gt;en&lt;/_language&gt;&lt;_db_updated&gt;NESearch&lt;/_db_updated&gt;&lt;_impact_factor&gt;   2.700&lt;/_impact_factor&gt;&lt;_social_category&gt;气象与大气科学(4)&lt;/_social_category&gt;&lt;_collection_scope&gt;SCIE&lt;/_collection_scope&gt;&lt;/Details&gt;&lt;Extra&gt;&lt;DBUID&gt;{F96A950B-833F-4880-A151-76DA2D6A2879}&lt;/DBUID&gt;&lt;/Extra&gt;&lt;/Item&gt;&lt;/References&gt;&lt;/Group&gt;&lt;/Citation&gt;_x000a_"/>
    <w:docVar w:name="NE.Ref{4B11D399-F0D2-424D-BCB3-9CCC33EFF2A4}" w:val=" ADDIN NE.Ref.{4B11D399-F0D2-424D-BCB3-9CCC33EFF2A4}&lt;Citation&gt;&lt;Group&gt;&lt;References&gt;&lt;Item&gt;&lt;ID&gt;2593&lt;/ID&gt;&lt;UID&gt;{DC238526-412F-4E26-8E0E-EAE99722E6D8}&lt;/UID&gt;&lt;Title&gt;Copula函数在水文水资源中的研究进展与述评&lt;/Title&gt;&lt;Template&gt;Journal Article&lt;/Template&gt;&lt;Star&gt;1&lt;/Star&gt;&lt;Tag&gt;5&lt;/Tag&gt;&lt;Author&gt;刘章君; 郭生练; 许新发; 许世超; 成静清&lt;/Author&gt;&lt;Year&gt;2021&lt;/Year&gt;&lt;Details&gt;&lt;_accessed&gt;66469999&lt;/_accessed&gt;&lt;_collection_scope&gt;CSCD;EI;PKU&lt;/_collection_scope&gt;&lt;_created&gt;66469999&lt;/_created&gt;&lt;_db_provider&gt;WF&lt;/_db_provider&gt;&lt;_db_updated&gt;NESearch&lt;/_db_updated&gt;&lt;_doi&gt;10.14042/j.cnki.32.1309.2021.01.015&lt;/_doi&gt;&lt;_isbn&gt;1001-6791&lt;/_isbn&gt;&lt;_issue&gt;1&lt;/_issue&gt;&lt;_journal&gt;水科学进展&lt;/_journal&gt;&lt;_language&gt;cn&lt;/_language&gt;&lt;_modified&gt;66509147&lt;/_modified&gt;&lt;_pages&gt;148-159&lt;/_pages&gt;&lt;_tertiary_title&gt;Advances in Water Science&lt;/_tertiary_title&gt;&lt;_translated_title&gt;Application of Copula functions in hydrology and water resources:a state-of-the-art review&lt;/_translated_title&gt;&lt;_url&gt;https://d.wanfangdata.com.cn/periodical/skxjz202101015&lt;/_url&gt;&lt;_volume&gt;32&lt;/_volume&gt;&lt;_translated_author&gt;Liu, Zhang jun;Guo, Sheng lian;Xu, Xin fa;Xu, Shi chao;Cheng, Jing qing&lt;/_translated_author&gt;&lt;/Details&gt;&lt;Extra&gt;&lt;DBUID&gt;{F96A950B-833F-4880-A151-76DA2D6A2879}&lt;/DBUID&gt;&lt;/Extra&gt;&lt;/Item&gt;&lt;/References&gt;&lt;/Group&gt;&lt;Group&gt;&lt;References&gt;&lt;Item&gt;&lt;ID&gt;2594&lt;/ID&gt;&lt;UID&gt;{5A5451E4-3CFD-4940-AC0A-99EB9C7B7848}&lt;/UID&gt;&lt;Title&gt;基于Vine Copula的非一致性水文干旱动态风险评估模型&lt;/Title&gt;&lt;Template&gt;Journal Article&lt;/Template&gt;&lt;Star&gt;1&lt;/Star&gt;&lt;Tag&gt;5&lt;/Tag&gt;&lt;Author&gt;张润; 陈伏龙; 何朝飞; 徐雪雯; 周磊&lt;/Author&gt;&lt;Year&gt;2026&lt;/Year&gt;&lt;Details&gt;&lt;_accessed&gt;66470003&lt;/_accessed&gt;&lt;_author_adr&gt;石河子大学水利建筑工程学院;寒旱区生态水利工程兵团重点实验室;&lt;/_author_adr&gt;&lt;_collection_scope&gt;CSCD;EI;PKU&lt;/_collection_scope&gt;&lt;_created&gt;66470002&lt;/_created&gt;&lt;_db_provider&gt;CNKI&lt;/_db_provider&gt;&lt;_db_updated&gt;CNKI - Reference&lt;/_db_updated&gt;&lt;_isbn&gt;1002-6819&lt;/_isbn&gt;&lt;_issue&gt;05&lt;/_issue&gt;&lt;_journal&gt;农业工程学报&lt;/_journal&gt;&lt;_keywords&gt;水文干旱;非一致性;广义可加模型;Vine Copula;风险评估;和田河流域&lt;/_keywords&gt;&lt;_modified&gt;66509147&lt;/_modified&gt;&lt;_pages&gt;147-157&lt;/_pages&gt;&lt;_url&gt;https://link.cnki.net/urlid/11.2047.s.20260310.1659.018&lt;/_url&gt;&lt;_volume&gt;42&lt;/_volume&gt;&lt;_translated_author&gt;Zhang, Run;Chen, Fu long;He, Chao fei;Xu, Xue wen;Zhou, Lei&lt;/_translated_author&gt;&lt;_language&gt;Chinese&lt;/_language&gt;&lt;/Details&gt;&lt;Extra&gt;&lt;DBUID&gt;{F96A950B-833F-4880-A151-76DA2D6A2879}&lt;/DBUID&gt;&lt;/Extra&gt;&lt;/Item&gt;&lt;/References&gt;&lt;/Group&gt;&lt;Group&gt;&lt;References&gt;&lt;Item&gt;&lt;ID&gt;2614&lt;/ID&gt;&lt;UID&gt;{22F62A66-488D-47C5-8523-8FDFB6F872DB}&lt;/UID&gt;&lt;Title&gt;Bivariate drought frequency analysis using the copula method&lt;/Title&gt;&lt;Template&gt;Journal Article&lt;/Template&gt;&lt;Star&gt;0&lt;/Star&gt;&lt;Tag&gt;0&lt;/Tag&gt;&lt;Author&gt;Mirabbasi, Rasoul; Fakheri-Fard, Ahmad; Dinpashoh, Yagob&lt;/Author&gt;&lt;Year&gt;2011&lt;/Year&gt;&lt;Details&gt;&lt;_accessed&gt;66510345&lt;/_accessed&gt;&lt;_collection_scope&gt;SCIE&lt;/_collection_scope&gt;&lt;_created&gt;66510345&lt;/_created&gt;&lt;_db_updated&gt;NESearch&lt;/_db_updated&gt;&lt;_doi&gt;10.1007/s00704-011-0524-7&lt;/_doi&gt;&lt;_impact_factor&gt;   2.700&lt;/_impact_factor&gt;&lt;_isbn&gt;0177-798X&lt;/_isbn&gt;&lt;_issue&gt;1-2&lt;/_issue&gt;&lt;_journal&gt;Theoretical and Applied Climatology&lt;/_journal&gt;&lt;_language&gt;en&lt;/_language&gt;&lt;_modified&gt;66510345&lt;/_modified&gt;&lt;_pages&gt;191-206&lt;/_pages&gt;&lt;_social_category&gt;气象与大气科学(4)&lt;/_social_category&gt;&lt;_url&gt;http://dx.doi.org/10.1007/s00704-011-0524-7&lt;/_url&gt;&lt;_volume&gt;108&lt;/_volume&gt;&lt;/Details&gt;&lt;Extra&gt;&lt;DBUID&gt;{F96A950B-833F-4880-A151-76DA2D6A2879}&lt;/DBUID&gt;&lt;/Extra&gt;&lt;/Item&gt;&lt;/References&gt;&lt;/Group&gt;&lt;/Citation&gt;_x000a_"/>
    <w:docVar w:name="NE.Ref{4C333A63-7417-4ED5-862B-D22481A08C73}" w:val=" ADDIN NE.Ref.{4C333A63-7417-4ED5-862B-D22481A08C73}&lt;Citation&gt;&lt;Group&gt;&lt;References&gt;&lt;Item&gt;&lt;ID&gt;2596&lt;/ID&gt;&lt;UID&gt;{BE325D73-86AF-44B8-B0C5-3B11175E25B5}&lt;/UID&gt;&lt;Title&gt;大通河流域径流变化及特征分析&lt;/Title&gt;&lt;Template&gt;Journal Article&lt;/Template&gt;&lt;Star&gt;0&lt;/Star&gt;&lt;Tag&gt;0&lt;/Tag&gt;&lt;Author&gt;董军; 胡进宝; 魏国孝&lt;/Author&gt;&lt;Year&gt;2018&lt;/Year&gt;&lt;Details&gt;&lt;_accessed&gt;66509150&lt;/_accessed&gt;&lt;_collection_scope&gt;CSCD;PKU&lt;/_collection_scope&gt;&lt;_created&gt;66509150&lt;/_created&gt;&lt;_db_provider&gt;WF&lt;/_db_provider&gt;&lt;_db_updated&gt;NESearch&lt;/_db_updated&gt;&lt;_doi&gt;10.11705/j.issn.1672-643X.2018.06.11&lt;/_doi&gt;&lt;_isbn&gt;1672-643X&lt;/_isbn&gt;&lt;_issue&gt;6&lt;/_issue&gt;&lt;_journal&gt;水资源与水工程学报&lt;/_journal&gt;&lt;_language&gt;cn&lt;/_language&gt;&lt;_modified&gt;66509150&lt;/_modified&gt;&lt;_pages&gt;75-80,87&lt;/_pages&gt;&lt;_tertiary_title&gt;Journal of Water Resources and Water Engineering&lt;/_tertiary_title&gt;&lt;_translated_title&gt;Analysis of runoff variation and characteristics in Datong River Basin&lt;/_translated_title&gt;&lt;_url&gt;https://d.wanfangdata.com.cn/periodical/xbszyysgc201806011&lt;/_url&gt;&lt;_volume&gt;29&lt;/_volume&gt;&lt;_translated_author&gt;Dong, Jun;Hu, Jin bao;Wei, Guo xiao&lt;/_translated_author&gt;&lt;/Details&gt;&lt;Extra&gt;&lt;DBUID&gt;{F96A950B-833F-4880-A151-76DA2D6A2879}&lt;/DBUID&gt;&lt;/Extra&gt;&lt;/Item&gt;&lt;/References&gt;&lt;/Group&gt;&lt;/Citation&gt;_x000a_"/>
    <w:docVar w:name="NE.Ref{4CD7ADAF-7283-4A4F-B9A8-34027E04E7CD}" w:val=" ADDIN NE.Ref.{4CD7ADAF-7283-4A4F-B9A8-34027E04E7CD}&lt;Citation&gt;&lt;Group&gt;&lt;References&gt;&lt;Item&gt;&lt;ID&gt;2625&lt;/ID&gt;&lt;UID&gt;{9DB353D6-C945-40B3-8FC2-1106EF69A12F}&lt;/UID&gt;&lt;Title&gt;Spatial distribution and temporal variation of drought in Inner Mongolia during 1901–2014 using Standardized Precipitation Evapotranspiration Index&lt;/Title&gt;&lt;Template&gt;Journal Article&lt;/Template&gt;&lt;Star&gt;0&lt;/Star&gt;&lt;Tag&gt;0&lt;/Tag&gt;&lt;Author&gt;Wang, Yongfang; Liu, Guixiang; Guo, Enliang&lt;/Author&gt;&lt;Year&gt;2019&lt;/Year&gt;&lt;Details&gt;&lt;_accessed&gt;66510581&lt;/_accessed&gt;&lt;_collection_scope&gt;SCIE;EI&lt;/_collection_scope&gt;&lt;_created&gt;66510580&lt;/_created&gt;&lt;_db_updated&gt;CrossRef&lt;/_db_updated&gt;&lt;_doi&gt;10.1016/j.scitotenv.2018.10.425&lt;/_doi&gt;&lt;_impact_factor&gt;   8.000&lt;/_impact_factor&gt;&lt;_isbn&gt;00489697&lt;/_isbn&gt;&lt;_journal&gt;Science of The Total Environment&lt;/_journal&gt;&lt;_modified&gt;66510581&lt;/_modified&gt;&lt;_pages&gt;850-862&lt;/_pages&gt;&lt;_social_category&gt;环境科学(2)&lt;/_social_category&gt;&lt;_tertiary_title&gt;Science of The Total Environment&lt;/_tertiary_title&gt;&lt;_url&gt;https://linkinghub.elsevier.com/retrieve/pii/S0048969718343250_x000d__x000a_https://api.elsevier.com/content/article/PII:S0048969718343250?httpAccept=text/xml&lt;/_url&gt;&lt;_volume&gt;654&lt;/_volume&gt;&lt;_language&gt;English&lt;/_language&gt;&lt;/Details&gt;&lt;Extra&gt;&lt;DBUID&gt;{F96A950B-833F-4880-A151-76DA2D6A2879}&lt;/DBUID&gt;&lt;/Extra&gt;&lt;/Item&gt;&lt;/References&gt;&lt;/Group&gt;&lt;Group&gt;&lt;References&gt;&lt;Item&gt;&lt;ID&gt;2626&lt;/ID&gt;&lt;UID&gt;{AA413736-A734-4AB1-BD9F-E99E25DF67FF}&lt;/UID&gt;&lt;Title&gt;Validação da SPEIbase para a Região Sudeste Brasileira&lt;/Title&gt;&lt;Template&gt;Journal Article&lt;/Template&gt;&lt;Star&gt;0&lt;/Star&gt;&lt;Tag&gt;0&lt;/Tag&gt;&lt;Author&gt;Mariani, Ruth Venturini; Lyra, Gustavo Bastos; Abreu, Marcel Carvalho; Santos, Janaina Cassiano Dos&lt;/Author&gt;&lt;Year&gt;2024&lt;/Year&gt;&lt;Details&gt;&lt;_accessed&gt;66510582&lt;/_accessed&gt;&lt;_created&gt;66510582&lt;/_created&gt;&lt;_db_updated&gt;CrossRef&lt;/_db_updated&gt;&lt;_doi&gt;10.1590/0102-77863910056&lt;/_doi&gt;&lt;_isbn&gt;0102-7786&lt;/_isbn&gt;&lt;_journal&gt;Revista Brasileira de Meteorologia&lt;/_journal&gt;&lt;_modified&gt;66510582&lt;/_modified&gt;&lt;_pages&gt;e339230056&lt;/_pages&gt;&lt;_tertiary_title&gt;Rev. bras. meteorol.&lt;/_tertiary_title&gt;&lt;_url&gt;http://www.scielo.br/scielo.php?script=sci_arttext&amp;amp;pid=S0102-77862024000100203&amp;amp;tlng=pt_x000d__x000a_http://www.scielo.br/scielo.php?script=sci_pdf&amp;amp;pid=S0102-77862024000100203&amp;amp;tlng=pt&lt;/_url&gt;&lt;_volume&gt;39&lt;/_volume&gt;&lt;_language&gt;English&lt;/_language&gt;&lt;/Details&gt;&lt;Extra&gt;&lt;DBUID&gt;{F96A950B-833F-4880-A151-76DA2D6A2879}&lt;/DBUID&gt;&lt;/Extra&gt;&lt;/Item&gt;&lt;/References&gt;&lt;/Group&gt;&lt;Group&gt;&lt;References&gt;&lt;Item&gt;&lt;ID&gt;2627&lt;/ID&gt;&lt;UID&gt;{EC2C9E06-3BC0-40EB-9B03-F99811786C4D}&lt;/UID&gt;&lt;Title&gt;Application of SPEI index in drought evolution in southwest China&lt;/Title&gt;&lt;Template&gt;Journal Article&lt;/Template&gt;&lt;Star&gt;0&lt;/Star&gt;&lt;Tag&gt;0&lt;/Tag&gt;&lt;Author&gt;Fu, Baowei; Jing, Juanli&lt;/Author&gt;&lt;Year&gt;2024&lt;/Year&gt;&lt;Details&gt;&lt;_accessed&gt;66510660&lt;/_accessed&gt;&lt;_created&gt;66510583&lt;/_created&gt;&lt;_db_updated&gt;NESearch&lt;/_db_updated&gt;&lt;_doi&gt;10.1117/12.3035513&lt;/_doi&gt;&lt;_journal&gt;Fifth International Conference on Geology, Mapping, and Remote Sensing (ICGMRS 2024)&lt;/_journal&gt;&lt;_modified&gt;66510660&lt;/_modified&gt;&lt;_pages&gt;36&lt;/_pages&gt;&lt;_url&gt;https://doi.org/10.1117/12.3035513&lt;/_url&gt;&lt;_language&gt;English&lt;/_language&gt;&lt;/Details&gt;&lt;Extra&gt;&lt;DBUID&gt;{F96A950B-833F-4880-A151-76DA2D6A2879}&lt;/DBUID&gt;&lt;/Extra&gt;&lt;/Item&gt;&lt;/References&gt;&lt;/Group&gt;&lt;Group&gt;&lt;References&gt;&lt;Item&gt;&lt;ID&gt;2629&lt;/ID&gt;&lt;UID&gt;{C30DD465-AF84-43C4-9CCB-A778B79F04F2}&lt;/UID&gt;&lt;Title&gt;The spatiotemporal dynamics of drought and the cumulative impact on vegetation phenology in the Mongolian Plateau&lt;/Title&gt;&lt;Template&gt;Journal Article&lt;/Template&gt;&lt;Star&gt;0&lt;/Star&gt;&lt;Tag&gt;0&lt;/Tag&gt;&lt;Author&gt;Qiaofeng, ZHANG; Hongbo, Y U; Fang, HUANG&lt;/Author&gt;&lt;Year&gt;2024&lt;/Year&gt;&lt;Details&gt;&lt;_alternate_title&gt;Arid Zone Research&lt;/_alternate_title&gt;&lt;_created&gt;66510658&lt;/_created&gt;&lt;_date&gt;2024-01-01&lt;/_date&gt;&lt;_date_display&gt;2024&lt;/_date_display&gt;&lt;_isbn&gt;1001-4675&lt;/_isbn&gt;&lt;_issue&gt;9&lt;/_issue&gt;&lt;_journal&gt;Arid Zone Research&lt;/_journal&gt;&lt;_modified&gt;66510658&lt;/_modified&gt;&lt;_pages&gt;1548-1559&lt;/_pages&gt;&lt;_volume&gt;41&lt;/_volume&gt;&lt;_language&gt;English&lt;/_language&gt;&lt;/Details&gt;&lt;Extra&gt;&lt;DBUID&gt;{F96A950B-833F-4880-A151-76DA2D6A2879}&lt;/DBUID&gt;&lt;/Extra&gt;&lt;/Item&gt;&lt;/References&gt;&lt;/Group&gt;&lt;/Citation&gt;_x000a_"/>
    <w:docVar w:name="NE.Ref{4DC34D72-AEDD-4C71-8EBA-2E90855ED7E2}" w:val=" ADDIN NE.Ref.{4DC34D72-AEDD-4C71-8EBA-2E90855ED7E2}&lt;Citation&gt;&lt;Group&gt;&lt;References&gt;&lt;Item&gt;&lt;ID&gt;2642&lt;/ID&gt;&lt;UID&gt;{D4280B35-EBDF-4B81-AAC8-A37EDA7F8A99}&lt;/UID&gt;&lt;Title&gt;Climate Change on the Northern Tibetan Plateau during 1957–2009: Spatial Patterns and Possible Mechanisms&lt;/Title&gt;&lt;Template&gt;Journal Article&lt;/Template&gt;&lt;Star&gt;0&lt;/Star&gt;&lt;Tag&gt;0&lt;/Tag&gt;&lt;Author&gt;Cuo, Lan; Zhang, Yongxin; Wang, Qingchun; Zhang, Leilei; Zhou, Bingrong; Hao, Zhenchun; Su, Fengge&lt;/Author&gt;&lt;Year&gt;2013&lt;/Year&gt;&lt;Details&gt;&lt;_accessed&gt;66598858&lt;/_accessed&gt;&lt;_created&gt;66598857&lt;/_created&gt;&lt;_modified&gt;66598858&lt;/_modified&gt;&lt;_url&gt;http://dx.doi.org/10.1175/jcli-d-11-00738.1&lt;/_url&gt;&lt;_journal&gt;Journal of Climate&lt;/_journal&gt;&lt;_volume&gt;26&lt;/_volume&gt;&lt;_issue&gt;1&lt;/_issue&gt;&lt;_pages&gt;85-109&lt;/_pages&gt;&lt;_doi&gt;10.1175/jcli-d-11-00738.1&lt;/_doi&gt;&lt;_isbn&gt;0894-8755&lt;/_isbn&gt;&lt;_language&gt;en&lt;/_language&gt;&lt;_db_updated&gt;NESearch&lt;/_db_updated&gt;&lt;_impact_factor&gt;   4.000&lt;/_impact_factor&gt;&lt;_social_category&gt;气象与大气科学(2)&lt;/_social_category&gt;&lt;_collection_scope&gt;SCIE;EI&lt;/_collection_scope&gt;&lt;/Details&gt;&lt;Extra&gt;&lt;DBUID&gt;{F96A950B-833F-4880-A151-76DA2D6A2879}&lt;/DBUID&gt;&lt;/Extra&gt;&lt;/Item&gt;&lt;/References&gt;&lt;/Group&gt;&lt;Group&gt;&lt;References&gt;&lt;Item&gt;&lt;ID&gt;2643&lt;/ID&gt;&lt;UID&gt;{82704258-A510-4216-91A1-A216CF83091E}&lt;/UID&gt;&lt;Title&gt;Influence of the Pacific Decadal Oscillation on Winter Temperatures and Precipitation Over the Southern Tibetan Plateau&lt;/Title&gt;&lt;Template&gt;Journal Article&lt;/Template&gt;&lt;Star&gt;0&lt;/Star&gt;&lt;Tag&gt;0&lt;/Tag&gt;&lt;Author&gt;Xiang, Yuying; Wang, Tao; Wang, Huijun; Xu, Hongna&lt;/Author&gt;&lt;Year&gt;2024&lt;/Year&gt;&lt;Details&gt;&lt;_accessed&gt;66598861&lt;/_accessed&gt;&lt;_created&gt;66598861&lt;/_created&gt;&lt;_modified&gt;66598861&lt;/_modified&gt;&lt;_url&gt;http://dx.doi.org/10.1029/2023jd038653&lt;/_url&gt;&lt;_journal&gt;Journal of Geophysical Research: Atmospheres&lt;/_journal&gt;&lt;_volume&gt;129&lt;/_volume&gt;&lt;_issue&gt;6&lt;/_issue&gt;&lt;_doi&gt;10.1029/2023jd038653&lt;/_doi&gt;&lt;_isbn&gt;2169-897X&lt;/_isbn&gt;&lt;_language&gt;en&lt;/_language&gt;&lt;_db_updated&gt;NESearch&lt;/_db_updated&gt;&lt;_impact_factor&gt;   3.400&lt;/_impact_factor&gt;&lt;_social_category&gt;气象与大气科学(3)&lt;/_social_category&gt;&lt;/Details&gt;&lt;Extra&gt;&lt;DBUID&gt;{F96A950B-833F-4880-A151-76DA2D6A2879}&lt;/DBUID&gt;&lt;/Extra&gt;&lt;/Item&gt;&lt;/References&gt;&lt;/Group&gt;&lt;Group&gt;&lt;References&gt;&lt;Item&gt;&lt;ID&gt;2644&lt;/ID&gt;&lt;UID&gt;{DD1CFF2E-155E-456D-A8CB-9A06B7C77AE5}&lt;/UID&gt;&lt;Title&gt;Responses of annual streamflow variability to annual precipitation, extreme climate events and large-scale climate phenomena in the Qinghai-Tibet Plateau&lt;/Title&gt;&lt;Template&gt;Journal Article&lt;/Template&gt;&lt;Star&gt;0&lt;/Star&gt;&lt;Tag&gt;0&lt;/Tag&gt;&lt;Author&gt;Zhang, Zhixin; Zhang, Lin; Liu, Yanfeng; Jin, Menggui&lt;/Author&gt;&lt;Year&gt;2024&lt;/Year&gt;&lt;Details&gt;&lt;_accessed&gt;66598862&lt;/_accessed&gt;&lt;_created&gt;66598862&lt;/_created&gt;&lt;_modified&gt;66598862&lt;/_modified&gt;&lt;_url&gt;http://dx.doi.org/10.1016/j.jhydrol.2024.130969&lt;/_url&gt;&lt;_journal&gt;Journal of Hydrology&lt;/_journal&gt;&lt;_volume&gt;632&lt;/_volume&gt;&lt;_pages&gt;130969&lt;/_pages&gt;&lt;_doi&gt;10.1016/j.jhydrol.2024.130969&lt;/_doi&gt;&lt;_isbn&gt;0022-1694&lt;/_isbn&gt;&lt;_language&gt;en&lt;/_language&gt;&lt;_db_updated&gt;NESearch&lt;/_db_updated&gt;&lt;_impact_factor&gt;   6.300&lt;/_impact_factor&gt;&lt;_social_category&gt;地球科学：综合(1) &amp;amp; 水资源(1) &amp;amp; 工程：土木(2)&lt;/_social_category&gt;&lt;_collection_scope&gt;SCIE;EI&lt;/_collection_scope&gt;&lt;/Details&gt;&lt;Extra&gt;&lt;DBUID&gt;{F96A950B-833F-4880-A151-76DA2D6A2879}&lt;/DBUID&gt;&lt;/Extra&gt;&lt;/Item&gt;&lt;/References&gt;&lt;/Group&gt;&lt;Group&gt;&lt;References&gt;&lt;Item&gt;&lt;ID&gt;2645&lt;/ID&gt;&lt;UID&gt;{A8267C5C-D2BD-4775-8D92-9D8BBC7CCA4E}&lt;/UID&gt;&lt;Title&gt;Impacts of ENSO and IOD on Snow Depth Over the Tibetan Plateau: Roles of Convections Over the Western North Pacific and Indian Ocean&lt;/Title&gt;&lt;Template&gt;Journal Article&lt;/Template&gt;&lt;Star&gt;0&lt;/Star&gt;&lt;Tag&gt;0&lt;/Tag&gt;&lt;Author&gt;Jiang, Xingwen; Zhang, Tuantuan; Tam, Chi Yung; Chen, Junwen; Lau, Ngar Cheung; Yang, Song; Wang, Zunya&lt;/Author&gt;&lt;Year&gt;2019&lt;/Year&gt;&lt;Details&gt;&lt;_accessed&gt;66598863&lt;/_accessed&gt;&lt;_created&gt;66598863&lt;/_created&gt;&lt;_modified&gt;66598863&lt;/_modified&gt;&lt;_url&gt;http://dx.doi.org/10.1029/2019jd031384&lt;/_url&gt;&lt;_journal&gt;Journal of Geophysical Research: Atmospheres&lt;/_journal&gt;&lt;_volume&gt;124&lt;/_volume&gt;&lt;_issue&gt;22&lt;/_issue&gt;&lt;_pages&gt;11961-11975&lt;/_pages&gt;&lt;_doi&gt;10.1029/2019jd031384&lt;/_doi&gt;&lt;_isbn&gt;2169-897X&lt;/_isbn&gt;&lt;_language&gt;en&lt;/_language&gt;&lt;_db_updated&gt;NESearch&lt;/_db_updated&gt;&lt;_impact_factor&gt;   3.400&lt;/_impact_factor&gt;&lt;_social_category&gt;气象与大气科学(3)&lt;/_social_category&gt;&lt;/Details&gt;&lt;Extra&gt;&lt;DBUID&gt;{F96A950B-833F-4880-A151-76DA2D6A2879}&lt;/DBUID&gt;&lt;/Extra&gt;&lt;/Item&gt;&lt;/References&gt;&lt;/Group&gt;&lt;/Citation&gt;_x000a_"/>
    <w:docVar w:name="NE.Ref{56DA927D-284C-4D88-AC07-931BBEDB3046}" w:val=" ADDIN NE.Ref.{56DA927D-284C-4D88-AC07-931BBEDB3046}&lt;Citation&gt;&lt;Group&gt;&lt;References&gt;&lt;Item&gt;&lt;ID&gt;2636&lt;/ID&gt;&lt;UID&gt;{2C948D2C-83D6-4DF1-BBCE-4381B0ADBC92}&lt;/UID&gt;&lt;Title&gt;青藏高原多年冻土变化对 水文过程的影响&lt;/Title&gt;&lt;Template&gt;Journal Article&lt;/Template&gt;&lt;Star&gt;0&lt;/Star&gt;&lt;Tag&gt;0&lt;/Tag&gt;&lt;Author&gt;赵林; 胡国杰; 邹德富; 吴晓东; 马露; 孙哲; 原黎明; 周华云; 刘世博&lt;/Author&gt;&lt;Year&gt;2019&lt;/Year&gt;&lt;Details&gt;&lt;_accessed&gt;66520450&lt;/_accessed&gt;&lt;_collection_scope&gt;CSSCI;CSCD;PKU&lt;/_collection_scope&gt;&lt;_created&gt;66520450&lt;/_created&gt;&lt;_db_provider&gt;WF&lt;/_db_provider&gt;&lt;_db_updated&gt;NESearch&lt;/_db_updated&gt;&lt;_doi&gt;10.16418/j.issn.1000-3045.2019.11.006&lt;/_doi&gt;&lt;_isbn&gt;1000-3045&lt;/_isbn&gt;&lt;_issue&gt;11&lt;/_issue&gt;&lt;_journal&gt;中国科学院院刊&lt;/_journal&gt;&lt;_language&gt;cn&lt;/_language&gt;&lt;_modified&gt;66520450&lt;/_modified&gt;&lt;_pages&gt;1233-1246&lt;/_pages&gt;&lt;_tertiary_title&gt;Bulletin of the Chinese Academy of Sciences&lt;/_tertiary_title&gt;&lt;_translated_title&gt;Permafrost Changes and Its Effects on Hydrological Processes on Qinghai-Tibet Plateau&lt;/_translated_title&gt;&lt;_url&gt;https://d.wanfangdata.com.cn/periodical/zgkxyyk201911006&lt;/_url&gt;&lt;_volume&gt;34&lt;/_volume&gt;&lt;_translated_author&gt;Zhao, Lin;Hu, Guo jie;Zou, De fu;Wu, Xiao dong;Ma, Lu;Sun, Zhe;Yuan, Li ming;Zhou, Hua yun;Liu, Shi bo&lt;/_translated_author&gt;&lt;/Details&gt;&lt;Extra&gt;&lt;DBUID&gt;{F96A950B-833F-4880-A151-76DA2D6A2879}&lt;/DBUID&gt;&lt;/Extra&gt;&lt;/Item&gt;&lt;/References&gt;&lt;/Group&gt;&lt;Group&gt;&lt;References&gt;&lt;Item&gt;&lt;ID&gt;2637&lt;/ID&gt;&lt;UID&gt;{D807F46A-301B-48BF-805A-DC3A292CC14E}&lt;/UID&gt;&lt;Title&gt;Permafrost Hydrology of the Qinghai-Tibet Plateau: A Review of Processes and Modeling&lt;/Title&gt;&lt;Template&gt;Journal Article&lt;/Template&gt;&lt;Star&gt;0&lt;/Star&gt;&lt;Tag&gt;0&lt;/Tag&gt;&lt;Author&gt;Gao, Hongkai; Wang, Jingjing; Yang, Yuzhong; Pan, Xicai; Ding, Yongjian; Duan, Zheng&lt;/Author&gt;&lt;Year&gt;2021&lt;/Year&gt;&lt;Details&gt;&lt;_accessed&gt;66520451&lt;/_accessed&gt;&lt;_collection_scope&gt;SCIE;EI&lt;/_collection_scope&gt;&lt;_created&gt;66520451&lt;/_created&gt;&lt;_db_updated&gt;NESearch&lt;/_db_updated&gt;&lt;_doi&gt;10.3389/feart.2020.576838&lt;/_doi&gt;&lt;_impact_factor&gt;   2.000&lt;/_impact_factor&gt;&lt;_isbn&gt;2296-6463&lt;/_isbn&gt;&lt;_journal&gt;Frontiers in Earth Science&lt;/_journal&gt;&lt;_modified&gt;66520451&lt;/_modified&gt;&lt;_social_category&gt;地球科学：综合(4)&lt;/_social_category&gt;&lt;_url&gt;http://dx.doi.org/10.3389/feart.2020.576838&lt;/_url&gt;&lt;_volume&gt;8&lt;/_volume&gt;&lt;_language&gt;English&lt;/_language&gt;&lt;/Details&gt;&lt;Extra&gt;&lt;DBUID&gt;{F96A950B-833F-4880-A151-76DA2D6A2879}&lt;/DBUID&gt;&lt;/Extra&gt;&lt;/Item&gt;&lt;/References&gt;&lt;/Group&gt;&lt;/Citation&gt;_x000a_"/>
    <w:docVar w:name="NE.Ref{58B27D68-697B-4C88-B0AD-DADBE4902C8A}" w:val=" ADDIN NE.Ref.{58B27D68-697B-4C88-B0AD-DADBE4902C8A}&lt;Citation&gt;&lt;Group&gt;&lt;References&gt;&lt;Item&gt;&lt;ID&gt;2576&lt;/ID&gt;&lt;UID&gt;{75B201BC-6CF4-4183-8797-BB4AE72C689D}&lt;/UID&gt;&lt;Title&gt;Derivation of optimal scheduling strategies for large-scale inter-basin water transfer projects considering streamflow wet-dry encounter uncertainty of multiple reservoirs&lt;/Title&gt;&lt;Template&gt;Journal Article&lt;/Template&gt;&lt;Star&gt;1&lt;/Star&gt;&lt;Tag&gt;5&lt;/Tag&gt;&lt;Author&gt;Zhong, Huayu; Wu, Shuyue; Yan, Min; Fang, Guohua&lt;/Author&gt;&lt;Year&gt;2025&lt;/Year&gt;&lt;Details&gt;&lt;_accessed&gt;66413824&lt;/_accessed&gt;&lt;_collection_scope&gt;SCIE;EI&lt;/_collection_scope&gt;&lt;_created&gt;66413759&lt;/_created&gt;&lt;_db_updated&gt;CrossRef&lt;/_db_updated&gt;&lt;_doi&gt;10.1016/j.jhydrol.2025.133784&lt;/_doi&gt;&lt;_impact_factor&gt;   6.300&lt;/_impact_factor&gt;&lt;_isbn&gt;00221694&lt;/_isbn&gt;&lt;_journal&gt;Journal of Hydrology&lt;/_journal&gt;&lt;_modified&gt;66509147&lt;/_modified&gt;&lt;_pages&gt;133784&lt;/_pages&gt;&lt;_social_category&gt;工程：土木(1) &amp;amp; 地球科学：综合(1) &amp;amp; 水资源(1)&lt;/_social_category&gt;&lt;_tertiary_title&gt;Journal of Hydrology&lt;/_tertiary_title&gt;&lt;_url&gt;https://linkinghub.elsevier.com/retrieve/pii/S0022169425011229_x000d__x000a_https://api.elsevier.com/content/article/PII:S0022169425011229?httpAccept=text/xml&lt;/_url&gt;&lt;_volume&gt;662&lt;/_volume&gt;&lt;_language&gt;English&lt;/_language&gt;&lt;/Details&gt;&lt;Extra&gt;&lt;DBUID&gt;{F96A950B-833F-4880-A151-76DA2D6A2879}&lt;/DBUID&gt;&lt;/Extra&gt;&lt;/Item&gt;&lt;/References&gt;&lt;/Group&gt;&lt;/Citation&gt;_x000a_"/>
    <w:docVar w:name="NE.Ref{5AEFA3DF-D5F5-4BF6-82CE-7336F95BB001}" w:val=" ADDIN NE.Ref.{5AEFA3DF-D5F5-4BF6-82CE-7336F95BB001}&lt;Citation&gt;&lt;Group&gt;&lt;References&gt;&lt;Item&gt;&lt;ID&gt;2648&lt;/ID&gt;&lt;UID&gt;{C9837922-348B-4FA4-B7BA-DB6D952E7078}&lt;/UID&gt;&lt;Title&gt;Copula Theory as a Generalized Framework for Flow‐Duration Curve Based Streamflow Estimates in Ungaged and Partially Gaged Catchments&lt;/Title&gt;&lt;Template&gt;Journal Article&lt;/Template&gt;&lt;Star&gt;0&lt;/Star&gt;&lt;Tag&gt;0&lt;/Tag&gt;&lt;Author&gt;Worland, Scott C; Steinschneider, Scott; Farmer, William; Asquith, William; Knight, Rodney&lt;/Author&gt;&lt;Year&gt;2019&lt;/Year&gt;&lt;Details&gt;&lt;_accessed&gt;66622986&lt;/_accessed&gt;&lt;_created&gt;66622985&lt;/_created&gt;&lt;_modified&gt;66622986&lt;/_modified&gt;&lt;_url&gt;https://go.exlibris.link/GCTKFpjr&lt;/_url&gt;&lt;_place_published&gt;Washington&lt;/_place_published&gt;&lt;_journal&gt;Water resources research&lt;/_journal&gt;&lt;_volume&gt;55&lt;/_volume&gt;&lt;_issue&gt;11&lt;/_issue&gt;&lt;_number&gt;1&lt;/_number&gt;&lt;_pages&gt;9378-9397&lt;/_pages&gt;&lt;_doi&gt;10.1029/2019WR025138&lt;/_doi&gt;&lt;_date_display&gt;2019&lt;/_date_display&gt;&lt;_date&gt;62588160&lt;/_date&gt;&lt;_isbn&gt;0043-1397&lt;/_isbn&gt;&lt;_ori_publication&gt;John Wiley &amp;amp; Sons, Inc&lt;/_ori_publication&gt;&lt;_keywords&gt;Catchments; climate; copulas; Correlation; Duration; flow‐duration curves; Gaging; Hydrologic data; Methods; PUB; QPPQ; regionalization; River basins; Rivers; Stream discharge; Stream flow; Streamflow data; Streamflow estimation; time series analysis; water; Watersheds&lt;/_keywords&gt;&lt;_db_updated&gt;PKU Search&lt;/_db_updated&gt;&lt;_impact_factor&gt;   5.000&lt;/_impact_factor&gt;&lt;_social_category&gt;湖沼学(1) &amp;amp; 环境科学(2) &amp;amp; 水资源(2)&lt;/_social_category&gt;&lt;_collection_scope&gt;SCIE;EI&lt;/_collection_scope&gt;&lt;/Details&gt;&lt;Extra&gt;&lt;DBUID&gt;{F96A950B-833F-4880-A151-76DA2D6A2879}&lt;/DBUID&gt;&lt;/Extra&gt;&lt;/Item&gt;&lt;/References&gt;&lt;/Group&gt;&lt;/Citation&gt;_x000a_"/>
    <w:docVar w:name="NE.Ref{6186D39C-72D2-4799-8FE1-725BEEAD6AA1}" w:val=" ADDIN NE.Ref.{6186D39C-72D2-4799-8FE1-725BEEAD6AA1}&lt;Citation&gt;&lt;Group&gt;&lt;References&gt;&lt;Item&gt;&lt;ID&gt;2602&lt;/ID&gt;&lt;UID&gt;{67EC3440-942D-4142-80EA-C19D8657200C}&lt;/UID&gt;&lt;Title&gt;A Multiscalar Drought Index Sensitive to Global Warming: The Standardized Precipitation Evapotranspiration Index&lt;/Title&gt;&lt;Template&gt;Journal Article&lt;/Template&gt;&lt;Star&gt;0&lt;/Star&gt;&lt;Tag&gt;0&lt;/Tag&gt;&lt;Author&gt;Vicente-Serrano, Sergio M; Beguería, Santiago; López-Moreno, Juan I&lt;/Author&gt;&lt;Year&gt;2010&lt;/Year&gt;&lt;Details&gt;&lt;_accessed&gt;66510270&lt;/_accessed&gt;&lt;_collection_scope&gt;SCIE;EI&lt;/_collection_scope&gt;&lt;_created&gt;66510270&lt;/_created&gt;&lt;_db_updated&gt;NESearch&lt;/_db_updated&gt;&lt;_doi&gt;10.1175/2009jcli2909.1&lt;/_doi&gt;&lt;_impact_factor&gt;   4.000&lt;/_impact_factor&gt;&lt;_isbn&gt;1520-0442&lt;/_isbn&gt;&lt;_issue&gt;7&lt;/_issue&gt;&lt;_journal&gt;Journal of Climate&lt;/_journal&gt;&lt;_language&gt;en&lt;/_language&gt;&lt;_modified&gt;66510270&lt;/_modified&gt;&lt;_pages&gt;1696-1718&lt;/_pages&gt;&lt;_social_category&gt;气象与大气科学(2)&lt;/_social_category&gt;&lt;_url&gt;http://dx.doi.org/10.1175/2009jcli2909.1&lt;/_url&gt;&lt;_volume&gt;23&lt;/_volume&gt;&lt;/Details&gt;&lt;Extra&gt;&lt;DBUID&gt;{F96A950B-833F-4880-A151-76DA2D6A2879}&lt;/DBUID&gt;&lt;/Extra&gt;&lt;/Item&gt;&lt;/References&gt;&lt;/Group&gt;&lt;Group&gt;&lt;References&gt;&lt;Item&gt;&lt;ID&gt;2625&lt;/ID&gt;&lt;UID&gt;{9DB353D6-C945-40B3-8FC2-1106EF69A12F}&lt;/UID&gt;&lt;Title&gt;Spatial distribution and temporal variation of drought in Inner Mongolia during 1901–2014 using Standardized Precipitation Evapotranspiration Index&lt;/Title&gt;&lt;Template&gt;Journal Article&lt;/Template&gt;&lt;Star&gt;0&lt;/Star&gt;&lt;Tag&gt;0&lt;/Tag&gt;&lt;Author&gt;Wang, Yongfang; Liu, Guixiang; Guo, Enliang&lt;/Author&gt;&lt;Year&gt;2019&lt;/Year&gt;&lt;Details&gt;&lt;_accessed&gt;66510581&lt;/_accessed&gt;&lt;_collection_scope&gt;SCIE;EI&lt;/_collection_scope&gt;&lt;_created&gt;66510580&lt;/_created&gt;&lt;_db_updated&gt;CrossRef&lt;/_db_updated&gt;&lt;_doi&gt;10.1016/j.scitotenv.2018.10.425&lt;/_doi&gt;&lt;_impact_factor&gt;   8.000&lt;/_impact_factor&gt;&lt;_isbn&gt;00489697&lt;/_isbn&gt;&lt;_journal&gt;Science of The Total Environment&lt;/_journal&gt;&lt;_modified&gt;66510581&lt;/_modified&gt;&lt;_pages&gt;850-862&lt;/_pages&gt;&lt;_social_category&gt;环境科学(2)&lt;/_social_category&gt;&lt;_tertiary_title&gt;Science of The Total Environment&lt;/_tertiary_title&gt;&lt;_url&gt;https://linkinghub.elsevier.com/retrieve/pii/S0048969718343250_x000d__x000a_https://api.elsevier.com/content/article/PII:S0048969718343250?httpAccept=text/xml&lt;/_url&gt;&lt;_volume&gt;654&lt;/_volume&gt;&lt;_language&gt;English&lt;/_language&gt;&lt;/Details&gt;&lt;Extra&gt;&lt;DBUID&gt;{F96A950B-833F-4880-A151-76DA2D6A2879}&lt;/DBUID&gt;&lt;/Extra&gt;&lt;/Item&gt;&lt;/References&gt;&lt;/Group&gt;&lt;Group&gt;&lt;References&gt;&lt;Item&gt;&lt;ID&gt;2626&lt;/ID&gt;&lt;UID&gt;{AA413736-A734-4AB1-BD9F-E99E25DF67FF}&lt;/UID&gt;&lt;Title&gt;Validação da SPEIbase para a Região Sudeste Brasileira&lt;/Title&gt;&lt;Template&gt;Journal Article&lt;/Template&gt;&lt;Star&gt;0&lt;/Star&gt;&lt;Tag&gt;0&lt;/Tag&gt;&lt;Author&gt;Mariani, Ruth Venturini; Lyra, Gustavo Bastos; Abreu, Marcel Carvalho; Santos, Janaina Cassiano Dos&lt;/Author&gt;&lt;Year&gt;2024&lt;/Year&gt;&lt;Details&gt;&lt;_accessed&gt;66510582&lt;/_accessed&gt;&lt;_created&gt;66510582&lt;/_created&gt;&lt;_db_updated&gt;CrossRef&lt;/_db_updated&gt;&lt;_doi&gt;10.1590/0102-77863910056&lt;/_doi&gt;&lt;_isbn&gt;0102-7786&lt;/_isbn&gt;&lt;_journal&gt;Revista Brasileira de Meteorologia&lt;/_journal&gt;&lt;_modified&gt;66510582&lt;/_modified&gt;&lt;_pages&gt;e339230056&lt;/_pages&gt;&lt;_tertiary_title&gt;Rev. bras. meteorol.&lt;/_tertiary_title&gt;&lt;_url&gt;http://www.scielo.br/scielo.php?script=sci_arttext&amp;amp;pid=S0102-77862024000100203&amp;amp;tlng=pt_x000d__x000a_http://www.scielo.br/scielo.php?script=sci_pdf&amp;amp;pid=S0102-77862024000100203&amp;amp;tlng=pt&lt;/_url&gt;&lt;_volume&gt;39&lt;/_volume&gt;&lt;_language&gt;English&lt;/_language&gt;&lt;/Details&gt;&lt;Extra&gt;&lt;DBUID&gt;{F96A950B-833F-4880-A151-76DA2D6A2879}&lt;/DBUID&gt;&lt;/Extra&gt;&lt;/Item&gt;&lt;/References&gt;&lt;/Group&gt;&lt;Group&gt;&lt;References&gt;&lt;Item&gt;&lt;ID&gt;2627&lt;/ID&gt;&lt;UID&gt;{EC2C9E06-3BC0-40EB-9B03-F99811786C4D}&lt;/UID&gt;&lt;Title&gt;Application of SPEI index in drought evolution in southwest China&lt;/Title&gt;&lt;Template&gt;Journal Article&lt;/Template&gt;&lt;Star&gt;0&lt;/Star&gt;&lt;Tag&gt;0&lt;/Tag&gt;&lt;Author&gt;Fu, Baowei; Jing, Juanli&lt;/Author&gt;&lt;Year&gt;2024&lt;/Year&gt;&lt;Details&gt;&lt;_accessed&gt;66510660&lt;/_accessed&gt;&lt;_created&gt;66510583&lt;/_created&gt;&lt;_db_updated&gt;NESearch&lt;/_db_updated&gt;&lt;_doi&gt;10.1117/12.3035513&lt;/_doi&gt;&lt;_journal&gt;Fifth International Conference on Geology, Mapping, and Remote Sensing (ICGMRS 2024)&lt;/_journal&gt;&lt;_modified&gt;66510660&lt;/_modified&gt;&lt;_pages&gt;36&lt;/_pages&gt;&lt;_url&gt;https://doi.org/10.1117/12.3035513&lt;/_url&gt;&lt;_language&gt;English&lt;/_language&gt;&lt;/Details&gt;&lt;Extra&gt;&lt;DBUID&gt;{F96A950B-833F-4880-A151-76DA2D6A2879}&lt;/DBUID&gt;&lt;/Extra&gt;&lt;/Item&gt;&lt;/References&gt;&lt;/Group&gt;&lt;Group&gt;&lt;References&gt;&lt;Item&gt;&lt;ID&gt;2629&lt;/ID&gt;&lt;UID&gt;{C30DD465-AF84-43C4-9CCB-A778B79F04F2}&lt;/UID&gt;&lt;Title&gt;The spatiotemporal dynamics of drought and the cumulative impact on vegetation phenology in the Mongolian Plateau&lt;/Title&gt;&lt;Template&gt;Journal Article&lt;/Template&gt;&lt;Star&gt;0&lt;/Star&gt;&lt;Tag&gt;0&lt;/Tag&gt;&lt;Author&gt;Qiaofeng, ZHANG; Hongbo, Y U; Fang, HUANG&lt;/Author&gt;&lt;Year&gt;2024&lt;/Year&gt;&lt;Details&gt;&lt;_alternate_title&gt;Arid Zone Research&lt;/_alternate_title&gt;&lt;_created&gt;66510658&lt;/_created&gt;&lt;_date&gt;2024-01-01&lt;/_date&gt;&lt;_date_display&gt;2024&lt;/_date_display&gt;&lt;_isbn&gt;1001-4675&lt;/_isbn&gt;&lt;_issue&gt;9&lt;/_issue&gt;&lt;_journal&gt;Arid Zone Research&lt;/_journal&gt;&lt;_modified&gt;66510658&lt;/_modified&gt;&lt;_pages&gt;1548-1559&lt;/_pages&gt;&lt;_volume&gt;41&lt;/_volume&gt;&lt;_language&gt;English&lt;/_language&gt;&lt;/Details&gt;&lt;Extra&gt;&lt;DBUID&gt;{F96A950B-833F-4880-A151-76DA2D6A2879}&lt;/DBUID&gt;&lt;/Extra&gt;&lt;/Item&gt;&lt;/References&gt;&lt;/Group&gt;&lt;/Citation&gt;_x000a_"/>
    <w:docVar w:name="NE.Ref{6746357C-5501-431B-B54A-010C68B742BF}" w:val=" ADDIN NE.Ref.{6746357C-5501-431B-B54A-010C68B742BF}&lt;Citation&gt;&lt;Group&gt;&lt;References&gt;&lt;Item&gt;&lt;ID&gt;2596&lt;/ID&gt;&lt;UID&gt;{BE325D73-86AF-44B8-B0C5-3B11175E25B5}&lt;/UID&gt;&lt;Title&gt;大通河流域径流变化及特征分析&lt;/Title&gt;&lt;Template&gt;Journal Article&lt;/Template&gt;&lt;Star&gt;0&lt;/Star&gt;&lt;Tag&gt;0&lt;/Tag&gt;&lt;Author&gt;董军; 胡进宝; 魏国孝&lt;/Author&gt;&lt;Year&gt;2018&lt;/Year&gt;&lt;Details&gt;&lt;_accessed&gt;66509150&lt;/_accessed&gt;&lt;_created&gt;66509150&lt;/_created&gt;&lt;_modified&gt;66509150&lt;/_modified&gt;&lt;_url&gt;https://d.wanfangdata.com.cn/periodical/xbszyysgc201806011&lt;/_url&gt;&lt;_journal&gt;水资源与水工程学报&lt;/_journal&gt;&lt;_volume&gt;29&lt;/_volume&gt;&lt;_issue&gt;6&lt;/_issue&gt;&lt;_pages&gt;75-80,87&lt;/_pages&gt;&lt;_tertiary_title&gt;Journal of Water Resources and Water Engineering&lt;/_tertiary_title&gt;&lt;_doi&gt;10.11705/j.issn.1672-643X.2018.06.11&lt;/_doi&gt;&lt;_isbn&gt;1672-643X&lt;/_isbn&gt;&lt;_translated_title&gt;Analysis of runoff variation and characteristics in Datong River Basin&lt;/_translated_title&gt;&lt;_db_provider&gt;WF&lt;/_db_provider&gt;&lt;_language&gt;cn&lt;/_language&gt;&lt;_db_updated&gt;NESearch&lt;/_db_updated&gt;&lt;_collection_scope&gt;CSCD;PKU&lt;/_collection_scope&gt;&lt;_translated_author&gt;Dong, Jun;Hu, Jin bao;Wei, Guo xiao&lt;/_translated_author&gt;&lt;/Details&gt;&lt;Extra&gt;&lt;DBUID&gt;{F96A950B-833F-4880-A151-76DA2D6A2879}&lt;/DBUID&gt;&lt;/Extra&gt;&lt;/Item&gt;&lt;/References&gt;&lt;/Group&gt;&lt;/Citation&gt;_x000a_"/>
    <w:docVar w:name="NE.Ref{7A09C6F0-2BE3-4484-9998-6B50A5941C4E}" w:val=" ADDIN NE.Ref.{7A09C6F0-2BE3-4484-9998-6B50A5941C4E}&lt;Citation&gt;&lt;Group&gt;&lt;References&gt;&lt;Item&gt;&lt;ID&gt;2585&lt;/ID&gt;&lt;UID&gt;{CC6D981B-789C-441E-99A9-76C28A1583FE}&lt;/UID&gt;&lt;Title&gt;基于GAMLSS框架下非平稳气象干旱和水文干旱指数的构建及干旱传播分析&lt;/Title&gt;&lt;Template&gt;Thesis&lt;/Template&gt;&lt;Star&gt;0&lt;/Star&gt;&lt;Tag&gt;0&lt;/Tag&gt;&lt;Author&gt;徐袁&lt;/Author&gt;&lt;Year&gt;2025&lt;/Year&gt;&lt;Details&gt;&lt;_db_provider&gt;CNKI&lt;/_db_provider&gt;&lt;_doi&gt;10.27010/d.cnki.gdbnu.2025.000207&lt;/_doi&gt;&lt;_keywords&gt;科罗拉多河流域;GAMLSS;非平稳;干旱传播;格兰杰因果关系&lt;/_keywords&gt;&lt;_publisher&gt;东北农业大学&lt;/_publisher&gt;&lt;_tertiary_author&gt;宫兴龙&lt;/_tertiary_author&gt;&lt;_type_work&gt;硕士&lt;/_type_work&gt;&lt;_url&gt;https://link.cnki.net/doi/10.27010/d.cnki.gdbnu.2025.000207&lt;/_url&gt;&lt;_created&gt;66413830&lt;/_created&gt;&lt;_modified&gt;66413832&lt;/_modified&gt;&lt;_accessed&gt;66413832&lt;/_accessed&gt;&lt;_translated_author&gt;Xu, Yuan&lt;/_translated_author&gt;&lt;_translated_tertiary_author&gt;Gong, Xing long&lt;/_translated_tertiary_author&gt;&lt;/Details&gt;&lt;Extra&gt;&lt;DBUID&gt;{F96A950B-833F-4880-A151-76DA2D6A2879}&lt;/DBUID&gt;&lt;/Extra&gt;&lt;/Item&gt;&lt;/References&gt;&lt;/Group&gt;&lt;/Citation&gt;_x000a_"/>
    <w:docVar w:name="NE.Ref{7C9FB540-7756-428A-B51A-3B8C983D9418}" w:val=" ADDIN NE.Ref.{7C9FB540-7756-428A-B51A-3B8C983D9418}&lt;Citation&gt;&lt;Group&gt;&lt;References&gt;&lt;Item&gt;&lt;ID&gt;2592&lt;/ID&gt;&lt;UID&gt;{60010D74-AF9F-47E2-BC10-7CC12B03E437}&lt;/UID&gt;&lt;Title&gt;Generalized Additive Models for Location, Scale and Shape&lt;/Title&gt;&lt;Template&gt;Journal Article&lt;/Template&gt;&lt;Star&gt;1&lt;/Star&gt;&lt;Tag&gt;5&lt;/Tag&gt;&lt;Author&gt;Rigby, R A; Stasinopoulos, D M&lt;/Author&gt;&lt;Year&gt;2005&lt;/Year&gt;&lt;Details&gt;&lt;_accessed&gt;66469983&lt;/_accessed&gt;&lt;_created&gt;66469983&lt;/_created&gt;&lt;_date&gt;55442880&lt;/_date&gt;&lt;_db_updated&gt;CrossRef&lt;/_db_updated&gt;&lt;_doi&gt;10.1111/j.1467-9876.2005.00510.x&lt;/_doi&gt;&lt;_impact_factor&gt;   1.300&lt;/_impact_factor&gt;&lt;_isbn&gt;0035-9254&lt;/_isbn&gt;&lt;_issue&gt;3&lt;/_issue&gt;&lt;_journal&gt;Journal of the Royal Statistical Society Series C: Applied Statistics&lt;/_journal&gt;&lt;_modified&gt;66509147&lt;/_modified&gt;&lt;_pages&gt;507-554&lt;/_pages&gt;&lt;_social_category&gt;统计学与概率论(4)&lt;/_social_category&gt;&lt;_url&gt;https://academic.oup.com/jrsssc/article/54/3/507/7113027_x000d__x000a_https://academic.oup.com/jrsssc/article-pdf/54/3/507/50016951/jrsssc_54_3_507.pdf&lt;/_url&gt;&lt;_volume&gt;54&lt;/_volume&gt;&lt;_language&gt;English&lt;/_language&gt;&lt;/Details&gt;&lt;Extra&gt;&lt;DBUID&gt;{F96A950B-833F-4880-A151-76DA2D6A2879}&lt;/DBUID&gt;&lt;/Extra&gt;&lt;/Item&gt;&lt;/References&gt;&lt;/Group&gt;&lt;/Citation&gt;_x000a_"/>
    <w:docVar w:name="NE.Ref{827F6D56-AB9D-4490-A21B-EC3789684B64}" w:val=" ADDIN NE.Ref.{827F6D56-AB9D-4490-A21B-EC3789684B64}&lt;Citation&gt;&lt;Group&gt;&lt;References&gt;&lt;Item&gt;&lt;ID&gt;2590&lt;/ID&gt;&lt;UID&gt;{108373ED-9A70-4A13-95FC-F23E6318AC04}&lt;/UID&gt;&lt;Title&gt;Assessment of dynamic hydrological drought risk from a non‐stationary perspective&lt;/Title&gt;&lt;Template&gt;Journal Article&lt;/Template&gt;&lt;Star&gt;1&lt;/Star&gt;&lt;Tag&gt;5&lt;/Tag&gt;&lt;Author&gt;Chen, Chen; Peng, Tao; Singh, Vijay P; Wang, Youxin; Zhang, Te; Dong, Xiaohua; Lin, Qingxia; Guo, Jiali; Liu, Ji; Fan, Tianyi; Wang, Gaoxu&lt;/Author&gt;&lt;Year&gt;2024&lt;/Year&gt;&lt;Details&gt;&lt;_accessed&gt;66470011&lt;/_accessed&gt;&lt;_collection_scope&gt;SCIE;EI&lt;/_collection_scope&gt;&lt;_created&gt;66413896&lt;/_created&gt;&lt;_db_updated&gt;NESearch&lt;/_db_updated&gt;&lt;_doi&gt;10.1002/hyp.15267&lt;/_doi&gt;&lt;_impact_factor&gt;   2.900&lt;/_impact_factor&gt;&lt;_isbn&gt;0885-6087&lt;/_isbn&gt;&lt;_issue&gt;8&lt;/_issue&gt;&lt;_journal&gt;Hydrological Processes&lt;/_journal&gt;&lt;_language&gt;en&lt;/_language&gt;&lt;_modified&gt;66509147&lt;/_modified&gt;&lt;_social_category&gt;水资源(3)&lt;/_social_category&gt;&lt;_url&gt;https://doi.org/10.1002/hyp.15267&lt;/_url&gt;&lt;_volume&gt;38&lt;/_volume&gt;&lt;/Details&gt;&lt;Extra&gt;&lt;DBUID&gt;{F96A950B-833F-4880-A151-76DA2D6A2879}&lt;/DBUID&gt;&lt;/Extra&gt;&lt;/Item&gt;&lt;/References&gt;&lt;/Group&gt;&lt;/Citation&gt;_x000a_"/>
    <w:docVar w:name="NE.Ref{8D871351-94A0-489D-9BFD-53AF045D3D4B}" w:val=" ADDIN NE.Ref.{8D871351-94A0-489D-9BFD-53AF045D3D4B}&lt;Citation&gt;&lt;Group&gt;&lt;References&gt;&lt;Item&gt;&lt;ID&gt;2631&lt;/ID&gt;&lt;UID&gt;{E5E96088-34EC-4FC9-9F5D-5CBD6772CE40}&lt;/UID&gt;&lt;Title&gt;Accuracy, precision, recall, f1-score, or MCC? empirical evidence from advanced statistics, ML, and XAI for evaluating business predictive models&lt;/Title&gt;&lt;Template&gt;Journal Article&lt;/Template&gt;&lt;Star&gt;0&lt;/Star&gt;&lt;Tag&gt;0&lt;/Tag&gt;&lt;Author&gt;Sujon, Khaled Mahmud; Hassan, Rohayanti; Choi, Kwonhue; Samad, Md Abdus&lt;/Author&gt;&lt;Year&gt;2025&lt;/Year&gt;&lt;Details&gt;&lt;_accessed&gt;66516221&lt;/_accessed&gt;&lt;_collection_scope&gt;SCIE;EI&lt;/_collection_scope&gt;&lt;_created&gt;66516221&lt;/_created&gt;&lt;_db_updated&gt;NESearch&lt;/_db_updated&gt;&lt;_doi&gt;10.1186/s40537-025-01313-4&lt;/_doi&gt;&lt;_impact_factor&gt;   6.400&lt;/_impact_factor&gt;&lt;_isbn&gt;2196-1115&lt;/_isbn&gt;&lt;_issue&gt;1&lt;/_issue&gt;&lt;_journal&gt;Journal of Big Data&lt;/_journal&gt;&lt;_language&gt;en&lt;/_language&gt;&lt;_modified&gt;66516221&lt;/_modified&gt;&lt;_social_category&gt;计算机：理论方法(2)&lt;/_social_category&gt;&lt;_url&gt;https://doi.org/10.1186/s40537-025-01313-4&lt;/_url&gt;&lt;_volume&gt;12&lt;/_volume&gt;&lt;/Details&gt;&lt;Extra&gt;&lt;DBUID&gt;{F96A950B-833F-4880-A151-76DA2D6A2879}&lt;/DBUID&gt;&lt;/Extra&gt;&lt;/Item&gt;&lt;/References&gt;&lt;/Group&gt;&lt;Group&gt;&lt;References&gt;&lt;Item&gt;&lt;ID&gt;2632&lt;/ID&gt;&lt;UID&gt;{8B61007A-05A0-445E-A28B-22EB4EF77DE0}&lt;/UID&gt;&lt;Title&gt;Classification assessment methods&lt;/Title&gt;&lt;Template&gt;Journal Article&lt;/Template&gt;&lt;Star&gt;0&lt;/Star&gt;&lt;Tag&gt;0&lt;/Tag&gt;&lt;Author&gt;Tharwat, Alaa&lt;/Author&gt;&lt;Year&gt;2020&lt;/Year&gt;&lt;Details&gt;&lt;_accessed&gt;66516226&lt;/_accessed&gt;&lt;_created&gt;66516226&lt;/_created&gt;&lt;_db_updated&gt;NESearch&lt;/_db_updated&gt;&lt;_doi&gt;10.1016/j.aci.2018.08.003&lt;/_doi&gt;&lt;_impact_factor&gt;   4.900&lt;/_impact_factor&gt;&lt;_isbn&gt;2634-1964&lt;/_isbn&gt;&lt;_issue&gt;1&lt;/_issue&gt;&lt;_journal&gt;Applied Computing and Informatics&lt;/_journal&gt;&lt;_language&gt;en&lt;/_language&gt;&lt;_modified&gt;66516226&lt;/_modified&gt;&lt;_pages&gt;168-192&lt;/_pages&gt;&lt;_social_category&gt;计算机：信息系统(4)&lt;/_social_category&gt;&lt;_url&gt;http://dx.doi.org/10.1016/j.aci.2018.08.003&lt;/_url&gt;&lt;_volume&gt;17&lt;/_volume&gt;&lt;/Details&gt;&lt;Extra&gt;&lt;DBUID&gt;{F96A950B-833F-4880-A151-76DA2D6A2879}&lt;/DBUID&gt;&lt;/Extra&gt;&lt;/Item&gt;&lt;/References&gt;&lt;/Group&gt;&lt;/Citation&gt;_x000a_"/>
    <w:docVar w:name="NE.Ref{8DA989DD-299A-4778-ADDC-A1683A450485}" w:val=" ADDIN NE.Ref.{8DA989DD-299A-4778-ADDC-A1683A450485}&lt;Citation&gt;&lt;Group&gt;&lt;References&gt;&lt;Item&gt;&lt;ID&gt;2582&lt;/ID&gt;&lt;UID&gt;{E051F659-4635-45D7-8C02-EDBAC2C7CA25}&lt;/UID&gt;&lt;Title&gt;基于GAMLSS模型的吐鲁番阿拉沟河流域非平稳水文干旱分析&lt;/Title&gt;&lt;Template&gt;Journal Article&lt;/Template&gt;&lt;Star&gt;1&lt;/Star&gt;&lt;Tag&gt;5&lt;/Tag&gt;&lt;Author&gt;朱晓钰; 穆振侠; 宋志林; 王腾; 陈龙瑶&lt;/Author&gt;&lt;Year&gt;2026&lt;/Year&gt;&lt;Details&gt;&lt;_accessed&gt;66413829&lt;/_accessed&gt;&lt;_author_adr&gt;新疆农业大学水利与土木工程学院;新疆水利工程安全与水灾害防治重点实验室;&lt;/_author_adr&gt;&lt;_collection_scope&gt;PKU&lt;/_collection_scope&gt;&lt;_created&gt;66413826&lt;/_created&gt;&lt;_db_provider&gt;CNKI&lt;/_db_provider&gt;&lt;_isbn&gt;1000-0860&lt;/_isbn&gt;&lt;_journal&gt;水利水电技术(中英文)&lt;/_journal&gt;&lt;_keywords&gt;吐鲁番盆地;水文干旱;非平稳性;GAMLSS模型;Copula函数;气候变化;降水;水资源&lt;/_keywords&gt;&lt;_modified&gt;66509147&lt;/_modified&gt;&lt;_pages&gt;1-19&lt;/_pages&gt;&lt;_url&gt;https://link.cnki.net/urlid/10.1746.TV.20260131.1610.002&lt;/_url&gt;&lt;_translated_author&gt;Zhu, Xiao yu;Mu, Zhen xia;Song, Zhi lin;Wang, Teng;Chen, Long yao&lt;/_translated_author&gt;&lt;_language&gt;Chinese&lt;/_language&gt;&lt;/Details&gt;&lt;Extra&gt;&lt;DBUID&gt;{F96A950B-833F-4880-A151-76DA2D6A2879}&lt;/DBUID&gt;&lt;/Extra&gt;&lt;/Item&gt;&lt;/References&gt;&lt;/Group&gt;&lt;/Citation&gt;_x000a_"/>
    <w:docVar w:name="NE.Ref{8E6855CE-2048-4CBA-84AA-D63B7F0D1B56}" w:val=" ADDIN NE.Ref.{8E6855CE-2048-4CBA-84AA-D63B7F0D1B56}&lt;Citation&gt;&lt;Group&gt;&lt;References&gt;&lt;Item&gt;&lt;ID&gt;2606&lt;/ID&gt;&lt;UID&gt;{351D476C-5161-42FA-9D88-7F3E7F81A811}&lt;/UID&gt;&lt;Title&gt;Change detection in hydrological records—a review of the methodology / Revue méthodologique de la détection de changements dans les chroniques hydrologiques&lt;/Title&gt;&lt;Template&gt;Journal Article&lt;/Template&gt;&lt;Star&gt;0&lt;/Star&gt;&lt;Tag&gt;0&lt;/Tag&gt;&lt;Author&gt;Kundzewicz, Zbigniew W; Robson, Alice J&lt;/Author&gt;&lt;Year&gt;2011&lt;/Year&gt;&lt;Details&gt;&lt;_accessed&gt;66510306&lt;/_accessed&gt;&lt;_created&gt;66510306&lt;/_created&gt;&lt;_db_updated&gt;CrossRef&lt;/_db_updated&gt;&lt;_doi&gt;10.1623/hysj.49.1.7.53993&lt;/_doi&gt;&lt;_impact_factor&gt;   2.500&lt;/_impact_factor&gt;&lt;_isbn&gt;0262-6667&lt;/_isbn&gt;&lt;_issue&gt;1&lt;/_issue&gt;&lt;_journal&gt;Hydrological Sciences Journal&lt;/_journal&gt;&lt;_modified&gt;66510306&lt;/_modified&gt;&lt;_pages&gt;7-19&lt;/_pages&gt;&lt;_social_category&gt;水资源(3)&lt;/_social_category&gt;&lt;_tertiary_title&gt;Hydrological Sciences Journal&lt;/_tertiary_title&gt;&lt;_url&gt;https://www.tandfonline.com/doi/full/10.1623/hysj.49.1.7.53993_x000d__x000a_https://www.tandfonline.com/doi/pdf/10.1623/hysj.49.1.7.53993&lt;/_url&gt;&lt;_volume&gt;49&lt;/_volume&gt;&lt;_language&gt;English&lt;/_language&gt;&lt;/Details&gt;&lt;Extra&gt;&lt;DBUID&gt;{F96A950B-833F-4880-A151-76DA2D6A2879}&lt;/DBUID&gt;&lt;/Extra&gt;&lt;/Item&gt;&lt;/References&gt;&lt;/Group&gt;&lt;/Citation&gt;_x000a_"/>
    <w:docVar w:name="NE.Ref{944F8B02-64E3-428D-8A2E-B115B863A6A2}" w:val=" ADDIN NE.Ref.{944F8B02-64E3-428D-8A2E-B115B863A6A2}&lt;Citation&gt;&lt;Group&gt;&lt;References&gt;&lt;Item&gt;&lt;ID&gt;2612&lt;/ID&gt;&lt;UID&gt;{EE98D286-3E10-49B2-8224-45434366400D}&lt;/UID&gt;&lt;Title&gt;On inclusion of water resource management in Earth system models – Part 2: Representation of water supply and allocation and opportunities for improved modeling&lt;/Title&gt;&lt;Template&gt;Journal Article&lt;/Template&gt;&lt;Star&gt;0&lt;/Star&gt;&lt;Tag&gt;0&lt;/Tag&gt;&lt;Author&gt;Nazemi, A; Wheater, H S&lt;/Author&gt;&lt;Year&gt;2015&lt;/Year&gt;&lt;Details&gt;&lt;_accessed&gt;66510340&lt;/_accessed&gt;&lt;_created&gt;66510340&lt;/_created&gt;&lt;_modified&gt;66510340&lt;/_modified&gt;&lt;_url&gt;http://dx.doi.org/10.5194/hess-19-63-2015&lt;/_url&gt;&lt;_journal&gt;Hydrology and Earth System Sciences&lt;/_journal&gt;&lt;_volume&gt;19&lt;/_volume&gt;&lt;_issue&gt;1&lt;/_issue&gt;&lt;_pages&gt;63-90&lt;/_pages&gt;&lt;_doi&gt;10.5194/hess-19-63-2015&lt;/_doi&gt;&lt;_isbn&gt;1607-7938&lt;/_isbn&gt;&lt;_language&gt;en&lt;/_language&gt;&lt;_db_updated&gt;NESearch&lt;/_db_updated&gt;&lt;_impact_factor&gt;   5.800&lt;/_impact_factor&gt;&lt;_social_category&gt;水资源(1) &amp;amp; 地球科学：综合(2)&lt;/_social_category&gt;&lt;_collection_scope&gt;SCIE;EI&lt;/_collection_scope&gt;&lt;/Details&gt;&lt;Extra&gt;&lt;DBUID&gt;{F96A950B-833F-4880-A151-76DA2D6A2879}&lt;/DBUID&gt;&lt;/Extra&gt;&lt;/Item&gt;&lt;/References&gt;&lt;/Group&gt;&lt;/Citation&gt;_x000a_"/>
    <w:docVar w:name="NE.Ref{954BE26E-6562-4AE8-BDE9-16F1E3260744}" w:val=" ADDIN NE.Ref.{954BE26E-6562-4AE8-BDE9-16F1E3260744}&lt;Citation&gt;&lt;Group&gt;&lt;References&gt;&lt;Item&gt;&lt;ID&gt;2589&lt;/ID&gt;&lt;UID&gt;{70FB8522-2487-4666-844B-229C7217011C}&lt;/UID&gt;&lt;Title&gt;Temporal changes in the frequency of flood types and their impact on flood statistics&lt;/Title&gt;&lt;Template&gt;Journal Article&lt;/Template&gt;&lt;Star&gt;1&lt;/Star&gt;&lt;Tag&gt;5&lt;/Tag&gt;&lt;Author&gt;Fischer, Svenja; Schumann, Andreas H&lt;/Author&gt;&lt;Year&gt;2024&lt;/Year&gt;&lt;Details&gt;&lt;_accessed&gt;66413890&lt;/_accessed&gt;&lt;_collection_scope&gt;ESCI;EI&lt;/_collection_scope&gt;&lt;_created&gt;66413890&lt;/_created&gt;&lt;_db_updated&gt;NESearch&lt;/_db_updated&gt;&lt;_doi&gt;10.1016/j.hydroa.2024.100171&lt;/_doi&gt;&lt;_impact_factor&gt;   3.100&lt;/_impact_factor&gt;&lt;_isbn&gt;2589-9155&lt;/_isbn&gt;&lt;_journal&gt;Journal of Hydrology X&lt;/_journal&gt;&lt;_language&gt;en&lt;/_language&gt;&lt;_modified&gt;66509147&lt;/_modified&gt;&lt;_pages&gt;100171&lt;/_pages&gt;&lt;_social_category&gt;水资源(3) &amp;amp; 地球科学：综合(4)&lt;/_social_category&gt;&lt;_url&gt;http://dx.doi.org/10.1016/j.hydroa.2024.100171&lt;/_url&gt;&lt;_volume&gt;22&lt;/_volume&gt;&lt;/Details&gt;&lt;Extra&gt;&lt;DBUID&gt;{F96A950B-833F-4880-A151-76DA2D6A2879}&lt;/DBUID&gt;&lt;/Extra&gt;&lt;/Item&gt;&lt;/References&gt;&lt;/Group&gt;&lt;Group&gt;&lt;References&gt;&lt;Item&gt;&lt;ID&gt;2587&lt;/ID&gt;&lt;UID&gt;{88C6ADFE-E886-4FC8-89E2-103FF5321711}&lt;/UID&gt;&lt;Title&gt;Climate change. Stationarity is dead: whither water management?&lt;/Title&gt;&lt;Template&gt;Journal Article&lt;/Template&gt;&lt;Star&gt;1&lt;/Star&gt;&lt;Tag&gt;5&lt;/Tag&gt;&lt;Author&gt;Milly, P C D; Betancourt, Julio; Falkenmark, Malin; Hirsch, Robert M; Kundzewicz, Zbigniew W; Lettenmaier, Dennis P; Stouffer, Ronald J&lt;/Author&gt;&lt;Year&gt;2008&lt;/Year&gt;&lt;Details&gt;&lt;_accessed&gt;66413861&lt;/_accessed&gt;&lt;_accession_num&gt;18239110&lt;/_accession_num&gt;&lt;_created&gt;66413855&lt;/_created&gt;&lt;_date&gt;56846880&lt;/_date&gt;&lt;_date_display&gt;2008/02/01&lt;/_date_display&gt;&lt;_db_updated&gt;PubMed&lt;/_db_updated&gt;&lt;_doi&gt;10.1126/science.1151915&lt;/_doi&gt;&lt;_isbn&gt;1095-9203&lt;/_isbn&gt;&lt;_issue&gt;5863&lt;/_issue&gt;&lt;_journal&gt;Science (New York, N.Y.)&lt;/_journal&gt;&lt;_modified&gt;66509147&lt;/_modified&gt;&lt;_pages&gt;573-574&lt;/_pages&gt;&lt;_place_published&gt;United States&lt;/_place_published&gt;&lt;_url&gt;https://pubmed.ncbi.nlm.nih.gov/18239110&lt;/_url&gt;&lt;_volume&gt;319&lt;/_volume&gt;&lt;_language&gt;English&lt;/_language&gt;&lt;/Details&gt;&lt;Extra&gt;&lt;DBUID&gt;{F96A950B-833F-4880-A151-76DA2D6A2879}&lt;/DBUID&gt;&lt;/Extra&gt;&lt;/Item&gt;&lt;/References&gt;&lt;/Group&gt;&lt;Group&gt;&lt;References&gt;&lt;Item&gt;&lt;ID&gt;2588&lt;/ID&gt;&lt;UID&gt;{FA5B4F22-20AD-4C28-87C6-E8F2CC823D05}&lt;/UID&gt;&lt;Title&gt;Analysis of stationary and non-stationary hydrological extremes under a changing environment: A systematic review&lt;/Title&gt;&lt;Template&gt;Journal Article&lt;/Template&gt;&lt;Star&gt;1&lt;/Star&gt;&lt;Tag&gt;5&lt;/Tag&gt;&lt;Author&gt;Twinomuhangi, Maximo Basheija; Bamutaze, Yazidhi; Kabenge, Isa; Wanyama, Joshua; Kizza, Michael; Gabiri, Geoffrey; Egli, Pascal Emanuel&lt;/Author&gt;&lt;Year&gt;2025&lt;/Year&gt;&lt;Details&gt;&lt;_accessed&gt;66413872&lt;/_accessed&gt;&lt;_created&gt;66413871&lt;/_created&gt;&lt;_db_updated&gt;NESearch&lt;/_db_updated&gt;&lt;_doi&gt;10.1016/j.hydres.2024.12.007&lt;/_doi&gt;&lt;_isbn&gt;2589-7578&lt;/_isbn&gt;&lt;_journal&gt;HydroResearch&lt;/_journal&gt;&lt;_language&gt;en&lt;/_language&gt;&lt;_modified&gt;66509147&lt;/_modified&gt;&lt;_pages&gt;332-350&lt;/_pages&gt;&lt;_url&gt;https://doi.org/10.1016/j.hydres.2024.12.007&lt;/_url&gt;&lt;_volume&gt;8&lt;/_volume&gt;&lt;/Details&gt;&lt;Extra&gt;&lt;DBUID&gt;{F96A950B-833F-4880-A151-76DA2D6A2879}&lt;/DBUID&gt;&lt;/Extra&gt;&lt;/Item&gt;&lt;/References&gt;&lt;/Group&gt;&lt;Group&gt;&lt;References&gt;&lt;Item&gt;&lt;ID&gt;2590&lt;/ID&gt;&lt;UID&gt;{108373ED-9A70-4A13-95FC-F23E6318AC04}&lt;/UID&gt;&lt;Title&gt;Assessment of dynamic hydrological drought risk from a non‐stationary perspective&lt;/Title&gt;&lt;Template&gt;Journal Article&lt;/Template&gt;&lt;Star&gt;1&lt;/Star&gt;&lt;Tag&gt;5&lt;/Tag&gt;&lt;Author&gt;Chen, Chen; Peng, Tao; Singh, Vijay P; Wang, Youxin; Zhang, Te; Dong, Xiaohua; Lin, Qingxia; Guo, Jiali; Liu, Ji; Fan, Tianyi; Wang, Gaoxu&lt;/Author&gt;&lt;Year&gt;2024&lt;/Year&gt;&lt;Details&gt;&lt;_accessed&gt;66470011&lt;/_accessed&gt;&lt;_collection_scope&gt;SCIE;EI&lt;/_collection_scope&gt;&lt;_created&gt;66413896&lt;/_created&gt;&lt;_db_updated&gt;NESearch&lt;/_db_updated&gt;&lt;_doi&gt;10.1002/hyp.15267&lt;/_doi&gt;&lt;_impact_factor&gt;   2.900&lt;/_impact_factor&gt;&lt;_isbn&gt;0885-6087&lt;/_isbn&gt;&lt;_issue&gt;8&lt;/_issue&gt;&lt;_journal&gt;Hydrological Processes&lt;/_journal&gt;&lt;_language&gt;en&lt;/_language&gt;&lt;_modified&gt;66509147&lt;/_modified&gt;&lt;_social_category&gt;水资源(3)&lt;/_social_category&gt;&lt;_url&gt;https://doi.org/10.1002/hyp.15267&lt;/_url&gt;&lt;_volume&gt;38&lt;/_volume&gt;&lt;/Details&gt;&lt;Extra&gt;&lt;DBUID&gt;{F96A950B-833F-4880-A151-76DA2D6A2879}&lt;/DBUID&gt;&lt;/Extra&gt;&lt;/Item&gt;&lt;/References&gt;&lt;/Group&gt;&lt;Group&gt;&lt;References&gt;&lt;Item&gt;&lt;ID&gt;2604&lt;/ID&gt;&lt;UID&gt;{8394CB9C-1694-4C34-8105-BDD1F426CAA4}&lt;/UID&gt;&lt;Title&gt;Stationarity is undead: Uncertainty dominates the distribution of extremes&lt;/Title&gt;&lt;Template&gt;Journal Article&lt;/Template&gt;&lt;Star&gt;0&lt;/Star&gt;&lt;Tag&gt;0&lt;/Tag&gt;&lt;Author&gt;Serinaldi, Francesco; Kilsby, Chris G&lt;/Author&gt;&lt;Year&gt;2015&lt;/Year&gt;&lt;Details&gt;&lt;_accessed&gt;66510279&lt;/_accessed&gt;&lt;_collection_scope&gt;SCIE;EI&lt;/_collection_scope&gt;&lt;_created&gt;66510278&lt;/_created&gt;&lt;_db_updated&gt;NESearch&lt;/_db_updated&gt;&lt;_doi&gt;10.1016/j.advwatres.2014.12.013&lt;/_doi&gt;&lt;_impact_factor&gt;   4.200&lt;/_impact_factor&gt;&lt;_isbn&gt;0309-1708&lt;/_isbn&gt;&lt;_journal&gt;Advances in Water Resources&lt;/_journal&gt;&lt;_language&gt;en&lt;/_language&gt;&lt;_modified&gt;66510279&lt;/_modified&gt;&lt;_pages&gt;17-36&lt;/_pages&gt;&lt;_social_category&gt;水资源(2)&lt;/_social_category&gt;&lt;_url&gt;http://dx.doi.org/10.1016/j.advwatres.2014.12.013&lt;/_url&gt;&lt;_volume&gt;77&lt;/_volume&gt;&lt;/Details&gt;&lt;Extra&gt;&lt;DBUID&gt;{F96A950B-833F-4880-A151-76DA2D6A2879}&lt;/DBUID&gt;&lt;/Extra&gt;&lt;/Item&gt;&lt;/References&gt;&lt;/Group&gt;&lt;/Citation&gt;_x000a_"/>
    <w:docVar w:name="NE.Ref{9A9D345F-F9F2-4D25-83B7-91F8BDD58C8D}" w:val=" ADDIN NE.Ref.{9A9D345F-F9F2-4D25-83B7-91F8BDD58C8D}&lt;Citation&gt;&lt;Group&gt;&lt;References&gt;&lt;Item&gt;&lt;ID&gt;2621&lt;/ID&gt;&lt;UID&gt;{279B1EC2-0DE7-414C-886F-C0A892DEAF5D}&lt;/UID&gt;&lt;Title&gt;Bivariate copula framework for drought risk assessment under climate change and practical water supply systems&lt;/Title&gt;&lt;Template&gt;Journal Article&lt;/Template&gt;&lt;Star&gt;0&lt;/Star&gt;&lt;Tag&gt;0&lt;/Tag&gt;&lt;Author&gt;Kim, Wonjin; Kang, Seongkyu; Woo, Soyoung; Choi, Sijung&lt;/Author&gt;&lt;Year&gt;2025&lt;/Year&gt;&lt;Details&gt;&lt;_accessed&gt;66510526&lt;/_accessed&gt;&lt;_collection_scope&gt;SCIE&lt;/_collection_scope&gt;&lt;_created&gt;66510526&lt;/_created&gt;&lt;_db_updated&gt;NESearch&lt;/_db_updated&gt;&lt;_doi&gt;10.1007/s11069-025-07677-3&lt;/_doi&gt;&lt;_impact_factor&gt;   3.700&lt;/_impact_factor&gt;&lt;_isbn&gt;0921-030X&lt;/_isbn&gt;&lt;_journal&gt;Natural Hazards&lt;/_journal&gt;&lt;_language&gt;en&lt;/_language&gt;&lt;_modified&gt;66510526&lt;/_modified&gt;&lt;_social_category&gt;地球科学：综合(3) &amp;amp; 气象与大气科学(3) &amp;amp; 水资源(3)&lt;/_social_category&gt;&lt;_url&gt;https://doi.org/10.1007/s11069-025-07677-3&lt;/_url&gt;&lt;/Details&gt;&lt;Extra&gt;&lt;DBUID&gt;{F96A950B-833F-4880-A151-76DA2D6A2879}&lt;/DBUID&gt;&lt;/Extra&gt;&lt;/Item&gt;&lt;/References&gt;&lt;/Group&gt;&lt;/Citation&gt;_x000a_"/>
    <w:docVar w:name="NE.Ref{9BC4C4CD-2BB6-48A6-892D-E8A36520D377}" w:val=" ADDIN NE.Ref.{9BC4C4CD-2BB6-48A6-892D-E8A36520D377}&lt;Citation&gt;&lt;Group&gt;&lt;References&gt;&lt;Item&gt;&lt;ID&gt;2616&lt;/ID&gt;&lt;UID&gt;{CBC4EC7F-9B5A-4C6B-A732-CEF034A535D2}&lt;/UID&gt;&lt;Title&gt;Fitting Drought Duration and Severity with Two-Dimensional Copulas&lt;/Title&gt;&lt;Template&gt;Journal Article&lt;/Template&gt;&lt;Star&gt;0&lt;/Star&gt;&lt;Tag&gt;0&lt;/Tag&gt;&lt;Author&gt;Shiau, J T&lt;/Author&gt;&lt;Year&gt;2006&lt;/Year&gt;&lt;Details&gt;&lt;_accessed&gt;66510362&lt;/_accessed&gt;&lt;_created&gt;66510362&lt;/_created&gt;&lt;_modified&gt;66510362&lt;/_modified&gt;&lt;_url&gt;http://dx.doi.org/10.1007/s11269-005-9008-9&lt;/_url&gt;&lt;_journal&gt;Water Resources Management&lt;/_journal&gt;&lt;_volume&gt;20&lt;/_volume&gt;&lt;_issue&gt;5&lt;/_issue&gt;&lt;_pages&gt;795-815&lt;/_pages&gt;&lt;_doi&gt;10.1007/s11269-005-9008-9&lt;/_doi&gt;&lt;_isbn&gt;0920-4741&lt;/_isbn&gt;&lt;_language&gt;en&lt;/_language&gt;&lt;_db_updated&gt;NESearch&lt;/_db_updated&gt;&lt;_impact_factor&gt;   4.700&lt;/_impact_factor&gt;&lt;_social_category&gt;工程：土木(2) &amp;amp; 水资源(2)&lt;/_social_category&gt;&lt;_collection_scope&gt;SCIE;EI&lt;/_collection_scope&gt;&lt;/Details&gt;&lt;Extra&gt;&lt;DBUID&gt;{F96A950B-833F-4880-A151-76DA2D6A2879}&lt;/DBUID&gt;&lt;/Extra&gt;&lt;/Item&gt;&lt;/References&gt;&lt;/Group&gt;&lt;/Citation&gt;_x000a_"/>
    <w:docVar w:name="NE.Ref{9EEE1319-4F36-4A5F-8272-6CED0E08C1E9}" w:val=" ADDIN NE.Ref.{9EEE1319-4F36-4A5F-8272-6CED0E08C1E9}&lt;Citation&gt;&lt;Group&gt;&lt;References&gt;&lt;Item&gt;&lt;ID&gt;2631&lt;/ID&gt;&lt;UID&gt;{E5E96088-34EC-4FC9-9F5D-5CBD6772CE40}&lt;/UID&gt;&lt;Title&gt;Accuracy, precision, recall, f1-score, or MCC? empirical evidence from advanced statistics, ML, and XAI for evaluating business predictive models&lt;/Title&gt;&lt;Template&gt;Journal Article&lt;/Template&gt;&lt;Star&gt;0&lt;/Star&gt;&lt;Tag&gt;0&lt;/Tag&gt;&lt;Author&gt;Sujon, Khaled Mahmud; Hassan, Rohayanti; Choi, Kwonhue; Samad, Md Abdus&lt;/Author&gt;&lt;Year&gt;2025&lt;/Year&gt;&lt;Details&gt;&lt;_accessed&gt;66516221&lt;/_accessed&gt;&lt;_collection_scope&gt;SCIE;EI&lt;/_collection_scope&gt;&lt;_created&gt;66516221&lt;/_created&gt;&lt;_db_updated&gt;NESearch&lt;/_db_updated&gt;&lt;_doi&gt;10.1186/s40537-025-01313-4&lt;/_doi&gt;&lt;_impact_factor&gt;   6.400&lt;/_impact_factor&gt;&lt;_isbn&gt;2196-1115&lt;/_isbn&gt;&lt;_issue&gt;1&lt;/_issue&gt;&lt;_journal&gt;Journal of Big Data&lt;/_journal&gt;&lt;_language&gt;en&lt;/_language&gt;&lt;_modified&gt;66516221&lt;/_modified&gt;&lt;_social_category&gt;计算机：理论方法(2)&lt;/_social_category&gt;&lt;_url&gt;https://doi.org/10.1186/s40537-025-01313-4&lt;/_url&gt;&lt;_volume&gt;12&lt;/_volume&gt;&lt;/Details&gt;&lt;Extra&gt;&lt;DBUID&gt;{F96A950B-833F-4880-A151-76DA2D6A2879}&lt;/DBUID&gt;&lt;/Extra&gt;&lt;/Item&gt;&lt;/References&gt;&lt;/Group&gt;&lt;Group&gt;&lt;References&gt;&lt;Item&gt;&lt;ID&gt;2632&lt;/ID&gt;&lt;UID&gt;{8B61007A-05A0-445E-A28B-22EB4EF77DE0}&lt;/UID&gt;&lt;Title&gt;Classification assessment methods&lt;/Title&gt;&lt;Template&gt;Journal Article&lt;/Template&gt;&lt;Star&gt;0&lt;/Star&gt;&lt;Tag&gt;0&lt;/Tag&gt;&lt;Author&gt;Tharwat, Alaa&lt;/Author&gt;&lt;Year&gt;2020&lt;/Year&gt;&lt;Details&gt;&lt;_accessed&gt;66516226&lt;/_accessed&gt;&lt;_created&gt;66516226&lt;/_created&gt;&lt;_db_updated&gt;NESearch&lt;/_db_updated&gt;&lt;_doi&gt;10.1016/j.aci.2018.08.003&lt;/_doi&gt;&lt;_impact_factor&gt;   4.900&lt;/_impact_factor&gt;&lt;_isbn&gt;2634-1964&lt;/_isbn&gt;&lt;_issue&gt;1&lt;/_issue&gt;&lt;_journal&gt;Applied Computing and Informatics&lt;/_journal&gt;&lt;_language&gt;en&lt;/_language&gt;&lt;_modified&gt;66516226&lt;/_modified&gt;&lt;_pages&gt;168-192&lt;/_pages&gt;&lt;_social_category&gt;计算机：信息系统(4)&lt;/_social_category&gt;&lt;_url&gt;http://dx.doi.org/10.1016/j.aci.2018.08.003&lt;/_url&gt;&lt;_volume&gt;17&lt;/_volume&gt;&lt;/Details&gt;&lt;Extra&gt;&lt;DBUID&gt;{F96A950B-833F-4880-A151-76DA2D6A2879}&lt;/DBUID&gt;&lt;/Extra&gt;&lt;/Item&gt;&lt;/References&gt;&lt;/Group&gt;&lt;/Citation&gt;_x000a_"/>
    <w:docVar w:name="NE.Ref{9F7D7788-A06D-473C-AE77-DECE650549AE}" w:val=" ADDIN NE.Ref.{9F7D7788-A06D-473C-AE77-DECE650549AE}&lt;Citation&gt;&lt;Group&gt;&lt;References&gt;&lt;Item&gt;&lt;ID&gt;2589&lt;/ID&gt;&lt;UID&gt;{70FB8522-2487-4666-844B-229C7217011C}&lt;/UID&gt;&lt;Title&gt;Temporal changes in the frequency of flood types and their impact on flood statistics&lt;/Title&gt;&lt;Template&gt;Journal Article&lt;/Template&gt;&lt;Star&gt;1&lt;/Star&gt;&lt;Tag&gt;5&lt;/Tag&gt;&lt;Author&gt;Fischer, Svenja; Schumann, Andreas H&lt;/Author&gt;&lt;Year&gt;2024&lt;/Year&gt;&lt;Details&gt;&lt;_accessed&gt;66413890&lt;/_accessed&gt;&lt;_collection_scope&gt;ESCI;EI&lt;/_collection_scope&gt;&lt;_created&gt;66413890&lt;/_created&gt;&lt;_db_updated&gt;NESearch&lt;/_db_updated&gt;&lt;_doi&gt;10.1016/j.hydroa.2024.100171&lt;/_doi&gt;&lt;_impact_factor&gt;   3.100&lt;/_impact_factor&gt;&lt;_isbn&gt;2589-9155&lt;/_isbn&gt;&lt;_journal&gt;Journal of Hydrology X&lt;/_journal&gt;&lt;_language&gt;en&lt;/_language&gt;&lt;_modified&gt;66509147&lt;/_modified&gt;&lt;_pages&gt;100171&lt;/_pages&gt;&lt;_social_category&gt;水资源(3) &amp;amp; 地球科学：综合(4)&lt;/_social_category&gt;&lt;_url&gt;http://dx.doi.org/10.1016/j.hydroa.2024.100171&lt;/_url&gt;&lt;_volume&gt;22&lt;/_volume&gt;&lt;/Details&gt;&lt;Extra&gt;&lt;DBUID&gt;{F96A950B-833F-4880-A151-76DA2D6A2879}&lt;/DBUID&gt;&lt;/Extra&gt;&lt;/Item&gt;&lt;/References&gt;&lt;/Group&gt;&lt;/Citation&gt;_x000a_"/>
    <w:docVar w:name="NE.Ref{A268A5B8-7D4E-41CD-BE2A-8F9EA5584724}" w:val=" ADDIN NE.Ref.{A268A5B8-7D4E-41CD-BE2A-8F9EA5584724}&lt;Citation&gt;&lt;Group&gt;&lt;References&gt;&lt;Item&gt;&lt;ID&gt;2586&lt;/ID&gt;&lt;UID&gt;{E7791805-068C-4CA3-B267-0B0CFE12BBCB}&lt;/UID&gt;&lt;Title&gt;变化环境下我国干旱灾害演变趋势分析&lt;/Title&gt;&lt;Template&gt;Journal Article&lt;/Template&gt;&lt;Star&gt;1&lt;/Star&gt;&lt;Tag&gt;5&lt;/Tag&gt;&lt;Author&gt;倪深海; 吕娟; 刘静楠; 顾颖; 屈艳萍&lt;/Author&gt;&lt;Year&gt;2022&lt;/Year&gt;&lt;Details&gt;&lt;_author_adr&gt;水文水资源与水利工程科学国家重点实验室;南京水利科学研究院;中国水利水电科学研究院;水利部防洪抗旱减灾工程技术研究中心;&lt;/_author_adr&gt;&lt;_created&gt;66413850&lt;/_created&gt;&lt;_db_provider&gt;CNKI&lt;/_db_provider&gt;&lt;_doi&gt;10.16867/j.issn.1673-9264.2022415&lt;/_doi&gt;&lt;_isbn&gt;1673-9264&lt;/_isbn&gt;&lt;_issue&gt;10&lt;/_issue&gt;&lt;_journal&gt;中国防汛抗旱&lt;/_journal&gt;&lt;_keywords&gt;干旱灾害;时空特征;干旱频率;气候变暖;人类活动&lt;/_keywords&gt;&lt;_modified&gt;66509147&lt;/_modified&gt;&lt;_pages&gt;1-7&lt;/_pages&gt;&lt;_url&gt;https://link.cnki.net/doi/10.16867/j.issn.1673-9264.2022415&lt;/_url&gt;&lt;_volume&gt;32&lt;/_volume&gt;&lt;_translated_author&gt;Ni, Shen hai;Lu, Juan;Liu, Jing nan;Gu, Ying;Qu, Yan ping&lt;/_translated_author&gt;&lt;_language&gt;Chinese&lt;/_language&gt;&lt;/Details&gt;&lt;Extra&gt;&lt;DBUID&gt;{F96A950B-833F-4880-A151-76DA2D6A2879}&lt;/DBUID&gt;&lt;/Extra&gt;&lt;/Item&gt;&lt;/References&gt;&lt;/Group&gt;&lt;Group&gt;&lt;References&gt;&lt;Item&gt;&lt;ID&gt;2582&lt;/ID&gt;&lt;UID&gt;{E051F659-4635-45D7-8C02-EDBAC2C7CA25}&lt;/UID&gt;&lt;Title&gt;基于GAMLSS模型的吐鲁番阿拉沟河流域非平稳水文干旱分析&lt;/Title&gt;&lt;Template&gt;Journal Article&lt;/Template&gt;&lt;Star&gt;1&lt;/Star&gt;&lt;Tag&gt;5&lt;/Tag&gt;&lt;Author&gt;朱晓钰; 穆振侠; 宋志林; 王腾; 陈龙瑶&lt;/Author&gt;&lt;Year&gt;2026&lt;/Year&gt;&lt;Details&gt;&lt;_accessed&gt;66413829&lt;/_accessed&gt;&lt;_author_adr&gt;新疆农业大学水利与土木工程学院;新疆水利工程安全与水灾害防治重点实验室;&lt;/_author_adr&gt;&lt;_collection_scope&gt;PKU&lt;/_collection_scope&gt;&lt;_created&gt;66413826&lt;/_created&gt;&lt;_db_provider&gt;CNKI&lt;/_db_provider&gt;&lt;_isbn&gt;1000-0860&lt;/_isbn&gt;&lt;_journal&gt;水利水电技术(中英文)&lt;/_journal&gt;&lt;_keywords&gt;吐鲁番盆地;水文干旱;非平稳性;GAMLSS模型;Copula函数;气候变化;降水;水资源&lt;/_keywords&gt;&lt;_modified&gt;66509147&lt;/_modified&gt;&lt;_pages&gt;1-19&lt;/_pages&gt;&lt;_url&gt;https://link.cnki.net/urlid/10.1746.TV.20260131.1610.002&lt;/_url&gt;&lt;_translated_author&gt;Zhu, Xiao yu;Mu, Zhen xia;Song, Zhi lin;Wang, Teng;Chen, Long yao&lt;/_translated_author&gt;&lt;_language&gt;Chinese&lt;/_language&gt;&lt;/Details&gt;&lt;Extra&gt;&lt;DBUID&gt;{F96A950B-833F-4880-A151-76DA2D6A2879}&lt;/DBUID&gt;&lt;/Extra&gt;&lt;/Item&gt;&lt;/References&gt;&lt;/Group&gt;&lt;/Citation&gt;_x000a_"/>
    <w:docVar w:name="NE.Ref{A2C0B655-36D4-4650-B23E-A6E2F7D824D8}" w:val=" ADDIN NE.Ref.{A2C0B655-36D4-4650-B23E-A6E2F7D824D8}&lt;Citation&gt;&lt;Group&gt;&lt;References&gt;&lt;Item&gt;&lt;ID&gt;2648&lt;/ID&gt;&lt;UID&gt;{C9837922-348B-4FA4-B7BA-DB6D952E7078}&lt;/UID&gt;&lt;Title&gt;Copula Theory as a Generalized Framework for Flow‐Duration Curve Based Streamflow Estimates in Ungaged and Partially Gaged Catchments&lt;/Title&gt;&lt;Template&gt;Journal Article&lt;/Template&gt;&lt;Star&gt;0&lt;/Star&gt;&lt;Tag&gt;0&lt;/Tag&gt;&lt;Author&gt;Worland, Scott C; Steinschneider, Scott; Farmer, William; Asquith, William; Knight, Rodney&lt;/Author&gt;&lt;Year&gt;2019&lt;/Year&gt;&lt;Details&gt;&lt;_accessed&gt;66622986&lt;/_accessed&gt;&lt;_created&gt;66622985&lt;/_created&gt;&lt;_modified&gt;66622986&lt;/_modified&gt;&lt;_url&gt;https://go.exlibris.link/GCTKFpjr&lt;/_url&gt;&lt;_place_published&gt;Washington&lt;/_place_published&gt;&lt;_journal&gt;Water resources research&lt;/_journal&gt;&lt;_volume&gt;55&lt;/_volume&gt;&lt;_issue&gt;11&lt;/_issue&gt;&lt;_number&gt;1&lt;/_number&gt;&lt;_pages&gt;9378-9397&lt;/_pages&gt;&lt;_doi&gt;10.1029/2019WR025138&lt;/_doi&gt;&lt;_date_display&gt;2019&lt;/_date_display&gt;&lt;_date&gt;62588160&lt;/_date&gt;&lt;_isbn&gt;0043-1397&lt;/_isbn&gt;&lt;_ori_publication&gt;John Wiley &amp;amp; Sons, Inc&lt;/_ori_publication&gt;&lt;_keywords&gt;Catchments; climate; copulas; Correlation; Duration; flow‐duration curves; Gaging; Hydrologic data; Methods; PUB; QPPQ; regionalization; River basins; Rivers; Stream discharge; Stream flow; Streamflow data; Streamflow estimation; time series analysis; water; Watersheds&lt;/_keywords&gt;&lt;_db_updated&gt;PKU Search&lt;/_db_updated&gt;&lt;_impact_factor&gt;   5.000&lt;/_impact_factor&gt;&lt;_social_category&gt;湖沼学(1) &amp;amp; 环境科学(2) &amp;amp; 水资源(2)&lt;/_social_category&gt;&lt;_collection_scope&gt;SCIE;EI&lt;/_collection_scope&gt;&lt;_language&gt;English&lt;/_language&gt;&lt;/Details&gt;&lt;Extra&gt;&lt;DBUID&gt;{F96A950B-833F-4880-A151-76DA2D6A2879}&lt;/DBUID&gt;&lt;/Extra&gt;&lt;/Item&gt;&lt;/References&gt;&lt;/Group&gt;&lt;Group&gt;&lt;References&gt;&lt;Item&gt;&lt;ID&gt;2593&lt;/ID&gt;&lt;UID&gt;{DC238526-412F-4E26-8E0E-EAE99722E6D8}&lt;/UID&gt;&lt;Title&gt;Copula函数在水文水资源中的研究进展与述评&lt;/Title&gt;&lt;Template&gt;Journal Article&lt;/Template&gt;&lt;Star&gt;1&lt;/Star&gt;&lt;Tag&gt;5&lt;/Tag&gt;&lt;Author&gt;刘章君; 郭生练; 许新发; 许世超; 成静清&lt;/Author&gt;&lt;Year&gt;2021&lt;/Year&gt;&lt;Details&gt;&lt;_accessed&gt;66469999&lt;/_accessed&gt;&lt;_collection_scope&gt;CSCD;EI;PKU&lt;/_collection_scope&gt;&lt;_created&gt;66469999&lt;/_created&gt;&lt;_db_provider&gt;WF&lt;/_db_provider&gt;&lt;_db_updated&gt;NESearch&lt;/_db_updated&gt;&lt;_doi&gt;10.14042/j.cnki.32.1309.2021.01.015&lt;/_doi&gt;&lt;_isbn&gt;1001-6791&lt;/_isbn&gt;&lt;_issue&gt;1&lt;/_issue&gt;&lt;_journal&gt;水科学进展&lt;/_journal&gt;&lt;_language&gt;cn&lt;/_language&gt;&lt;_modified&gt;66509147&lt;/_modified&gt;&lt;_pages&gt;148-159&lt;/_pages&gt;&lt;_tertiary_title&gt;Advances in Water Science&lt;/_tertiary_title&gt;&lt;_translated_title&gt;Application of Copula functions in hydrology and water resources:a state-of-the-art review&lt;/_translated_title&gt;&lt;_url&gt;https://d.wanfangdata.com.cn/periodical/skxjz202101015&lt;/_url&gt;&lt;_volume&gt;32&lt;/_volume&gt;&lt;_translated_author&gt;Liu, Zhang jun;Guo, Sheng lian;Xu, Xin fa;Xu, Shi chao;Cheng, Jing qing&lt;/_translated_author&gt;&lt;/Details&gt;&lt;Extra&gt;&lt;DBUID&gt;{F96A950B-833F-4880-A151-76DA2D6A2879}&lt;/DBUID&gt;&lt;/Extra&gt;&lt;/Item&gt;&lt;/References&gt;&lt;/Group&gt;&lt;/Citation&gt;_x000a_"/>
    <w:docVar w:name="NE.Ref{A40F2774-3B85-4374-917C-32AB37326DB0}" w:val=" ADDIN NE.Ref.{A40F2774-3B85-4374-917C-32AB37326DB0}&lt;Citation&gt;&lt;Group&gt;&lt;References&gt;&lt;Item&gt;&lt;ID&gt;2590&lt;/ID&gt;&lt;UID&gt;{108373ED-9A70-4A13-95FC-F23E6318AC04}&lt;/UID&gt;&lt;Title&gt;Assessment of dynamic hydrological drought risk from a non‐stationary perspective&lt;/Title&gt;&lt;Template&gt;Journal Article&lt;/Template&gt;&lt;Star&gt;1&lt;/Star&gt;&lt;Tag&gt;5&lt;/Tag&gt;&lt;Author&gt;Chen, Chen; Peng, Tao; Singh, Vijay P; Wang, Youxin; Zhang, Te; Dong, Xiaohua; Lin, Qingxia; Guo, Jiali; Liu, Ji; Fan, Tianyi; Wang, Gaoxu&lt;/Author&gt;&lt;Year&gt;2024&lt;/Year&gt;&lt;Details&gt;&lt;_accessed&gt;66470011&lt;/_accessed&gt;&lt;_collection_scope&gt;SCIE;EI&lt;/_collection_scope&gt;&lt;_created&gt;66413896&lt;/_created&gt;&lt;_db_updated&gt;NESearch&lt;/_db_updated&gt;&lt;_doi&gt;10.1002/hyp.15267&lt;/_doi&gt;&lt;_impact_factor&gt;   2.900&lt;/_impact_factor&gt;&lt;_isbn&gt;0885-6087&lt;/_isbn&gt;&lt;_issue&gt;8&lt;/_issue&gt;&lt;_journal&gt;Hydrological Processes&lt;/_journal&gt;&lt;_language&gt;en&lt;/_language&gt;&lt;_modified&gt;66509147&lt;/_modified&gt;&lt;_social_category&gt;水资源(3)&lt;/_social_category&gt;&lt;_url&gt;https://doi.org/10.1002/hyp.15267&lt;/_url&gt;&lt;_volume&gt;38&lt;/_volume&gt;&lt;/Details&gt;&lt;Extra&gt;&lt;DBUID&gt;{F96A950B-833F-4880-A151-76DA2D6A2879}&lt;/DBUID&gt;&lt;/Extra&gt;&lt;/Item&gt;&lt;/References&gt;&lt;/Group&gt;&lt;Group&gt;&lt;References&gt;&lt;Item&gt;&lt;ID&gt;2594&lt;/ID&gt;&lt;UID&gt;{5A5451E4-3CFD-4940-AC0A-99EB9C7B7848}&lt;/UID&gt;&lt;Title&gt;基于Vine Copula的非一致性水文干旱动态风险评估模型&lt;/Title&gt;&lt;Template&gt;Journal Article&lt;/Template&gt;&lt;Star&gt;1&lt;/Star&gt;&lt;Tag&gt;5&lt;/Tag&gt;&lt;Author&gt;张润; 陈伏龙; 何朝飞; 徐雪雯; 周磊&lt;/Author&gt;&lt;Year&gt;2026&lt;/Year&gt;&lt;Details&gt;&lt;_accessed&gt;66470003&lt;/_accessed&gt;&lt;_author_adr&gt;石河子大学水利建筑工程学院;寒旱区生态水利工程兵团重点实验室;&lt;/_author_adr&gt;&lt;_collection_scope&gt;CSCD;EI;PKU&lt;/_collection_scope&gt;&lt;_created&gt;66470002&lt;/_created&gt;&lt;_db_provider&gt;CNKI&lt;/_db_provider&gt;&lt;_db_updated&gt;CNKI - Reference&lt;/_db_updated&gt;&lt;_isbn&gt;1002-6819&lt;/_isbn&gt;&lt;_issue&gt;05&lt;/_issue&gt;&lt;_journal&gt;农业工程学报&lt;/_journal&gt;&lt;_keywords&gt;水文干旱;非一致性;广义可加模型;Vine Copula;风险评估;和田河流域&lt;/_keywords&gt;&lt;_modified&gt;66509147&lt;/_modified&gt;&lt;_pages&gt;147-157&lt;/_pages&gt;&lt;_url&gt;https://link.cnki.net/urlid/11.2047.s.20260310.1659.018&lt;/_url&gt;&lt;_volume&gt;42&lt;/_volume&gt;&lt;_translated_author&gt;Zhang, Run;Chen, Fu long;He, Chao fei;Xu, Xue wen;Zhou, Lei&lt;/_translated_author&gt;&lt;_language&gt;Chinese&lt;/_language&gt;&lt;/Details&gt;&lt;Extra&gt;&lt;DBUID&gt;{F96A950B-833F-4880-A151-76DA2D6A2879}&lt;/DBUID&gt;&lt;/Extra&gt;&lt;/Item&gt;&lt;/References&gt;&lt;/Group&gt;&lt;Group&gt;&lt;References&gt;&lt;Item&gt;&lt;ID&gt;2620&lt;/ID&gt;&lt;UID&gt;{31831C77-E123-40B1-BB41-C6CA7985195D}&lt;/UID&gt;&lt;Title&gt;Time‐varying nonstationary multivariate risk analysis using a dynamic Bayesian copula&lt;/Title&gt;&lt;Template&gt;Journal Article&lt;/Template&gt;&lt;Star&gt;0&lt;/Star&gt;&lt;Tag&gt;0&lt;/Tag&gt;&lt;Author&gt;Sarhadi, Ali; Burn, Donald H; Concepción Ausín, María; Wiper, Michael P&lt;/Author&gt;&lt;Year&gt;2016&lt;/Year&gt;&lt;Details&gt;&lt;_accessed&gt;66510372&lt;/_accessed&gt;&lt;_collection_scope&gt;SCIE;EI&lt;/_collection_scope&gt;&lt;_created&gt;66510372&lt;/_created&gt;&lt;_date&gt;61009920&lt;/_date&gt;&lt;_date_display&gt;2016&lt;/_date_display&gt;&lt;_db_updated&gt;PKU Search&lt;/_db_updated&gt;&lt;_doi&gt;10.1002/2015WR018525&lt;/_doi&gt;&lt;_impact_factor&gt;   5.000&lt;/_impact_factor&gt;&lt;_isbn&gt;0043-1397&lt;/_isbn&gt;&lt;_issue&gt;3&lt;/_issue&gt;&lt;_journal&gt;Water resources research&lt;/_journal&gt;&lt;_keywords&gt;Adaptive sampling; Anomalies; Bayesian analysis; Bayesian theory; Chains; Climate; Climate change; Climate models; Climatic extremes; Computer simulation; Criteria; Decision making; Design analysis; Dissolved inorganic carbon; dynamic Bayesian copula; Ecological risk assessment; Environmental impact; Estimates; Frameworks; Hydrometeorology; Markov chain; Markov Chain Monte Carlo sampling; Markov chains; Modelling; Monte Carlo simulation; Nonstationary environments; Parameter estimation; Parameters; Probability theory; risk; Risk analysis; Risk assessment; Statistical inference; Statistical methods; Time dependence; time‐varying joint return period; time‐varying multivariate risk analysis; water&lt;/_keywords&gt;&lt;_modified&gt;66510372&lt;/_modified&gt;&lt;_number&gt;1&lt;/_number&gt;&lt;_ori_publication&gt;John Wiley &amp;amp; Sons, Inc&lt;/_ori_publication&gt;&lt;_pages&gt;2327-2349&lt;/_pages&gt;&lt;_place_published&gt;Washington&lt;/_place_published&gt;&lt;_social_category&gt;湖沼学(1) &amp;amp; 环境科学(2) &amp;amp; 水资源(2)&lt;/_social_category&gt;&lt;_url&gt;https://go.exlibris.link/jvld5J5F&lt;/_url&gt;&lt;_volume&gt;52&lt;/_volume&gt;&lt;_language&gt;English&lt;/_language&gt;&lt;/Details&gt;&lt;Extra&gt;&lt;DBUID&gt;{F96A950B-833F-4880-A151-76DA2D6A2879}&lt;/DBUID&gt;&lt;/Extra&gt;&lt;/Item&gt;&lt;/References&gt;&lt;/Group&gt;&lt;Group&gt;&lt;References&gt;&lt;Item&gt;&lt;ID&gt;2622&lt;/ID&gt;&lt;UID&gt;{414416C2-D20E-4662-86FE-56C0695EAA47}&lt;/UID&gt;&lt;Title&gt;Hydrological drought dynamic using copula functions and drought center migration in the Ganjiang river basin&lt;/Title&gt;&lt;Template&gt;Journal Article&lt;/Template&gt;&lt;Star&gt;0&lt;/Star&gt;&lt;Tag&gt;0&lt;/Tag&gt;&lt;Author&gt;Liu, Weilin; Zhang, Jingrong; Zhou, Zhanxiong; Zhu, Shengnan; Liu, Lina; Li, Jianzhu&lt;/Author&gt;&lt;Year&gt;2025&lt;/Year&gt;&lt;Details&gt;&lt;_accessed&gt;66510536&lt;/_accessed&gt;&lt;_collection_scope&gt;SCIE&lt;/_collection_scope&gt;&lt;_created&gt;66510536&lt;/_created&gt;&lt;_db_updated&gt;NESearch&lt;/_db_updated&gt;&lt;_doi&gt;10.1038/s41598-025-18331-0&lt;/_doi&gt;&lt;_impact_factor&gt;   3.900&lt;/_impact_factor&gt;&lt;_isbn&gt;2045-2322&lt;/_isbn&gt;&lt;_issue&gt;1&lt;/_issue&gt;&lt;_journal&gt;Scientific Reports&lt;/_journal&gt;&lt;_language&gt;en&lt;/_language&gt;&lt;_modified&gt;66510536&lt;/_modified&gt;&lt;_social_category&gt;综合性期刊(3)&lt;/_social_category&gt;&lt;_url&gt;https://doi.org/10.1038/s41598-025-18331-0&lt;/_url&gt;&lt;_volume&gt;15&lt;/_volume&gt;&lt;/Details&gt;&lt;Extra&gt;&lt;DBUID&gt;{F96A950B-833F-4880-A151-76DA2D6A2879}&lt;/DBUID&gt;&lt;/Extra&gt;&lt;/Item&gt;&lt;/References&gt;&lt;/Group&gt;&lt;/Citation&gt;_x000a_"/>
    <w:docVar w:name="NE.Ref{A95500B0-2C6B-41A0-86A0-9464123AA025}" w:val=" ADDIN NE.Ref.{A95500B0-2C6B-41A0-86A0-9464123AA025}&lt;Citation&gt;&lt;Group&gt;&lt;References&gt;&lt;Item&gt;&lt;ID&gt;2588&lt;/ID&gt;&lt;UID&gt;{FA5B4F22-20AD-4C28-87C6-E8F2CC823D05}&lt;/UID&gt;&lt;Title&gt;Analysis of stationary and non-stationary hydrological extremes under a changing environment: A systematic review&lt;/Title&gt;&lt;Template&gt;Journal Article&lt;/Template&gt;&lt;Star&gt;1&lt;/Star&gt;&lt;Tag&gt;5&lt;/Tag&gt;&lt;Author&gt;Twinomuhangi, Maximo Basheija; Bamutaze, Yazidhi; Kabenge, Isa; Wanyama, Joshua; Kizza, Michael; Gabiri, Geoffrey; Egli, Pascal Emanuel&lt;/Author&gt;&lt;Year&gt;2025&lt;/Year&gt;&lt;Details&gt;&lt;_accessed&gt;66413872&lt;/_accessed&gt;&lt;_created&gt;66413871&lt;/_created&gt;&lt;_db_updated&gt;NESearch&lt;/_db_updated&gt;&lt;_doi&gt;10.1016/j.hydres.2024.12.007&lt;/_doi&gt;&lt;_isbn&gt;2589-7578&lt;/_isbn&gt;&lt;_journal&gt;HydroResearch&lt;/_journal&gt;&lt;_language&gt;en&lt;/_language&gt;&lt;_modified&gt;66509147&lt;/_modified&gt;&lt;_pages&gt;332-350&lt;/_pages&gt;&lt;_url&gt;https://doi.org/10.1016/j.hydres.2024.12.007&lt;/_url&gt;&lt;_volume&gt;8&lt;/_volume&gt;&lt;/Details&gt;&lt;Extra&gt;&lt;DBUID&gt;{F96A950B-833F-4880-A151-76DA2D6A2879}&lt;/DBUID&gt;&lt;/Extra&gt;&lt;/Item&gt;&lt;/References&gt;&lt;/Group&gt;&lt;/Citation&gt;_x000a_"/>
    <w:docVar w:name="NE.Ref{AB7625BB-46E5-4840-AD31-5CC3FF460834}" w:val=" ADDIN NE.Ref.{AB7625BB-46E5-4840-AD31-5CC3FF460834}&lt;Citation&gt;&lt;Group&gt;&lt;References&gt;&lt;Item&gt;&lt;ID&gt;2581&lt;/ID&gt;&lt;UID&gt;{C8626BBD-3E2C-4F0B-8AB0-34CF6B9729BF}&lt;/UID&gt;&lt;Title&gt;基于GAMLSS模型的资水流域最大日径流研究&lt;/Title&gt;&lt;Template&gt;Journal Article&lt;/Template&gt;&lt;Star&gt;1&lt;/Star&gt;&lt;Tag&gt;5&lt;/Tag&gt;&lt;Author&gt;夏琳蓉; 唐颖; 隆院男; 宋昕熠; 黄春福&lt;/Author&gt;&lt;Year&gt;2026&lt;/Year&gt;&lt;Details&gt;&lt;_accessed&gt;66413827&lt;/_accessed&gt;&lt;_author_adr&gt;长沙理工大学水利与环境工程学院;洞庭湖水环境治理与生态修复湖南省重点实验室;&lt;/_author_adr&gt;&lt;_collection_scope&gt;PKU&lt;/_collection_scope&gt;&lt;_created&gt;66413821&lt;/_created&gt;&lt;_db_provider&gt;CNKI&lt;/_db_provider&gt;&lt;_doi&gt;10.13928/j.cnki.wrahe.2026.01.014&lt;/_doi&gt;&lt;_isbn&gt;1000-0860&lt;/_isbn&gt;&lt;_issue&gt;01&lt;/_issue&gt;&lt;_journal&gt;水利水电技术(中英文)&lt;/_journal&gt;&lt;_keywords&gt;GAMLSS模型;协变量;年最大日径流;气候变化;人类活动;降水;水文过程;极端降雨&lt;/_keywords&gt;&lt;_modified&gt;66509147&lt;/_modified&gt;&lt;_pages&gt;183-191&lt;/_pages&gt;&lt;_url&gt;https://link.cnki.net/doi/10.13928/j.cnki.wrahe.2026.01.014&lt;/_url&gt;&lt;_volume&gt;57&lt;/_volume&gt;&lt;_translated_author&gt;Xia, Lin rong;Tang, Ying;Long, Yuan nan;Song, Xin yi;Huang, Chun fu&lt;/_translated_author&gt;&lt;_language&gt;Chinese&lt;/_language&gt;&lt;/Details&gt;&lt;Extra&gt;&lt;DBUID&gt;{F96A950B-833F-4880-A151-76DA2D6A2879}&lt;/DBUID&gt;&lt;/Extra&gt;&lt;/Item&gt;&lt;/References&gt;&lt;/Group&gt;&lt;Group&gt;&lt;References&gt;&lt;Item&gt;&lt;ID&gt;2598&lt;/ID&gt;&lt;UID&gt;{8E9EB7EB-7563-4734-892E-868596EC246F}&lt;/UID&gt;&lt;Title&gt;Climate Change 2021—The Physical Science Basis&lt;/Title&gt;&lt;Template&gt;Journal Article&lt;/Template&gt;&lt;Star&gt;0&lt;/Star&gt;&lt;Tag&gt;0&lt;/Tag&gt;&lt;Author/&gt;&lt;Year&gt;2021&lt;/Year&gt;&lt;Details&gt;&lt;_accessed&gt;66510261&lt;/_accessed&gt;&lt;_created&gt;66510240&lt;/_created&gt;&lt;_modified&gt;66510258&lt;/_modified&gt;&lt;_url&gt;http://dx.doi.org/10.1515/ci-2021-0407&lt;/_url&gt;&lt;_journal&gt;Chemistry International&lt;/_journal&gt;&lt;_volume&gt;43&lt;/_volume&gt;&lt;_issue&gt;4&lt;/_issue&gt;&lt;_pages&gt;22-23&lt;/_pages&gt;&lt;_doi&gt;10.1515/ci-2021-0407&lt;/_doi&gt;&lt;_isbn&gt;1365-2192&lt;/_isbn&gt;&lt;_language&gt;en&lt;/_language&gt;&lt;_db_updated&gt;NESearch&lt;/_db_updated&gt;&lt;/Details&gt;&lt;Extra&gt;&lt;DBUID&gt;{F96A950B-833F-4880-A151-76DA2D6A2879}&lt;/DBUID&gt;&lt;/Extra&gt;&lt;/Item&gt;&lt;/References&gt;&lt;/Group&gt;&lt;Group&gt;&lt;References&gt;&lt;Item&gt;&lt;ID&gt;2599&lt;/ID&gt;&lt;UID&gt;{A1F5D741-FC04-4910-A6D4-D52DEF8C29FE}&lt;/UID&gt;&lt;Title&gt;The impact of disasters and crises on agriculture and food security: 2021&lt;/Title&gt;&lt;Template&gt;Book&lt;/Template&gt;&lt;Star&gt;0&lt;/Star&gt;&lt;Tag&gt;0&lt;/Tag&gt;&lt;Author/&gt;&lt;Year&gt;2021&lt;/Year&gt;&lt;Details&gt;&lt;_accessed&gt;66510249&lt;/_accessed&gt;&lt;_created&gt;66510245&lt;/_created&gt;&lt;_modified&gt;66510249&lt;/_modified&gt;&lt;_url&gt;http://dx.doi.org/10.4060/cb3673en&lt;/_url&gt;&lt;_doi&gt;10.4060/cb3673en&lt;/_doi&gt;&lt;_db_updated&gt;NESearch&lt;/_db_updated&gt;&lt;_language&gt;English&lt;/_language&gt;&lt;/Details&gt;&lt;Extra&gt;&lt;DBUID&gt;{F96A950B-833F-4880-A151-76DA2D6A2879}&lt;/DBUID&gt;&lt;/Extra&gt;&lt;/Item&gt;&lt;/References&gt;&lt;/Group&gt;&lt;/Citation&gt;_x000a_"/>
    <w:docVar w:name="NE.Ref{AB9F596E-EB97-44DB-94D6-21EB86408AF0}" w:val=" ADDIN NE.Ref.{AB9F596E-EB97-44DB-94D6-21EB86408AF0}&lt;Citation&gt;&lt;Group&gt;&lt;References&gt;&lt;Item&gt;&lt;ID&gt;2608&lt;/ID&gt;&lt;UID&gt;{E6DB002B-A8A7-42C0-B4C8-08AEF45F51FA}&lt;/UID&gt;&lt;Title&gt;GAMLSS-based nonstationary modeling of extreme precipitation in Beijing–Tianjin–Hebei region of China&lt;/Title&gt;&lt;Template&gt;Journal Article&lt;/Template&gt;&lt;Star&gt;0&lt;/Star&gt;&lt;Tag&gt;0&lt;/Tag&gt;&lt;Author&gt;Zhang, Dong-dong; Yan, Deng-hua; Wang, Yi-Cheng; Lu, Fan; Liu, Shao-hua&lt;/Author&gt;&lt;Year&gt;2015&lt;/Year&gt;&lt;Details&gt;&lt;_accessed&gt;66510315&lt;/_accessed&gt;&lt;_created&gt;66510315&lt;/_created&gt;&lt;_modified&gt;66510315&lt;/_modified&gt;&lt;_url&gt;http://dx.doi.org/10.1007/s11069-015-1638-5&lt;/_url&gt;&lt;_journal&gt;Natural Hazards&lt;/_journal&gt;&lt;_volume&gt;77&lt;/_volume&gt;&lt;_issue&gt;2&lt;/_issue&gt;&lt;_pages&gt;1037-1053&lt;/_pages&gt;&lt;_doi&gt;10.1007/s11069-015-1638-5&lt;/_doi&gt;&lt;_isbn&gt;0921-030X&lt;/_isbn&gt;&lt;_language&gt;en&lt;/_language&gt;&lt;_db_updated&gt;NESearch&lt;/_db_updated&gt;&lt;_impact_factor&gt;   3.700&lt;/_impact_factor&gt;&lt;_social_category&gt;地球科学：综合(3) &amp;amp; 气象与大气科学(3) &amp;amp; 水资源(3)&lt;/_social_category&gt;&lt;_collection_scope&gt;SCIE&lt;/_collection_scope&gt;&lt;/Details&gt;&lt;Extra&gt;&lt;DBUID&gt;{F96A950B-833F-4880-A151-76DA2D6A2879}&lt;/DBUID&gt;&lt;/Extra&gt;&lt;/Item&gt;&lt;/References&gt;&lt;/Group&gt;&lt;/Citation&gt;_x000a_"/>
    <w:docVar w:name="NE.Ref{B2094E3D-F4FB-4CBA-B3BD-3176C8264E79}" w:val=" ADDIN NE.Ref.{B2094E3D-F4FB-4CBA-B3BD-3176C8264E79}&lt;Citation&gt;&lt;Group&gt;&lt;References&gt;&lt;Item&gt;&lt;ID&gt;2583&lt;/ID&gt;&lt;UID&gt;{D3759321-3209-4C0E-A499-4481DC74F25C}&lt;/UID&gt;&lt;Title&gt;基于GAMLSS模型的元江—红河上游径流非一致性研究&lt;/Title&gt;&lt;Template&gt;Journal Article&lt;/Template&gt;&lt;Star&gt;1&lt;/Star&gt;&lt;Tag&gt;5&lt;/Tag&gt;&lt;Author&gt;冷吉卫; 马凯; 李运刚; 何大明&lt;/Author&gt;&lt;Year&gt;2025&lt;/Year&gt;&lt;Details&gt;&lt;_accessed&gt;66413827&lt;/_accessed&gt;&lt;_author_adr&gt;云南大学国际河流与生态安全研究院;云南省国际河流与跨境生态安全重点实验室,云南大学;&lt;/_author_adr&gt;&lt;_collection_scope&gt;CSCD;EI;PKU&lt;/_collection_scope&gt;&lt;_created&gt;66413827&lt;/_created&gt;&lt;_db_provider&gt;CNKI&lt;/_db_provider&gt;&lt;_doi&gt;10.16058/j.issn.1005-0930.2025.02.003&lt;/_doi&gt;&lt;_isbn&gt;1005-0930&lt;/_isbn&gt;&lt;_issue&gt;02&lt;/_issue&gt;&lt;_journal&gt;应用基础与工程科学学报&lt;/_journal&gt;&lt;_keywords&gt;非一致性;GAMLSS;ENE;时变矩模型;设计年径流;元江—红河;跨境水资源&lt;/_keywords&gt;&lt;_modified&gt;66509147&lt;/_modified&gt;&lt;_pages&gt;324-337&lt;/_pages&gt;&lt;_url&gt;https://link.cnki.net/doi/10.16058/j.issn.1005-0930.2025.02.003&lt;/_url&gt;&lt;_volume&gt;33&lt;/_volume&gt;&lt;_translated_author&gt;Leng, Ji wei;Ma, Kai;Li, Yun gang;He, Da ming&lt;/_translated_author&gt;&lt;_language&gt;Chinese&lt;/_language&gt;&lt;/Details&gt;&lt;Extra&gt;&lt;DBUID&gt;{F96A950B-833F-4880-A151-76DA2D6A2879}&lt;/DBUID&gt;&lt;/Extra&gt;&lt;/Item&gt;&lt;/References&gt;&lt;/Group&gt;&lt;/Citation&gt;_x000a_"/>
    <w:docVar w:name="NE.Ref{B26E6D42-BB3B-4630-8A92-7D60F006754A}" w:val=" ADDIN NE.Ref.{B26E6D42-BB3B-4630-8A92-7D60F006754A}&lt;Citation&gt;&lt;Group&gt;&lt;References&gt;&lt;Item&gt;&lt;ID&gt;2604&lt;/ID&gt;&lt;UID&gt;{8394CB9C-1694-4C34-8105-BDD1F426CAA4}&lt;/UID&gt;&lt;Title&gt;Stationarity is undead: Uncertainty dominates the distribution of extremes&lt;/Title&gt;&lt;Template&gt;Journal Article&lt;/Template&gt;&lt;Star&gt;0&lt;/Star&gt;&lt;Tag&gt;0&lt;/Tag&gt;&lt;Author&gt;Serinaldi, Francesco; Kilsby, Chris G&lt;/Author&gt;&lt;Year&gt;2015&lt;/Year&gt;&lt;Details&gt;&lt;_accessed&gt;66510279&lt;/_accessed&gt;&lt;_collection_scope&gt;SCIE;EI&lt;/_collection_scope&gt;&lt;_created&gt;66510278&lt;/_created&gt;&lt;_db_updated&gt;NESearch&lt;/_db_updated&gt;&lt;_doi&gt;10.1016/j.advwatres.2014.12.013&lt;/_doi&gt;&lt;_impact_factor&gt;   4.200&lt;/_impact_factor&gt;&lt;_isbn&gt;0309-1708&lt;/_isbn&gt;&lt;_journal&gt;Advances in Water Resources&lt;/_journal&gt;&lt;_language&gt;en&lt;/_language&gt;&lt;_modified&gt;66510279&lt;/_modified&gt;&lt;_pages&gt;17-36&lt;/_pages&gt;&lt;_social_category&gt;水资源(2)&lt;/_social_category&gt;&lt;_url&gt;http://dx.doi.org/10.1016/j.advwatres.2014.12.013&lt;/_url&gt;&lt;_volume&gt;77&lt;/_volume&gt;&lt;/Details&gt;&lt;Extra&gt;&lt;DBUID&gt;{F96A950B-833F-4880-A151-76DA2D6A2879}&lt;/DBUID&gt;&lt;/Extra&gt;&lt;/Item&gt;&lt;/References&gt;&lt;/Group&gt;&lt;/Citation&gt;_x000a_"/>
    <w:docVar w:name="NE.Ref{B48F88D6-1D1C-46E7-9DD3-E62CA3E2D02E}" w:val=" ADDIN NE.Ref.{B48F88D6-1D1C-46E7-9DD3-E62CA3E2D02E}&lt;Citation&gt;&lt;Group&gt;&lt;References&gt;&lt;Item&gt;&lt;ID&gt;2615&lt;/ID&gt;&lt;UID&gt;{3A01519F-2417-4132-8CAB-BF7E24A8A04A}&lt;/UID&gt;&lt;Title&gt;Frequency analysis via copulas: Theoretical aspects and applications to hydrological events&lt;/Title&gt;&lt;Template&gt;Journal Article&lt;/Template&gt;&lt;Star&gt;0&lt;/Star&gt;&lt;Tag&gt;0&lt;/Tag&gt;&lt;Author&gt;Salvadori, G; De Michele, C&lt;/Author&gt;&lt;Year&gt;2004&lt;/Year&gt;&lt;Details&gt;&lt;_accessed&gt;66510362&lt;/_accessed&gt;&lt;_created&gt;66510362&lt;/_created&gt;&lt;_modified&gt;66510362&lt;/_modified&gt;&lt;_url&gt;http://dx.doi.org/10.1029/2004wr003133&lt;/_url&gt;&lt;_journal&gt;Water Resources Research&lt;/_journal&gt;&lt;_volume&gt;40&lt;/_volume&gt;&lt;_issue&gt;12&lt;/_issue&gt;&lt;_doi&gt;10.1029/2004wr003133&lt;/_doi&gt;&lt;_isbn&gt;0043-1397&lt;/_isbn&gt;&lt;_language&gt;en&lt;/_language&gt;&lt;_db_updated&gt;NESearch&lt;/_db_updated&gt;&lt;_impact_factor&gt;   5.000&lt;/_impact_factor&gt;&lt;_social_category&gt;湖沼学(1) &amp;amp; 环境科学(2) &amp;amp; 水资源(2)&lt;/_social_category&gt;&lt;_collection_scope&gt;SCIE;EI&lt;/_collection_scope&gt;&lt;/Details&gt;&lt;Extra&gt;&lt;DBUID&gt;{F96A950B-833F-4880-A151-76DA2D6A2879}&lt;/DBUID&gt;&lt;/Extra&gt;&lt;/Item&gt;&lt;/References&gt;&lt;/Group&gt;&lt;/Citation&gt;_x000a_"/>
    <w:docVar w:name="NE.Ref{BB01162C-4B00-4A74-9917-302B3DF83D6E}" w:val=" ADDIN NE.Ref.{BB01162C-4B00-4A74-9917-302B3DF83D6E}&lt;Citation&gt;&lt;Group&gt;&lt;References&gt;&lt;Item&gt;&lt;ID&gt;2585&lt;/ID&gt;&lt;UID&gt;{CC6D981B-789C-441E-99A9-76C28A1583FE}&lt;/UID&gt;&lt;Title&gt;基于GAMLSS框架下非平稳气象干旱和水文干旱指数的构建及干旱传播分析&lt;/Title&gt;&lt;Template&gt;Thesis&lt;/Template&gt;&lt;Star&gt;1&lt;/Star&gt;&lt;Tag&gt;5&lt;/Tag&gt;&lt;Author&gt;徐袁&lt;/Author&gt;&lt;Year&gt;2025&lt;/Year&gt;&lt;Details&gt;&lt;_accessed&gt;66413832&lt;/_accessed&gt;&lt;_created&gt;66413830&lt;/_created&gt;&lt;_db_provider&gt;CNKI&lt;/_db_provider&gt;&lt;_doi&gt;10.27010/d.cnki.gdbnu.2025.000207&lt;/_doi&gt;&lt;_keywords&gt;科罗拉多河流域;GAMLSS;非平稳;干旱传播;格兰杰因果关系&lt;/_keywords&gt;&lt;_modified&gt;66509147&lt;/_modified&gt;&lt;_publisher&gt;东北农业大学&lt;/_publisher&gt;&lt;_tertiary_author&gt;宫兴龙&lt;/_tertiary_author&gt;&lt;_type_work&gt;硕士&lt;/_type_work&gt;&lt;_url&gt;https://link.cnki.net/doi/10.27010/d.cnki.gdbnu.2025.000207&lt;/_url&gt;&lt;_translated_author&gt;Xu, Yuan&lt;/_translated_author&gt;&lt;_translated_tertiary_author&gt;Gong, Xing long&lt;/_translated_tertiary_author&gt;&lt;_language&gt;Chinese&lt;/_language&gt;&lt;/Details&gt;&lt;Extra&gt;&lt;DBUID&gt;{F96A950B-833F-4880-A151-76DA2D6A2879}&lt;/DBUID&gt;&lt;/Extra&gt;&lt;/Item&gt;&lt;/References&gt;&lt;/Group&gt;&lt;Group&gt;&lt;References&gt;&lt;Item&gt;&lt;ID&gt;2602&lt;/ID&gt;&lt;UID&gt;{67EC3440-942D-4142-80EA-C19D8657200C}&lt;/UID&gt;&lt;Title&gt;A Multiscalar Drought Index Sensitive to Global Warming: The Standardized Precipitation Evapotranspiration Index&lt;/Title&gt;&lt;Template&gt;Journal Article&lt;/Template&gt;&lt;Star&gt;0&lt;/Star&gt;&lt;Tag&gt;0&lt;/Tag&gt;&lt;Author&gt;Vicente-Serrano, Sergio M; Beguería, Santiago; López-Moreno, Juan I&lt;/Author&gt;&lt;Year&gt;2010&lt;/Year&gt;&lt;Details&gt;&lt;_accessed&gt;66510270&lt;/_accessed&gt;&lt;_collection_scope&gt;SCIE;EI&lt;/_collection_scope&gt;&lt;_created&gt;66510270&lt;/_created&gt;&lt;_db_updated&gt;NESearch&lt;/_db_updated&gt;&lt;_doi&gt;10.1175/2009jcli2909.1&lt;/_doi&gt;&lt;_impact_factor&gt;   4.000&lt;/_impact_factor&gt;&lt;_isbn&gt;1520-0442&lt;/_isbn&gt;&lt;_issue&gt;7&lt;/_issue&gt;&lt;_journal&gt;Journal of Climate&lt;/_journal&gt;&lt;_language&gt;en&lt;/_language&gt;&lt;_modified&gt;66510270&lt;/_modified&gt;&lt;_pages&gt;1696-1718&lt;/_pages&gt;&lt;_social_category&gt;气象与大气科学(2)&lt;/_social_category&gt;&lt;_url&gt;http://dx.doi.org/10.1175/2009jcli2909.1&lt;/_url&gt;&lt;_volume&gt;23&lt;/_volume&gt;&lt;/Details&gt;&lt;Extra&gt;&lt;DBUID&gt;{F96A950B-833F-4880-A151-76DA2D6A2879}&lt;/DBUID&gt;&lt;/Extra&gt;&lt;/Item&gt;&lt;/References&gt;&lt;/Group&gt;&lt;/Citation&gt;_x000a_"/>
    <w:docVar w:name="NE.Ref{C93FCBBB-081C-480A-8F37-7729D39094EC}" w:val=" ADDIN NE.Ref.{C93FCBBB-081C-480A-8F37-7729D39094EC}&lt;Citation&gt;&lt;Group&gt;&lt;References&gt;&lt;Item&gt;&lt;ID&gt;2635&lt;/ID&gt;&lt;UID&gt;{ADA50800-8568-49E9-B5C5-22B1B5505AEF}&lt;/UID&gt;&lt;Title&gt;国家水网背景下调水工程运行风险评估技术研究进展&lt;/Title&gt;&lt;Template&gt;Journal Article&lt;/Template&gt;&lt;Star&gt;0&lt;/Star&gt;&lt;Tag&gt;0&lt;/Tag&gt;&lt;Author&gt;胡江; 李星; 朱清帅; 赵毅夫; 王文磊&lt;/Author&gt;&lt;Year&gt;2025&lt;/Year&gt;&lt;Details&gt;&lt;_accessed&gt;66518174&lt;/_accessed&gt;&lt;_author_adr&gt;南京水利科学研究院水灾害防御全国重点实验室;水利部大坝安全管理中心;中国南水北调集团有限公司;&lt;/_author_adr&gt;&lt;_cited_count&gt;1&lt;/_cited_count&gt;&lt;_collection_scope&gt;CSCD;EI;PKU&lt;/_collection_scope&gt;&lt;_created&gt;66518174&lt;/_created&gt;&lt;_db_provider&gt;CNKI&lt;/_db_provider&gt;&lt;_db_updated&gt;CNKI - Reference&lt;/_db_updated&gt;&lt;_doi&gt;10.14042/j.cnki.32.1309.2025.06.012&lt;/_doi&gt;&lt;_isbn&gt;1001-6791&lt;/_isbn&gt;&lt;_issue&gt;06&lt;/_issue&gt;&lt;_journal&gt;水科学进展&lt;/_journal&gt;&lt;_keywords&gt;国家水网;调水工程;风险;数字孪生;智慧化&lt;/_keywords&gt;&lt;_modified&gt;66518174&lt;/_modified&gt;&lt;_pages&gt;1042-1057&lt;/_pages&gt;&lt;_url&gt;https://link.cnki.net/doi/10.14042/j.cnki.32.1309.2025.06.012&lt;/_url&gt;&lt;_volume&gt;36&lt;/_volume&gt;&lt;_translated_author&gt;Hu, Jiang;Li, Xing;Zhu, Qing shuai;Zhao, Yi fu;Wang, Wen lei&lt;/_translated_author&gt;&lt;_language&gt;Chinese&lt;/_language&gt;&lt;/Details&gt;&lt;Extra&gt;&lt;DBUID&gt;{F96A950B-833F-4880-A151-76DA2D6A2879}&lt;/DBUID&gt;&lt;/Extra&gt;&lt;/Item&gt;&lt;/References&gt;&lt;/Group&gt;&lt;/Citation&gt;_x000a_"/>
    <w:docVar w:name="NE.Ref{CE5ED211-2B03-4680-A7B5-D2B0F9C19760}" w:val=" ADDIN NE.Ref.{CE5ED211-2B03-4680-A7B5-D2B0F9C19760}&lt;Citation&gt;&lt;Group&gt;&lt;References&gt;&lt;Item&gt;&lt;ID&gt;2638&lt;/ID&gt;&lt;UID&gt;{E55F0593-7C1C-4A0B-A8DD-980182EAB6B5}&lt;/UID&gt;&lt;Title&gt;Linkage between permafrost distribution and river runoff changes across the Arctic and the Tibetan Plateau&lt;/Title&gt;&lt;Template&gt;Journal Article&lt;/Template&gt;&lt;Star&gt;0&lt;/Star&gt;&lt;Tag&gt;0&lt;/Tag&gt;&lt;Author&gt;Song, Chunlin; Wang, Genxu; Mao, Tianxu; Dai, Junchen; Yang, Daqing&lt;/Author&gt;&lt;Year&gt;2020&lt;/Year&gt;&lt;Details&gt;&lt;_accessed&gt;66520452&lt;/_accessed&gt;&lt;_created&gt;66520452&lt;/_created&gt;&lt;_date&gt;63113760&lt;/_date&gt;&lt;_date_display&gt;2020&lt;/_date_display&gt;&lt;_db_updated&gt;PKU Search&lt;/_db_updated&gt;&lt;_doi&gt;10.1007/s11430-018-9383-6&lt;/_doi&gt;&lt;_impact_factor&gt;   5.800&lt;/_impact_factor&gt;&lt;_isbn&gt;1674-7313&lt;/_isbn&gt;&lt;_issue&gt;2&lt;/_issue&gt;&lt;_journal&gt;Science China. Earth sciences&lt;/_journal&gt;&lt;_keywords&gt;Annual precipitation; Base flow; Basins; Discharge; Earth and Environmental Science; Earth Sciences; Flow alteration; Hydrologic processes; Hydrologic regime; Hydrology; Northern Hemisphere; Permafrost; Permafrost distribution; Research Paper; River discharge; River flow; River runoff; Rivers; Runoff; Stream discharge; Stream flow; Streamflow regime; Tributaries; Watersheds&lt;/_keywords&gt;&lt;_modified&gt;66520452&lt;/_modified&gt;&lt;_number&gt;1&lt;/_number&gt;&lt;_ori_publication&gt;Science China Press&lt;/_ori_publication&gt;&lt;_pages&gt;292-302&lt;/_pages&gt;&lt;_place_published&gt;Beijing&lt;/_place_published&gt;&lt;_social_category&gt;地球科学：综合(1)&lt;/_social_category&gt;&lt;_url&gt;https://go.exlibris.link/tkl5TzFx&lt;/_url&gt;&lt;_volume&gt;63&lt;/_volume&gt;&lt;_language&gt;English&lt;/_language&gt;&lt;/Details&gt;&lt;Extra&gt;&lt;DBUID&gt;{F96A950B-833F-4880-A151-76DA2D6A2879}&lt;/DBUID&gt;&lt;/Extra&gt;&lt;/Item&gt;&lt;/References&gt;&lt;/Group&gt;&lt;Group&gt;&lt;References&gt;&lt;Item&gt;&lt;ID&gt;2639&lt;/ID&gt;&lt;UID&gt;{B93B8E21-F84B-4974-BBF6-C0F3A57BCF5D}&lt;/UID&gt;&lt;Title&gt;多年冻土地下水及其变化研究进展&lt;/Title&gt;&lt;Template&gt;Journal Article&lt;/Template&gt;&lt;Star&gt;0&lt;/Star&gt;&lt;Tag&gt;0&lt;/Tag&gt;&lt;Author&gt;杜发; 李宗省; 贡觉扎西; 桂娟; 周慧玲&lt;/Author&gt;&lt;Year&gt;2023&lt;/Year&gt;&lt;Details&gt;&lt;_accessed&gt;66520453&lt;/_accessed&gt;&lt;_collection_scope&gt;CSCD&lt;/_collection_scope&gt;&lt;_created&gt;66520453&lt;/_created&gt;&lt;_db_provider&gt;WF&lt;/_db_provider&gt;&lt;_db_updated&gt;NESearch&lt;/_db_updated&gt;&lt;_doi&gt;10.7522/j.issn.1000-0240.2023.0132&lt;/_doi&gt;&lt;_isbn&gt;1000-0240&lt;/_isbn&gt;&lt;_issue&gt;6&lt;/_issue&gt;&lt;_journal&gt;冰川冻土&lt;/_journal&gt;&lt;_language&gt;cn&lt;/_language&gt;&lt;_modified&gt;66520453&lt;/_modified&gt;&lt;_pages&gt;1789-1803&lt;/_pages&gt;&lt;_tertiary_title&gt;Journal of Glaciology and Geocryology&lt;/_tertiary_title&gt;&lt;_translated_title&gt;A review of research on groundwater and its evolution in permafrost regions&lt;/_translated_title&gt;&lt;_url&gt;https://d.wanfangdata.com.cn/periodical/bcdt202306010&lt;/_url&gt;&lt;_volume&gt;45&lt;/_volume&gt;&lt;_translated_author&gt;Du, Fa;Li, Zong sheng;Gong, Jue zha xi;Gui, Juan;Zhou, Hui ling&lt;/_translated_author&gt;&lt;/Details&gt;&lt;Extra&gt;&lt;DBUID&gt;{F96A950B-833F-4880-A151-76DA2D6A2879}&lt;/DBUID&gt;&lt;/Extra&gt;&lt;/Item&gt;&lt;/References&gt;&lt;/Group&gt;&lt;/Citation&gt;_x000a_"/>
    <w:docVar w:name="NE.Ref{CE6F8E6F-7340-42CE-B54B-DA0C4A3DC4EC}" w:val=" ADDIN NE.Ref.{CE6F8E6F-7340-42CE-B54B-DA0C4A3DC4EC}&lt;Citation&gt;&lt;Group&gt;&lt;References&gt;&lt;Item&gt;&lt;ID&gt;2614&lt;/ID&gt;&lt;UID&gt;{22F62A66-488D-47C5-8523-8FDFB6F872DB}&lt;/UID&gt;&lt;Title&gt;Bivariate drought frequency analysis using the copula method&lt;/Title&gt;&lt;Template&gt;Journal Article&lt;/Template&gt;&lt;Star&gt;0&lt;/Star&gt;&lt;Tag&gt;0&lt;/Tag&gt;&lt;Author&gt;Mirabbasi, Rasoul; Fakheri-Fard, Ahmad; Dinpashoh, Yagob&lt;/Author&gt;&lt;Year&gt;2011&lt;/Year&gt;&lt;Details&gt;&lt;_accessed&gt;66510345&lt;/_accessed&gt;&lt;_collection_scope&gt;SCIE&lt;/_collection_scope&gt;&lt;_created&gt;66510345&lt;/_created&gt;&lt;_db_updated&gt;NESearch&lt;/_db_updated&gt;&lt;_doi&gt;10.1007/s00704-011-0524-7&lt;/_doi&gt;&lt;_impact_factor&gt;   2.700&lt;/_impact_factor&gt;&lt;_isbn&gt;0177-798X&lt;/_isbn&gt;&lt;_issue&gt;1-2&lt;/_issue&gt;&lt;_journal&gt;Theoretical and Applied Climatology&lt;/_journal&gt;&lt;_language&gt;en&lt;/_language&gt;&lt;_modified&gt;66510345&lt;/_modified&gt;&lt;_pages&gt;191-206&lt;/_pages&gt;&lt;_social_category&gt;气象与大气科学(4)&lt;/_social_category&gt;&lt;_url&gt;http://dx.doi.org/10.1007/s00704-011-0524-7&lt;/_url&gt;&lt;_volume&gt;108&lt;/_volume&gt;&lt;/Details&gt;&lt;Extra&gt;&lt;DBUID&gt;{F96A950B-833F-4880-A151-76DA2D6A2879}&lt;/DBUID&gt;&lt;/Extra&gt;&lt;/Item&gt;&lt;/References&gt;&lt;/Group&gt;&lt;/Citation&gt;_x000a_"/>
    <w:docVar w:name="NE.Ref{CF59F433-4115-421F-BAC1-494FA9DC4F7E}" w:val=" ADDIN NE.Ref.{CF59F433-4115-421F-BAC1-494FA9DC4F7E}&lt;Citation&gt;&lt;Group&gt;&lt;References&gt;&lt;Item&gt;&lt;ID&gt;2618&lt;/ID&gt;&lt;UID&gt;{83AABABE-080E-4250-9E87-AB4C08D83731}&lt;/UID&gt;&lt;Title&gt;Multivariate Standardized Drought Index: A parametric multi-index model&lt;/Title&gt;&lt;Template&gt;Journal Article&lt;/Template&gt;&lt;Star&gt;0&lt;/Star&gt;&lt;Tag&gt;0&lt;/Tag&gt;&lt;Author&gt;Hao, Zengchao; AghaKouchak, Amir&lt;/Author&gt;&lt;Year&gt;2013&lt;/Year&gt;&lt;Details&gt;&lt;_accessed&gt;66510370&lt;/_accessed&gt;&lt;_collection_scope&gt;SCIE;EI&lt;/_collection_scope&gt;&lt;_created&gt;66510370&lt;/_created&gt;&lt;_db_updated&gt;NESearch&lt;/_db_updated&gt;&lt;_doi&gt;10.1016/j.advwatres.2013.03.009&lt;/_doi&gt;&lt;_impact_factor&gt;   4.200&lt;/_impact_factor&gt;&lt;_isbn&gt;0309-1708&lt;/_isbn&gt;&lt;_journal&gt;Advances in Water Resources&lt;/_journal&gt;&lt;_language&gt;en&lt;/_language&gt;&lt;_modified&gt;66510370&lt;/_modified&gt;&lt;_pages&gt;12-18&lt;/_pages&gt;&lt;_social_category&gt;水资源(2)&lt;/_social_category&gt;&lt;_url&gt;http://dx.doi.org/10.1016/j.advwatres.2013.03.009&lt;/_url&gt;&lt;_volume&gt;57&lt;/_volume&gt;&lt;/Details&gt;&lt;Extra&gt;&lt;DBUID&gt;{F96A950B-833F-4880-A151-76DA2D6A2879}&lt;/DBUID&gt;&lt;/Extra&gt;&lt;/Item&gt;&lt;/References&gt;&lt;/Group&gt;&lt;/Citation&gt;_x000a_"/>
    <w:docVar w:name="NE.Ref{D062D4BE-81C0-4F53-AF4E-F8F23B35E270}" w:val=" ADDIN NE.Ref.{D062D4BE-81C0-4F53-AF4E-F8F23B35E270}&lt;Citation&gt;&lt;Group&gt;&lt;References&gt;&lt;Item&gt;&lt;ID&gt;2592&lt;/ID&gt;&lt;UID&gt;{60010D74-AF9F-47E2-BC10-7CC12B03E437}&lt;/UID&gt;&lt;Title&gt;Generalized Additive Models for Location, Scale and Shape&lt;/Title&gt;&lt;Template&gt;Journal Article&lt;/Template&gt;&lt;Star&gt;1&lt;/Star&gt;&lt;Tag&gt;5&lt;/Tag&gt;&lt;Author&gt;Rigby, R A; Stasinopoulos, D M&lt;/Author&gt;&lt;Year&gt;2005&lt;/Year&gt;&lt;Details&gt;&lt;_accessed&gt;66469983&lt;/_accessed&gt;&lt;_created&gt;66469983&lt;/_created&gt;&lt;_date&gt;55442880&lt;/_date&gt;&lt;_db_updated&gt;CrossRef&lt;/_db_updated&gt;&lt;_doi&gt;10.1111/j.1467-9876.2005.00510.x&lt;/_doi&gt;&lt;_impact_factor&gt;   1.300&lt;/_impact_factor&gt;&lt;_isbn&gt;0035-9254&lt;/_isbn&gt;&lt;_issue&gt;3&lt;/_issue&gt;&lt;_journal&gt;Journal of the Royal Statistical Society Series C: Applied Statistics&lt;/_journal&gt;&lt;_modified&gt;66509147&lt;/_modified&gt;&lt;_pages&gt;507-554&lt;/_pages&gt;&lt;_social_category&gt;统计学与概率论(4)&lt;/_social_category&gt;&lt;_url&gt;https://academic.oup.com/jrsssc/article/54/3/507/7113027_x000d__x000a_https://academic.oup.com/jrsssc/article-pdf/54/3/507/50016951/jrsssc_54_3_507.pdf&lt;/_url&gt;&lt;_volume&gt;54&lt;/_volume&gt;&lt;_language&gt;English&lt;/_language&gt;&lt;/Details&gt;&lt;Extra&gt;&lt;DBUID&gt;{F96A950B-833F-4880-A151-76DA2D6A2879}&lt;/DBUID&gt;&lt;/Extra&gt;&lt;/Item&gt;&lt;/References&gt;&lt;/Group&gt;&lt;/Citation&gt;_x000a_"/>
    <w:docVar w:name="NE.Ref{D370723F-5920-450B-A862-409059479D8F}" w:val=" ADDIN NE.Ref.{D370723F-5920-450B-A862-409059479D8F}&lt;Citation&gt;&lt;Group&gt;&lt;References&gt;&lt;Item&gt;&lt;ID&gt;2607&lt;/ID&gt;&lt;UID&gt;{24418F64-0C09-49F9-8500-12C836F788C2}&lt;/UID&gt;&lt;Title&gt;On the stationarity of annual flood peaks in the continental United States during the 20th century&lt;/Title&gt;&lt;Template&gt;Journal Article&lt;/Template&gt;&lt;Star&gt;0&lt;/Star&gt;&lt;Tag&gt;0&lt;/Tag&gt;&lt;Author&gt;Villarini, Gabriele; Serinaldi, Francesco; Smith, James A; Krajewski, Witold F&lt;/Author&gt;&lt;Year&gt;2009&lt;/Year&gt;&lt;Details&gt;&lt;_accessed&gt;66510309&lt;/_accessed&gt;&lt;_collection_scope&gt;SCIE;EI&lt;/_collection_scope&gt;&lt;_created&gt;66510309&lt;/_created&gt;&lt;_db_updated&gt;NESearch&lt;/_db_updated&gt;&lt;_doi&gt;10.1029/2008wr007645&lt;/_doi&gt;&lt;_impact_factor&gt;   5.000&lt;/_impact_factor&gt;&lt;_isbn&gt;0043-1397&lt;/_isbn&gt;&lt;_issue&gt;8&lt;/_issue&gt;&lt;_journal&gt;Water Resources Research&lt;/_journal&gt;&lt;_language&gt;en&lt;/_language&gt;&lt;_modified&gt;66510309&lt;/_modified&gt;&lt;_social_category&gt;湖沼学(1) &amp;amp; 环境科学(2) &amp;amp; 水资源(2)&lt;/_social_category&gt;&lt;_url&gt;http://dx.doi.org/10.1029/2008wr007645&lt;/_url&gt;&lt;_volume&gt;45&lt;/_volume&gt;&lt;/Details&gt;&lt;Extra&gt;&lt;DBUID&gt;{F96A950B-833F-4880-A151-76DA2D6A2879}&lt;/DBUID&gt;&lt;/Extra&gt;&lt;/Item&gt;&lt;/References&gt;&lt;/Group&gt;&lt;/Citation&gt;_x000a_"/>
    <w:docVar w:name="NE.Ref{D8538629-32E7-45B4-957D-FE01E0C6B9E8}" w:val=" ADDIN NE.Ref.{D8538629-32E7-45B4-957D-FE01E0C6B9E8}&lt;Citation&gt;&lt;Group&gt;&lt;References&gt;&lt;Item&gt;&lt;ID&gt;2633&lt;/ID&gt;&lt;UID&gt;{DCA0DAE3-EDB8-4176-8229-E8D12BAA0653}&lt;/UID&gt;&lt;Title&gt;Machine-learning-constrained projection of bivariate hydrological drought magnitudes and socioeconomic risks over China&lt;/Title&gt;&lt;Template&gt;Journal Article&lt;/Template&gt;&lt;Star&gt;0&lt;/Star&gt;&lt;Tag&gt;0&lt;/Tag&gt;&lt;Author&gt;Liu, Rutong; Yin, Jiabo; Slater, Louise; Kang, Shengyu; Yang, Yuanhang; Liu, Pan; Guo, Jiali; Gu, Xihui; Zhang, Xiang; Volchak, Aliaksandr&lt;/Author&gt;&lt;Year&gt;2024&lt;/Year&gt;&lt;Details&gt;&lt;_accessed&gt;66518164&lt;/_accessed&gt;&lt;_collection_scope&gt;SCIE;EI&lt;/_collection_scope&gt;&lt;_created&gt;66518164&lt;/_created&gt;&lt;_db_updated&gt;NESearch&lt;/_db_updated&gt;&lt;_doi&gt;10.5194/hess-28-3305-2024&lt;/_doi&gt;&lt;_impact_factor&gt;   5.800&lt;/_impact_factor&gt;&lt;_isbn&gt;1607-7938&lt;/_isbn&gt;&lt;_issue&gt;14&lt;/_issue&gt;&lt;_journal&gt;Hydrology and Earth System Sciences&lt;/_journal&gt;&lt;_language&gt;en&lt;/_language&gt;&lt;_modified&gt;66518164&lt;/_modified&gt;&lt;_pages&gt;3305-3326&lt;/_pages&gt;&lt;_social_category&gt;水资源(1) &amp;amp; 地球科学：综合(2)&lt;/_social_category&gt;&lt;_url&gt;https://doi.org/10.5194/hess-28-3305-2024&lt;/_url&gt;&lt;_volume&gt;28&lt;/_volume&gt;&lt;/Details&gt;&lt;Extra&gt;&lt;DBUID&gt;{F96A950B-833F-4880-A151-76DA2D6A2879}&lt;/DBUID&gt;&lt;/Extra&gt;&lt;/Item&gt;&lt;/References&gt;&lt;/Group&gt;&lt;/Citation&gt;_x000a_"/>
    <w:docVar w:name="NE.Ref{DB30B15B-F1C1-4106-A24E-E7F05A5E1360}" w:val=" ADDIN NE.Ref.{DB30B15B-F1C1-4106-A24E-E7F05A5E1360}&lt;Citation&gt;&lt;Group&gt;&lt;References&gt;&lt;Item&gt;&lt;ID&gt;2585&lt;/ID&gt;&lt;UID&gt;{CC6D981B-789C-441E-99A9-76C28A1583FE}&lt;/UID&gt;&lt;Title&gt;基于GAMLSS框架下非平稳气象干旱和水文干旱指数的构建及干旱传播分析&lt;/Title&gt;&lt;Template&gt;Thesis&lt;/Template&gt;&lt;Star&gt;1&lt;/Star&gt;&lt;Tag&gt;5&lt;/Tag&gt;&lt;Author&gt;徐袁&lt;/Author&gt;&lt;Year&gt;2025&lt;/Year&gt;&lt;Details&gt;&lt;_accessed&gt;66413832&lt;/_accessed&gt;&lt;_created&gt;66413830&lt;/_created&gt;&lt;_db_provider&gt;CNKI&lt;/_db_provider&gt;&lt;_doi&gt;10.27010/d.cnki.gdbnu.2025.000207&lt;/_doi&gt;&lt;_keywords&gt;科罗拉多河流域;GAMLSS;非平稳;干旱传播;格兰杰因果关系&lt;/_keywords&gt;&lt;_modified&gt;66509147&lt;/_modified&gt;&lt;_publisher&gt;东北农业大学&lt;/_publisher&gt;&lt;_tertiary_author&gt;宫兴龙&lt;/_tertiary_author&gt;&lt;_type_work&gt;硕士&lt;/_type_work&gt;&lt;_url&gt;https://link.cnki.net/doi/10.27010/d.cnki.gdbnu.2025.000207&lt;/_url&gt;&lt;_translated_author&gt;Xu, Yuan&lt;/_translated_author&gt;&lt;_translated_tertiary_author&gt;Gong, Xing long&lt;/_translated_tertiary_author&gt;&lt;_language&gt;Chinese&lt;/_language&gt;&lt;/Details&gt;&lt;Extra&gt;&lt;DBUID&gt;{F96A950B-833F-4880-A151-76DA2D6A2879}&lt;/DBUID&gt;&lt;/Extra&gt;&lt;/Item&gt;&lt;/References&gt;&lt;/Group&gt;&lt;/Citation&gt;_x000a_"/>
    <w:docVar w:name="NE.Ref{DCAB0DC0-3A73-4DC4-AF5A-F9DD09ADEA4C}" w:val=" ADDIN NE.Ref.{DCAB0DC0-3A73-4DC4-AF5A-F9DD09ADEA4C}&lt;Citation&gt;&lt;Group&gt;&lt;References&gt;&lt;Item&gt;&lt;ID&gt;2592&lt;/ID&gt;&lt;UID&gt;{60010D74-AF9F-47E2-BC10-7CC12B03E437}&lt;/UID&gt;&lt;Title&gt;Generalized Additive Models for Location, Scale and Shape&lt;/Title&gt;&lt;Template&gt;Journal Article&lt;/Template&gt;&lt;Star&gt;0&lt;/Star&gt;&lt;Tag&gt;0&lt;/Tag&gt;&lt;Author&gt;Rigby, R A; Stasinopoulos, D M&lt;/Author&gt;&lt;Year&gt;2005&lt;/Year&gt;&lt;Details&gt;&lt;_doi&gt;10.1111/j.1467-9876.2005.00510.x&lt;/_doi&gt;&lt;_accessed&gt;66469983&lt;/_accessed&gt;&lt;_created&gt;66469983&lt;/_created&gt;&lt;_modified&gt;66469983&lt;/_modified&gt;&lt;_url&gt;https://academic.oup.com/jrsssc/article/54/3/507/7113027_x000d__x000a_https://academic.oup.com/jrsssc/article-pdf/54/3/507/50016951/jrsssc_54_3_507.pdf&lt;/_url&gt;&lt;_journal&gt;Journal of the Royal Statistical Society Series C: Applied Statistics&lt;/_journal&gt;&lt;_volume&gt;54&lt;/_volume&gt;&lt;_issue&gt;3&lt;/_issue&gt;&lt;_pages&gt;507-554&lt;/_pages&gt;&lt;_date&gt;55442880&lt;/_date&gt;&lt;_isbn&gt;0035-9254&lt;/_isbn&gt;&lt;_db_updated&gt;CrossRef&lt;/_db_updated&gt;&lt;_impact_factor&gt;   1.300&lt;/_impact_factor&gt;&lt;_social_category&gt;统计学与概率论(4)&lt;/_social_category&gt;&lt;_language&gt;English&lt;/_language&gt;&lt;/Details&gt;&lt;Extra&gt;&lt;DBUID&gt;{F96A950B-833F-4880-A151-76DA2D6A2879}&lt;/DBUID&gt;&lt;/Extra&gt;&lt;/Item&gt;&lt;/References&gt;&lt;/Group&gt;&lt;/Citation&gt;_x000a_"/>
    <w:docVar w:name="NE.Ref{DD1361E1-BE49-4790-8BE6-B63EBE8B06C3}" w:val=" ADDIN NE.Ref.{DD1361E1-BE49-4790-8BE6-B63EBE8B06C3}&lt;Citation&gt;&lt;Group&gt;&lt;References&gt;&lt;Item&gt;&lt;ID&gt;2576&lt;/ID&gt;&lt;UID&gt;{75B201BC-6CF4-4183-8797-BB4AE72C689D}&lt;/UID&gt;&lt;Title&gt;Derivation of optimal scheduling strategies for large-scale inter-basin water transfer projects considering streamflow wet-dry encounter uncertainty of multiple reservoirs&lt;/Title&gt;&lt;Template&gt;Journal Article&lt;/Template&gt;&lt;Star&gt;1&lt;/Star&gt;&lt;Tag&gt;5&lt;/Tag&gt;&lt;Author&gt;Zhong, Huayu; Wu, Shuyue; Yan, Min; Fang, Guohua&lt;/Author&gt;&lt;Year&gt;2025&lt;/Year&gt;&lt;Details&gt;&lt;_accessed&gt;66413824&lt;/_accessed&gt;&lt;_collection_scope&gt;SCIE;EI&lt;/_collection_scope&gt;&lt;_created&gt;66413759&lt;/_created&gt;&lt;_db_updated&gt;CrossRef&lt;/_db_updated&gt;&lt;_doi&gt;10.1016/j.jhydrol.2025.133784&lt;/_doi&gt;&lt;_impact_factor&gt;   6.300&lt;/_impact_factor&gt;&lt;_isbn&gt;00221694&lt;/_isbn&gt;&lt;_journal&gt;Journal of Hydrology&lt;/_journal&gt;&lt;_modified&gt;66509147&lt;/_modified&gt;&lt;_pages&gt;133784&lt;/_pages&gt;&lt;_social_category&gt;工程：土木(1) &amp;amp; 地球科学：综合(1) &amp;amp; 水资源(1)&lt;/_social_category&gt;&lt;_tertiary_title&gt;Journal of Hydrology&lt;/_tertiary_title&gt;&lt;_url&gt;https://linkinghub.elsevier.com/retrieve/pii/S0022169425011229_x000d__x000a_https://api.elsevier.com/content/article/PII:S0022169425011229?httpAccept=text/xml&lt;/_url&gt;&lt;_volume&gt;662&lt;/_volume&gt;&lt;_language&gt;English&lt;/_language&gt;&lt;/Details&gt;&lt;Extra&gt;&lt;DBUID&gt;{F96A950B-833F-4880-A151-76DA2D6A2879}&lt;/DBUID&gt;&lt;/Extra&gt;&lt;/Item&gt;&lt;/References&gt;&lt;/Group&gt;&lt;Group&gt;&lt;References&gt;&lt;Item&gt;&lt;ID&gt;2623&lt;/ID&gt;&lt;UID&gt;{98C410F2-33A9-4582-9E76-F0F286BCBD64}&lt;/UID&gt;&lt;Title&gt;Deriving operating rules for inter-basin water transfer projects incorporating a scenario reduction strategy&lt;/Title&gt;&lt;Template&gt;Journal Article&lt;/Template&gt;&lt;Star&gt;0&lt;/Star&gt;&lt;Tag&gt;0&lt;/Tag&gt;&lt;Author&gt;Ming, Bo; Zhong, Huayu; Zhang, Wei; Yang, Guang; Zhao, Zeqian; Huang, Qiang&lt;/Author&gt;&lt;Year&gt;2023&lt;/Year&gt;&lt;Details&gt;&lt;_accessed&gt;66510543&lt;/_accessed&gt;&lt;_collection_scope&gt;SCIE;EI&lt;/_collection_scope&gt;&lt;_created&gt;66510543&lt;/_created&gt;&lt;_db_updated&gt;NESearch&lt;/_db_updated&gt;&lt;_doi&gt;10.1016/j.jhydrol.2023.129854&lt;/_doi&gt;&lt;_impact_factor&gt;   6.300&lt;/_impact_factor&gt;&lt;_isbn&gt;0022-1694&lt;/_isbn&gt;&lt;_journal&gt;Journal of Hydrology&lt;/_journal&gt;&lt;_language&gt;en&lt;/_language&gt;&lt;_modified&gt;66510543&lt;/_modified&gt;&lt;_pages&gt;129854&lt;/_pages&gt;&lt;_social_category&gt;地球科学：综合(1) &amp;amp; 水资源(1) &amp;amp; 工程：土木(2)&lt;/_social_category&gt;&lt;_url&gt;http://dx.doi.org/10.1016/j.jhydrol.2023.129854&lt;/_url&gt;&lt;_volume&gt;624&lt;/_volume&gt;&lt;/Details&gt;&lt;Extra&gt;&lt;DBUID&gt;{F96A950B-833F-4880-A151-76DA2D6A2879}&lt;/DBUID&gt;&lt;/Extra&gt;&lt;/Item&gt;&lt;/References&gt;&lt;/Group&gt;&lt;Group&gt;&lt;References&gt;&lt;Item&gt;&lt;ID&gt;2634&lt;/ID&gt;&lt;UID&gt;{082E24CB-1C0F-444E-B56F-825A84A6628C}&lt;/UID&gt;&lt;Title&gt;基于Copula函数和蒙特卡洛法的黄河上游多站径流相关分析与随机模拟&lt;/Title&gt;&lt;Template&gt;Journal Article&lt;/Template&gt;&lt;Star&gt;0&lt;/Star&gt;&lt;Tag&gt;0&lt;/Tag&gt;&lt;Author&gt;米子甲; 李想; 沈延青; 乔海山; 白音包力皋; 王战策; 祁善胜; 包娟&lt;/Author&gt;&lt;Year&gt;2025&lt;/Year&gt;&lt;Details&gt;&lt;_accessed&gt;66518168&lt;/_accessed&gt;&lt;_author_adr&gt;中国水利水电科学研究院水循环与水安全全国重点实验室;黄河上游水电开发有限责任公司;&lt;/_author_adr&gt;&lt;_cited_count&gt;1&lt;/_cited_count&gt;&lt;_collection_scope&gt;PKU&lt;/_collection_scope&gt;&lt;_created&gt;66518167&lt;/_created&gt;&lt;_db_provider&gt;CNKI&lt;/_db_provider&gt;&lt;_db_updated&gt;CNKI - Reference&lt;/_db_updated&gt;&lt;_doi&gt;10.13928/j.cnki.wrahe.2025.12.006&lt;/_doi&gt;&lt;_isbn&gt;1000-0860&lt;/_isbn&gt;&lt;_issue&gt;12&lt;/_issue&gt;&lt;_journal&gt;水利水电技术(中英文)&lt;/_journal&gt;&lt;_keywords&gt;黄河上游;边缘分布函数;Copula函数;逆变换抽样;随机模拟;影响因素&lt;/_keywords&gt;&lt;_modified&gt;66518168&lt;/_modified&gt;&lt;_pages&gt;67-86&lt;/_pages&gt;&lt;_url&gt;https://link.cnki.net/doi/10.13928/j.cnki.wrahe.2025.12.006&lt;/_url&gt;&lt;_volume&gt;56&lt;/_volume&gt;&lt;_translated_author&gt;Mi, Zi jia;Li, Xiang;Shen, Yan qing;Qiao, Hai shan;Bai, Yin bao li gao;Wang, Zhan ce;Qi, Shan sheng;Bao, Juan&lt;/_translated_author&gt;&lt;_language&gt;Chinese&lt;/_language&gt;&lt;/Details&gt;&lt;Extra&gt;&lt;DBUID&gt;{F96A950B-833F-4880-A151-76DA2D6A2879}&lt;/DBUID&gt;&lt;/Extra&gt;&lt;/Item&gt;&lt;/References&gt;&lt;/Group&gt;&lt;/Citation&gt;_x000a_"/>
    <w:docVar w:name="NE.Ref{E9974BE0-916D-4CDD-BD27-5AD2481DEB61}" w:val=" ADDIN NE.Ref.{E9974BE0-916D-4CDD-BD27-5AD2481DEB61}&lt;Citation&gt;&lt;Group&gt;&lt;References&gt;&lt;Item&gt;&lt;ID&gt;2630&lt;/ID&gt;&lt;UID&gt;{056A6B98-848E-40A9-8627-5E6AB4D8CE33}&lt;/UID&gt;&lt;Title&gt;A new look at the statistical model identification&lt;/Title&gt;&lt;Template&gt;Journal Article&lt;/Template&gt;&lt;Star&gt;0&lt;/Star&gt;&lt;Tag&gt;0&lt;/Tag&gt;&lt;Author&gt;Akaike, H&lt;/Author&gt;&lt;Year&gt;1974&lt;/Year&gt;&lt;Details&gt;&lt;_accessed&gt;66511699&lt;/_accessed&gt;&lt;_collection_scope&gt;SCIE;EI&lt;/_collection_scope&gt;&lt;_created&gt;66511698&lt;/_created&gt;&lt;_db_updated&gt;CrossRef&lt;/_db_updated&gt;&lt;_doi&gt;10.1109/TAC.1974.1100705&lt;/_doi&gt;&lt;_impact_factor&gt;   7.000&lt;/_impact_factor&gt;&lt;_isbn&gt;0018-9286&lt;/_isbn&gt;&lt;_issue&gt;6&lt;/_issue&gt;&lt;_journal&gt;IEEE Transactions on Automatic Control&lt;/_journal&gt;&lt;_modified&gt;66511699&lt;/_modified&gt;&lt;_pages&gt;716-723&lt;/_pages&gt;&lt;_social_category&gt;自动化与控制系统(2) &amp;amp; 工程：电子与电气(2)&lt;/_social_category&gt;&lt;_tertiary_title&gt;IEEE Trans. Automat. Contr.&lt;/_tertiary_title&gt;&lt;_url&gt;http://ieeexplore.ieee.org/document/1100705/_x000d__x000a_http://xplorestaging.ieee.org/ielx5/9/24140/01100705.pdf?arnumber=1100705&lt;/_url&gt;&lt;_volume&gt;19&lt;/_volume&gt;&lt;_language&gt;English&lt;/_language&gt;&lt;/Details&gt;&lt;Extra&gt;&lt;DBUID&gt;{F96A950B-833F-4880-A151-76DA2D6A2879}&lt;/DBUID&gt;&lt;/Extra&gt;&lt;/Item&gt;&lt;/References&gt;&lt;/Group&gt;&lt;/Citation&gt;_x000a_"/>
    <w:docVar w:name="NE.Ref{EAA348B1-6190-4166-B283-275CDE58E561}" w:val=" ADDIN NE.Ref.{EAA348B1-6190-4166-B283-275CDE58E561}&lt;Citation&gt;&lt;Group&gt;&lt;References&gt;&lt;Item&gt;&lt;ID&gt;2616&lt;/ID&gt;&lt;UID&gt;{CBC4EC7F-9B5A-4C6B-A732-CEF034A535D2}&lt;/UID&gt;&lt;Title&gt;Fitting Drought Duration and Severity with Two-Dimensional Copulas&lt;/Title&gt;&lt;Template&gt;Journal Article&lt;/Template&gt;&lt;Star&gt;0&lt;/Star&gt;&lt;Tag&gt;0&lt;/Tag&gt;&lt;Author&gt;Shiau, J T&lt;/Author&gt;&lt;Year&gt;2006&lt;/Year&gt;&lt;Details&gt;&lt;_accessed&gt;66510362&lt;/_accessed&gt;&lt;_collection_scope&gt;SCIE;EI&lt;/_collection_scope&gt;&lt;_created&gt;66510362&lt;/_created&gt;&lt;_db_updated&gt;NESearch&lt;/_db_updated&gt;&lt;_doi&gt;10.1007/s11269-005-9008-9&lt;/_doi&gt;&lt;_impact_factor&gt;   4.700&lt;/_impact_factor&gt;&lt;_isbn&gt;0920-4741&lt;/_isbn&gt;&lt;_issue&gt;5&lt;/_issue&gt;&lt;_journal&gt;Water Resources Management&lt;/_journal&gt;&lt;_language&gt;en&lt;/_language&gt;&lt;_modified&gt;66510362&lt;/_modified&gt;&lt;_pages&gt;795-815&lt;/_pages&gt;&lt;_social_category&gt;工程：土木(2) &amp;amp; 水资源(2)&lt;/_social_category&gt;&lt;_url&gt;http://dx.doi.org/10.1007/s11269-005-9008-9&lt;/_url&gt;&lt;_volume&gt;20&lt;/_volume&gt;&lt;/Details&gt;&lt;Extra&gt;&lt;DBUID&gt;{F96A950B-833F-4880-A151-76DA2D6A2879}&lt;/DBUID&gt;&lt;/Extra&gt;&lt;/Item&gt;&lt;/References&gt;&lt;/Group&gt;&lt;/Citation&gt;_x000a_"/>
    <w:docVar w:name="NE.Ref{F2356E52-805C-4A1F-88AA-B2C7EDC56F75}" w:val=" ADDIN NE.Ref.{F2356E52-805C-4A1F-88AA-B2C7EDC56F75}&lt;Citation&gt;&lt;Group&gt;&lt;References&gt;&lt;Item&gt;&lt;ID&gt;2618&lt;/ID&gt;&lt;UID&gt;{83AABABE-080E-4250-9E87-AB4C08D83731}&lt;/UID&gt;&lt;Title&gt;Multivariate Standardized Drought Index: A parametric multi-index model&lt;/Title&gt;&lt;Template&gt;Journal Article&lt;/Template&gt;&lt;Star&gt;0&lt;/Star&gt;&lt;Tag&gt;0&lt;/Tag&gt;&lt;Author&gt;Hao, Zengchao; AghaKouchak, Amir&lt;/Author&gt;&lt;Year&gt;2013&lt;/Year&gt;&lt;Details&gt;&lt;_accessed&gt;66510370&lt;/_accessed&gt;&lt;_collection_scope&gt;SCIE;EI&lt;/_collection_scope&gt;&lt;_created&gt;66510370&lt;/_created&gt;&lt;_db_updated&gt;NESearch&lt;/_db_updated&gt;&lt;_doi&gt;10.1016/j.advwatres.2013.03.009&lt;/_doi&gt;&lt;_impact_factor&gt;   4.200&lt;/_impact_factor&gt;&lt;_isbn&gt;0309-1708&lt;/_isbn&gt;&lt;_journal&gt;Advances in Water Resources&lt;/_journal&gt;&lt;_language&gt;en&lt;/_language&gt;&lt;_modified&gt;66510370&lt;/_modified&gt;&lt;_pages&gt;12-18&lt;/_pages&gt;&lt;_social_category&gt;水资源(2)&lt;/_social_category&gt;&lt;_url&gt;http://dx.doi.org/10.1016/j.advwatres.2013.03.009&lt;/_url&gt;&lt;_volume&gt;57&lt;/_volume&gt;&lt;/Details&gt;&lt;Extra&gt;&lt;DBUID&gt;{F96A950B-833F-4880-A151-76DA2D6A2879}&lt;/DBUID&gt;&lt;/Extra&gt;&lt;/Item&gt;&lt;/References&gt;&lt;/Group&gt;&lt;Group&gt;&lt;References&gt;&lt;Item&gt;&lt;ID&gt;2619&lt;/ID&gt;&lt;UID&gt;{7ED2B1F0-0DAB-4C15-9859-44352722013D}&lt;/UID&gt;&lt;Title&gt;A Nonparametric Multivariate Multi-Index Drought Monitoring Framework&lt;/Title&gt;&lt;Template&gt;Journal Article&lt;/Template&gt;&lt;Star&gt;0&lt;/Star&gt;&lt;Tag&gt;0&lt;/Tag&gt;&lt;Author&gt;Hao, Zengchao; AghaKouchak, Amir&lt;/Author&gt;&lt;Year&gt;2014&lt;/Year&gt;&lt;Details&gt;&lt;_accessed&gt;66510371&lt;/_accessed&gt;&lt;_collection_scope&gt;SCIE&lt;/_collection_scope&gt;&lt;_created&gt;66510371&lt;/_created&gt;&lt;_db_updated&gt;NESearch&lt;/_db_updated&gt;&lt;_doi&gt;10.1175/jhm-d-12-0160.1&lt;/_doi&gt;&lt;_impact_factor&gt;   2.900&lt;/_impact_factor&gt;&lt;_isbn&gt;1525-755X&lt;/_isbn&gt;&lt;_issue&gt;1&lt;/_issue&gt;&lt;_journal&gt;Journal of Hydrometeorology&lt;/_journal&gt;&lt;_language&gt;en&lt;/_language&gt;&lt;_modified&gt;66510371&lt;/_modified&gt;&lt;_pages&gt;89-101&lt;/_pages&gt;&lt;_social_category&gt;气象与大气科学(3)&lt;/_social_category&gt;&lt;_url&gt;http://dx.doi.org/10.1175/jhm-d-12-0160.1&lt;/_url&gt;&lt;_volume&gt;15&lt;/_volume&gt;&lt;/Details&gt;&lt;Extra&gt;&lt;DBUID&gt;{F96A950B-833F-4880-A151-76DA2D6A2879}&lt;/DBUID&gt;&lt;/Extra&gt;&lt;/Item&gt;&lt;/References&gt;&lt;/Group&gt;&lt;Group&gt;&lt;References&gt;&lt;Item&gt;&lt;ID&gt;2620&lt;/ID&gt;&lt;UID&gt;{31831C77-E123-40B1-BB41-C6CA7985195D}&lt;/UID&gt;&lt;Title&gt;Time‐varying nonstationary multivariate risk analysis using a dynamic Bayesian copula&lt;/Title&gt;&lt;Template&gt;Journal Article&lt;/Template&gt;&lt;Star&gt;0&lt;/Star&gt;&lt;Tag&gt;0&lt;/Tag&gt;&lt;Author&gt;Sarhadi, Ali; Burn, Donald H; Concepción Ausín, María; Wiper, Michael P&lt;/Author&gt;&lt;Year&gt;2016&lt;/Year&gt;&lt;Details&gt;&lt;_accessed&gt;66510372&lt;/_accessed&gt;&lt;_collection_scope&gt;SCIE;EI&lt;/_collection_scope&gt;&lt;_created&gt;66510372&lt;/_created&gt;&lt;_date&gt;61009920&lt;/_date&gt;&lt;_date_display&gt;2016&lt;/_date_display&gt;&lt;_db_updated&gt;PKU Search&lt;/_db_updated&gt;&lt;_doi&gt;10.1002/2015WR018525&lt;/_doi&gt;&lt;_impact_factor&gt;   5.000&lt;/_impact_factor&gt;&lt;_isbn&gt;0043-1397&lt;/_isbn&gt;&lt;_issue&gt;3&lt;/_issue&gt;&lt;_journal&gt;Water resources research&lt;/_journal&gt;&lt;_keywords&gt;Adaptive sampling; Anomalies; Bayesian analysis; Bayesian theory; Chains; Climate; Climate change; Climate models; Climatic extremes; Computer simulation; Criteria; Decision making; Design analysis; Dissolved inorganic carbon; dynamic Bayesian copula; Ecological risk assessment; Environmental impact; Estimates; Frameworks; Hydrometeorology; Markov chain; Markov Chain Monte Carlo sampling; Markov chains; Modelling; Monte Carlo simulation; Nonstationary environments; Parameter estimation; Parameters; Probability theory; risk; Risk analysis; Risk assessment; Statistical inference; Statistical methods; Time dependence; time‐varying joint return period; time‐varying multivariate risk analysis; water&lt;/_keywords&gt;&lt;_modified&gt;66510372&lt;/_modified&gt;&lt;_number&gt;1&lt;/_number&gt;&lt;_ori_publication&gt;John Wiley &amp;amp; Sons, Inc&lt;/_ori_publication&gt;&lt;_pages&gt;2327-2349&lt;/_pages&gt;&lt;_place_published&gt;Washington&lt;/_place_published&gt;&lt;_social_category&gt;湖沼学(1) &amp;amp; 环境科学(2) &amp;amp; 水资源(2)&lt;/_social_category&gt;&lt;_url&gt;https://go.exlibris.link/jvld5J5F&lt;/_url&gt;&lt;_volume&gt;52&lt;/_volume&gt;&lt;_language&gt;English&lt;/_language&gt;&lt;/Details&gt;&lt;Extra&gt;&lt;DBUID&gt;{F96A950B-833F-4880-A151-76DA2D6A2879}&lt;/DBUID&gt;&lt;/Extra&gt;&lt;/Item&gt;&lt;/References&gt;&lt;/Group&gt;&lt;Group&gt;&lt;References&gt;&lt;Item&gt;&lt;ID&gt;2622&lt;/ID&gt;&lt;UID&gt;{414416C2-D20E-4662-86FE-56C0695EAA47}&lt;/UID&gt;&lt;Title&gt;Hydrological drought dynamic using copula functions and drought center migration in the Ganjiang river basin&lt;/Title&gt;&lt;Template&gt;Journal Article&lt;/Template&gt;&lt;Star&gt;0&lt;/Star&gt;&lt;Tag&gt;0&lt;/Tag&gt;&lt;Author&gt;Liu, Weilin; Zhang, Jingrong; Zhou, Zhanxiong; Zhu, Shengnan; Liu, Lina; Li, Jianzhu&lt;/Author&gt;&lt;Year&gt;2025&lt;/Year&gt;&lt;Details&gt;&lt;_accessed&gt;66510536&lt;/_accessed&gt;&lt;_collection_scope&gt;SCIE&lt;/_collection_scope&gt;&lt;_created&gt;66510536&lt;/_created&gt;&lt;_db_updated&gt;NESearch&lt;/_db_updated&gt;&lt;_doi&gt;10.1038/s41598-025-18331-0&lt;/_doi&gt;&lt;_impact_factor&gt;   3.900&lt;/_impact_factor&gt;&lt;_isbn&gt;2045-2322&lt;/_isbn&gt;&lt;_issue&gt;1&lt;/_issue&gt;&lt;_journal&gt;Scientific Reports&lt;/_journal&gt;&lt;_language&gt;en&lt;/_language&gt;&lt;_modified&gt;66510536&lt;/_modified&gt;&lt;_social_category&gt;综合性期刊(3)&lt;/_social_category&gt;&lt;_url&gt;https://doi.org/10.1038/s41598-025-18331-0&lt;/_url&gt;&lt;_volume&gt;15&lt;/_volume&gt;&lt;/Details&gt;&lt;Extra&gt;&lt;DBUID&gt;{F96A950B-833F-4880-A151-76DA2D6A2879}&lt;/DBUID&gt;&lt;/Extra&gt;&lt;/Item&gt;&lt;/References&gt;&lt;/Group&gt;&lt;/Citation&gt;_x000a_"/>
    <w:docVar w:name="NE.Ref{F6035AA0-48B4-4C26-929D-51C386C5657D}" w:val=" ADDIN NE.Ref.{F6035AA0-48B4-4C26-929D-51C386C5657D}&lt;Citation&gt;&lt;Group&gt;&lt;References&gt;&lt;Item&gt;&lt;ID&gt;2597&lt;/ID&gt;&lt;UID&gt;{852C7182-792E-4E2C-B880-D4EBBDBAD328}&lt;/UID&gt;&lt;Title&gt;青海省湟水流域水环境现状评价&lt;/Title&gt;&lt;Template&gt;Journal Article&lt;/Template&gt;&lt;Star&gt;0&lt;/Star&gt;&lt;Tag&gt;0&lt;/Tag&gt;&lt;Author&gt;杨青; 马世震; 高晓鹏&lt;/Author&gt;&lt;Year&gt;1994&lt;/Year&gt;&lt;Details&gt;&lt;_accessed&gt;66509183&lt;/_accessed&gt;&lt;_created&gt;66509183&lt;/_created&gt;&lt;_db_provider&gt;CNKI&lt;/_db_provider&gt;&lt;_db_updated&gt;NESearch&lt;/_db_updated&gt;&lt;_isbn&gt;1007-2454&lt;/_isbn&gt;&lt;_issue&gt;02&lt;/_issue&gt;&lt;_journal&gt;青海环境&lt;/_journal&gt;&lt;_language&gt;cn&lt;/_language&gt;&lt;_modified&gt;66509183&lt;/_modified&gt;&lt;_pages&gt;63-68&lt;/_pages&gt;&lt;_url&gt;http://kns.cnki.net/kcms/detail/detail.aspx?FileName=QHHJ199402003&amp;amp;DbName=CJFQ1994&lt;/_url&gt;&lt;_translated_author&gt;Yang, Qing;Ma, Shi zhen;Gao, Xiao peng&lt;/_translated_author&gt;&lt;/Details&gt;&lt;Extra&gt;&lt;DBUID&gt;{F96A950B-833F-4880-A151-76DA2D6A2879}&lt;/DBUID&gt;&lt;/Extra&gt;&lt;/Item&gt;&lt;/References&gt;&lt;/Group&gt;&lt;/Citation&gt;_x000a_"/>
    <w:docVar w:name="ne_docsoft" w:val="MSWord"/>
    <w:docVar w:name="ne_docversion" w:val="NoteExpress 2.0"/>
    <w:docVar w:name="ne_stylename" w:val="中华人民共和国国家标准_GBT_7714-2005"/>
  </w:docVars>
  <w:rsids>
    <w:rsidRoot w:val="006707AF"/>
    <w:rsid w:val="00001C0C"/>
    <w:rsid w:val="000039A7"/>
    <w:rsid w:val="00004587"/>
    <w:rsid w:val="0000458B"/>
    <w:rsid w:val="00005701"/>
    <w:rsid w:val="0000699B"/>
    <w:rsid w:val="00006E2F"/>
    <w:rsid w:val="0000763B"/>
    <w:rsid w:val="000079D1"/>
    <w:rsid w:val="00020144"/>
    <w:rsid w:val="00020CA1"/>
    <w:rsid w:val="00022ADF"/>
    <w:rsid w:val="00023359"/>
    <w:rsid w:val="000234B6"/>
    <w:rsid w:val="00025E71"/>
    <w:rsid w:val="00030AEB"/>
    <w:rsid w:val="00030FFF"/>
    <w:rsid w:val="00032E38"/>
    <w:rsid w:val="0003628F"/>
    <w:rsid w:val="00041119"/>
    <w:rsid w:val="0004380B"/>
    <w:rsid w:val="00044738"/>
    <w:rsid w:val="000509DC"/>
    <w:rsid w:val="000519C0"/>
    <w:rsid w:val="00053089"/>
    <w:rsid w:val="00056F45"/>
    <w:rsid w:val="0006045F"/>
    <w:rsid w:val="0006552E"/>
    <w:rsid w:val="0006578D"/>
    <w:rsid w:val="00066C84"/>
    <w:rsid w:val="00081145"/>
    <w:rsid w:val="00084B4D"/>
    <w:rsid w:val="00085F60"/>
    <w:rsid w:val="000869C1"/>
    <w:rsid w:val="0008757F"/>
    <w:rsid w:val="000878D6"/>
    <w:rsid w:val="0009250A"/>
    <w:rsid w:val="00092CBC"/>
    <w:rsid w:val="000A0807"/>
    <w:rsid w:val="000A12D3"/>
    <w:rsid w:val="000A152A"/>
    <w:rsid w:val="000A5BA1"/>
    <w:rsid w:val="000A5F61"/>
    <w:rsid w:val="000A72B6"/>
    <w:rsid w:val="000B061F"/>
    <w:rsid w:val="000B3FC0"/>
    <w:rsid w:val="000B5654"/>
    <w:rsid w:val="000C059F"/>
    <w:rsid w:val="000C10FE"/>
    <w:rsid w:val="000C2B8E"/>
    <w:rsid w:val="000C7A6A"/>
    <w:rsid w:val="000D0D91"/>
    <w:rsid w:val="000D19B5"/>
    <w:rsid w:val="000D21FE"/>
    <w:rsid w:val="000D38C3"/>
    <w:rsid w:val="000D71A2"/>
    <w:rsid w:val="000E140F"/>
    <w:rsid w:val="000E1EDC"/>
    <w:rsid w:val="000E2A75"/>
    <w:rsid w:val="000E7B56"/>
    <w:rsid w:val="000F4C10"/>
    <w:rsid w:val="000F5611"/>
    <w:rsid w:val="000F612C"/>
    <w:rsid w:val="00100444"/>
    <w:rsid w:val="0010091A"/>
    <w:rsid w:val="001015A7"/>
    <w:rsid w:val="001020FE"/>
    <w:rsid w:val="001029AF"/>
    <w:rsid w:val="0010330B"/>
    <w:rsid w:val="0010507E"/>
    <w:rsid w:val="0011362C"/>
    <w:rsid w:val="0011394D"/>
    <w:rsid w:val="00113E0F"/>
    <w:rsid w:val="00114A94"/>
    <w:rsid w:val="001173CB"/>
    <w:rsid w:val="001200B5"/>
    <w:rsid w:val="0012010E"/>
    <w:rsid w:val="00121420"/>
    <w:rsid w:val="001232A5"/>
    <w:rsid w:val="00124B7B"/>
    <w:rsid w:val="00131A83"/>
    <w:rsid w:val="00134AB0"/>
    <w:rsid w:val="00136AEC"/>
    <w:rsid w:val="00136B27"/>
    <w:rsid w:val="001415C8"/>
    <w:rsid w:val="0014706C"/>
    <w:rsid w:val="001507C5"/>
    <w:rsid w:val="00153199"/>
    <w:rsid w:val="00161F39"/>
    <w:rsid w:val="001657F7"/>
    <w:rsid w:val="00166C3B"/>
    <w:rsid w:val="00172CB5"/>
    <w:rsid w:val="00173565"/>
    <w:rsid w:val="00173DBD"/>
    <w:rsid w:val="00174209"/>
    <w:rsid w:val="00175EA7"/>
    <w:rsid w:val="001768C7"/>
    <w:rsid w:val="00180E0C"/>
    <w:rsid w:val="00187B8B"/>
    <w:rsid w:val="001902BC"/>
    <w:rsid w:val="00192073"/>
    <w:rsid w:val="00193623"/>
    <w:rsid w:val="00193CFC"/>
    <w:rsid w:val="00197A4F"/>
    <w:rsid w:val="001A284E"/>
    <w:rsid w:val="001A53CD"/>
    <w:rsid w:val="001A5456"/>
    <w:rsid w:val="001A55B0"/>
    <w:rsid w:val="001A5791"/>
    <w:rsid w:val="001A6663"/>
    <w:rsid w:val="001A7070"/>
    <w:rsid w:val="001B1DD0"/>
    <w:rsid w:val="001B2207"/>
    <w:rsid w:val="001B41F9"/>
    <w:rsid w:val="001B4569"/>
    <w:rsid w:val="001C0B34"/>
    <w:rsid w:val="001C1001"/>
    <w:rsid w:val="001C1B62"/>
    <w:rsid w:val="001C381B"/>
    <w:rsid w:val="001C4204"/>
    <w:rsid w:val="001C50F9"/>
    <w:rsid w:val="001D37C3"/>
    <w:rsid w:val="001D6453"/>
    <w:rsid w:val="001E6201"/>
    <w:rsid w:val="001E65EA"/>
    <w:rsid w:val="001E6C17"/>
    <w:rsid w:val="001F2178"/>
    <w:rsid w:val="001F2454"/>
    <w:rsid w:val="001F3A54"/>
    <w:rsid w:val="001F4257"/>
    <w:rsid w:val="001F4D35"/>
    <w:rsid w:val="001F75F7"/>
    <w:rsid w:val="001F7EBF"/>
    <w:rsid w:val="0020579E"/>
    <w:rsid w:val="00211990"/>
    <w:rsid w:val="00212EB9"/>
    <w:rsid w:val="002156CB"/>
    <w:rsid w:val="00225509"/>
    <w:rsid w:val="0022564D"/>
    <w:rsid w:val="00226ACC"/>
    <w:rsid w:val="00227963"/>
    <w:rsid w:val="00232A97"/>
    <w:rsid w:val="00236001"/>
    <w:rsid w:val="00237620"/>
    <w:rsid w:val="00237E50"/>
    <w:rsid w:val="00240085"/>
    <w:rsid w:val="00241662"/>
    <w:rsid w:val="0024512B"/>
    <w:rsid w:val="0024521C"/>
    <w:rsid w:val="00246754"/>
    <w:rsid w:val="00247640"/>
    <w:rsid w:val="00250CDD"/>
    <w:rsid w:val="002517FD"/>
    <w:rsid w:val="00254533"/>
    <w:rsid w:val="00255144"/>
    <w:rsid w:val="002557B9"/>
    <w:rsid w:val="00256057"/>
    <w:rsid w:val="002563F8"/>
    <w:rsid w:val="00257874"/>
    <w:rsid w:val="00262372"/>
    <w:rsid w:val="00265F2C"/>
    <w:rsid w:val="00272E94"/>
    <w:rsid w:val="00273AE0"/>
    <w:rsid w:val="002742CE"/>
    <w:rsid w:val="00275FF5"/>
    <w:rsid w:val="00277533"/>
    <w:rsid w:val="00282C56"/>
    <w:rsid w:val="0028314B"/>
    <w:rsid w:val="002834A9"/>
    <w:rsid w:val="00286495"/>
    <w:rsid w:val="00286711"/>
    <w:rsid w:val="00287244"/>
    <w:rsid w:val="002900C6"/>
    <w:rsid w:val="0029072C"/>
    <w:rsid w:val="00291307"/>
    <w:rsid w:val="00292B5A"/>
    <w:rsid w:val="00294232"/>
    <w:rsid w:val="002A0948"/>
    <w:rsid w:val="002A4D89"/>
    <w:rsid w:val="002B0411"/>
    <w:rsid w:val="002B282A"/>
    <w:rsid w:val="002B6BDA"/>
    <w:rsid w:val="002C0C7A"/>
    <w:rsid w:val="002C12FB"/>
    <w:rsid w:val="002C2A0D"/>
    <w:rsid w:val="002C2D66"/>
    <w:rsid w:val="002D072C"/>
    <w:rsid w:val="002D0A11"/>
    <w:rsid w:val="002D1941"/>
    <w:rsid w:val="002D4496"/>
    <w:rsid w:val="002D6488"/>
    <w:rsid w:val="002E0F45"/>
    <w:rsid w:val="002E551F"/>
    <w:rsid w:val="002E7684"/>
    <w:rsid w:val="002F460E"/>
    <w:rsid w:val="002F4CE3"/>
    <w:rsid w:val="003004A7"/>
    <w:rsid w:val="00300E0C"/>
    <w:rsid w:val="00302517"/>
    <w:rsid w:val="00302694"/>
    <w:rsid w:val="00304791"/>
    <w:rsid w:val="00304998"/>
    <w:rsid w:val="00306F6C"/>
    <w:rsid w:val="00307B13"/>
    <w:rsid w:val="00314EB3"/>
    <w:rsid w:val="003152B3"/>
    <w:rsid w:val="00324645"/>
    <w:rsid w:val="00325ECB"/>
    <w:rsid w:val="00331017"/>
    <w:rsid w:val="003329E1"/>
    <w:rsid w:val="00340439"/>
    <w:rsid w:val="003433F3"/>
    <w:rsid w:val="003456A2"/>
    <w:rsid w:val="003464B2"/>
    <w:rsid w:val="003479D1"/>
    <w:rsid w:val="0035099C"/>
    <w:rsid w:val="00352F67"/>
    <w:rsid w:val="003540E5"/>
    <w:rsid w:val="00354E50"/>
    <w:rsid w:val="00355E85"/>
    <w:rsid w:val="00357D36"/>
    <w:rsid w:val="00361E7D"/>
    <w:rsid w:val="00363D48"/>
    <w:rsid w:val="00364874"/>
    <w:rsid w:val="00367CAD"/>
    <w:rsid w:val="00370144"/>
    <w:rsid w:val="00374259"/>
    <w:rsid w:val="00374E74"/>
    <w:rsid w:val="00375136"/>
    <w:rsid w:val="003762BD"/>
    <w:rsid w:val="003778DD"/>
    <w:rsid w:val="003778E0"/>
    <w:rsid w:val="00381EE7"/>
    <w:rsid w:val="00382C9B"/>
    <w:rsid w:val="00382DD8"/>
    <w:rsid w:val="003863C0"/>
    <w:rsid w:val="00390AB4"/>
    <w:rsid w:val="003912FA"/>
    <w:rsid w:val="003959F2"/>
    <w:rsid w:val="00395DCD"/>
    <w:rsid w:val="00397AA2"/>
    <w:rsid w:val="003A200A"/>
    <w:rsid w:val="003A2C8C"/>
    <w:rsid w:val="003A546D"/>
    <w:rsid w:val="003A59CA"/>
    <w:rsid w:val="003A6BF6"/>
    <w:rsid w:val="003A6DBE"/>
    <w:rsid w:val="003A7049"/>
    <w:rsid w:val="003B26EB"/>
    <w:rsid w:val="003B5AA9"/>
    <w:rsid w:val="003B5E1A"/>
    <w:rsid w:val="003B675F"/>
    <w:rsid w:val="003D0275"/>
    <w:rsid w:val="003D2061"/>
    <w:rsid w:val="003D313F"/>
    <w:rsid w:val="003D6A6E"/>
    <w:rsid w:val="003D6E20"/>
    <w:rsid w:val="003E210D"/>
    <w:rsid w:val="003E2382"/>
    <w:rsid w:val="003E27C6"/>
    <w:rsid w:val="003E45BF"/>
    <w:rsid w:val="003E4BA8"/>
    <w:rsid w:val="003E5C46"/>
    <w:rsid w:val="003F19EC"/>
    <w:rsid w:val="003F242A"/>
    <w:rsid w:val="003F5A2E"/>
    <w:rsid w:val="003F5FF1"/>
    <w:rsid w:val="003F73AC"/>
    <w:rsid w:val="00401EFD"/>
    <w:rsid w:val="00411965"/>
    <w:rsid w:val="0041473E"/>
    <w:rsid w:val="0041654F"/>
    <w:rsid w:val="004205E7"/>
    <w:rsid w:val="004238A4"/>
    <w:rsid w:val="00424D90"/>
    <w:rsid w:val="00425052"/>
    <w:rsid w:val="00425F78"/>
    <w:rsid w:val="0042766C"/>
    <w:rsid w:val="00430ADB"/>
    <w:rsid w:val="0043302D"/>
    <w:rsid w:val="00434711"/>
    <w:rsid w:val="00441475"/>
    <w:rsid w:val="00444660"/>
    <w:rsid w:val="0045161A"/>
    <w:rsid w:val="0045162C"/>
    <w:rsid w:val="004549CA"/>
    <w:rsid w:val="00472740"/>
    <w:rsid w:val="0047475D"/>
    <w:rsid w:val="00474C9F"/>
    <w:rsid w:val="004755C5"/>
    <w:rsid w:val="004830EF"/>
    <w:rsid w:val="00486048"/>
    <w:rsid w:val="00487C82"/>
    <w:rsid w:val="004918EC"/>
    <w:rsid w:val="00491C5F"/>
    <w:rsid w:val="00492E76"/>
    <w:rsid w:val="00494EE9"/>
    <w:rsid w:val="00496468"/>
    <w:rsid w:val="004A24C4"/>
    <w:rsid w:val="004A4C11"/>
    <w:rsid w:val="004A6178"/>
    <w:rsid w:val="004B0101"/>
    <w:rsid w:val="004B12EC"/>
    <w:rsid w:val="004B4C1A"/>
    <w:rsid w:val="004B5518"/>
    <w:rsid w:val="004B7A13"/>
    <w:rsid w:val="004C2ABE"/>
    <w:rsid w:val="004C5837"/>
    <w:rsid w:val="004D1107"/>
    <w:rsid w:val="004D1F11"/>
    <w:rsid w:val="004D3CF0"/>
    <w:rsid w:val="004D408F"/>
    <w:rsid w:val="004D6AE5"/>
    <w:rsid w:val="004E154D"/>
    <w:rsid w:val="004E200B"/>
    <w:rsid w:val="004E2A03"/>
    <w:rsid w:val="004E3BFE"/>
    <w:rsid w:val="004E3C06"/>
    <w:rsid w:val="004E51F9"/>
    <w:rsid w:val="004E62CA"/>
    <w:rsid w:val="004E6994"/>
    <w:rsid w:val="004E6AA8"/>
    <w:rsid w:val="004E71C1"/>
    <w:rsid w:val="004F0040"/>
    <w:rsid w:val="004F10FE"/>
    <w:rsid w:val="0050006E"/>
    <w:rsid w:val="00502CF7"/>
    <w:rsid w:val="005060FD"/>
    <w:rsid w:val="00506B77"/>
    <w:rsid w:val="00511A23"/>
    <w:rsid w:val="005120F4"/>
    <w:rsid w:val="00515594"/>
    <w:rsid w:val="00516AF0"/>
    <w:rsid w:val="00517390"/>
    <w:rsid w:val="00520006"/>
    <w:rsid w:val="00520720"/>
    <w:rsid w:val="00520A26"/>
    <w:rsid w:val="005212DE"/>
    <w:rsid w:val="00523693"/>
    <w:rsid w:val="00524C8A"/>
    <w:rsid w:val="0052555B"/>
    <w:rsid w:val="00526105"/>
    <w:rsid w:val="00530242"/>
    <w:rsid w:val="005319EE"/>
    <w:rsid w:val="005347F6"/>
    <w:rsid w:val="0053486B"/>
    <w:rsid w:val="00536F15"/>
    <w:rsid w:val="00540167"/>
    <w:rsid w:val="005429C8"/>
    <w:rsid w:val="005534CB"/>
    <w:rsid w:val="00554638"/>
    <w:rsid w:val="00556F73"/>
    <w:rsid w:val="00560470"/>
    <w:rsid w:val="00563709"/>
    <w:rsid w:val="00564393"/>
    <w:rsid w:val="00566FE5"/>
    <w:rsid w:val="00567512"/>
    <w:rsid w:val="00567D1F"/>
    <w:rsid w:val="005724CC"/>
    <w:rsid w:val="0057735A"/>
    <w:rsid w:val="005810DD"/>
    <w:rsid w:val="00582476"/>
    <w:rsid w:val="00586471"/>
    <w:rsid w:val="00587454"/>
    <w:rsid w:val="00592288"/>
    <w:rsid w:val="00593E87"/>
    <w:rsid w:val="005950C9"/>
    <w:rsid w:val="00595112"/>
    <w:rsid w:val="005951C1"/>
    <w:rsid w:val="005955B0"/>
    <w:rsid w:val="0059596B"/>
    <w:rsid w:val="00597987"/>
    <w:rsid w:val="005A0B1A"/>
    <w:rsid w:val="005A1ADC"/>
    <w:rsid w:val="005A1D26"/>
    <w:rsid w:val="005A2DE8"/>
    <w:rsid w:val="005A6E42"/>
    <w:rsid w:val="005B00E3"/>
    <w:rsid w:val="005B331D"/>
    <w:rsid w:val="005B4543"/>
    <w:rsid w:val="005C056B"/>
    <w:rsid w:val="005C0E40"/>
    <w:rsid w:val="005C4A3C"/>
    <w:rsid w:val="005C4C0E"/>
    <w:rsid w:val="005C57E1"/>
    <w:rsid w:val="005C5EF7"/>
    <w:rsid w:val="005C6584"/>
    <w:rsid w:val="005C7D72"/>
    <w:rsid w:val="005D341F"/>
    <w:rsid w:val="005D3C18"/>
    <w:rsid w:val="005D6772"/>
    <w:rsid w:val="005E0B9D"/>
    <w:rsid w:val="005E4169"/>
    <w:rsid w:val="005E7C2E"/>
    <w:rsid w:val="005F0F39"/>
    <w:rsid w:val="005F208F"/>
    <w:rsid w:val="005F27C3"/>
    <w:rsid w:val="005F36D7"/>
    <w:rsid w:val="005F5DFD"/>
    <w:rsid w:val="005F6140"/>
    <w:rsid w:val="005F6274"/>
    <w:rsid w:val="00601720"/>
    <w:rsid w:val="00601810"/>
    <w:rsid w:val="00603B74"/>
    <w:rsid w:val="00605019"/>
    <w:rsid w:val="00605CAF"/>
    <w:rsid w:val="00607830"/>
    <w:rsid w:val="00611589"/>
    <w:rsid w:val="00611AE6"/>
    <w:rsid w:val="006125CD"/>
    <w:rsid w:val="00612A5D"/>
    <w:rsid w:val="0061431E"/>
    <w:rsid w:val="00615935"/>
    <w:rsid w:val="00616943"/>
    <w:rsid w:val="00616D7A"/>
    <w:rsid w:val="00617C28"/>
    <w:rsid w:val="00630D65"/>
    <w:rsid w:val="00631114"/>
    <w:rsid w:val="0063165E"/>
    <w:rsid w:val="0063262C"/>
    <w:rsid w:val="0063498B"/>
    <w:rsid w:val="0063523B"/>
    <w:rsid w:val="00635758"/>
    <w:rsid w:val="00640C9B"/>
    <w:rsid w:val="00644555"/>
    <w:rsid w:val="00646E22"/>
    <w:rsid w:val="0065060B"/>
    <w:rsid w:val="006509F6"/>
    <w:rsid w:val="0065286F"/>
    <w:rsid w:val="00652877"/>
    <w:rsid w:val="00656E2A"/>
    <w:rsid w:val="00657E1E"/>
    <w:rsid w:val="006703B5"/>
    <w:rsid w:val="006707AF"/>
    <w:rsid w:val="00682BDB"/>
    <w:rsid w:val="00684832"/>
    <w:rsid w:val="00686D9F"/>
    <w:rsid w:val="00687FEF"/>
    <w:rsid w:val="0069354F"/>
    <w:rsid w:val="0069468C"/>
    <w:rsid w:val="0069568A"/>
    <w:rsid w:val="00696E25"/>
    <w:rsid w:val="006A10E5"/>
    <w:rsid w:val="006A16FA"/>
    <w:rsid w:val="006A35F2"/>
    <w:rsid w:val="006A441F"/>
    <w:rsid w:val="006A46DB"/>
    <w:rsid w:val="006A6BC6"/>
    <w:rsid w:val="006B3DCA"/>
    <w:rsid w:val="006B58C1"/>
    <w:rsid w:val="006B619E"/>
    <w:rsid w:val="006C0CA3"/>
    <w:rsid w:val="006C0D80"/>
    <w:rsid w:val="006C1F6D"/>
    <w:rsid w:val="006C3C53"/>
    <w:rsid w:val="006C5D54"/>
    <w:rsid w:val="006D0352"/>
    <w:rsid w:val="006D18FB"/>
    <w:rsid w:val="006D2B1E"/>
    <w:rsid w:val="006D3393"/>
    <w:rsid w:val="006D78AE"/>
    <w:rsid w:val="006E158B"/>
    <w:rsid w:val="006E234F"/>
    <w:rsid w:val="006E5640"/>
    <w:rsid w:val="006E6BC8"/>
    <w:rsid w:val="006F09F8"/>
    <w:rsid w:val="006F1422"/>
    <w:rsid w:val="006F1B8E"/>
    <w:rsid w:val="006F3596"/>
    <w:rsid w:val="006F37CE"/>
    <w:rsid w:val="006F6C3B"/>
    <w:rsid w:val="007039B7"/>
    <w:rsid w:val="0070702A"/>
    <w:rsid w:val="00714CC2"/>
    <w:rsid w:val="0071680D"/>
    <w:rsid w:val="00717823"/>
    <w:rsid w:val="00717F91"/>
    <w:rsid w:val="00720E07"/>
    <w:rsid w:val="007211AF"/>
    <w:rsid w:val="00721C24"/>
    <w:rsid w:val="007277F6"/>
    <w:rsid w:val="0073106C"/>
    <w:rsid w:val="00732B8E"/>
    <w:rsid w:val="0073461E"/>
    <w:rsid w:val="00735027"/>
    <w:rsid w:val="007352A0"/>
    <w:rsid w:val="007355B5"/>
    <w:rsid w:val="00737AAC"/>
    <w:rsid w:val="00737C46"/>
    <w:rsid w:val="00737F02"/>
    <w:rsid w:val="00737F0C"/>
    <w:rsid w:val="007427E8"/>
    <w:rsid w:val="0074367D"/>
    <w:rsid w:val="00744225"/>
    <w:rsid w:val="007453F2"/>
    <w:rsid w:val="00750677"/>
    <w:rsid w:val="00751644"/>
    <w:rsid w:val="00752C7A"/>
    <w:rsid w:val="00754C16"/>
    <w:rsid w:val="00762FE6"/>
    <w:rsid w:val="00764186"/>
    <w:rsid w:val="007646CB"/>
    <w:rsid w:val="0077005A"/>
    <w:rsid w:val="007721F7"/>
    <w:rsid w:val="00772EA8"/>
    <w:rsid w:val="007738CB"/>
    <w:rsid w:val="00777BEA"/>
    <w:rsid w:val="007814A1"/>
    <w:rsid w:val="007817A1"/>
    <w:rsid w:val="00782E85"/>
    <w:rsid w:val="0078527C"/>
    <w:rsid w:val="00785605"/>
    <w:rsid w:val="00785E9C"/>
    <w:rsid w:val="00790F7E"/>
    <w:rsid w:val="00791E8D"/>
    <w:rsid w:val="007A1775"/>
    <w:rsid w:val="007A627B"/>
    <w:rsid w:val="007A7DE6"/>
    <w:rsid w:val="007B0583"/>
    <w:rsid w:val="007B107A"/>
    <w:rsid w:val="007B3433"/>
    <w:rsid w:val="007B44DE"/>
    <w:rsid w:val="007B4E58"/>
    <w:rsid w:val="007B6DBB"/>
    <w:rsid w:val="007B7824"/>
    <w:rsid w:val="007C08EA"/>
    <w:rsid w:val="007C0B08"/>
    <w:rsid w:val="007C1944"/>
    <w:rsid w:val="007D0390"/>
    <w:rsid w:val="007D37B0"/>
    <w:rsid w:val="007D4243"/>
    <w:rsid w:val="007E1E08"/>
    <w:rsid w:val="007E2D6A"/>
    <w:rsid w:val="007E4868"/>
    <w:rsid w:val="007F213B"/>
    <w:rsid w:val="007F318A"/>
    <w:rsid w:val="00800C73"/>
    <w:rsid w:val="00800DE6"/>
    <w:rsid w:val="00801B4F"/>
    <w:rsid w:val="00801B71"/>
    <w:rsid w:val="00802CB7"/>
    <w:rsid w:val="00803504"/>
    <w:rsid w:val="0080685A"/>
    <w:rsid w:val="008108A6"/>
    <w:rsid w:val="0081344D"/>
    <w:rsid w:val="0081690E"/>
    <w:rsid w:val="00820CAD"/>
    <w:rsid w:val="0082148F"/>
    <w:rsid w:val="00826C23"/>
    <w:rsid w:val="008329C0"/>
    <w:rsid w:val="00834C7A"/>
    <w:rsid w:val="008353D9"/>
    <w:rsid w:val="00841ABF"/>
    <w:rsid w:val="00842648"/>
    <w:rsid w:val="008434A2"/>
    <w:rsid w:val="00847B35"/>
    <w:rsid w:val="0085187B"/>
    <w:rsid w:val="00851B79"/>
    <w:rsid w:val="00851C18"/>
    <w:rsid w:val="00853990"/>
    <w:rsid w:val="008541B8"/>
    <w:rsid w:val="00856D19"/>
    <w:rsid w:val="00861071"/>
    <w:rsid w:val="0086398F"/>
    <w:rsid w:val="00866359"/>
    <w:rsid w:val="00870024"/>
    <w:rsid w:val="0087258E"/>
    <w:rsid w:val="00872D2A"/>
    <w:rsid w:val="00873839"/>
    <w:rsid w:val="0087412B"/>
    <w:rsid w:val="00876984"/>
    <w:rsid w:val="00881243"/>
    <w:rsid w:val="008835F7"/>
    <w:rsid w:val="00883638"/>
    <w:rsid w:val="0088543B"/>
    <w:rsid w:val="00886B44"/>
    <w:rsid w:val="0088716C"/>
    <w:rsid w:val="0088751D"/>
    <w:rsid w:val="0089493C"/>
    <w:rsid w:val="00895094"/>
    <w:rsid w:val="00896F93"/>
    <w:rsid w:val="00897E62"/>
    <w:rsid w:val="008A027F"/>
    <w:rsid w:val="008A071A"/>
    <w:rsid w:val="008A4CF9"/>
    <w:rsid w:val="008B0460"/>
    <w:rsid w:val="008B286C"/>
    <w:rsid w:val="008C5891"/>
    <w:rsid w:val="008D0291"/>
    <w:rsid w:val="008D34B9"/>
    <w:rsid w:val="008D50B4"/>
    <w:rsid w:val="008D76D3"/>
    <w:rsid w:val="008E0DB3"/>
    <w:rsid w:val="008E33A2"/>
    <w:rsid w:val="008E3FDB"/>
    <w:rsid w:val="008E6E26"/>
    <w:rsid w:val="008E7745"/>
    <w:rsid w:val="008F0E55"/>
    <w:rsid w:val="008F4D11"/>
    <w:rsid w:val="008F5949"/>
    <w:rsid w:val="008F6631"/>
    <w:rsid w:val="008F6B91"/>
    <w:rsid w:val="00903230"/>
    <w:rsid w:val="00907FCE"/>
    <w:rsid w:val="0091000F"/>
    <w:rsid w:val="009109DB"/>
    <w:rsid w:val="0091737F"/>
    <w:rsid w:val="009176C9"/>
    <w:rsid w:val="009225BF"/>
    <w:rsid w:val="0092402E"/>
    <w:rsid w:val="0092553F"/>
    <w:rsid w:val="009266A0"/>
    <w:rsid w:val="00931C84"/>
    <w:rsid w:val="009321D6"/>
    <w:rsid w:val="00936EF1"/>
    <w:rsid w:val="00937552"/>
    <w:rsid w:val="00941B93"/>
    <w:rsid w:val="00947F82"/>
    <w:rsid w:val="00950E40"/>
    <w:rsid w:val="00954526"/>
    <w:rsid w:val="00954769"/>
    <w:rsid w:val="00961412"/>
    <w:rsid w:val="00962962"/>
    <w:rsid w:val="009633A5"/>
    <w:rsid w:val="00967A18"/>
    <w:rsid w:val="00972C42"/>
    <w:rsid w:val="00973431"/>
    <w:rsid w:val="0098013E"/>
    <w:rsid w:val="00980E07"/>
    <w:rsid w:val="00983EA4"/>
    <w:rsid w:val="00984067"/>
    <w:rsid w:val="00987C37"/>
    <w:rsid w:val="00992712"/>
    <w:rsid w:val="00992D1A"/>
    <w:rsid w:val="009946E8"/>
    <w:rsid w:val="009954D5"/>
    <w:rsid w:val="009A0863"/>
    <w:rsid w:val="009A1989"/>
    <w:rsid w:val="009A2E19"/>
    <w:rsid w:val="009A37F0"/>
    <w:rsid w:val="009A4926"/>
    <w:rsid w:val="009B0CD7"/>
    <w:rsid w:val="009B2409"/>
    <w:rsid w:val="009B2CB9"/>
    <w:rsid w:val="009B32A0"/>
    <w:rsid w:val="009B342C"/>
    <w:rsid w:val="009B429A"/>
    <w:rsid w:val="009C0134"/>
    <w:rsid w:val="009C1634"/>
    <w:rsid w:val="009C3496"/>
    <w:rsid w:val="009C3B5D"/>
    <w:rsid w:val="009C540D"/>
    <w:rsid w:val="009C7A5E"/>
    <w:rsid w:val="009D29E4"/>
    <w:rsid w:val="009D2ED1"/>
    <w:rsid w:val="009D31D2"/>
    <w:rsid w:val="009D46CB"/>
    <w:rsid w:val="009E1423"/>
    <w:rsid w:val="009E6F8B"/>
    <w:rsid w:val="009E741F"/>
    <w:rsid w:val="009E7FE6"/>
    <w:rsid w:val="009F19CB"/>
    <w:rsid w:val="009F40B4"/>
    <w:rsid w:val="009F482D"/>
    <w:rsid w:val="009F702B"/>
    <w:rsid w:val="009F78E8"/>
    <w:rsid w:val="00A061D6"/>
    <w:rsid w:val="00A07AAD"/>
    <w:rsid w:val="00A07CE6"/>
    <w:rsid w:val="00A07D9D"/>
    <w:rsid w:val="00A12C42"/>
    <w:rsid w:val="00A13DBB"/>
    <w:rsid w:val="00A14759"/>
    <w:rsid w:val="00A164B1"/>
    <w:rsid w:val="00A17101"/>
    <w:rsid w:val="00A174DE"/>
    <w:rsid w:val="00A17536"/>
    <w:rsid w:val="00A17A72"/>
    <w:rsid w:val="00A34AA9"/>
    <w:rsid w:val="00A34E16"/>
    <w:rsid w:val="00A36D58"/>
    <w:rsid w:val="00A370A2"/>
    <w:rsid w:val="00A409C1"/>
    <w:rsid w:val="00A513DE"/>
    <w:rsid w:val="00A5185C"/>
    <w:rsid w:val="00A53A55"/>
    <w:rsid w:val="00A6110A"/>
    <w:rsid w:val="00A64073"/>
    <w:rsid w:val="00A65333"/>
    <w:rsid w:val="00A659DA"/>
    <w:rsid w:val="00A67603"/>
    <w:rsid w:val="00A67C9E"/>
    <w:rsid w:val="00A743F3"/>
    <w:rsid w:val="00A753D2"/>
    <w:rsid w:val="00A8499D"/>
    <w:rsid w:val="00A850FA"/>
    <w:rsid w:val="00A872BB"/>
    <w:rsid w:val="00A90778"/>
    <w:rsid w:val="00A9393D"/>
    <w:rsid w:val="00A93B3C"/>
    <w:rsid w:val="00AA0895"/>
    <w:rsid w:val="00AA1EB0"/>
    <w:rsid w:val="00AA2AAC"/>
    <w:rsid w:val="00AA3049"/>
    <w:rsid w:val="00AA372A"/>
    <w:rsid w:val="00AA4FB5"/>
    <w:rsid w:val="00AA71D1"/>
    <w:rsid w:val="00AB19C4"/>
    <w:rsid w:val="00AB3737"/>
    <w:rsid w:val="00AB7383"/>
    <w:rsid w:val="00AC1F44"/>
    <w:rsid w:val="00AC3661"/>
    <w:rsid w:val="00AC37E3"/>
    <w:rsid w:val="00AC42C8"/>
    <w:rsid w:val="00AC56D5"/>
    <w:rsid w:val="00AD247A"/>
    <w:rsid w:val="00AD2A6A"/>
    <w:rsid w:val="00AD4F03"/>
    <w:rsid w:val="00AD7BBA"/>
    <w:rsid w:val="00AE2BD8"/>
    <w:rsid w:val="00AE2E9A"/>
    <w:rsid w:val="00AE4B61"/>
    <w:rsid w:val="00AE5302"/>
    <w:rsid w:val="00AF1520"/>
    <w:rsid w:val="00AF2483"/>
    <w:rsid w:val="00AF4E50"/>
    <w:rsid w:val="00AF525F"/>
    <w:rsid w:val="00AF6F54"/>
    <w:rsid w:val="00B00D31"/>
    <w:rsid w:val="00B00FE2"/>
    <w:rsid w:val="00B014A6"/>
    <w:rsid w:val="00B02C91"/>
    <w:rsid w:val="00B0593C"/>
    <w:rsid w:val="00B05983"/>
    <w:rsid w:val="00B06821"/>
    <w:rsid w:val="00B10458"/>
    <w:rsid w:val="00B1359D"/>
    <w:rsid w:val="00B1659E"/>
    <w:rsid w:val="00B16D5A"/>
    <w:rsid w:val="00B251DD"/>
    <w:rsid w:val="00B26AB2"/>
    <w:rsid w:val="00B30D6B"/>
    <w:rsid w:val="00B315E6"/>
    <w:rsid w:val="00B3171C"/>
    <w:rsid w:val="00B31C27"/>
    <w:rsid w:val="00B31E0B"/>
    <w:rsid w:val="00B323A7"/>
    <w:rsid w:val="00B46CAA"/>
    <w:rsid w:val="00B474C4"/>
    <w:rsid w:val="00B47BD2"/>
    <w:rsid w:val="00B47F31"/>
    <w:rsid w:val="00B520FA"/>
    <w:rsid w:val="00B60EF8"/>
    <w:rsid w:val="00B623A6"/>
    <w:rsid w:val="00B6249E"/>
    <w:rsid w:val="00B62E97"/>
    <w:rsid w:val="00B63862"/>
    <w:rsid w:val="00B642B5"/>
    <w:rsid w:val="00B678D8"/>
    <w:rsid w:val="00B70194"/>
    <w:rsid w:val="00B729F5"/>
    <w:rsid w:val="00B73111"/>
    <w:rsid w:val="00B747A1"/>
    <w:rsid w:val="00B75268"/>
    <w:rsid w:val="00B77080"/>
    <w:rsid w:val="00B800A0"/>
    <w:rsid w:val="00B86177"/>
    <w:rsid w:val="00B90C43"/>
    <w:rsid w:val="00B91D82"/>
    <w:rsid w:val="00B94847"/>
    <w:rsid w:val="00B94AB9"/>
    <w:rsid w:val="00B97F03"/>
    <w:rsid w:val="00BA24B1"/>
    <w:rsid w:val="00BA3E1C"/>
    <w:rsid w:val="00BA70D9"/>
    <w:rsid w:val="00BB01DF"/>
    <w:rsid w:val="00BB2F2B"/>
    <w:rsid w:val="00BB5FDA"/>
    <w:rsid w:val="00BB75BC"/>
    <w:rsid w:val="00BC036C"/>
    <w:rsid w:val="00BC28A7"/>
    <w:rsid w:val="00BC347B"/>
    <w:rsid w:val="00BC3CD6"/>
    <w:rsid w:val="00BC4D8A"/>
    <w:rsid w:val="00BC7740"/>
    <w:rsid w:val="00BD0503"/>
    <w:rsid w:val="00BD27C9"/>
    <w:rsid w:val="00BD3F79"/>
    <w:rsid w:val="00BD4597"/>
    <w:rsid w:val="00BE0591"/>
    <w:rsid w:val="00BE2C64"/>
    <w:rsid w:val="00BE6958"/>
    <w:rsid w:val="00BE6BE9"/>
    <w:rsid w:val="00BE7FEF"/>
    <w:rsid w:val="00BF066F"/>
    <w:rsid w:val="00BF08CB"/>
    <w:rsid w:val="00BF3E4D"/>
    <w:rsid w:val="00BF535B"/>
    <w:rsid w:val="00BF56B0"/>
    <w:rsid w:val="00BF7800"/>
    <w:rsid w:val="00C00D70"/>
    <w:rsid w:val="00C0217F"/>
    <w:rsid w:val="00C035F2"/>
    <w:rsid w:val="00C03661"/>
    <w:rsid w:val="00C04123"/>
    <w:rsid w:val="00C0577D"/>
    <w:rsid w:val="00C06961"/>
    <w:rsid w:val="00C0761C"/>
    <w:rsid w:val="00C12998"/>
    <w:rsid w:val="00C21B66"/>
    <w:rsid w:val="00C24383"/>
    <w:rsid w:val="00C24407"/>
    <w:rsid w:val="00C25B41"/>
    <w:rsid w:val="00C25E32"/>
    <w:rsid w:val="00C333C1"/>
    <w:rsid w:val="00C33875"/>
    <w:rsid w:val="00C412D5"/>
    <w:rsid w:val="00C43CC1"/>
    <w:rsid w:val="00C47B4A"/>
    <w:rsid w:val="00C51A97"/>
    <w:rsid w:val="00C51D86"/>
    <w:rsid w:val="00C53C7B"/>
    <w:rsid w:val="00C53F0A"/>
    <w:rsid w:val="00C56181"/>
    <w:rsid w:val="00C577E6"/>
    <w:rsid w:val="00C57C5E"/>
    <w:rsid w:val="00C57FA3"/>
    <w:rsid w:val="00C63A99"/>
    <w:rsid w:val="00C6403C"/>
    <w:rsid w:val="00C6614B"/>
    <w:rsid w:val="00C66770"/>
    <w:rsid w:val="00C676BB"/>
    <w:rsid w:val="00C7441E"/>
    <w:rsid w:val="00C76892"/>
    <w:rsid w:val="00C81F82"/>
    <w:rsid w:val="00C82215"/>
    <w:rsid w:val="00C823E4"/>
    <w:rsid w:val="00C826B3"/>
    <w:rsid w:val="00C82E25"/>
    <w:rsid w:val="00C86EE0"/>
    <w:rsid w:val="00C90DFC"/>
    <w:rsid w:val="00C93C00"/>
    <w:rsid w:val="00C9547C"/>
    <w:rsid w:val="00C95E4A"/>
    <w:rsid w:val="00C95F16"/>
    <w:rsid w:val="00C97DBC"/>
    <w:rsid w:val="00CA04D8"/>
    <w:rsid w:val="00CA15D5"/>
    <w:rsid w:val="00CA1BB6"/>
    <w:rsid w:val="00CA2737"/>
    <w:rsid w:val="00CA328A"/>
    <w:rsid w:val="00CA499B"/>
    <w:rsid w:val="00CB2A14"/>
    <w:rsid w:val="00CB5326"/>
    <w:rsid w:val="00CB6233"/>
    <w:rsid w:val="00CB62E5"/>
    <w:rsid w:val="00CB6BC6"/>
    <w:rsid w:val="00CC26CF"/>
    <w:rsid w:val="00CC4239"/>
    <w:rsid w:val="00CC4876"/>
    <w:rsid w:val="00CC5B32"/>
    <w:rsid w:val="00CC7399"/>
    <w:rsid w:val="00CC7930"/>
    <w:rsid w:val="00CD01F8"/>
    <w:rsid w:val="00CD062C"/>
    <w:rsid w:val="00CD0763"/>
    <w:rsid w:val="00CD6FF4"/>
    <w:rsid w:val="00CD75A2"/>
    <w:rsid w:val="00CE08C3"/>
    <w:rsid w:val="00CE0BED"/>
    <w:rsid w:val="00CE3C3C"/>
    <w:rsid w:val="00CE54C3"/>
    <w:rsid w:val="00CF08BB"/>
    <w:rsid w:val="00D001A5"/>
    <w:rsid w:val="00D041A4"/>
    <w:rsid w:val="00D054FF"/>
    <w:rsid w:val="00D06CCA"/>
    <w:rsid w:val="00D11DDD"/>
    <w:rsid w:val="00D13503"/>
    <w:rsid w:val="00D15BAC"/>
    <w:rsid w:val="00D242C2"/>
    <w:rsid w:val="00D25AC1"/>
    <w:rsid w:val="00D27BF0"/>
    <w:rsid w:val="00D3040D"/>
    <w:rsid w:val="00D319CB"/>
    <w:rsid w:val="00D33EFA"/>
    <w:rsid w:val="00D33FAF"/>
    <w:rsid w:val="00D34301"/>
    <w:rsid w:val="00D34567"/>
    <w:rsid w:val="00D35514"/>
    <w:rsid w:val="00D36C32"/>
    <w:rsid w:val="00D37997"/>
    <w:rsid w:val="00D37F72"/>
    <w:rsid w:val="00D43209"/>
    <w:rsid w:val="00D43702"/>
    <w:rsid w:val="00D43FAF"/>
    <w:rsid w:val="00D45FEC"/>
    <w:rsid w:val="00D47790"/>
    <w:rsid w:val="00D50F63"/>
    <w:rsid w:val="00D53B5C"/>
    <w:rsid w:val="00D54A50"/>
    <w:rsid w:val="00D55031"/>
    <w:rsid w:val="00D557FF"/>
    <w:rsid w:val="00D61091"/>
    <w:rsid w:val="00D650E3"/>
    <w:rsid w:val="00D65372"/>
    <w:rsid w:val="00D67991"/>
    <w:rsid w:val="00D70122"/>
    <w:rsid w:val="00D71711"/>
    <w:rsid w:val="00D72815"/>
    <w:rsid w:val="00D73701"/>
    <w:rsid w:val="00D75A8A"/>
    <w:rsid w:val="00D8089F"/>
    <w:rsid w:val="00D83426"/>
    <w:rsid w:val="00D922FA"/>
    <w:rsid w:val="00D97E08"/>
    <w:rsid w:val="00DA131E"/>
    <w:rsid w:val="00DA2B29"/>
    <w:rsid w:val="00DA43EC"/>
    <w:rsid w:val="00DB0D3E"/>
    <w:rsid w:val="00DB243F"/>
    <w:rsid w:val="00DB39C7"/>
    <w:rsid w:val="00DB5219"/>
    <w:rsid w:val="00DC305C"/>
    <w:rsid w:val="00DC4C77"/>
    <w:rsid w:val="00DC5096"/>
    <w:rsid w:val="00DD6484"/>
    <w:rsid w:val="00DD6510"/>
    <w:rsid w:val="00DD7EAA"/>
    <w:rsid w:val="00DE00D0"/>
    <w:rsid w:val="00DE0413"/>
    <w:rsid w:val="00DE12BD"/>
    <w:rsid w:val="00DE7146"/>
    <w:rsid w:val="00DE71F3"/>
    <w:rsid w:val="00DE722B"/>
    <w:rsid w:val="00DF147A"/>
    <w:rsid w:val="00DF1907"/>
    <w:rsid w:val="00DF2845"/>
    <w:rsid w:val="00DF333B"/>
    <w:rsid w:val="00DF51C5"/>
    <w:rsid w:val="00DF7099"/>
    <w:rsid w:val="00E00EC8"/>
    <w:rsid w:val="00E05876"/>
    <w:rsid w:val="00E122B2"/>
    <w:rsid w:val="00E13AAA"/>
    <w:rsid w:val="00E156DF"/>
    <w:rsid w:val="00E17551"/>
    <w:rsid w:val="00E21DF4"/>
    <w:rsid w:val="00E22744"/>
    <w:rsid w:val="00E22B4B"/>
    <w:rsid w:val="00E231E4"/>
    <w:rsid w:val="00E2325A"/>
    <w:rsid w:val="00E245B8"/>
    <w:rsid w:val="00E24920"/>
    <w:rsid w:val="00E25716"/>
    <w:rsid w:val="00E260BC"/>
    <w:rsid w:val="00E274FB"/>
    <w:rsid w:val="00E317E2"/>
    <w:rsid w:val="00E3235A"/>
    <w:rsid w:val="00E36078"/>
    <w:rsid w:val="00E36E30"/>
    <w:rsid w:val="00E401BD"/>
    <w:rsid w:val="00E4289D"/>
    <w:rsid w:val="00E433BE"/>
    <w:rsid w:val="00E45484"/>
    <w:rsid w:val="00E45B1D"/>
    <w:rsid w:val="00E5210D"/>
    <w:rsid w:val="00E52AA5"/>
    <w:rsid w:val="00E603B0"/>
    <w:rsid w:val="00E60A88"/>
    <w:rsid w:val="00E61A92"/>
    <w:rsid w:val="00E627EF"/>
    <w:rsid w:val="00E65F7D"/>
    <w:rsid w:val="00E662E9"/>
    <w:rsid w:val="00E704D0"/>
    <w:rsid w:val="00E7073A"/>
    <w:rsid w:val="00E71086"/>
    <w:rsid w:val="00E738A2"/>
    <w:rsid w:val="00E7438E"/>
    <w:rsid w:val="00E74E0B"/>
    <w:rsid w:val="00E75A41"/>
    <w:rsid w:val="00E765A3"/>
    <w:rsid w:val="00E812CB"/>
    <w:rsid w:val="00E829A3"/>
    <w:rsid w:val="00E83C48"/>
    <w:rsid w:val="00E83D13"/>
    <w:rsid w:val="00E8412F"/>
    <w:rsid w:val="00E90D5A"/>
    <w:rsid w:val="00E948CF"/>
    <w:rsid w:val="00E96918"/>
    <w:rsid w:val="00E96C19"/>
    <w:rsid w:val="00EA07F7"/>
    <w:rsid w:val="00EA24C9"/>
    <w:rsid w:val="00EA6A8A"/>
    <w:rsid w:val="00EA7820"/>
    <w:rsid w:val="00EB3241"/>
    <w:rsid w:val="00EB46CF"/>
    <w:rsid w:val="00EB60AA"/>
    <w:rsid w:val="00EB7BFA"/>
    <w:rsid w:val="00EC0A6C"/>
    <w:rsid w:val="00EC0FAD"/>
    <w:rsid w:val="00EC3FC0"/>
    <w:rsid w:val="00EC5F64"/>
    <w:rsid w:val="00EC7885"/>
    <w:rsid w:val="00ED7B80"/>
    <w:rsid w:val="00EE2EE0"/>
    <w:rsid w:val="00EE353D"/>
    <w:rsid w:val="00EE42C4"/>
    <w:rsid w:val="00EE535C"/>
    <w:rsid w:val="00EE6A7A"/>
    <w:rsid w:val="00F01077"/>
    <w:rsid w:val="00F03BC2"/>
    <w:rsid w:val="00F10074"/>
    <w:rsid w:val="00F126A7"/>
    <w:rsid w:val="00F15218"/>
    <w:rsid w:val="00F20F26"/>
    <w:rsid w:val="00F212AA"/>
    <w:rsid w:val="00F21ACB"/>
    <w:rsid w:val="00F22097"/>
    <w:rsid w:val="00F23FF5"/>
    <w:rsid w:val="00F248D5"/>
    <w:rsid w:val="00F255EE"/>
    <w:rsid w:val="00F30600"/>
    <w:rsid w:val="00F3215C"/>
    <w:rsid w:val="00F33DFB"/>
    <w:rsid w:val="00F34CDE"/>
    <w:rsid w:val="00F35D23"/>
    <w:rsid w:val="00F3607A"/>
    <w:rsid w:val="00F37747"/>
    <w:rsid w:val="00F40292"/>
    <w:rsid w:val="00F43817"/>
    <w:rsid w:val="00F50950"/>
    <w:rsid w:val="00F55211"/>
    <w:rsid w:val="00F55DDE"/>
    <w:rsid w:val="00F61522"/>
    <w:rsid w:val="00F632D3"/>
    <w:rsid w:val="00F6546B"/>
    <w:rsid w:val="00F67795"/>
    <w:rsid w:val="00F755C2"/>
    <w:rsid w:val="00F83433"/>
    <w:rsid w:val="00F91B27"/>
    <w:rsid w:val="00F92AE3"/>
    <w:rsid w:val="00F9369B"/>
    <w:rsid w:val="00FA038D"/>
    <w:rsid w:val="00FA0945"/>
    <w:rsid w:val="00FA1F62"/>
    <w:rsid w:val="00FA3BE0"/>
    <w:rsid w:val="00FB134A"/>
    <w:rsid w:val="00FB3DFA"/>
    <w:rsid w:val="00FB72EC"/>
    <w:rsid w:val="00FC170E"/>
    <w:rsid w:val="00FC1AAA"/>
    <w:rsid w:val="00FC2717"/>
    <w:rsid w:val="00FC5B75"/>
    <w:rsid w:val="00FC609D"/>
    <w:rsid w:val="00FD0A1D"/>
    <w:rsid w:val="00FD299D"/>
    <w:rsid w:val="00FD35C0"/>
    <w:rsid w:val="00FD47DC"/>
    <w:rsid w:val="00FD5052"/>
    <w:rsid w:val="00FE2A6F"/>
    <w:rsid w:val="00FE66D3"/>
    <w:rsid w:val="00FE721C"/>
    <w:rsid w:val="00FF0998"/>
    <w:rsid w:val="00FF23D6"/>
    <w:rsid w:val="00FF37B9"/>
    <w:rsid w:val="024535A0"/>
    <w:rsid w:val="082F4AD6"/>
    <w:rsid w:val="095F7647"/>
    <w:rsid w:val="1BAF724A"/>
    <w:rsid w:val="1FC11EA9"/>
    <w:rsid w:val="286D6C98"/>
    <w:rsid w:val="3EDB2CE7"/>
    <w:rsid w:val="3F90709B"/>
    <w:rsid w:val="40E90FBF"/>
    <w:rsid w:val="43A131CC"/>
    <w:rsid w:val="4FBF5D0D"/>
    <w:rsid w:val="58705427"/>
    <w:rsid w:val="5AB937CD"/>
    <w:rsid w:val="5F48344A"/>
    <w:rsid w:val="74656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16A00F"/>
  <w14:defaultImageDpi w14:val="32767"/>
  <w15:docId w15:val="{F961E34C-91BE-46E4-AB52-6CF54CEB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style>
  <w:style w:type="paragraph" w:styleId="a4">
    <w:name w:val="Body Text"/>
    <w:basedOn w:val="a"/>
    <w:link w:val="a5"/>
    <w:uiPriority w:val="99"/>
    <w:unhideWhenUsed/>
    <w:qFormat/>
    <w:pPr>
      <w:spacing w:after="120" w:line="240" w:lineRule="auto"/>
      <w:jc w:val="both"/>
    </w:pPr>
    <w:rPr>
      <w:rFonts w:ascii="Calibri" w:eastAsia="宋体" w:hAnsi="Calibri" w:cs="黑体"/>
      <w:sz w:val="21"/>
      <w:szCs w:val="22"/>
      <w14:ligatures w14:val="none"/>
    </w:rPr>
  </w:style>
  <w:style w:type="paragraph" w:styleId="a6">
    <w:name w:val="footer"/>
    <w:basedOn w:val="a"/>
    <w:link w:val="a7"/>
    <w:uiPriority w:val="99"/>
    <w:unhideWhenUsed/>
    <w:qFormat/>
    <w:pPr>
      <w:tabs>
        <w:tab w:val="center" w:pos="4153"/>
        <w:tab w:val="right" w:pos="8306"/>
      </w:tabs>
      <w:snapToGrid w:val="0"/>
      <w:spacing w:line="240" w:lineRule="auto"/>
    </w:pPr>
    <w:rPr>
      <w:sz w:val="18"/>
      <w:szCs w:val="18"/>
    </w:rPr>
  </w:style>
  <w:style w:type="paragraph" w:styleId="a8">
    <w:name w:val="header"/>
    <w:basedOn w:val="a"/>
    <w:link w:val="a9"/>
    <w:uiPriority w:val="99"/>
    <w:unhideWhenUsed/>
    <w:qFormat/>
    <w:pPr>
      <w:tabs>
        <w:tab w:val="center" w:pos="4153"/>
        <w:tab w:val="right" w:pos="8306"/>
      </w:tabs>
      <w:snapToGrid w:val="0"/>
      <w:spacing w:line="240" w:lineRule="auto"/>
      <w:jc w:val="center"/>
    </w:pPr>
    <w:rPr>
      <w:sz w:val="18"/>
      <w:szCs w:val="18"/>
    </w:rPr>
  </w:style>
  <w:style w:type="paragraph" w:styleId="aa">
    <w:name w:val="Subtitle"/>
    <w:basedOn w:val="a"/>
    <w:next w:val="a"/>
    <w:link w:val="ab"/>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c">
    <w:name w:val="footnote text"/>
    <w:basedOn w:val="a"/>
    <w:link w:val="ad"/>
    <w:unhideWhenUsed/>
    <w:qFormat/>
    <w:pPr>
      <w:snapToGrid w:val="0"/>
      <w:spacing w:after="0" w:line="240" w:lineRule="auto"/>
    </w:pPr>
    <w:rPr>
      <w:rFonts w:ascii="Calibri" w:eastAsia="宋体" w:hAnsi="Calibri" w:cs="黑体"/>
      <w:sz w:val="18"/>
      <w:szCs w:val="20"/>
      <w14:ligatures w14:val="none"/>
    </w:rPr>
  </w:style>
  <w:style w:type="paragraph" w:styleId="ae">
    <w:name w:val="Title"/>
    <w:basedOn w:val="a"/>
    <w:next w:val="a"/>
    <w:link w:val="af"/>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Pr>
      <w:b/>
      <w:bCs/>
    </w:rPr>
  </w:style>
  <w:style w:type="character" w:styleId="af2">
    <w:name w:val="Hyperlink"/>
    <w:basedOn w:val="a0"/>
    <w:uiPriority w:val="99"/>
    <w:unhideWhenUsed/>
    <w:qFormat/>
    <w:rPr>
      <w:color w:val="0563C1" w:themeColor="hyperlink"/>
      <w:u w:val="single"/>
    </w:rPr>
  </w:style>
  <w:style w:type="character" w:styleId="af3">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
    <w:name w:val="标题 字符"/>
    <w:basedOn w:val="a0"/>
    <w:link w:val="ae"/>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f4">
    <w:name w:val="Quote"/>
    <w:basedOn w:val="a"/>
    <w:next w:val="a"/>
    <w:link w:val="af5"/>
    <w:uiPriority w:val="29"/>
    <w:qFormat/>
    <w:pPr>
      <w:spacing w:before="160"/>
      <w:jc w:val="center"/>
    </w:pPr>
    <w:rPr>
      <w:i/>
      <w:iCs/>
      <w:color w:val="404040" w:themeColor="text1" w:themeTint="BF"/>
    </w:rPr>
  </w:style>
  <w:style w:type="character" w:customStyle="1" w:styleId="af5">
    <w:name w:val="引用 字符"/>
    <w:basedOn w:val="a0"/>
    <w:link w:val="af4"/>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7">
    <w:name w:val="Intense Quote"/>
    <w:basedOn w:val="a"/>
    <w:next w:val="a"/>
    <w:link w:val="af8"/>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8">
    <w:name w:val="明显引用 字符"/>
    <w:basedOn w:val="a0"/>
    <w:link w:val="af7"/>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character" w:styleId="af9">
    <w:name w:val="Placeholder Text"/>
    <w:basedOn w:val="a0"/>
    <w:uiPriority w:val="99"/>
    <w:semiHidden/>
    <w:qFormat/>
    <w:rPr>
      <w:color w:val="666666"/>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d">
    <w:name w:val="脚注文本 字符"/>
    <w:basedOn w:val="a0"/>
    <w:link w:val="ac"/>
    <w:qFormat/>
    <w:rPr>
      <w:rFonts w:ascii="Calibri" w:eastAsia="宋体" w:hAnsi="Calibri" w:cs="黑体"/>
      <w:sz w:val="18"/>
      <w:szCs w:val="20"/>
      <w14:ligatures w14:val="none"/>
    </w:rPr>
  </w:style>
  <w:style w:type="character" w:customStyle="1" w:styleId="a5">
    <w:name w:val="正文文本 字符"/>
    <w:basedOn w:val="a0"/>
    <w:link w:val="a4"/>
    <w:uiPriority w:val="99"/>
    <w:qFormat/>
    <w:rPr>
      <w:rFonts w:ascii="Calibri" w:eastAsia="宋体" w:hAnsi="Calibri" w:cs="黑体"/>
      <w:sz w:val="21"/>
      <w:szCs w:val="22"/>
      <w14:ligatures w14:val="none"/>
    </w:rPr>
  </w:style>
  <w:style w:type="paragraph" w:customStyle="1" w:styleId="afa">
    <w:name w:val="标准三号正文"/>
    <w:basedOn w:val="a"/>
    <w:qFormat/>
    <w:pPr>
      <w:spacing w:line="360" w:lineRule="auto"/>
      <w:ind w:firstLineChars="200" w:firstLine="880"/>
    </w:pPr>
    <w:rPr>
      <w:rFonts w:ascii="宋体" w:eastAsia="仿宋" w:hAnsi="宋体"/>
      <w:sz w:val="32"/>
    </w:rPr>
  </w:style>
  <w:style w:type="paragraph" w:customStyle="1" w:styleId="14">
    <w:name w:val="修订1"/>
    <w:hidden/>
    <w:uiPriority w:val="99"/>
    <w:unhideWhenUsed/>
    <w:qFormat/>
    <w:rPr>
      <w:kern w:val="2"/>
      <w:sz w:val="22"/>
      <w:szCs w:val="24"/>
      <w14:ligatures w14:val="standardContextual"/>
    </w:rPr>
  </w:style>
  <w:style w:type="paragraph" w:customStyle="1" w:styleId="21">
    <w:name w:val="修订2"/>
    <w:hidden/>
    <w:uiPriority w:val="99"/>
    <w:unhideWhenUsed/>
    <w:qFormat/>
    <w:rPr>
      <w:kern w:val="2"/>
      <w:sz w:val="22"/>
      <w:szCs w:val="24"/>
      <w14:ligatures w14:val="standardContextual"/>
    </w:rPr>
  </w:style>
  <w:style w:type="paragraph" w:styleId="afb">
    <w:name w:val="Revision"/>
    <w:hidden/>
    <w:uiPriority w:val="99"/>
    <w:unhideWhenUsed/>
    <w:rsid w:val="005C7D72"/>
    <w:rPr>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818B0-71AF-44F9-AA79-24A3C8A75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5308</Words>
  <Characters>30258</Characters>
  <Application>Microsoft Office Word</Application>
  <DocSecurity>0</DocSecurity>
  <Lines>252</Lines>
  <Paragraphs>70</Paragraphs>
  <ScaleCrop>false</ScaleCrop>
  <Company/>
  <LinksUpToDate>false</LinksUpToDate>
  <CharactersWithSpaces>35496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Yusheng Wang</dc:creator>
  <dc:description>NE.Ref</dc:description>
  <cp:lastModifiedBy>ZZZ ZZ</cp:lastModifiedBy>
  <cp:revision>10</cp:revision>
  <dcterms:created xsi:type="dcterms:W3CDTF">2026-09-23T07:00:00Z</dcterms:created>
  <dcterms:modified xsi:type="dcterms:W3CDTF">2026-10-12T08:37:00Z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eyJoZGlkIjoiZGE2Mjg2YTZkZTMyMTYwY2M1OTQ5YzJlN2MyYmRjOGEiLCJ1c2VySWQiOiIyNjUyMTM2ODcifQ==</vt:lpwstr>
  </property>
  <property fmtid="{D5CDD505-2E9C-101B-9397-08002B2CF9AE}" pid="3" name="KSOProductBuildVer">
    <vt:lpwstr>2052-12.1.0.28043</vt:lpwstr>
  </property>
  <property fmtid="{D5CDD505-2E9C-101B-9397-08002B2CF9AE}" pid="4" name="ICV">
    <vt:lpwstr>6793EF5CFFC44B3092AED6166FDFBFB2_12</vt:lpwstr>
  </property>
</Properties>
</file>