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A2589">
      <w:pPr>
        <w:pStyle w:val="14"/>
        <w:spacing w:before="0" w:after="0"/>
        <w:rPr>
          <w:rFonts w:ascii="Times New Roman" w:hAnsi="Times New Roman"/>
          <w:color w:val="auto"/>
          <w:highlight w:val="none"/>
        </w:rPr>
      </w:pPr>
      <w:bookmarkStart w:id="0" w:name="OLE_LINK2"/>
      <w:bookmarkStart w:id="58" w:name="_GoBack"/>
      <w:r>
        <w:rPr>
          <w:rFonts w:hint="eastAsia" w:ascii="Times New Roman" w:hAnsi="Times New Roman"/>
          <w:color w:val="auto"/>
          <w:highlight w:val="none"/>
        </w:rPr>
        <w:t>基于</w:t>
      </w:r>
      <w:r>
        <w:rPr>
          <w:rFonts w:ascii="Times New Roman" w:hAnsi="Times New Roman"/>
          <w:color w:val="auto"/>
          <w:highlight w:val="none"/>
        </w:rPr>
        <w:t>SWAT-Informer混合模型的流域径流</w:t>
      </w:r>
      <w:r>
        <w:rPr>
          <w:rFonts w:hint="eastAsia" w:ascii="Times New Roman" w:hAnsi="Times New Roman"/>
          <w:color w:val="auto"/>
          <w:highlight w:val="none"/>
        </w:rPr>
        <w:t>演变</w:t>
      </w:r>
      <w:r>
        <w:rPr>
          <w:rFonts w:ascii="Times New Roman" w:hAnsi="Times New Roman"/>
          <w:color w:val="auto"/>
          <w:highlight w:val="none"/>
        </w:rPr>
        <w:t>归因研究</w:t>
      </w:r>
      <w:bookmarkEnd w:id="58"/>
    </w:p>
    <w:bookmarkEnd w:id="0"/>
    <w:p w14:paraId="1EBEBF6E">
      <w:pPr>
        <w:jc w:val="center"/>
        <w:rPr>
          <w:rFonts w:ascii="Times New Roman" w:hAnsi="Times New Roman" w:eastAsia="楷体" w:cs="Times New Roman"/>
          <w:color w:val="auto"/>
          <w:sz w:val="28"/>
          <w:szCs w:val="28"/>
          <w:highlight w:val="none"/>
        </w:rPr>
      </w:pPr>
      <w:bookmarkStart w:id="1" w:name="OLE_LINK21"/>
      <w:r>
        <w:rPr>
          <w:rFonts w:hint="eastAsia" w:ascii="Times New Roman" w:hAnsi="Times New Roman" w:eastAsia="楷体" w:cs="Times New Roman"/>
          <w:color w:val="auto"/>
          <w:sz w:val="28"/>
          <w:szCs w:val="28"/>
          <w:highlight w:val="none"/>
        </w:rPr>
        <w:t>张家彬</w:t>
      </w:r>
      <w:r>
        <w:rPr>
          <w:rFonts w:ascii="Times New Roman" w:hAnsi="Times New Roman" w:eastAsia="楷体" w:cs="Times New Roman"/>
          <w:color w:val="auto"/>
          <w:sz w:val="28"/>
          <w:szCs w:val="28"/>
          <w:highlight w:val="none"/>
          <w:vertAlign w:val="superscript"/>
        </w:rPr>
        <w:t>1,2</w:t>
      </w:r>
      <w:r>
        <w:rPr>
          <w:rFonts w:hint="eastAsia" w:ascii="Times New Roman" w:hAnsi="Times New Roman" w:eastAsia="楷体" w:cs="Times New Roman"/>
          <w:color w:val="auto"/>
          <w:sz w:val="28"/>
          <w:szCs w:val="28"/>
          <w:highlight w:val="none"/>
        </w:rPr>
        <w:t>，江善虎</w:t>
      </w:r>
      <w:r>
        <w:rPr>
          <w:rFonts w:ascii="Times New Roman" w:hAnsi="Times New Roman" w:eastAsia="楷体" w:cs="Times New Roman"/>
          <w:color w:val="auto"/>
          <w:sz w:val="28"/>
          <w:szCs w:val="28"/>
          <w:highlight w:val="none"/>
          <w:vertAlign w:val="superscript"/>
        </w:rPr>
        <w:t>1</w:t>
      </w:r>
      <w:r>
        <w:rPr>
          <w:rFonts w:hint="eastAsia" w:ascii="Times New Roman" w:hAnsi="Times New Roman" w:eastAsia="楷体" w:cs="Times New Roman"/>
          <w:color w:val="auto"/>
          <w:sz w:val="28"/>
          <w:szCs w:val="28"/>
          <w:highlight w:val="none"/>
          <w:vertAlign w:val="superscript"/>
        </w:rPr>
        <w:t>,</w:t>
      </w:r>
      <w:r>
        <w:rPr>
          <w:rFonts w:ascii="Times New Roman" w:hAnsi="Times New Roman" w:eastAsia="楷体" w:cs="Times New Roman"/>
          <w:color w:val="auto"/>
          <w:sz w:val="28"/>
          <w:szCs w:val="28"/>
          <w:highlight w:val="none"/>
          <w:vertAlign w:val="superscript"/>
        </w:rPr>
        <w:t>2</w:t>
      </w:r>
      <w:r>
        <w:rPr>
          <w:rFonts w:hint="eastAsia" w:ascii="Times New Roman" w:hAnsi="Times New Roman" w:eastAsia="楷体" w:cs="Times New Roman"/>
          <w:color w:val="auto"/>
          <w:sz w:val="28"/>
          <w:szCs w:val="28"/>
          <w:highlight w:val="none"/>
        </w:rPr>
        <w:t>，杜树平</w:t>
      </w:r>
      <w:r>
        <w:rPr>
          <w:rFonts w:hint="eastAsia" w:ascii="Times New Roman" w:hAnsi="Times New Roman" w:eastAsia="楷体" w:cs="Times New Roman"/>
          <w:color w:val="auto"/>
          <w:sz w:val="28"/>
          <w:szCs w:val="28"/>
          <w:highlight w:val="none"/>
          <w:vertAlign w:val="superscript"/>
        </w:rPr>
        <w:t>3</w:t>
      </w:r>
      <w:r>
        <w:rPr>
          <w:rFonts w:hint="eastAsia" w:ascii="Times New Roman" w:hAnsi="Times New Roman" w:eastAsia="楷体" w:cs="Times New Roman"/>
          <w:color w:val="auto"/>
          <w:sz w:val="28"/>
          <w:szCs w:val="28"/>
          <w:highlight w:val="none"/>
        </w:rPr>
        <w:t>，王孟浩</w:t>
      </w:r>
      <w:r>
        <w:rPr>
          <w:rFonts w:ascii="Times New Roman" w:hAnsi="Times New Roman" w:eastAsia="楷体" w:cs="Times New Roman"/>
          <w:color w:val="auto"/>
          <w:sz w:val="28"/>
          <w:szCs w:val="28"/>
          <w:highlight w:val="none"/>
          <w:vertAlign w:val="superscript"/>
        </w:rPr>
        <w:t>4</w:t>
      </w:r>
      <w:r>
        <w:rPr>
          <w:rFonts w:hint="eastAsia" w:ascii="Times New Roman" w:hAnsi="Times New Roman" w:eastAsia="楷体" w:cs="Times New Roman"/>
          <w:color w:val="auto"/>
          <w:sz w:val="28"/>
          <w:szCs w:val="28"/>
          <w:highlight w:val="none"/>
        </w:rPr>
        <w:t>，任明明</w:t>
      </w:r>
      <w:r>
        <w:rPr>
          <w:rFonts w:hint="eastAsia" w:ascii="Times New Roman" w:hAnsi="Times New Roman" w:eastAsia="楷体" w:cs="Times New Roman"/>
          <w:color w:val="auto"/>
          <w:sz w:val="28"/>
          <w:szCs w:val="28"/>
          <w:highlight w:val="none"/>
          <w:vertAlign w:val="superscript"/>
        </w:rPr>
        <w:t>2</w:t>
      </w:r>
      <w:r>
        <w:rPr>
          <w:rFonts w:hint="eastAsia" w:ascii="Times New Roman" w:hAnsi="Times New Roman" w:eastAsia="楷体" w:cs="Times New Roman"/>
          <w:color w:val="auto"/>
          <w:sz w:val="28"/>
          <w:szCs w:val="28"/>
          <w:highlight w:val="none"/>
        </w:rPr>
        <w:t>，吴明炎</w:t>
      </w:r>
      <w:r>
        <w:rPr>
          <w:rFonts w:ascii="Times New Roman" w:hAnsi="Times New Roman" w:eastAsia="楷体" w:cs="Times New Roman"/>
          <w:color w:val="auto"/>
          <w:sz w:val="28"/>
          <w:szCs w:val="28"/>
          <w:highlight w:val="none"/>
          <w:vertAlign w:val="superscript"/>
        </w:rPr>
        <w:t>2</w:t>
      </w:r>
      <w:r>
        <w:rPr>
          <w:rFonts w:hint="eastAsia" w:ascii="Times New Roman" w:hAnsi="Times New Roman" w:eastAsia="楷体" w:cs="Times New Roman"/>
          <w:color w:val="auto"/>
          <w:sz w:val="28"/>
          <w:szCs w:val="28"/>
          <w:highlight w:val="none"/>
        </w:rPr>
        <w:t>，孔祥欢</w:t>
      </w:r>
      <w:r>
        <w:rPr>
          <w:rFonts w:ascii="Times New Roman" w:hAnsi="Times New Roman" w:eastAsia="楷体" w:cs="Times New Roman"/>
          <w:color w:val="auto"/>
          <w:sz w:val="28"/>
          <w:szCs w:val="28"/>
          <w:highlight w:val="none"/>
          <w:vertAlign w:val="superscript"/>
        </w:rPr>
        <w:t>2</w:t>
      </w:r>
      <w:r>
        <w:rPr>
          <w:rFonts w:ascii="Times New Roman" w:hAnsi="Times New Roman" w:eastAsia="楷体" w:cs="Times New Roman"/>
          <w:color w:val="auto"/>
          <w:sz w:val="28"/>
          <w:szCs w:val="28"/>
          <w:highlight w:val="none"/>
        </w:rPr>
        <w:t>，</w:t>
      </w:r>
      <w:r>
        <w:rPr>
          <w:rFonts w:hint="eastAsia" w:ascii="Times New Roman" w:hAnsi="Times New Roman" w:eastAsia="楷体" w:cs="Times New Roman"/>
          <w:color w:val="auto"/>
          <w:sz w:val="28"/>
          <w:szCs w:val="28"/>
          <w:highlight w:val="none"/>
        </w:rPr>
        <w:t xml:space="preserve">李 </w:t>
      </w:r>
      <w:r>
        <w:rPr>
          <w:rFonts w:ascii="Times New Roman" w:hAnsi="Times New Roman" w:eastAsia="楷体" w:cs="Times New Roman"/>
          <w:color w:val="auto"/>
          <w:sz w:val="28"/>
          <w:szCs w:val="28"/>
          <w:highlight w:val="none"/>
        </w:rPr>
        <w:t xml:space="preserve"> </w:t>
      </w:r>
      <w:r>
        <w:rPr>
          <w:rFonts w:hint="eastAsia" w:ascii="Times New Roman" w:hAnsi="Times New Roman" w:eastAsia="楷体" w:cs="Times New Roman"/>
          <w:color w:val="auto"/>
          <w:sz w:val="28"/>
          <w:szCs w:val="28"/>
          <w:highlight w:val="none"/>
        </w:rPr>
        <w:t>茂</w:t>
      </w:r>
      <w:r>
        <w:rPr>
          <w:rFonts w:ascii="Times New Roman" w:hAnsi="Times New Roman" w:eastAsia="楷体" w:cs="Times New Roman"/>
          <w:color w:val="auto"/>
          <w:sz w:val="28"/>
          <w:szCs w:val="28"/>
          <w:highlight w:val="none"/>
          <w:vertAlign w:val="superscript"/>
        </w:rPr>
        <w:t>2</w:t>
      </w:r>
    </w:p>
    <w:bookmarkEnd w:id="1"/>
    <w:p w14:paraId="16C29D74">
      <w:pPr>
        <w:ind w:firstLine="360"/>
        <w:jc w:val="center"/>
        <w:rPr>
          <w:rFonts w:ascii="Times New Roman" w:hAnsi="Times New Roman" w:eastAsia="仿宋" w:cs="Times New Roman"/>
          <w:color w:val="auto"/>
          <w:szCs w:val="21"/>
          <w:highlight w:val="none"/>
        </w:rPr>
      </w:pPr>
      <w:r>
        <w:rPr>
          <w:rFonts w:hint="eastAsia" w:ascii="Times New Roman" w:hAnsi="Times New Roman" w:eastAsia="仿宋" w:cs="Times New Roman"/>
          <w:color w:val="auto"/>
          <w:szCs w:val="21"/>
          <w:highlight w:val="none"/>
        </w:rPr>
        <w:t>（1. 河海大学 水灾害防御全国重点实验室，江苏 南京  210098；</w:t>
      </w:r>
      <w:r>
        <w:rPr>
          <w:rFonts w:ascii="Times New Roman" w:hAnsi="Times New Roman" w:eastAsia="仿宋" w:cs="Times New Roman"/>
          <w:color w:val="auto"/>
          <w:szCs w:val="21"/>
          <w:highlight w:val="none"/>
        </w:rPr>
        <w:t>2</w:t>
      </w:r>
      <w:r>
        <w:rPr>
          <w:rFonts w:hint="eastAsia" w:ascii="Times New Roman" w:hAnsi="Times New Roman" w:eastAsia="仿宋" w:cs="Times New Roman"/>
          <w:color w:val="auto"/>
          <w:szCs w:val="21"/>
          <w:highlight w:val="none"/>
        </w:rPr>
        <w:t xml:space="preserve">. 河海大学 水文水资源学院，江苏 南京 </w:t>
      </w:r>
      <w:r>
        <w:rPr>
          <w:rFonts w:ascii="Times New Roman" w:hAnsi="Times New Roman" w:eastAsia="仿宋" w:cs="Times New Roman"/>
          <w:color w:val="auto"/>
          <w:szCs w:val="21"/>
          <w:highlight w:val="none"/>
        </w:rPr>
        <w:t xml:space="preserve"> </w:t>
      </w:r>
      <w:r>
        <w:rPr>
          <w:rFonts w:hint="eastAsia" w:ascii="Times New Roman" w:hAnsi="Times New Roman" w:eastAsia="仿宋" w:cs="Times New Roman"/>
          <w:color w:val="auto"/>
          <w:szCs w:val="21"/>
          <w:highlight w:val="none"/>
        </w:rPr>
        <w:t>210098；3</w:t>
      </w:r>
      <w:r>
        <w:rPr>
          <w:rFonts w:ascii="Times New Roman" w:hAnsi="Times New Roman" w:eastAsia="仿宋" w:cs="Times New Roman"/>
          <w:color w:val="auto"/>
          <w:szCs w:val="21"/>
          <w:highlight w:val="none"/>
        </w:rPr>
        <w:t xml:space="preserve">. </w:t>
      </w:r>
      <w:r>
        <w:rPr>
          <w:rFonts w:hint="eastAsia" w:ascii="Times New Roman" w:hAnsi="Times New Roman" w:eastAsia="仿宋" w:cs="Times New Roman"/>
          <w:color w:val="auto"/>
          <w:szCs w:val="21"/>
          <w:highlight w:val="none"/>
        </w:rPr>
        <w:t xml:space="preserve">西南林业大学 水土保持学院，云南 昆明 </w:t>
      </w:r>
      <w:r>
        <w:rPr>
          <w:rFonts w:ascii="Times New Roman" w:hAnsi="Times New Roman" w:eastAsia="仿宋" w:cs="Times New Roman"/>
          <w:color w:val="auto"/>
          <w:szCs w:val="21"/>
          <w:highlight w:val="none"/>
        </w:rPr>
        <w:t xml:space="preserve"> 650224</w:t>
      </w:r>
      <w:r>
        <w:rPr>
          <w:rFonts w:hint="eastAsia" w:ascii="Times New Roman" w:hAnsi="Times New Roman" w:eastAsia="仿宋" w:cs="Times New Roman"/>
          <w:color w:val="auto"/>
          <w:szCs w:val="21"/>
          <w:highlight w:val="none"/>
        </w:rPr>
        <w:t>；4</w:t>
      </w:r>
      <w:r>
        <w:rPr>
          <w:rFonts w:ascii="Times New Roman" w:hAnsi="Times New Roman" w:eastAsia="仿宋" w:cs="Times New Roman"/>
          <w:color w:val="auto"/>
          <w:szCs w:val="21"/>
          <w:highlight w:val="none"/>
        </w:rPr>
        <w:t xml:space="preserve">. </w:t>
      </w:r>
      <w:r>
        <w:rPr>
          <w:rFonts w:hint="eastAsia" w:ascii="Times New Roman" w:hAnsi="Times New Roman" w:eastAsia="仿宋" w:cs="Times New Roman"/>
          <w:color w:val="auto"/>
          <w:szCs w:val="21"/>
          <w:highlight w:val="none"/>
        </w:rPr>
        <w:t xml:space="preserve">南京信息工程大学 水文与水资源工程学院，江苏 南京  </w:t>
      </w:r>
      <w:r>
        <w:rPr>
          <w:rFonts w:ascii="Times New Roman" w:hAnsi="Times New Roman" w:eastAsia="仿宋" w:cs="Times New Roman"/>
          <w:color w:val="auto"/>
          <w:szCs w:val="21"/>
          <w:highlight w:val="none"/>
        </w:rPr>
        <w:t>210044</w:t>
      </w:r>
      <w:r>
        <w:rPr>
          <w:rFonts w:hint="eastAsia" w:ascii="Times New Roman" w:hAnsi="Times New Roman" w:eastAsia="仿宋" w:cs="Times New Roman"/>
          <w:color w:val="auto"/>
          <w:szCs w:val="21"/>
          <w:highlight w:val="none"/>
        </w:rPr>
        <w:t>）</w:t>
      </w:r>
    </w:p>
    <w:p w14:paraId="431F3159">
      <w:pPr>
        <w:ind w:firstLine="360"/>
        <w:jc w:val="center"/>
        <w:rPr>
          <w:rFonts w:ascii="Times New Roman" w:hAnsi="Times New Roman" w:eastAsia="宋体" w:cs="Times New Roman"/>
          <w:color w:val="auto"/>
          <w:szCs w:val="21"/>
          <w:highlight w:val="none"/>
        </w:rPr>
      </w:pPr>
    </w:p>
    <w:p w14:paraId="1EB504BE">
      <w:pPr>
        <w:rPr>
          <w:rFonts w:eastAsia="楷体"/>
          <w:b/>
          <w:bCs/>
          <w:color w:val="auto"/>
          <w:szCs w:val="21"/>
          <w:highlight w:val="none"/>
        </w:rPr>
      </w:pPr>
      <w:bookmarkStart w:id="2" w:name="OLE_LINK1"/>
      <w:bookmarkStart w:id="3" w:name="OLE_LINK35"/>
      <w:bookmarkStart w:id="4" w:name="_Hlk238654812"/>
      <w:bookmarkStart w:id="5" w:name="OLE_LINK28"/>
      <w:r>
        <w:rPr>
          <w:rStyle w:val="19"/>
          <w:rFonts w:hint="eastAsia" w:ascii="Times New Roman" w:hAnsi="Times New Roman" w:eastAsia="黑体" w:cs="Times New Roman"/>
          <w:color w:val="auto"/>
          <w:highlight w:val="none"/>
        </w:rPr>
        <w:t xml:space="preserve">摘 </w:t>
      </w:r>
      <w:r>
        <w:rPr>
          <w:rStyle w:val="19"/>
          <w:rFonts w:ascii="Times New Roman" w:hAnsi="Times New Roman" w:eastAsia="黑体" w:cs="Times New Roman"/>
          <w:color w:val="auto"/>
          <w:highlight w:val="none"/>
        </w:rPr>
        <w:t xml:space="preserve"> </w:t>
      </w:r>
      <w:r>
        <w:rPr>
          <w:rStyle w:val="19"/>
          <w:rFonts w:hint="eastAsia" w:ascii="Times New Roman" w:hAnsi="Times New Roman" w:eastAsia="黑体" w:cs="Times New Roman"/>
          <w:color w:val="auto"/>
          <w:highlight w:val="none"/>
        </w:rPr>
        <w:t>要：</w:t>
      </w:r>
      <w:bookmarkEnd w:id="2"/>
      <w:bookmarkStart w:id="6" w:name="OLE_LINK14"/>
      <w:r>
        <w:rPr>
          <w:rFonts w:hint="eastAsia" w:ascii="Times New Roman" w:hAnsi="Times New Roman" w:eastAsia="楷体" w:cs="Times New Roman"/>
          <w:color w:val="auto"/>
          <w:szCs w:val="21"/>
          <w:highlight w:val="none"/>
        </w:rPr>
        <w:t>【目的】受气候变化和高强度人类活动影响，中国北方半干旱流域径流衰减严重，下游断流频发。厘清径流衰减的主导驱动因素，对于保障流域水资源安全至关重要。【方法】选取西辽河源头老哈河流域为典型研究区，基于</w:t>
      </w:r>
      <w:r>
        <w:rPr>
          <w:rFonts w:ascii="Times New Roman" w:hAnsi="Times New Roman" w:eastAsia="楷体" w:cs="Times New Roman"/>
          <w:color w:val="auto"/>
          <w:szCs w:val="21"/>
          <w:highlight w:val="none"/>
        </w:rPr>
        <w:t>1964—2022年水文气象资料，识别径流过程突变与趋势变化，构建耦合物理机制SWAT（Soil and Water Assessment Tool）模型与机器学习的混合模型，开展天然径流还原及径流演变归因，并引入Budyko统计方法验证归因结果。【结果】结果表明：1964—2022年流域降水无显著趋势（</w:t>
      </w:r>
      <w:r>
        <w:rPr>
          <w:rFonts w:ascii="Times New Roman" w:hAnsi="Times New Roman" w:eastAsia="楷体" w:cs="Times New Roman"/>
          <w:i/>
          <w:iCs/>
          <w:color w:val="auto"/>
          <w:szCs w:val="21"/>
          <w:highlight w:val="none"/>
        </w:rPr>
        <w:t>p</w:t>
      </w:r>
      <w:r>
        <w:rPr>
          <w:rFonts w:ascii="Times New Roman" w:hAnsi="Times New Roman" w:eastAsia="楷体" w:cs="Times New Roman"/>
          <w:color w:val="auto"/>
          <w:szCs w:val="21"/>
          <w:highlight w:val="none"/>
        </w:rPr>
        <w:t xml:space="preserve"> &gt; 0.05），气温和潜在蒸散发呈显著上升趋势、径流呈显著下降趋势（</w:t>
      </w:r>
      <w:r>
        <w:rPr>
          <w:rFonts w:ascii="Times New Roman" w:hAnsi="Times New Roman" w:eastAsia="楷体" w:cs="Times New Roman"/>
          <w:i/>
          <w:iCs/>
          <w:color w:val="auto"/>
          <w:szCs w:val="21"/>
          <w:highlight w:val="none"/>
        </w:rPr>
        <w:t xml:space="preserve">p </w:t>
      </w:r>
      <w:r>
        <w:rPr>
          <w:rFonts w:ascii="Times New Roman" w:hAnsi="Times New Roman" w:eastAsia="楷体" w:cs="Times New Roman"/>
          <w:color w:val="auto"/>
          <w:szCs w:val="21"/>
          <w:highlight w:val="none"/>
        </w:rPr>
        <w:t>&lt; 0.05），突变始于1979年。SWAT-Informer混合模型显著提升了月尺度径流模拟精度，率定期和验证期的纳什效率系数（</w:t>
      </w:r>
      <w:r>
        <w:rPr>
          <w:rFonts w:ascii="Times New Roman" w:hAnsi="Times New Roman" w:eastAsia="楷体" w:cs="Times New Roman"/>
          <w:i/>
          <w:iCs/>
          <w:color w:val="auto"/>
          <w:szCs w:val="21"/>
          <w:highlight w:val="none"/>
        </w:rPr>
        <w:t>NS</w:t>
      </w:r>
      <w:r>
        <w:rPr>
          <w:rFonts w:ascii="Times New Roman" w:hAnsi="Times New Roman" w:eastAsia="楷体" w:cs="Times New Roman"/>
          <w:color w:val="auto"/>
          <w:szCs w:val="21"/>
          <w:highlight w:val="none"/>
        </w:rPr>
        <w:t>）分别为0.92和0.95，决定系数（</w:t>
      </w:r>
      <w:r>
        <w:rPr>
          <w:rFonts w:ascii="Times New Roman" w:hAnsi="Times New Roman" w:eastAsia="楷体" w:cs="Times New Roman"/>
          <w:i/>
          <w:iCs/>
          <w:color w:val="auto"/>
          <w:szCs w:val="21"/>
          <w:highlight w:val="none"/>
        </w:rPr>
        <w:t>R</w:t>
      </w:r>
      <w:r>
        <w:rPr>
          <w:rFonts w:ascii="Times New Roman" w:hAnsi="Times New Roman" w:eastAsia="楷体" w:cs="Times New Roman"/>
          <w:color w:val="auto"/>
          <w:szCs w:val="21"/>
          <w:highlight w:val="none"/>
          <w:vertAlign w:val="superscript"/>
        </w:rPr>
        <w:t>2</w:t>
      </w:r>
      <w:r>
        <w:rPr>
          <w:rFonts w:ascii="Times New Roman" w:hAnsi="Times New Roman" w:eastAsia="楷体" w:cs="Times New Roman"/>
          <w:color w:val="auto"/>
          <w:szCs w:val="21"/>
          <w:highlight w:val="none"/>
        </w:rPr>
        <w:t>）分别为0.93和0.95，优于单一SWAT模型及其他组合。变化期重构天然径流多年平均值为18.87 m³/s，较同期实测径流高96.15%，较基准期实测径流仅减少9.76%。SWAT-Informer归因结果显示，人类活动和气候变化对径流衰减的贡献率分别为81.93%</w:t>
      </w:r>
      <w:r>
        <w:rPr>
          <w:rFonts w:hint="eastAsia" w:ascii="Times New Roman" w:hAnsi="Times New Roman" w:eastAsia="楷体" w:cs="Times New Roman"/>
          <w:color w:val="auto"/>
          <w:szCs w:val="21"/>
          <w:highlight w:val="none"/>
        </w:rPr>
        <w:t>和</w:t>
      </w:r>
      <w:r>
        <w:rPr>
          <w:rFonts w:ascii="Times New Roman" w:hAnsi="Times New Roman" w:eastAsia="楷体" w:cs="Times New Roman"/>
          <w:color w:val="auto"/>
          <w:szCs w:val="21"/>
          <w:highlight w:val="none"/>
        </w:rPr>
        <w:t>18.07%；基于Budyko假设的分析显示，人类活动和气候变化对径流减少的贡献率分别为90.89%和9.11%。【结论】两种方法在主导因子识别上具有一致性，均表明人类活动是1980年以来流域径流衰减的主导因素。</w:t>
      </w:r>
      <w:r>
        <w:rPr>
          <w:rFonts w:hint="eastAsia" w:ascii="Times New Roman" w:hAnsi="Times New Roman" w:eastAsia="楷体" w:cs="Times New Roman"/>
          <w:color w:val="auto"/>
          <w:szCs w:val="21"/>
          <w:highlight w:val="none"/>
        </w:rPr>
        <w:t>SWAT-Informer模型与Budyko弹性法的结合，有效提高了变化环境下径流演变归因的可靠性</w:t>
      </w:r>
      <w:r>
        <w:rPr>
          <w:rFonts w:ascii="Times New Roman" w:hAnsi="Times New Roman" w:eastAsia="楷体" w:cs="Times New Roman"/>
          <w:color w:val="auto"/>
          <w:szCs w:val="21"/>
          <w:highlight w:val="none"/>
        </w:rPr>
        <w:t>，为流域水资源管理提供了理论依据和技术支撑。</w:t>
      </w:r>
    </w:p>
    <w:bookmarkEnd w:id="3"/>
    <w:bookmarkEnd w:id="4"/>
    <w:bookmarkEnd w:id="6"/>
    <w:p w14:paraId="2183A599">
      <w:pPr>
        <w:rPr>
          <w:rFonts w:ascii="Times New Roman" w:hAnsi="Times New Roman" w:eastAsia="楷体" w:cs="Times New Roman"/>
          <w:color w:val="auto"/>
          <w:szCs w:val="21"/>
          <w:highlight w:val="none"/>
        </w:rPr>
      </w:pPr>
      <w:r>
        <w:rPr>
          <w:rStyle w:val="19"/>
          <w:rFonts w:hint="eastAsia" w:ascii="Times New Roman" w:hAnsi="Times New Roman" w:eastAsia="黑体" w:cs="Times New Roman"/>
          <w:color w:val="auto"/>
          <w:highlight w:val="none"/>
        </w:rPr>
        <w:t>关键词：</w:t>
      </w:r>
      <w:r>
        <w:rPr>
          <w:rFonts w:hint="eastAsia" w:ascii="Times New Roman" w:hAnsi="Times New Roman" w:eastAsia="楷体" w:cs="Times New Roman"/>
          <w:color w:val="auto"/>
          <w:szCs w:val="21"/>
          <w:highlight w:val="none"/>
        </w:rPr>
        <w:t>径流演变归因；S</w:t>
      </w:r>
      <w:r>
        <w:rPr>
          <w:rFonts w:ascii="Times New Roman" w:hAnsi="Times New Roman" w:eastAsia="楷体" w:cs="Times New Roman"/>
          <w:color w:val="auto"/>
          <w:szCs w:val="21"/>
          <w:highlight w:val="none"/>
        </w:rPr>
        <w:t>WAT模型</w:t>
      </w:r>
      <w:r>
        <w:rPr>
          <w:rFonts w:hint="eastAsia" w:ascii="Times New Roman" w:hAnsi="Times New Roman" w:eastAsia="楷体" w:cs="Times New Roman"/>
          <w:color w:val="auto"/>
          <w:szCs w:val="21"/>
          <w:highlight w:val="none"/>
        </w:rPr>
        <w:t>；</w:t>
      </w:r>
      <w:r>
        <w:rPr>
          <w:rFonts w:ascii="Times New Roman" w:hAnsi="Times New Roman" w:eastAsia="楷体" w:cs="Times New Roman"/>
          <w:color w:val="auto"/>
          <w:szCs w:val="21"/>
          <w:highlight w:val="none"/>
        </w:rPr>
        <w:t>机器学习</w:t>
      </w:r>
      <w:r>
        <w:rPr>
          <w:rFonts w:hint="eastAsia" w:ascii="Times New Roman" w:hAnsi="Times New Roman" w:eastAsia="楷体" w:cs="Times New Roman"/>
          <w:color w:val="auto"/>
          <w:szCs w:val="21"/>
          <w:highlight w:val="none"/>
        </w:rPr>
        <w:t>；混合模型；B</w:t>
      </w:r>
      <w:r>
        <w:rPr>
          <w:rFonts w:ascii="Times New Roman" w:hAnsi="Times New Roman" w:eastAsia="楷体" w:cs="Times New Roman"/>
          <w:color w:val="auto"/>
          <w:szCs w:val="21"/>
          <w:highlight w:val="none"/>
        </w:rPr>
        <w:t>udyko</w:t>
      </w:r>
      <w:r>
        <w:rPr>
          <w:rFonts w:hint="eastAsia" w:ascii="Times New Roman" w:hAnsi="Times New Roman" w:eastAsia="楷体" w:cs="Times New Roman"/>
          <w:color w:val="auto"/>
          <w:szCs w:val="21"/>
          <w:highlight w:val="none"/>
        </w:rPr>
        <w:t>假设；老哈河流域；</w:t>
      </w:r>
      <w:r>
        <w:rPr>
          <w:rFonts w:ascii="Times New Roman" w:hAnsi="Times New Roman" w:eastAsia="楷体" w:cs="Times New Roman"/>
          <w:color w:val="auto"/>
          <w:szCs w:val="21"/>
          <w:highlight w:val="none"/>
        </w:rPr>
        <w:t>气候变化；人类活动</w:t>
      </w:r>
    </w:p>
    <w:bookmarkEnd w:id="5"/>
    <w:p w14:paraId="52749760">
      <w:pPr>
        <w:ind w:right="420" w:rightChars="200"/>
        <w:rPr>
          <w:rFonts w:ascii="Times New Roman" w:hAnsi="Times New Roman" w:cs="Times New Roman"/>
          <w:color w:val="auto"/>
          <w:sz w:val="18"/>
          <w:szCs w:val="18"/>
          <w:highlight w:val="none"/>
        </w:rPr>
      </w:pPr>
      <w:r>
        <w:rPr>
          <w:rFonts w:ascii="Times New Roman" w:hAnsi="Times New Roman" w:eastAsia="黑体" w:cs="Times New Roman"/>
          <w:b/>
          <w:bCs/>
          <w:color w:val="auto"/>
          <w:sz w:val="18"/>
          <w:szCs w:val="18"/>
          <w:highlight w:val="none"/>
        </w:rPr>
        <w:t>中图分类号</w:t>
      </w:r>
      <w:r>
        <w:rPr>
          <w:rFonts w:ascii="Times New Roman" w:hAnsi="Times New Roman" w:cs="Times New Roman"/>
          <w:color w:val="auto"/>
          <w:sz w:val="18"/>
          <w:szCs w:val="18"/>
          <w:highlight w:val="none"/>
        </w:rPr>
        <w:t xml:space="preserve">：P333            </w:t>
      </w:r>
      <w:r>
        <w:rPr>
          <w:rFonts w:ascii="Times New Roman" w:hAnsi="Times New Roman" w:eastAsia="黑体" w:cs="Times New Roman"/>
          <w:b/>
          <w:color w:val="auto"/>
          <w:sz w:val="18"/>
          <w:szCs w:val="18"/>
          <w:highlight w:val="none"/>
        </w:rPr>
        <w:t>文献标志码</w:t>
      </w:r>
      <w:r>
        <w:rPr>
          <w:rFonts w:ascii="Times New Roman" w:hAnsi="Times New Roman" w:cs="Times New Roman"/>
          <w:b/>
          <w:color w:val="auto"/>
          <w:sz w:val="18"/>
          <w:szCs w:val="18"/>
          <w:highlight w:val="none"/>
        </w:rPr>
        <w:t>：A</w:t>
      </w:r>
      <w:r>
        <w:rPr>
          <w:rFonts w:ascii="Times New Roman" w:hAnsi="Times New Roman" w:cs="Times New Roman"/>
          <w:color w:val="auto"/>
          <w:sz w:val="18"/>
          <w:szCs w:val="18"/>
          <w:highlight w:val="none"/>
        </w:rPr>
        <w:t xml:space="preserve">         </w:t>
      </w:r>
    </w:p>
    <w:p w14:paraId="5DE031F0">
      <w:pPr>
        <w:pStyle w:val="14"/>
        <w:spacing w:before="0" w:after="0"/>
        <w:rPr>
          <w:rFonts w:ascii="Times New Roman" w:hAnsi="Times New Roman"/>
          <w:color w:val="auto"/>
          <w:sz w:val="28"/>
          <w:szCs w:val="28"/>
          <w:highlight w:val="none"/>
        </w:rPr>
      </w:pPr>
      <w:r>
        <w:rPr>
          <w:rFonts w:ascii="Times New Roman" w:hAnsi="Times New Roman"/>
          <w:color w:val="auto"/>
          <w:sz w:val="28"/>
          <w:szCs w:val="28"/>
          <w:highlight w:val="none"/>
        </w:rPr>
        <w:t xml:space="preserve">Attribution of runoff evolution in a </w:t>
      </w:r>
      <w:r>
        <w:rPr>
          <w:rFonts w:hint="eastAsia" w:ascii="Times New Roman" w:hAnsi="Times New Roman"/>
          <w:color w:val="auto"/>
          <w:sz w:val="28"/>
          <w:szCs w:val="28"/>
          <w:highlight w:val="none"/>
        </w:rPr>
        <w:t>river basin</w:t>
      </w:r>
      <w:r>
        <w:rPr>
          <w:rFonts w:ascii="Times New Roman" w:hAnsi="Times New Roman"/>
          <w:color w:val="auto"/>
          <w:sz w:val="28"/>
          <w:szCs w:val="28"/>
          <w:highlight w:val="none"/>
        </w:rPr>
        <w:t xml:space="preserve"> based on SWAT</w:t>
      </w:r>
      <w:r>
        <w:rPr>
          <w:rFonts w:ascii="Times New Roman" w:hAnsi="Lucida Sans Unicode"/>
          <w:color w:val="auto"/>
          <w:sz w:val="28"/>
          <w:szCs w:val="28"/>
          <w:highlight w:val="none"/>
        </w:rPr>
        <w:t>‑</w:t>
      </w:r>
      <w:r>
        <w:rPr>
          <w:rFonts w:ascii="Times New Roman" w:hAnsi="Times New Roman"/>
          <w:color w:val="auto"/>
          <w:sz w:val="28"/>
          <w:szCs w:val="28"/>
          <w:highlight w:val="none"/>
        </w:rPr>
        <w:t>Informer hybrid model</w:t>
      </w:r>
    </w:p>
    <w:p w14:paraId="7CE8ABE3">
      <w:pPr>
        <w:jc w:val="center"/>
        <w:rPr>
          <w:rFonts w:ascii="Times New Roman" w:hAnsi="Times New Roman" w:eastAsia="楷体" w:cs="Times New Roman"/>
          <w:color w:val="auto"/>
          <w:szCs w:val="21"/>
          <w:highlight w:val="none"/>
        </w:rPr>
      </w:pPr>
      <w:r>
        <w:rPr>
          <w:rFonts w:hint="eastAsia" w:ascii="Times New Roman" w:hAnsi="Times New Roman" w:eastAsia="楷体" w:cs="Times New Roman"/>
          <w:color w:val="auto"/>
          <w:szCs w:val="21"/>
          <w:highlight w:val="none"/>
        </w:rPr>
        <w:t>Z</w:t>
      </w:r>
      <w:r>
        <w:rPr>
          <w:rFonts w:ascii="Times New Roman" w:hAnsi="Times New Roman" w:eastAsia="楷体" w:cs="Times New Roman"/>
          <w:color w:val="auto"/>
          <w:szCs w:val="21"/>
          <w:highlight w:val="none"/>
        </w:rPr>
        <w:t>HANG Jiabin</w:t>
      </w:r>
      <w:r>
        <w:rPr>
          <w:rFonts w:ascii="Times New Roman" w:hAnsi="Times New Roman" w:eastAsia="楷体" w:cs="Times New Roman"/>
          <w:color w:val="auto"/>
          <w:szCs w:val="21"/>
          <w:highlight w:val="none"/>
          <w:vertAlign w:val="superscript"/>
        </w:rPr>
        <w:t>1,2</w:t>
      </w:r>
      <w:r>
        <w:rPr>
          <w:rFonts w:hint="eastAsia" w:ascii="Times New Roman" w:hAnsi="Times New Roman" w:eastAsia="楷体" w:cs="Times New Roman"/>
          <w:color w:val="auto"/>
          <w:szCs w:val="21"/>
          <w:highlight w:val="none"/>
        </w:rPr>
        <w:t>，J</w:t>
      </w:r>
      <w:r>
        <w:rPr>
          <w:rFonts w:ascii="Times New Roman" w:hAnsi="Times New Roman" w:eastAsia="楷体" w:cs="Times New Roman"/>
          <w:color w:val="auto"/>
          <w:szCs w:val="21"/>
          <w:highlight w:val="none"/>
        </w:rPr>
        <w:t>IANG Shanhu</w:t>
      </w:r>
      <w:r>
        <w:rPr>
          <w:rFonts w:ascii="Times New Roman" w:hAnsi="Times New Roman" w:eastAsia="楷体" w:cs="Times New Roman"/>
          <w:color w:val="auto"/>
          <w:szCs w:val="21"/>
          <w:highlight w:val="none"/>
          <w:vertAlign w:val="superscript"/>
        </w:rPr>
        <w:t>1</w:t>
      </w:r>
      <w:r>
        <w:rPr>
          <w:rFonts w:hint="eastAsia" w:ascii="Times New Roman" w:hAnsi="Times New Roman" w:eastAsia="楷体" w:cs="Times New Roman"/>
          <w:color w:val="auto"/>
          <w:szCs w:val="21"/>
          <w:highlight w:val="none"/>
          <w:vertAlign w:val="superscript"/>
        </w:rPr>
        <w:t>,</w:t>
      </w:r>
      <w:r>
        <w:rPr>
          <w:rFonts w:ascii="Times New Roman" w:hAnsi="Times New Roman" w:eastAsia="楷体" w:cs="Times New Roman"/>
          <w:color w:val="auto"/>
          <w:szCs w:val="21"/>
          <w:highlight w:val="none"/>
          <w:vertAlign w:val="superscript"/>
        </w:rPr>
        <w:t>2</w:t>
      </w:r>
      <w:r>
        <w:rPr>
          <w:rFonts w:hint="eastAsia" w:ascii="Times New Roman" w:hAnsi="Times New Roman" w:eastAsia="楷体" w:cs="Times New Roman"/>
          <w:color w:val="auto"/>
          <w:szCs w:val="21"/>
          <w:highlight w:val="none"/>
        </w:rPr>
        <w:t>，D</w:t>
      </w:r>
      <w:r>
        <w:rPr>
          <w:rFonts w:ascii="Times New Roman" w:hAnsi="Times New Roman" w:eastAsia="楷体" w:cs="Times New Roman"/>
          <w:color w:val="auto"/>
          <w:szCs w:val="21"/>
          <w:highlight w:val="none"/>
        </w:rPr>
        <w:t>U Shuping</w:t>
      </w:r>
      <w:r>
        <w:rPr>
          <w:rFonts w:ascii="Times New Roman" w:hAnsi="Times New Roman" w:eastAsia="楷体" w:cs="Times New Roman"/>
          <w:color w:val="auto"/>
          <w:szCs w:val="21"/>
          <w:highlight w:val="none"/>
          <w:vertAlign w:val="superscript"/>
        </w:rPr>
        <w:t>3</w:t>
      </w:r>
      <w:r>
        <w:rPr>
          <w:rFonts w:hint="eastAsia" w:ascii="Times New Roman" w:hAnsi="Times New Roman" w:eastAsia="楷体" w:cs="Times New Roman"/>
          <w:color w:val="auto"/>
          <w:szCs w:val="21"/>
          <w:highlight w:val="none"/>
        </w:rPr>
        <w:t>，W</w:t>
      </w:r>
      <w:r>
        <w:rPr>
          <w:rFonts w:ascii="Times New Roman" w:hAnsi="Times New Roman" w:eastAsia="楷体" w:cs="Times New Roman"/>
          <w:color w:val="auto"/>
          <w:szCs w:val="21"/>
          <w:highlight w:val="none"/>
        </w:rPr>
        <w:t>ANG Menghao</w:t>
      </w:r>
      <w:r>
        <w:rPr>
          <w:rFonts w:ascii="Times New Roman" w:hAnsi="Times New Roman" w:eastAsia="楷体" w:cs="Times New Roman"/>
          <w:color w:val="auto"/>
          <w:szCs w:val="21"/>
          <w:highlight w:val="none"/>
          <w:vertAlign w:val="superscript"/>
        </w:rPr>
        <w:t>4</w:t>
      </w:r>
      <w:r>
        <w:rPr>
          <w:rFonts w:hint="eastAsia" w:ascii="Times New Roman" w:hAnsi="Times New Roman" w:eastAsia="楷体" w:cs="Times New Roman"/>
          <w:color w:val="auto"/>
          <w:szCs w:val="21"/>
          <w:highlight w:val="none"/>
        </w:rPr>
        <w:t>，R</w:t>
      </w:r>
      <w:r>
        <w:rPr>
          <w:rFonts w:ascii="Times New Roman" w:hAnsi="Times New Roman" w:eastAsia="楷体" w:cs="Times New Roman"/>
          <w:color w:val="auto"/>
          <w:szCs w:val="21"/>
          <w:highlight w:val="none"/>
        </w:rPr>
        <w:t>EN Mingming</w:t>
      </w:r>
      <w:r>
        <w:rPr>
          <w:rFonts w:hint="eastAsia" w:ascii="Times New Roman" w:hAnsi="Times New Roman" w:eastAsia="楷体" w:cs="Times New Roman"/>
          <w:color w:val="auto"/>
          <w:szCs w:val="21"/>
          <w:highlight w:val="none"/>
          <w:vertAlign w:val="superscript"/>
        </w:rPr>
        <w:t>2</w:t>
      </w:r>
      <w:r>
        <w:rPr>
          <w:rFonts w:hint="eastAsia" w:ascii="Times New Roman" w:hAnsi="Times New Roman" w:eastAsia="楷体" w:cs="Times New Roman"/>
          <w:color w:val="auto"/>
          <w:szCs w:val="21"/>
          <w:highlight w:val="none"/>
        </w:rPr>
        <w:t>，W</w:t>
      </w:r>
      <w:r>
        <w:rPr>
          <w:rFonts w:ascii="Times New Roman" w:hAnsi="Times New Roman" w:eastAsia="楷体" w:cs="Times New Roman"/>
          <w:color w:val="auto"/>
          <w:szCs w:val="21"/>
          <w:highlight w:val="none"/>
        </w:rPr>
        <w:t>U Mingyan</w:t>
      </w:r>
      <w:r>
        <w:rPr>
          <w:rFonts w:ascii="Times New Roman" w:hAnsi="Times New Roman" w:eastAsia="楷体" w:cs="Times New Roman"/>
          <w:color w:val="auto"/>
          <w:szCs w:val="21"/>
          <w:highlight w:val="none"/>
          <w:vertAlign w:val="superscript"/>
        </w:rPr>
        <w:t>2</w:t>
      </w:r>
      <w:r>
        <w:rPr>
          <w:rFonts w:hint="eastAsia" w:ascii="Times New Roman" w:hAnsi="Times New Roman" w:eastAsia="楷体" w:cs="Times New Roman"/>
          <w:color w:val="auto"/>
          <w:szCs w:val="21"/>
          <w:highlight w:val="none"/>
        </w:rPr>
        <w:t>，K</w:t>
      </w:r>
      <w:r>
        <w:rPr>
          <w:rFonts w:ascii="Times New Roman" w:hAnsi="Times New Roman" w:eastAsia="楷体" w:cs="Times New Roman"/>
          <w:color w:val="auto"/>
          <w:szCs w:val="21"/>
          <w:highlight w:val="none"/>
        </w:rPr>
        <w:t>ONG Xianghuan</w:t>
      </w:r>
      <w:r>
        <w:rPr>
          <w:rFonts w:ascii="Times New Roman" w:hAnsi="Times New Roman" w:eastAsia="楷体" w:cs="Times New Roman"/>
          <w:color w:val="auto"/>
          <w:szCs w:val="21"/>
          <w:highlight w:val="none"/>
          <w:vertAlign w:val="superscript"/>
        </w:rPr>
        <w:t>2</w:t>
      </w:r>
      <w:r>
        <w:rPr>
          <w:rFonts w:ascii="Times New Roman" w:hAnsi="Times New Roman" w:eastAsia="楷体" w:cs="Times New Roman"/>
          <w:color w:val="auto"/>
          <w:szCs w:val="21"/>
          <w:highlight w:val="none"/>
        </w:rPr>
        <w:t>，</w:t>
      </w:r>
      <w:r>
        <w:rPr>
          <w:rFonts w:hint="eastAsia" w:ascii="Times New Roman" w:hAnsi="Times New Roman" w:eastAsia="楷体" w:cs="Times New Roman"/>
          <w:color w:val="auto"/>
          <w:szCs w:val="21"/>
          <w:highlight w:val="none"/>
        </w:rPr>
        <w:t>L</w:t>
      </w:r>
      <w:r>
        <w:rPr>
          <w:rFonts w:ascii="Times New Roman" w:hAnsi="Times New Roman" w:eastAsia="楷体" w:cs="Times New Roman"/>
          <w:color w:val="auto"/>
          <w:szCs w:val="21"/>
          <w:highlight w:val="none"/>
        </w:rPr>
        <w:t>I Mao</w:t>
      </w:r>
      <w:r>
        <w:rPr>
          <w:rFonts w:ascii="Times New Roman" w:hAnsi="Times New Roman" w:eastAsia="楷体" w:cs="Times New Roman"/>
          <w:color w:val="auto"/>
          <w:szCs w:val="21"/>
          <w:highlight w:val="none"/>
          <w:vertAlign w:val="superscript"/>
        </w:rPr>
        <w:t>2</w:t>
      </w:r>
    </w:p>
    <w:p w14:paraId="05170C4B">
      <w:pPr>
        <w:ind w:firstLine="360"/>
        <w:jc w:val="center"/>
        <w:rPr>
          <w:rFonts w:ascii="Times New Roman" w:hAnsi="Times New Roman" w:eastAsia="仿宋" w:cs="Times New Roman"/>
          <w:color w:val="auto"/>
          <w:sz w:val="18"/>
          <w:szCs w:val="18"/>
          <w:highlight w:val="none"/>
        </w:rPr>
      </w:pPr>
      <w:r>
        <w:rPr>
          <w:rFonts w:ascii="Times New Roman" w:hAnsi="Times New Roman" w:eastAsia="仿宋" w:cs="Times New Roman"/>
          <w:color w:val="auto"/>
          <w:sz w:val="18"/>
          <w:szCs w:val="18"/>
          <w:highlight w:val="none"/>
        </w:rPr>
        <w:t>（1.State Key Laboratory of Water Disaster Prevention</w:t>
      </w:r>
      <w:r>
        <w:rPr>
          <w:rFonts w:hint="eastAsia" w:ascii="Times New Roman" w:hAnsi="Times New Roman" w:eastAsia="仿宋" w:cs="Times New Roman"/>
          <w:color w:val="auto"/>
          <w:sz w:val="18"/>
          <w:szCs w:val="18"/>
          <w:highlight w:val="none"/>
        </w:rPr>
        <w:t>,</w:t>
      </w:r>
      <w:r>
        <w:rPr>
          <w:rFonts w:ascii="Times New Roman" w:hAnsi="Times New Roman" w:eastAsia="仿宋" w:cs="Times New Roman"/>
          <w:color w:val="auto"/>
          <w:sz w:val="18"/>
          <w:szCs w:val="18"/>
          <w:highlight w:val="none"/>
        </w:rPr>
        <w:t xml:space="preserve"> Hohai University</w:t>
      </w:r>
      <w:r>
        <w:rPr>
          <w:rFonts w:hint="eastAsia" w:ascii="Times New Roman" w:hAnsi="Times New Roman" w:eastAsia="仿宋" w:cs="Times New Roman"/>
          <w:color w:val="auto"/>
          <w:sz w:val="18"/>
          <w:szCs w:val="18"/>
          <w:highlight w:val="none"/>
        </w:rPr>
        <w:t>,</w:t>
      </w:r>
      <w:r>
        <w:rPr>
          <w:rFonts w:ascii="Times New Roman" w:hAnsi="Times New Roman" w:eastAsia="仿宋" w:cs="Times New Roman"/>
          <w:color w:val="auto"/>
          <w:sz w:val="18"/>
          <w:szCs w:val="18"/>
          <w:highlight w:val="none"/>
        </w:rPr>
        <w:t xml:space="preserve"> Nanjing </w:t>
      </w:r>
      <w:r>
        <w:rPr>
          <w:rFonts w:hint="eastAsia" w:ascii="Times New Roman" w:hAnsi="Times New Roman" w:eastAsia="仿宋" w:cs="Times New Roman"/>
          <w:color w:val="auto"/>
          <w:sz w:val="18"/>
          <w:szCs w:val="18"/>
          <w:highlight w:val="none"/>
          <w:lang w:val="en-US" w:eastAsia="zh-CN"/>
        </w:rPr>
        <w:t xml:space="preserve"> </w:t>
      </w:r>
      <w:r>
        <w:rPr>
          <w:rFonts w:ascii="Times New Roman" w:hAnsi="Times New Roman" w:eastAsia="仿宋" w:cs="Times New Roman"/>
          <w:color w:val="auto"/>
          <w:sz w:val="18"/>
          <w:szCs w:val="18"/>
          <w:highlight w:val="none"/>
        </w:rPr>
        <w:t>210098</w:t>
      </w:r>
      <w:r>
        <w:rPr>
          <w:rFonts w:hint="eastAsia" w:ascii="Times New Roman" w:hAnsi="Times New Roman" w:eastAsia="仿宋" w:cs="Times New Roman"/>
          <w:color w:val="auto"/>
          <w:sz w:val="18"/>
          <w:szCs w:val="18"/>
          <w:highlight w:val="none"/>
        </w:rPr>
        <w:t>,</w:t>
      </w:r>
      <w:r>
        <w:rPr>
          <w:rFonts w:ascii="Times New Roman" w:hAnsi="Times New Roman" w:eastAsia="仿宋" w:cs="Times New Roman"/>
          <w:color w:val="auto"/>
          <w:sz w:val="18"/>
          <w:szCs w:val="18"/>
          <w:highlight w:val="none"/>
        </w:rPr>
        <w:t xml:space="preserve"> Jiangsu, China</w:t>
      </w:r>
      <w:r>
        <w:rPr>
          <w:rFonts w:hint="eastAsia" w:ascii="Times New Roman" w:hAnsi="Times New Roman" w:eastAsia="仿宋" w:cs="Times New Roman"/>
          <w:color w:val="auto"/>
          <w:sz w:val="18"/>
          <w:szCs w:val="18"/>
          <w:highlight w:val="none"/>
        </w:rPr>
        <w:t xml:space="preserve">; </w:t>
      </w:r>
      <w:r>
        <w:rPr>
          <w:rFonts w:ascii="Times New Roman" w:hAnsi="Times New Roman" w:eastAsia="仿宋" w:cs="Times New Roman"/>
          <w:color w:val="auto"/>
          <w:sz w:val="18"/>
          <w:szCs w:val="18"/>
          <w:highlight w:val="none"/>
        </w:rPr>
        <w:t>2. College of Hydrology and Water Resources</w:t>
      </w:r>
      <w:r>
        <w:rPr>
          <w:rFonts w:hint="eastAsia" w:ascii="Times New Roman" w:hAnsi="Times New Roman" w:eastAsia="仿宋" w:cs="Times New Roman"/>
          <w:color w:val="auto"/>
          <w:sz w:val="18"/>
          <w:szCs w:val="18"/>
          <w:highlight w:val="none"/>
        </w:rPr>
        <w:t>,</w:t>
      </w:r>
      <w:r>
        <w:rPr>
          <w:rFonts w:ascii="Times New Roman" w:hAnsi="Times New Roman" w:eastAsia="仿宋" w:cs="Times New Roman"/>
          <w:color w:val="auto"/>
          <w:sz w:val="18"/>
          <w:szCs w:val="18"/>
          <w:highlight w:val="none"/>
        </w:rPr>
        <w:t xml:space="preserve"> Hohai University</w:t>
      </w:r>
      <w:r>
        <w:rPr>
          <w:rFonts w:hint="eastAsia" w:ascii="Times New Roman" w:hAnsi="Times New Roman" w:eastAsia="仿宋" w:cs="Times New Roman"/>
          <w:color w:val="auto"/>
          <w:sz w:val="18"/>
          <w:szCs w:val="18"/>
          <w:highlight w:val="none"/>
        </w:rPr>
        <w:t>,</w:t>
      </w:r>
      <w:r>
        <w:rPr>
          <w:rFonts w:ascii="Times New Roman" w:hAnsi="Times New Roman" w:eastAsia="仿宋" w:cs="Times New Roman"/>
          <w:color w:val="auto"/>
          <w:sz w:val="18"/>
          <w:szCs w:val="18"/>
          <w:highlight w:val="none"/>
        </w:rPr>
        <w:t xml:space="preserve"> Nanjing </w:t>
      </w:r>
      <w:r>
        <w:rPr>
          <w:rFonts w:hint="eastAsia" w:ascii="Times New Roman" w:hAnsi="Times New Roman" w:eastAsia="仿宋" w:cs="Times New Roman"/>
          <w:color w:val="auto"/>
          <w:sz w:val="18"/>
          <w:szCs w:val="18"/>
          <w:highlight w:val="none"/>
          <w:lang w:val="en-US" w:eastAsia="zh-CN"/>
        </w:rPr>
        <w:t xml:space="preserve"> </w:t>
      </w:r>
      <w:r>
        <w:rPr>
          <w:rFonts w:ascii="Times New Roman" w:hAnsi="Times New Roman" w:eastAsia="仿宋" w:cs="Times New Roman"/>
          <w:color w:val="auto"/>
          <w:sz w:val="18"/>
          <w:szCs w:val="18"/>
          <w:highlight w:val="none"/>
        </w:rPr>
        <w:t>210098</w:t>
      </w:r>
      <w:r>
        <w:rPr>
          <w:rFonts w:hint="eastAsia" w:ascii="Times New Roman" w:hAnsi="Times New Roman" w:eastAsia="仿宋" w:cs="Times New Roman"/>
          <w:color w:val="auto"/>
          <w:sz w:val="18"/>
          <w:szCs w:val="18"/>
          <w:highlight w:val="none"/>
        </w:rPr>
        <w:t>,</w:t>
      </w:r>
      <w:r>
        <w:rPr>
          <w:rFonts w:ascii="Times New Roman" w:hAnsi="Times New Roman" w:eastAsia="仿宋" w:cs="Times New Roman"/>
          <w:color w:val="auto"/>
          <w:sz w:val="18"/>
          <w:szCs w:val="18"/>
          <w:highlight w:val="none"/>
        </w:rPr>
        <w:t xml:space="preserve"> Jiangsu</w:t>
      </w:r>
      <w:r>
        <w:rPr>
          <w:rFonts w:hint="eastAsia" w:ascii="Times New Roman" w:hAnsi="Times New Roman" w:eastAsia="仿宋" w:cs="Times New Roman"/>
          <w:color w:val="auto"/>
          <w:sz w:val="18"/>
          <w:szCs w:val="18"/>
          <w:highlight w:val="none"/>
        </w:rPr>
        <w:t>,</w:t>
      </w:r>
      <w:r>
        <w:rPr>
          <w:rFonts w:ascii="Times New Roman" w:hAnsi="Times New Roman" w:eastAsia="仿宋" w:cs="Times New Roman"/>
          <w:color w:val="auto"/>
          <w:sz w:val="18"/>
          <w:szCs w:val="18"/>
          <w:highlight w:val="none"/>
        </w:rPr>
        <w:t xml:space="preserve"> China</w:t>
      </w:r>
      <w:r>
        <w:rPr>
          <w:rFonts w:hint="eastAsia" w:ascii="Times New Roman" w:hAnsi="Times New Roman" w:eastAsia="仿宋" w:cs="Times New Roman"/>
          <w:color w:val="auto"/>
          <w:sz w:val="18"/>
          <w:szCs w:val="18"/>
          <w:highlight w:val="none"/>
        </w:rPr>
        <w:t xml:space="preserve">; </w:t>
      </w:r>
      <w:r>
        <w:rPr>
          <w:rFonts w:ascii="Times New Roman" w:hAnsi="Times New Roman" w:eastAsia="仿宋" w:cs="Times New Roman"/>
          <w:color w:val="auto"/>
          <w:sz w:val="18"/>
          <w:szCs w:val="18"/>
          <w:highlight w:val="none"/>
        </w:rPr>
        <w:t xml:space="preserve">3. College of Soil and Water Conservation, Southwest Forestry University, Kunming </w:t>
      </w:r>
      <w:r>
        <w:rPr>
          <w:rFonts w:hint="eastAsia" w:ascii="Times New Roman" w:hAnsi="Times New Roman" w:eastAsia="仿宋" w:cs="Times New Roman"/>
          <w:color w:val="auto"/>
          <w:sz w:val="18"/>
          <w:szCs w:val="18"/>
          <w:highlight w:val="none"/>
          <w:lang w:val="en-US" w:eastAsia="zh-CN"/>
        </w:rPr>
        <w:t xml:space="preserve"> </w:t>
      </w:r>
      <w:r>
        <w:rPr>
          <w:rFonts w:ascii="Times New Roman" w:hAnsi="Times New Roman" w:eastAsia="仿宋" w:cs="Times New Roman"/>
          <w:color w:val="auto"/>
          <w:sz w:val="18"/>
          <w:szCs w:val="18"/>
          <w:highlight w:val="none"/>
        </w:rPr>
        <w:t>650224, Yunnan, China;</w:t>
      </w:r>
      <w:r>
        <w:rPr>
          <w:rFonts w:hint="eastAsia" w:ascii="Times New Roman" w:hAnsi="Times New Roman" w:eastAsia="仿宋" w:cs="Times New Roman"/>
          <w:color w:val="auto"/>
          <w:sz w:val="18"/>
          <w:szCs w:val="18"/>
          <w:highlight w:val="none"/>
        </w:rPr>
        <w:t xml:space="preserve"> </w:t>
      </w:r>
      <w:r>
        <w:rPr>
          <w:rFonts w:ascii="Times New Roman" w:hAnsi="Times New Roman" w:eastAsia="仿宋" w:cs="Times New Roman"/>
          <w:color w:val="auto"/>
          <w:sz w:val="18"/>
          <w:szCs w:val="18"/>
          <w:highlight w:val="none"/>
        </w:rPr>
        <w:t>4. School of Hydrology and Water Resources Engineering, Nanjing University of Information Science and Technology, Nanjing 210044, Jiangsu, China</w:t>
      </w:r>
      <w:r>
        <w:rPr>
          <w:rFonts w:hint="eastAsia" w:ascii="Times New Roman" w:hAnsi="Times New Roman" w:eastAsia="仿宋" w:cs="Times New Roman"/>
          <w:color w:val="auto"/>
          <w:sz w:val="18"/>
          <w:szCs w:val="18"/>
          <w:highlight w:val="none"/>
        </w:rPr>
        <w:t>）</w:t>
      </w:r>
      <w:bookmarkStart w:id="7" w:name="OLE_LINK16"/>
      <w:bookmarkStart w:id="8" w:name="OLE_LINK17"/>
    </w:p>
    <w:p w14:paraId="603F5137">
      <w:pPr>
        <w:rPr>
          <w:rStyle w:val="19"/>
          <w:rFonts w:ascii="Times New Roman" w:hAnsi="Times New Roman" w:eastAsia="宋体" w:cs="Times New Roman"/>
          <w:color w:val="auto"/>
          <w:highlight w:val="none"/>
        </w:rPr>
      </w:pPr>
    </w:p>
    <w:p w14:paraId="781B9F1E">
      <w:pPr>
        <w:rPr>
          <w:rStyle w:val="19"/>
          <w:rFonts w:ascii="Times New Roman" w:hAnsi="Times New Roman" w:cs="Times New Roman"/>
          <w:color w:val="auto"/>
          <w:highlight w:val="none"/>
        </w:rPr>
      </w:pPr>
      <w:bookmarkStart w:id="9" w:name="OLE_LINK41"/>
      <w:bookmarkStart w:id="10" w:name="_Hlk238654821"/>
      <w:bookmarkStart w:id="11" w:name="OLE_LINK39"/>
      <w:r>
        <w:rPr>
          <w:rStyle w:val="19"/>
          <w:rFonts w:ascii="Times New Roman" w:hAnsi="Times New Roman" w:eastAsia="宋体" w:cs="Times New Roman"/>
          <w:color w:val="auto"/>
          <w:highlight w:val="none"/>
        </w:rPr>
        <w:t>Abstract：</w:t>
      </w:r>
      <w:bookmarkEnd w:id="7"/>
      <w:bookmarkStart w:id="12" w:name="OLE_LINK18"/>
      <w:r>
        <w:rPr>
          <w:rStyle w:val="19"/>
          <w:rFonts w:ascii="Times New Roman" w:hAnsi="Times New Roman" w:cs="Times New Roman"/>
          <w:b w:val="0"/>
          <w:color w:val="auto"/>
          <w:highlight w:val="none"/>
        </w:rPr>
        <w:t>[Objective]</w:t>
      </w:r>
      <w:r>
        <w:rPr>
          <w:rStyle w:val="19"/>
          <w:rFonts w:ascii="Times New Roman" w:hAnsi="Times New Roman" w:cs="Times New Roman"/>
          <w:color w:val="auto"/>
          <w:highlight w:val="none"/>
        </w:rPr>
        <w:t xml:space="preserve"> </w:t>
      </w:r>
      <w:r>
        <w:rPr>
          <w:rStyle w:val="19"/>
          <w:rFonts w:ascii="Times New Roman" w:hAnsi="Times New Roman" w:cs="Times New Roman"/>
          <w:b w:val="0"/>
          <w:bCs w:val="0"/>
          <w:color w:val="auto"/>
          <w:highlight w:val="none"/>
        </w:rPr>
        <w:t xml:space="preserve">Climate change and intensive human activities cause substantial runoff decline and frequent flow interruption in downstream reaches of semi-arid river basins in northern China. Therefore, identifying the dominant drivers of runoff </w:t>
      </w:r>
      <w:r>
        <w:rPr>
          <w:rFonts w:ascii="Times New Roman" w:hAnsi="Times New Roman" w:cs="Times New Roman"/>
          <w:color w:val="auto"/>
          <w:highlight w:val="none"/>
        </w:rPr>
        <w:t>decline</w:t>
      </w:r>
      <w:r>
        <w:rPr>
          <w:rFonts w:hint="eastAsia" w:ascii="Times New Roman" w:hAnsi="Times New Roman" w:cs="Times New Roman"/>
          <w:color w:val="auto"/>
          <w:highlight w:val="none"/>
        </w:rPr>
        <w:t xml:space="preserve"> </w:t>
      </w:r>
      <w:r>
        <w:rPr>
          <w:rStyle w:val="19"/>
          <w:rFonts w:ascii="Times New Roman" w:hAnsi="Times New Roman" w:cs="Times New Roman"/>
          <w:b w:val="0"/>
          <w:bCs w:val="0"/>
          <w:color w:val="auto"/>
          <w:highlight w:val="none"/>
        </w:rPr>
        <w:t xml:space="preserve">is essential for ensuring basin water security. </w:t>
      </w:r>
      <w:r>
        <w:rPr>
          <w:rStyle w:val="19"/>
          <w:rFonts w:ascii="Times New Roman" w:hAnsi="Times New Roman" w:cs="Times New Roman"/>
          <w:b w:val="0"/>
          <w:color w:val="auto"/>
          <w:highlight w:val="none"/>
        </w:rPr>
        <w:t>[Methods]</w:t>
      </w:r>
      <w:r>
        <w:rPr>
          <w:rStyle w:val="19"/>
          <w:rFonts w:ascii="Times New Roman" w:hAnsi="Times New Roman" w:cs="Times New Roman"/>
          <w:b w:val="0"/>
          <w:bCs w:val="0"/>
          <w:color w:val="auto"/>
          <w:highlight w:val="none"/>
        </w:rPr>
        <w:t xml:space="preserve"> The Laoha River Basin, located in the headwater region of the Xiliao River, was selected as </w:t>
      </w:r>
      <w:r>
        <w:rPr>
          <w:rFonts w:ascii="Times New Roman" w:hAnsi="Times New Roman" w:cs="Times New Roman"/>
          <w:color w:val="auto"/>
          <w:highlight w:val="none"/>
        </w:rPr>
        <w:t>a typical</w:t>
      </w:r>
      <w:r>
        <w:rPr>
          <w:rFonts w:hint="eastAsia" w:ascii="Times New Roman" w:hAnsi="Times New Roman" w:cs="Times New Roman"/>
          <w:color w:val="auto"/>
          <w:highlight w:val="none"/>
        </w:rPr>
        <w:t xml:space="preserve"> </w:t>
      </w:r>
      <w:r>
        <w:rPr>
          <w:rStyle w:val="19"/>
          <w:rFonts w:ascii="Times New Roman" w:hAnsi="Times New Roman" w:cs="Times New Roman"/>
          <w:b w:val="0"/>
          <w:bCs w:val="0"/>
          <w:color w:val="auto"/>
          <w:highlight w:val="none"/>
        </w:rPr>
        <w:t xml:space="preserve">study area. Based on hydrometeorological data from 1964 to 2022, abrupt change points and trends in runoff </w:t>
      </w:r>
      <w:r>
        <w:rPr>
          <w:rStyle w:val="19"/>
          <w:rFonts w:hint="eastAsia" w:ascii="Times New Roman" w:hAnsi="Times New Roman" w:cs="Times New Roman"/>
          <w:b w:val="0"/>
          <w:bCs w:val="0"/>
          <w:color w:val="auto"/>
          <w:highlight w:val="none"/>
        </w:rPr>
        <w:t xml:space="preserve">processes </w:t>
      </w:r>
      <w:r>
        <w:rPr>
          <w:rStyle w:val="19"/>
          <w:rFonts w:ascii="Times New Roman" w:hAnsi="Times New Roman" w:cs="Times New Roman"/>
          <w:b w:val="0"/>
          <w:bCs w:val="0"/>
          <w:color w:val="auto"/>
          <w:highlight w:val="none"/>
        </w:rPr>
        <w:t>were identified. A hybrid model integrating the physically based Soil and Water Assessment Tool (SWAT) model with machine</w:t>
      </w:r>
      <w:r>
        <w:rPr>
          <w:rStyle w:val="19"/>
          <w:rFonts w:hint="eastAsia" w:ascii="Times New Roman" w:hAnsi="Times New Roman" w:cs="Times New Roman"/>
          <w:b w:val="0"/>
          <w:bCs w:val="0"/>
          <w:color w:val="auto"/>
          <w:highlight w:val="none"/>
        </w:rPr>
        <w:t xml:space="preserve"> </w:t>
      </w:r>
      <w:r>
        <w:rPr>
          <w:rStyle w:val="19"/>
          <w:rFonts w:ascii="Times New Roman" w:hAnsi="Times New Roman" w:cs="Times New Roman"/>
          <w:b w:val="0"/>
          <w:bCs w:val="0"/>
          <w:color w:val="auto"/>
          <w:highlight w:val="none"/>
        </w:rPr>
        <w:t xml:space="preserve">learning methods was developed to reconstruct naturalized runoff and </w:t>
      </w:r>
      <w:r>
        <w:rPr>
          <w:rStyle w:val="19"/>
          <w:rFonts w:hint="eastAsia" w:ascii="Times New Roman" w:hAnsi="Times New Roman" w:cs="Times New Roman"/>
          <w:b w:val="0"/>
          <w:bCs w:val="0"/>
          <w:color w:val="auto"/>
          <w:highlight w:val="none"/>
        </w:rPr>
        <w:t>attribute</w:t>
      </w:r>
      <w:r>
        <w:rPr>
          <w:rStyle w:val="19"/>
          <w:rFonts w:ascii="Times New Roman" w:hAnsi="Times New Roman" w:cs="Times New Roman"/>
          <w:b w:val="0"/>
          <w:bCs w:val="0"/>
          <w:color w:val="auto"/>
          <w:highlight w:val="none"/>
        </w:rPr>
        <w:t xml:space="preserve"> runoff </w:t>
      </w:r>
      <w:r>
        <w:rPr>
          <w:rFonts w:ascii="Times New Roman" w:hAnsi="Times New Roman" w:cs="Times New Roman"/>
          <w:color w:val="auto"/>
          <w:highlight w:val="none"/>
        </w:rPr>
        <w:t>evolution</w:t>
      </w:r>
      <w:r>
        <w:rPr>
          <w:rStyle w:val="19"/>
          <w:rFonts w:ascii="Times New Roman" w:hAnsi="Times New Roman" w:cs="Times New Roman"/>
          <w:b w:val="0"/>
          <w:bCs w:val="0"/>
          <w:color w:val="auto"/>
          <w:highlight w:val="none"/>
        </w:rPr>
        <w:t xml:space="preserve">. The Budyko elasticity method was further applied to validate the attribution results. </w:t>
      </w:r>
      <w:r>
        <w:rPr>
          <w:rStyle w:val="19"/>
          <w:rFonts w:ascii="Times New Roman" w:hAnsi="Times New Roman" w:cs="Times New Roman"/>
          <w:b w:val="0"/>
          <w:color w:val="auto"/>
          <w:highlight w:val="none"/>
        </w:rPr>
        <w:t>[Results]</w:t>
      </w:r>
      <w:r>
        <w:rPr>
          <w:rStyle w:val="19"/>
          <w:rFonts w:ascii="Times New Roman" w:hAnsi="Times New Roman" w:cs="Times New Roman"/>
          <w:b w:val="0"/>
          <w:bCs w:val="0"/>
          <w:color w:val="auto"/>
          <w:highlight w:val="none"/>
        </w:rPr>
        <w:t xml:space="preserve"> During 1964–2022, precipitation had no significant trend (</w:t>
      </w:r>
      <w:r>
        <w:rPr>
          <w:rStyle w:val="19"/>
          <w:rFonts w:ascii="Times New Roman" w:hAnsi="Times New Roman" w:cs="Times New Roman"/>
          <w:b w:val="0"/>
          <w:bCs w:val="0"/>
          <w:i/>
          <w:iCs/>
          <w:color w:val="auto"/>
          <w:highlight w:val="none"/>
        </w:rPr>
        <w:t>p</w:t>
      </w:r>
      <w:r>
        <w:rPr>
          <w:rStyle w:val="19"/>
          <w:rFonts w:ascii="Times New Roman" w:hAnsi="Times New Roman" w:cs="Times New Roman"/>
          <w:b w:val="0"/>
          <w:bCs w:val="0"/>
          <w:color w:val="auto"/>
          <w:highlight w:val="none"/>
        </w:rPr>
        <w:t xml:space="preserve"> &gt; 0.05), whereas air temperature and potential evapotranspiration significantly increased and runoff decreased significantly (</w:t>
      </w:r>
      <w:r>
        <w:rPr>
          <w:rStyle w:val="19"/>
          <w:rFonts w:ascii="Times New Roman" w:hAnsi="Times New Roman" w:cs="Times New Roman"/>
          <w:b w:val="0"/>
          <w:bCs w:val="0"/>
          <w:i/>
          <w:iCs/>
          <w:color w:val="auto"/>
          <w:highlight w:val="none"/>
        </w:rPr>
        <w:t>p</w:t>
      </w:r>
      <w:r>
        <w:rPr>
          <w:rStyle w:val="19"/>
          <w:rFonts w:ascii="Times New Roman" w:hAnsi="Times New Roman" w:cs="Times New Roman"/>
          <w:b w:val="0"/>
          <w:bCs w:val="0"/>
          <w:color w:val="auto"/>
          <w:highlight w:val="none"/>
        </w:rPr>
        <w:t xml:space="preserve"> &lt; 0.05). An abrupt change point in the runoff series occurred in 1979. The SWAT-Informer hybrid model substantially improved monthly runoff simulation accuracy. The Nash-Sutcliffe efficiency (</w:t>
      </w:r>
      <w:r>
        <w:rPr>
          <w:rStyle w:val="19"/>
          <w:rFonts w:ascii="Times New Roman" w:hAnsi="Times New Roman" w:cs="Times New Roman"/>
          <w:b w:val="0"/>
          <w:bCs w:val="0"/>
          <w:i/>
          <w:iCs/>
          <w:color w:val="auto"/>
          <w:highlight w:val="none"/>
        </w:rPr>
        <w:t>NS</w:t>
      </w:r>
      <w:r>
        <w:rPr>
          <w:rStyle w:val="19"/>
          <w:rFonts w:ascii="Times New Roman" w:hAnsi="Times New Roman" w:cs="Times New Roman"/>
          <w:b w:val="0"/>
          <w:bCs w:val="0"/>
          <w:color w:val="auto"/>
          <w:highlight w:val="none"/>
        </w:rPr>
        <w:t>) values for the calibration and validation periods were 0.92 and 0.95, respectively, and the corresponding coefficients of determination (</w:t>
      </w:r>
      <w:r>
        <w:rPr>
          <w:rStyle w:val="19"/>
          <w:rFonts w:ascii="Times New Roman" w:hAnsi="Times New Roman" w:cs="Times New Roman"/>
          <w:b w:val="0"/>
          <w:bCs w:val="0"/>
          <w:i/>
          <w:iCs/>
          <w:color w:val="auto"/>
          <w:highlight w:val="none"/>
        </w:rPr>
        <w:t>R²</w:t>
      </w:r>
      <w:r>
        <w:rPr>
          <w:rStyle w:val="19"/>
          <w:rFonts w:ascii="Times New Roman" w:hAnsi="Times New Roman" w:cs="Times New Roman"/>
          <w:b w:val="0"/>
          <w:bCs w:val="0"/>
          <w:color w:val="auto"/>
          <w:highlight w:val="none"/>
        </w:rPr>
        <w:t>) were 0.93 and 0.95. The hybrid model outperformed the standalone SWAT model and other SWAT</w:t>
      </w:r>
      <w:r>
        <w:rPr>
          <w:rFonts w:ascii="Times New Roman" w:hAnsi="Times New Roman" w:cs="Times New Roman"/>
          <w:color w:val="auto"/>
          <w:highlight w:val="none"/>
        </w:rPr>
        <w:t>–</w:t>
      </w:r>
      <w:r>
        <w:rPr>
          <w:rStyle w:val="19"/>
          <w:rFonts w:ascii="Times New Roman" w:hAnsi="Times New Roman" w:cs="Times New Roman"/>
          <w:b w:val="0"/>
          <w:bCs w:val="0"/>
          <w:color w:val="auto"/>
          <w:highlight w:val="none"/>
        </w:rPr>
        <w:t>machine</w:t>
      </w:r>
      <w:r>
        <w:rPr>
          <w:rStyle w:val="19"/>
          <w:rFonts w:hint="eastAsia" w:ascii="Times New Roman" w:hAnsi="Times New Roman" w:cs="Times New Roman"/>
          <w:b w:val="0"/>
          <w:bCs w:val="0"/>
          <w:color w:val="auto"/>
          <w:highlight w:val="none"/>
        </w:rPr>
        <w:t xml:space="preserve"> </w:t>
      </w:r>
      <w:r>
        <w:rPr>
          <w:rStyle w:val="19"/>
          <w:rFonts w:ascii="Times New Roman" w:hAnsi="Times New Roman" w:cs="Times New Roman"/>
          <w:b w:val="0"/>
          <w:bCs w:val="0"/>
          <w:color w:val="auto"/>
          <w:highlight w:val="none"/>
        </w:rPr>
        <w:t xml:space="preserve">learning model combinations. The multi-year mean of the reconstructed naturalized runoff during the change period was 18.87 m³/s, which was 96.15% higher than the observed runoff during the same period but only 9.76% lower than </w:t>
      </w:r>
      <w:r>
        <w:rPr>
          <w:rFonts w:ascii="Times New Roman" w:hAnsi="Times New Roman" w:cs="Times New Roman"/>
          <w:color w:val="auto"/>
          <w:highlight w:val="none"/>
        </w:rPr>
        <w:t>the observed runoff</w:t>
      </w:r>
      <w:r>
        <w:rPr>
          <w:rFonts w:hint="eastAsia" w:ascii="Times New Roman" w:hAnsi="Times New Roman" w:cs="Times New Roman"/>
          <w:color w:val="auto"/>
          <w:highlight w:val="none"/>
        </w:rPr>
        <w:t xml:space="preserve"> </w:t>
      </w:r>
      <w:r>
        <w:rPr>
          <w:rStyle w:val="19"/>
          <w:rFonts w:ascii="Times New Roman" w:hAnsi="Times New Roman" w:cs="Times New Roman"/>
          <w:b w:val="0"/>
          <w:bCs w:val="0"/>
          <w:color w:val="auto"/>
          <w:highlight w:val="none"/>
        </w:rPr>
        <w:t xml:space="preserve">during the baseline period. The SWAT-Informer-based attribution </w:t>
      </w:r>
      <w:r>
        <w:rPr>
          <w:rStyle w:val="19"/>
          <w:rFonts w:hint="eastAsia" w:ascii="Times New Roman" w:hAnsi="Times New Roman" w:cs="Times New Roman"/>
          <w:b w:val="0"/>
          <w:bCs w:val="0"/>
          <w:color w:val="auto"/>
          <w:highlight w:val="none"/>
        </w:rPr>
        <w:t xml:space="preserve">results </w:t>
      </w:r>
      <w:r>
        <w:rPr>
          <w:rStyle w:val="19"/>
          <w:rFonts w:ascii="Times New Roman" w:hAnsi="Times New Roman" w:cs="Times New Roman"/>
          <w:b w:val="0"/>
          <w:bCs w:val="0"/>
          <w:color w:val="auto"/>
          <w:highlight w:val="none"/>
        </w:rPr>
        <w:t xml:space="preserve">indicated that human activities and climate change contributed 81.93% and 18.07% to runoff decline, respectively. </w:t>
      </w:r>
      <w:r>
        <w:rPr>
          <w:rFonts w:ascii="Times New Roman" w:hAnsi="Times New Roman" w:cs="Times New Roman"/>
          <w:color w:val="auto"/>
          <w:highlight w:val="none"/>
        </w:rPr>
        <w:t>The Budyko hypothesis-based analysis indicated that human activities and climate change contributed</w:t>
      </w:r>
      <w:r>
        <w:rPr>
          <w:rStyle w:val="19"/>
          <w:rFonts w:ascii="Times New Roman" w:hAnsi="Times New Roman" w:cs="Times New Roman"/>
          <w:b w:val="0"/>
          <w:bCs w:val="0"/>
          <w:color w:val="auto"/>
          <w:highlight w:val="none"/>
        </w:rPr>
        <w:t xml:space="preserve"> 90.89% and 9.11%</w:t>
      </w:r>
      <w:r>
        <w:rPr>
          <w:rStyle w:val="19"/>
          <w:rFonts w:hint="eastAsia" w:ascii="Times New Roman" w:hAnsi="Times New Roman" w:cs="Times New Roman"/>
          <w:b w:val="0"/>
          <w:bCs w:val="0"/>
          <w:color w:val="auto"/>
          <w:highlight w:val="none"/>
        </w:rPr>
        <w:t xml:space="preserve"> </w:t>
      </w:r>
      <w:r>
        <w:rPr>
          <w:rFonts w:ascii="Times New Roman" w:hAnsi="Times New Roman" w:cs="Times New Roman"/>
          <w:color w:val="auto"/>
          <w:highlight w:val="none"/>
        </w:rPr>
        <w:t>to runoff decline</w:t>
      </w:r>
      <w:r>
        <w:rPr>
          <w:rStyle w:val="19"/>
          <w:rFonts w:ascii="Times New Roman" w:hAnsi="Times New Roman" w:cs="Times New Roman"/>
          <w:b w:val="0"/>
          <w:bCs w:val="0"/>
          <w:color w:val="auto"/>
          <w:highlight w:val="none"/>
        </w:rPr>
        <w:t xml:space="preserve">, respectively. </w:t>
      </w:r>
      <w:r>
        <w:rPr>
          <w:rStyle w:val="19"/>
          <w:rFonts w:ascii="Times New Roman" w:hAnsi="Times New Roman" w:cs="Times New Roman"/>
          <w:b w:val="0"/>
          <w:color w:val="auto"/>
          <w:highlight w:val="none"/>
        </w:rPr>
        <w:t>[Conclusion]</w:t>
      </w:r>
      <w:r>
        <w:rPr>
          <w:rStyle w:val="19"/>
          <w:rFonts w:ascii="Times New Roman" w:hAnsi="Times New Roman" w:cs="Times New Roman"/>
          <w:b w:val="0"/>
          <w:bCs w:val="0"/>
          <w:color w:val="auto"/>
          <w:highlight w:val="none"/>
        </w:rPr>
        <w:t xml:space="preserve"> Both methods </w:t>
      </w:r>
      <w:r>
        <w:rPr>
          <w:rFonts w:ascii="Times New Roman" w:hAnsi="Times New Roman" w:cs="Times New Roman"/>
          <w:color w:val="auto"/>
          <w:highlight w:val="none"/>
        </w:rPr>
        <w:t>are consistent in identifying the dominant factor</w:t>
      </w:r>
      <w:r>
        <w:rPr>
          <w:rFonts w:hint="eastAsia" w:ascii="Times New Roman" w:hAnsi="Times New Roman" w:cs="Times New Roman"/>
          <w:color w:val="auto"/>
          <w:highlight w:val="none"/>
        </w:rPr>
        <w:t>s</w:t>
      </w:r>
      <w:r>
        <w:rPr>
          <w:rFonts w:ascii="Times New Roman" w:hAnsi="Times New Roman" w:cs="Times New Roman"/>
          <w:color w:val="auto"/>
          <w:highlight w:val="none"/>
        </w:rPr>
        <w:t xml:space="preserve"> and indicate</w:t>
      </w:r>
      <w:r>
        <w:rPr>
          <w:rFonts w:hint="eastAsia" w:ascii="Times New Roman" w:hAnsi="Times New Roman" w:cs="Times New Roman"/>
          <w:color w:val="auto"/>
          <w:highlight w:val="none"/>
        </w:rPr>
        <w:t xml:space="preserve"> </w:t>
      </w:r>
      <w:r>
        <w:rPr>
          <w:rStyle w:val="19"/>
          <w:rFonts w:ascii="Times New Roman" w:hAnsi="Times New Roman" w:cs="Times New Roman"/>
          <w:b w:val="0"/>
          <w:bCs w:val="0"/>
          <w:color w:val="auto"/>
          <w:highlight w:val="none"/>
        </w:rPr>
        <w:t xml:space="preserve">that human activities have been the dominant driver of runoff decline in the Laoha River Basin since 1980. </w:t>
      </w:r>
      <w:bookmarkEnd w:id="9"/>
      <w:r>
        <w:rPr>
          <w:rStyle w:val="19"/>
          <w:rFonts w:hint="eastAsia" w:ascii="Times New Roman" w:hAnsi="Times New Roman" w:cs="Times New Roman"/>
          <w:b w:val="0"/>
          <w:bCs w:val="0"/>
          <w:color w:val="auto"/>
          <w:highlight w:val="none"/>
        </w:rPr>
        <w:t>The combination of the SWAT-Informer model and the Budyko elasticity method effectively improves the reliability of runoff evolution attribution under a changing environment, providing a theoretical basis and technical support for watershed water resources management.</w:t>
      </w:r>
    </w:p>
    <w:bookmarkEnd w:id="8"/>
    <w:bookmarkEnd w:id="10"/>
    <w:bookmarkEnd w:id="11"/>
    <w:bookmarkEnd w:id="12"/>
    <w:p w14:paraId="56B43091">
      <w:pPr>
        <w:rPr>
          <w:rStyle w:val="19"/>
          <w:rFonts w:ascii="Times New Roman" w:hAnsi="Times New Roman" w:eastAsia="楷体" w:cs="Times New Roman"/>
          <w:b w:val="0"/>
          <w:color w:val="auto"/>
          <w:szCs w:val="21"/>
          <w:highlight w:val="none"/>
        </w:rPr>
      </w:pPr>
      <w:r>
        <w:rPr>
          <w:rStyle w:val="19"/>
          <w:rFonts w:ascii="Times New Roman" w:hAnsi="Times New Roman" w:eastAsia="宋体" w:cs="Times New Roman"/>
          <w:color w:val="auto"/>
          <w:highlight w:val="none"/>
        </w:rPr>
        <w:t>Keywords：</w:t>
      </w:r>
      <w:bookmarkStart w:id="13" w:name="OLE_LINK19"/>
      <w:r>
        <w:rPr>
          <w:rStyle w:val="19"/>
          <w:rFonts w:ascii="Times New Roman" w:hAnsi="Times New Roman" w:eastAsia="楷体" w:cs="Times New Roman"/>
          <w:b w:val="0"/>
          <w:color w:val="auto"/>
          <w:szCs w:val="21"/>
          <w:highlight w:val="none"/>
        </w:rPr>
        <w:t xml:space="preserve">runoff </w:t>
      </w:r>
      <w:r>
        <w:rPr>
          <w:rFonts w:ascii="Times New Roman" w:hAnsi="Times New Roman" w:eastAsia="楷体" w:cs="Times New Roman"/>
          <w:bCs/>
          <w:color w:val="auto"/>
          <w:szCs w:val="21"/>
          <w:highlight w:val="none"/>
        </w:rPr>
        <w:t>evolution</w:t>
      </w:r>
      <w:r>
        <w:rPr>
          <w:rFonts w:hint="eastAsia" w:ascii="Times New Roman" w:hAnsi="Times New Roman" w:eastAsia="楷体" w:cs="Times New Roman"/>
          <w:bCs/>
          <w:color w:val="auto"/>
          <w:szCs w:val="21"/>
          <w:highlight w:val="none"/>
        </w:rPr>
        <w:t xml:space="preserve"> </w:t>
      </w:r>
      <w:r>
        <w:rPr>
          <w:rStyle w:val="19"/>
          <w:rFonts w:ascii="Times New Roman" w:hAnsi="Times New Roman" w:eastAsia="楷体" w:cs="Times New Roman"/>
          <w:b w:val="0"/>
          <w:color w:val="auto"/>
          <w:szCs w:val="21"/>
          <w:highlight w:val="none"/>
        </w:rPr>
        <w:t>attribution；SWAT model；machine learning；hybrid model；Budyko hypothesis；Laoha River Basin</w:t>
      </w:r>
      <w:bookmarkEnd w:id="13"/>
      <w:r>
        <w:rPr>
          <w:rStyle w:val="19"/>
          <w:rFonts w:hint="eastAsia" w:ascii="Times New Roman" w:hAnsi="Times New Roman" w:eastAsia="楷体" w:cs="Times New Roman"/>
          <w:b w:val="0"/>
          <w:color w:val="auto"/>
          <w:szCs w:val="21"/>
          <w:highlight w:val="none"/>
        </w:rPr>
        <w:t>；</w:t>
      </w:r>
      <w:r>
        <w:rPr>
          <w:rStyle w:val="19"/>
          <w:rFonts w:ascii="Times New Roman" w:hAnsi="Times New Roman" w:eastAsia="楷体" w:cs="Times New Roman"/>
          <w:b w:val="0"/>
          <w:color w:val="auto"/>
          <w:szCs w:val="21"/>
          <w:highlight w:val="none"/>
        </w:rPr>
        <w:t>climate change</w:t>
      </w:r>
      <w:r>
        <w:rPr>
          <w:rStyle w:val="19"/>
          <w:rFonts w:hint="eastAsia" w:ascii="Times New Roman" w:hAnsi="Times New Roman" w:eastAsia="楷体" w:cs="Times New Roman"/>
          <w:b w:val="0"/>
          <w:color w:val="auto"/>
          <w:szCs w:val="21"/>
          <w:highlight w:val="none"/>
        </w:rPr>
        <w:t>；</w:t>
      </w:r>
      <w:r>
        <w:rPr>
          <w:rStyle w:val="19"/>
          <w:rFonts w:ascii="Times New Roman" w:hAnsi="Times New Roman" w:eastAsia="楷体" w:cs="Times New Roman"/>
          <w:b w:val="0"/>
          <w:color w:val="auto"/>
          <w:szCs w:val="21"/>
          <w:highlight w:val="none"/>
        </w:rPr>
        <w:t>human activities</w:t>
      </w:r>
    </w:p>
    <w:p w14:paraId="639141D0">
      <w:pPr>
        <w:pStyle w:val="2"/>
        <w:spacing w:before="0" w:after="0" w:line="240" w:lineRule="auto"/>
        <w:rPr>
          <w:rFonts w:hint="eastAsia" w:eastAsia="宋体" w:cs="Times New Roman"/>
          <w:b w:val="0"/>
          <w:color w:val="auto"/>
          <w:szCs w:val="28"/>
          <w:highlight w:val="none"/>
          <w:lang w:eastAsia="zh-CN"/>
          <w14:ligatures w14:val="none"/>
        </w:rPr>
      </w:pPr>
    </w:p>
    <w:p w14:paraId="59B80F74">
      <w:pPr>
        <w:pStyle w:val="2"/>
        <w:spacing w:before="0" w:after="0" w:line="240" w:lineRule="auto"/>
        <w:ind w:left="720" w:hanging="720"/>
        <w:rPr>
          <w:rFonts w:cs="Times New Roman"/>
          <w:b w:val="0"/>
          <w:color w:val="auto"/>
          <w:szCs w:val="28"/>
          <w:highlight w:val="none"/>
          <w14:ligatures w14:val="none"/>
        </w:rPr>
      </w:pPr>
      <w:r>
        <w:rPr>
          <w:rFonts w:cs="Times New Roman"/>
          <w:b w:val="0"/>
          <w:color w:val="auto"/>
          <w:szCs w:val="28"/>
          <w:highlight w:val="none"/>
          <w14:ligatures w14:val="none"/>
        </w:rPr>
        <w:t>0</w:t>
      </w:r>
      <w:bookmarkStart w:id="14" w:name="_Hlk235444687"/>
      <w:r>
        <w:rPr>
          <w:rFonts w:cs="Times New Roman"/>
          <w:b w:val="0"/>
          <w:color w:val="auto"/>
          <w:szCs w:val="28"/>
          <w:highlight w:val="none"/>
          <w14:ligatures w14:val="none"/>
        </w:rPr>
        <w:t xml:space="preserve"> 引  言</w:t>
      </w:r>
    </w:p>
    <w:p w14:paraId="0535BABF">
      <w:pPr>
        <w:ind w:firstLine="420" w:firstLineChars="200"/>
        <w:rPr>
          <w:rFonts w:ascii="Times New Roman" w:hAnsi="Times New Roman" w:eastAsia="宋体"/>
          <w:color w:val="auto"/>
          <w:highlight w:val="none"/>
          <w14:ligatures w14:val="standardContextual"/>
        </w:rPr>
      </w:pPr>
      <w:bookmarkStart w:id="15" w:name="_Hlk235454928"/>
      <w:r>
        <w:rPr>
          <w:rFonts w:ascii="Times New Roman" w:hAnsi="Times New Roman" w:eastAsia="宋体"/>
          <w:color w:val="auto"/>
          <w:highlight w:val="none"/>
          <w14:ligatures w14:val="standardContextual"/>
        </w:rPr>
        <w:t>径流是流域水循环的重要组成部分，也是水资源配置、生态保护和水文响应研究的</w:t>
      </w:r>
      <w:r>
        <w:rPr>
          <w:rFonts w:hint="eastAsia" w:ascii="Times New Roman" w:hAnsi="Times New Roman" w:eastAsia="宋体"/>
          <w:color w:val="auto"/>
          <w:highlight w:val="none"/>
          <w14:ligatures w14:val="standardContextual"/>
        </w:rPr>
        <w:t>关键要素</w:t>
      </w:r>
      <w:r>
        <w:rPr>
          <w:rFonts w:ascii="Times New Roman" w:hAnsi="Times New Roman" w:eastAsia="宋体"/>
          <w:color w:val="auto"/>
          <w:highlight w:val="none"/>
          <w14:ligatures w14:val="standardContextual"/>
        </w:rPr>
        <w:t>。受气候变化和人类活动共同影响，流域径流演变过程日益复杂，尤其在</w:t>
      </w:r>
      <w:r>
        <w:rPr>
          <w:rFonts w:hint="eastAsia" w:ascii="Times New Roman" w:hAnsi="Times New Roman" w:eastAsia="宋体"/>
          <w:color w:val="auto"/>
          <w:highlight w:val="none"/>
          <w14:ligatures w14:val="standardContextual"/>
        </w:rPr>
        <w:t>中国</w:t>
      </w:r>
      <w:r>
        <w:rPr>
          <w:rFonts w:ascii="Times New Roman" w:hAnsi="Times New Roman" w:eastAsia="宋体"/>
          <w:color w:val="auto"/>
          <w:highlight w:val="none"/>
          <w14:ligatures w14:val="standardContextual"/>
        </w:rPr>
        <w:t>北方半干旱区，降水年际波动大、蒸散发强、水资源本底脆弱，径流对气候变化和下垫面扰动更为敏感</w:t>
      </w:r>
      <w:r>
        <w:rPr>
          <w:rFonts w:ascii="Times New Roman" w:hAnsi="Times New Roman" w:eastAsia="宋体"/>
          <w:color w:val="auto"/>
          <w:highlight w:val="none"/>
          <w:vertAlign w:val="superscript"/>
          <w14:ligatures w14:val="standardContextual"/>
        </w:rPr>
        <w:t>[1-3]</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同时，农业开发、灌溉取水、地下水开采和土地利用变化等人类活动持续改变流域产汇流条件。因此，定量区分气候变化与人类活动对径流变化的相对贡献，对流域水资源优化配置和适应性管理具有重要意义</w:t>
      </w:r>
      <w:r>
        <w:rPr>
          <w:rFonts w:ascii="Times New Roman" w:hAnsi="Times New Roman" w:eastAsia="宋体"/>
          <w:color w:val="auto"/>
          <w:highlight w:val="none"/>
          <w:vertAlign w:val="superscript"/>
          <w14:ligatures w14:val="standardContextual"/>
        </w:rPr>
        <w:t>[4-5]</w:t>
      </w:r>
      <w:r>
        <w:rPr>
          <w:rFonts w:ascii="Times New Roman" w:hAnsi="Times New Roman" w:eastAsia="宋体"/>
          <w:color w:val="auto"/>
          <w:highlight w:val="none"/>
          <w14:ligatures w14:val="standardContextual"/>
        </w:rPr>
        <w:t>。</w:t>
      </w:r>
    </w:p>
    <w:p w14:paraId="7949F08C">
      <w:pPr>
        <w:ind w:firstLine="420" w:firstLineChars="200"/>
        <w:rPr>
          <w:rFonts w:ascii="Times New Roman" w:hAnsi="Times New Roman" w:eastAsia="宋体"/>
          <w:color w:val="auto"/>
          <w:highlight w:val="none"/>
          <w14:ligatures w14:val="standardContextual"/>
        </w:rPr>
      </w:pPr>
      <w:bookmarkStart w:id="16" w:name="OLE_LINK29"/>
      <w:bookmarkStart w:id="17" w:name="OLE_LINK23"/>
      <w:r>
        <w:rPr>
          <w:rFonts w:hint="eastAsia" w:ascii="Times New Roman" w:hAnsi="Times New Roman" w:eastAsia="宋体"/>
          <w:color w:val="auto"/>
          <w:highlight w:val="none"/>
          <w14:ligatures w14:val="standardContextual"/>
        </w:rPr>
        <w:t>目前，径流归因分析方法主要包括统计分析法、基于</w:t>
      </w:r>
      <w:r>
        <w:rPr>
          <w:rFonts w:ascii="Times New Roman" w:hAnsi="Times New Roman" w:eastAsia="宋体"/>
          <w:color w:val="auto"/>
          <w:highlight w:val="none"/>
          <w14:ligatures w14:val="standardContextual"/>
        </w:rPr>
        <w:t>Budyko假设的弹性系数法</w:t>
      </w:r>
      <w:r>
        <w:rPr>
          <w:rFonts w:hint="eastAsia" w:ascii="Times New Roman" w:hAnsi="Times New Roman" w:eastAsia="宋体"/>
          <w:color w:val="auto"/>
          <w:highlight w:val="none"/>
          <w14:ligatures w14:val="standardContextual"/>
        </w:rPr>
        <w:t>以及</w:t>
      </w:r>
      <w:r>
        <w:rPr>
          <w:rFonts w:ascii="Times New Roman" w:hAnsi="Times New Roman" w:eastAsia="宋体"/>
          <w:color w:val="auto"/>
          <w:highlight w:val="none"/>
          <w14:ligatures w14:val="standardContextual"/>
        </w:rPr>
        <w:t>水文模型法</w:t>
      </w:r>
      <w:r>
        <w:rPr>
          <w:rFonts w:ascii="Times New Roman" w:hAnsi="Times New Roman" w:eastAsia="宋体"/>
          <w:color w:val="auto"/>
          <w:highlight w:val="none"/>
          <w:vertAlign w:val="superscript"/>
          <w14:ligatures w14:val="standardContextual"/>
        </w:rPr>
        <w:t>[6]</w:t>
      </w:r>
      <w:r>
        <w:rPr>
          <w:rFonts w:ascii="Times New Roman" w:hAnsi="Times New Roman" w:eastAsia="宋体"/>
          <w:color w:val="auto"/>
          <w:highlight w:val="none"/>
          <w14:ligatures w14:val="standardContextual"/>
        </w:rPr>
        <w:t>。统计分析法计算简便，</w:t>
      </w:r>
      <w:r>
        <w:rPr>
          <w:rFonts w:hint="eastAsia" w:ascii="Times New Roman" w:hAnsi="Times New Roman" w:eastAsia="宋体"/>
          <w:color w:val="auto"/>
          <w:highlight w:val="none"/>
          <w14:ligatures w14:val="standardContextual"/>
        </w:rPr>
        <w:t>适用于径流趋势、突变及阶段性变化特征识别，如线性趋势分析、双累积曲线和改进</w:t>
      </w:r>
      <w:r>
        <w:rPr>
          <w:rFonts w:ascii="Times New Roman" w:hAnsi="Times New Roman" w:eastAsia="宋体"/>
          <w:color w:val="auto"/>
          <w:highlight w:val="none"/>
          <w14:ligatures w14:val="standardContextual"/>
        </w:rPr>
        <w:t>ITA等</w:t>
      </w:r>
      <w:r>
        <w:rPr>
          <w:rFonts w:hint="eastAsia" w:ascii="Times New Roman" w:hAnsi="Times New Roman" w:eastAsia="宋体"/>
          <w:color w:val="auto"/>
          <w:highlight w:val="none"/>
          <w14:ligatures w14:val="standardContextual"/>
        </w:rPr>
        <w:t>方法</w:t>
      </w:r>
      <w:r>
        <w:rPr>
          <w:rFonts w:ascii="Times New Roman" w:hAnsi="Times New Roman" w:eastAsia="宋体"/>
          <w:color w:val="auto"/>
          <w:highlight w:val="none"/>
          <w14:ligatures w14:val="standardContextual"/>
        </w:rPr>
        <w:t>已被应用于径流变化及影响因素</w:t>
      </w:r>
      <w:r>
        <w:rPr>
          <w:rFonts w:hint="eastAsia" w:ascii="Times New Roman" w:hAnsi="Times New Roman" w:eastAsia="宋体"/>
          <w:color w:val="auto"/>
          <w:highlight w:val="none"/>
          <w14:ligatures w14:val="standardContextual"/>
        </w:rPr>
        <w:t>分析</w:t>
      </w:r>
      <w:r>
        <w:rPr>
          <w:rFonts w:ascii="Times New Roman" w:hAnsi="Times New Roman" w:eastAsia="宋体"/>
          <w:color w:val="auto"/>
          <w:highlight w:val="none"/>
          <w:vertAlign w:val="superscript"/>
          <w14:ligatures w14:val="standardContextual"/>
        </w:rPr>
        <w:t>[7-8]</w:t>
      </w:r>
      <w:r>
        <w:rPr>
          <w:rFonts w:hint="eastAsia" w:ascii="Times New Roman" w:hAnsi="Times New Roman" w:eastAsia="宋体"/>
          <w:color w:val="auto"/>
          <w:highlight w:val="none"/>
          <w14:ligatures w14:val="standardContextual"/>
        </w:rPr>
        <w:t>，但其对流域产汇流过程的机理刻画相对不足，</w:t>
      </w:r>
      <w:r>
        <w:rPr>
          <w:rFonts w:ascii="Times New Roman" w:hAnsi="Times New Roman" w:eastAsia="宋体"/>
          <w:color w:val="auto"/>
          <w:highlight w:val="none"/>
          <w14:ligatures w14:val="standardContextual"/>
        </w:rPr>
        <w:t>且通常依赖较长时间序列。</w:t>
      </w:r>
      <w:bookmarkEnd w:id="16"/>
      <w:r>
        <w:rPr>
          <w:rFonts w:ascii="Times New Roman" w:hAnsi="Times New Roman" w:eastAsia="宋体"/>
          <w:color w:val="auto"/>
          <w:highlight w:val="none"/>
          <w14:ligatures w14:val="standardContextual"/>
        </w:rPr>
        <w:t>Budyko方法</w:t>
      </w:r>
      <w:r>
        <w:rPr>
          <w:rFonts w:hint="eastAsia" w:ascii="Times New Roman" w:hAnsi="Times New Roman" w:eastAsia="宋体"/>
          <w:color w:val="auto"/>
          <w:highlight w:val="none"/>
          <w14:ligatures w14:val="standardContextual"/>
        </w:rPr>
        <w:t>基于多年平均水热平衡关系，具有参数较少、物理意义明确和便于定量归因等优势</w:t>
      </w:r>
      <w:r>
        <w:rPr>
          <w:rFonts w:ascii="Times New Roman" w:hAnsi="Times New Roman" w:eastAsia="宋体"/>
          <w:color w:val="auto"/>
          <w:highlight w:val="none"/>
          <w14:ligatures w14:val="standardContextual"/>
        </w:rPr>
        <w:t>，</w:t>
      </w:r>
      <w:r>
        <w:rPr>
          <w:rFonts w:hint="eastAsia" w:ascii="Times New Roman" w:hAnsi="Times New Roman" w:eastAsia="宋体"/>
          <w:color w:val="auto"/>
          <w:highlight w:val="none"/>
          <w14:ligatures w14:val="standardContextual"/>
        </w:rPr>
        <w:t>常用于区分气候变化与下垫面变化对径流变化的贡献。已有研究表明，不同</w:t>
      </w:r>
      <w:r>
        <w:rPr>
          <w:rFonts w:ascii="Times New Roman" w:hAnsi="Times New Roman" w:eastAsia="宋体"/>
          <w:color w:val="auto"/>
          <w:highlight w:val="none"/>
          <w14:ligatures w14:val="standardContextual"/>
        </w:rPr>
        <w:t>Budyko方程及其参数设置可能导致归因结果存在差异</w:t>
      </w:r>
      <w:bookmarkStart w:id="18" w:name="OLE_LINK43"/>
      <w:r>
        <w:rPr>
          <w:rFonts w:ascii="Times New Roman" w:hAnsi="Times New Roman" w:eastAsia="宋体"/>
          <w:color w:val="auto"/>
          <w:highlight w:val="none"/>
          <w:vertAlign w:val="superscript"/>
          <w14:ligatures w14:val="standardContextual"/>
        </w:rPr>
        <w:t>[9]</w:t>
      </w:r>
      <w:bookmarkEnd w:id="18"/>
      <w:r>
        <w:rPr>
          <w:rFonts w:ascii="Times New Roman" w:hAnsi="Times New Roman" w:eastAsia="宋体"/>
          <w:color w:val="auto"/>
          <w:highlight w:val="none"/>
          <w14:ligatures w14:val="standardContextual"/>
        </w:rPr>
        <w:t>；</w:t>
      </w:r>
      <w:r>
        <w:rPr>
          <w:rFonts w:hint="eastAsia" w:ascii="Times New Roman" w:hAnsi="Times New Roman" w:eastAsia="宋体"/>
          <w:color w:val="auto"/>
          <w:highlight w:val="none"/>
          <w14:ligatures w14:val="standardContextual"/>
        </w:rPr>
        <w:t>在高寒区等特殊条件下，冰川物质平衡和冻土退化等冰冻圈要素对径流变化的贡献不可忽略，将其纳入</w:t>
      </w:r>
      <w:r>
        <w:rPr>
          <w:rFonts w:ascii="Times New Roman" w:hAnsi="Times New Roman" w:eastAsia="宋体"/>
          <w:color w:val="auto"/>
          <w:highlight w:val="none"/>
          <w14:ligatures w14:val="standardContextual"/>
        </w:rPr>
        <w:t>Budyko框架可有效改进归因精度</w:t>
      </w:r>
      <w:r>
        <w:rPr>
          <w:rFonts w:ascii="Times New Roman" w:hAnsi="Times New Roman" w:eastAsia="宋体"/>
          <w:color w:val="auto"/>
          <w:highlight w:val="none"/>
          <w:vertAlign w:val="superscript"/>
          <w14:ligatures w14:val="standardContextual"/>
        </w:rPr>
        <w:t>[10]</w:t>
      </w:r>
      <w:r>
        <w:rPr>
          <w:rFonts w:hint="eastAsia" w:ascii="Times New Roman" w:hAnsi="Times New Roman" w:eastAsia="宋体"/>
          <w:color w:val="auto"/>
          <w:highlight w:val="none"/>
          <w14:ligatures w14:val="standardContextual"/>
        </w:rPr>
        <w:t>；相关</w:t>
      </w:r>
      <w:r>
        <w:rPr>
          <w:rFonts w:ascii="Times New Roman" w:hAnsi="Times New Roman" w:eastAsia="宋体"/>
          <w:color w:val="auto"/>
          <w:highlight w:val="none"/>
          <w14:ligatures w14:val="standardContextual"/>
        </w:rPr>
        <w:t>研究也显示，人类活动</w:t>
      </w:r>
      <w:r>
        <w:rPr>
          <w:rFonts w:hint="eastAsia" w:ascii="Times New Roman" w:hAnsi="Times New Roman" w:eastAsia="宋体"/>
          <w:color w:val="auto"/>
          <w:highlight w:val="none"/>
          <w14:ligatures w14:val="standardContextual"/>
        </w:rPr>
        <w:t>是部分流域</w:t>
      </w:r>
      <w:r>
        <w:rPr>
          <w:rFonts w:ascii="Times New Roman" w:hAnsi="Times New Roman" w:eastAsia="宋体"/>
          <w:color w:val="auto"/>
          <w:highlight w:val="none"/>
          <w14:ligatures w14:val="standardContextual"/>
        </w:rPr>
        <w:t>径流</w:t>
      </w:r>
      <w:r>
        <w:rPr>
          <w:rFonts w:hint="eastAsia" w:ascii="Times New Roman" w:hAnsi="Times New Roman" w:eastAsia="宋体"/>
          <w:color w:val="auto"/>
          <w:highlight w:val="none"/>
          <w14:ligatures w14:val="standardContextual"/>
        </w:rPr>
        <w:t>衰减</w:t>
      </w:r>
      <w:r>
        <w:rPr>
          <w:rFonts w:ascii="Times New Roman" w:hAnsi="Times New Roman" w:eastAsia="宋体"/>
          <w:color w:val="auto"/>
          <w:highlight w:val="none"/>
          <w14:ligatures w14:val="standardContextual"/>
        </w:rPr>
        <w:t>的重要驱动因素</w:t>
      </w:r>
      <w:r>
        <w:rPr>
          <w:rFonts w:ascii="Times New Roman" w:hAnsi="Times New Roman" w:eastAsia="宋体"/>
          <w:color w:val="auto"/>
          <w:highlight w:val="none"/>
          <w:vertAlign w:val="superscript"/>
          <w14:ligatures w14:val="standardContextual"/>
        </w:rPr>
        <w:t>[11]</w:t>
      </w:r>
      <w:r>
        <w:rPr>
          <w:rFonts w:hint="eastAsia" w:ascii="Times New Roman" w:hAnsi="Times New Roman" w:eastAsia="宋体"/>
          <w:color w:val="auto"/>
          <w:highlight w:val="none"/>
          <w14:ligatures w14:val="standardContextual"/>
        </w:rPr>
        <w:t>。</w:t>
      </w:r>
      <w:bookmarkStart w:id="19" w:name="OLE_LINK30"/>
      <w:r>
        <w:rPr>
          <w:rFonts w:ascii="Times New Roman" w:hAnsi="Times New Roman" w:eastAsia="宋体"/>
          <w:color w:val="auto"/>
          <w:highlight w:val="none"/>
          <w14:ligatures w14:val="standardContextual"/>
        </w:rPr>
        <w:t>但</w:t>
      </w:r>
      <w:r>
        <w:rPr>
          <w:rFonts w:hint="eastAsia" w:ascii="Times New Roman" w:hAnsi="Times New Roman" w:eastAsia="宋体"/>
          <w:color w:val="auto"/>
          <w:highlight w:val="none"/>
          <w14:ligatures w14:val="standardContextual"/>
        </w:rPr>
        <w:t>B</w:t>
      </w:r>
      <w:r>
        <w:rPr>
          <w:rFonts w:ascii="Times New Roman" w:hAnsi="Times New Roman" w:eastAsia="宋体"/>
          <w:color w:val="auto"/>
          <w:highlight w:val="none"/>
          <w14:ligatures w14:val="standardContextual"/>
        </w:rPr>
        <w:t>udyko</w:t>
      </w:r>
      <w:r>
        <w:rPr>
          <w:rFonts w:hint="eastAsia" w:ascii="Times New Roman" w:hAnsi="Times New Roman" w:eastAsia="宋体"/>
          <w:color w:val="auto"/>
          <w:highlight w:val="none"/>
          <w14:ligatures w14:val="standardContextual"/>
        </w:rPr>
        <w:t>方法本质上属于</w:t>
      </w:r>
      <w:r>
        <w:rPr>
          <w:rFonts w:ascii="Times New Roman" w:hAnsi="Times New Roman" w:eastAsia="宋体"/>
          <w:color w:val="auto"/>
          <w:highlight w:val="none"/>
          <w14:ligatures w14:val="standardContextual"/>
        </w:rPr>
        <w:t>半经验框架，</w:t>
      </w:r>
      <w:r>
        <w:rPr>
          <w:rFonts w:hint="eastAsia" w:ascii="Times New Roman" w:hAnsi="Times New Roman" w:eastAsia="宋体"/>
          <w:color w:val="auto"/>
          <w:highlight w:val="none"/>
          <w14:ligatures w14:val="standardContextual"/>
        </w:rPr>
        <w:t>通常</w:t>
      </w:r>
      <w:r>
        <w:rPr>
          <w:rFonts w:ascii="Times New Roman" w:hAnsi="Times New Roman" w:eastAsia="宋体"/>
          <w:color w:val="auto"/>
          <w:highlight w:val="none"/>
          <w14:ligatures w14:val="standardContextual"/>
        </w:rPr>
        <w:t>将灌溉、地下水开采、水利工程和土地利用变化等人为影响概化为下垫面变化，难以</w:t>
      </w:r>
      <w:r>
        <w:rPr>
          <w:rFonts w:hint="eastAsia" w:ascii="Times New Roman" w:hAnsi="Times New Roman" w:eastAsia="宋体"/>
          <w:color w:val="auto"/>
          <w:highlight w:val="none"/>
          <w14:ligatures w14:val="standardContextual"/>
        </w:rPr>
        <w:t>反映不同人类活动对产流、蒸散发、地下水补给及极端径流响应的具体影响</w:t>
      </w:r>
      <w:r>
        <w:rPr>
          <w:rFonts w:ascii="Times New Roman" w:hAnsi="Times New Roman" w:eastAsia="宋体"/>
          <w:color w:val="auto"/>
          <w:highlight w:val="none"/>
          <w:vertAlign w:val="superscript"/>
          <w14:ligatures w14:val="standardContextual"/>
        </w:rPr>
        <w:t>[12]</w:t>
      </w:r>
      <w:r>
        <w:rPr>
          <w:rFonts w:hint="eastAsia" w:ascii="Times New Roman" w:hAnsi="Times New Roman" w:eastAsia="宋体"/>
          <w:color w:val="auto"/>
          <w:highlight w:val="none"/>
          <w14:ligatures w14:val="standardContextual"/>
        </w:rPr>
        <w:t>。</w:t>
      </w:r>
      <w:bookmarkEnd w:id="19"/>
      <w:r>
        <w:rPr>
          <w:rFonts w:ascii="Times New Roman" w:hAnsi="Times New Roman" w:eastAsia="宋体"/>
          <w:color w:val="auto"/>
          <w:highlight w:val="none"/>
          <w14:ligatures w14:val="standardContextual"/>
        </w:rPr>
        <w:t>相比之下，水文模型法能够从过程层面模拟流域水循环，</w:t>
      </w:r>
      <w:r>
        <w:rPr>
          <w:rFonts w:hint="eastAsia" w:ascii="Times New Roman" w:hAnsi="Times New Roman" w:eastAsia="宋体"/>
          <w:color w:val="auto"/>
          <w:highlight w:val="none"/>
          <w14:ligatures w14:val="standardContextual"/>
        </w:rPr>
        <w:t>为复杂环境变化条件下的径流归因提供机理支撑。</w:t>
      </w:r>
      <w:r>
        <w:rPr>
          <w:rFonts w:ascii="Times New Roman" w:hAnsi="Times New Roman" w:eastAsia="宋体"/>
          <w:color w:val="auto"/>
          <w:highlight w:val="none"/>
          <w14:ligatures w14:val="standardContextual"/>
        </w:rPr>
        <w:t>其中</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SWAT（Soil and Water Assessment Tool）模型</w:t>
      </w:r>
      <w:r>
        <w:rPr>
          <w:rFonts w:hint="eastAsia" w:ascii="Times New Roman" w:hAnsi="Times New Roman" w:eastAsia="宋体"/>
          <w:color w:val="auto"/>
          <w:highlight w:val="none"/>
          <w14:ligatures w14:val="standardContextual"/>
        </w:rPr>
        <w:t>能够综合考虑气象、地形、土壤、土地利用和管理措施等因素对产流、汇流、蒸散发及地下水过程的影响，并通过情景模拟重建天然径流，以分离气候变化和人类活动的径流效应</w:t>
      </w:r>
      <w:r>
        <w:rPr>
          <w:rFonts w:ascii="Times New Roman" w:hAnsi="Times New Roman" w:eastAsia="宋体"/>
          <w:color w:val="auto"/>
          <w:highlight w:val="none"/>
          <w:vertAlign w:val="superscript"/>
          <w14:ligatures w14:val="standardContextual"/>
        </w:rPr>
        <w:t>[13-15]</w:t>
      </w:r>
      <w:r>
        <w:rPr>
          <w:rFonts w:hint="eastAsia" w:ascii="Times New Roman" w:hAnsi="Times New Roman" w:eastAsia="宋体"/>
          <w:color w:val="auto"/>
          <w:highlight w:val="none"/>
          <w14:ligatures w14:val="standardContextual"/>
        </w:rPr>
        <w:t>。现有研究已将</w:t>
      </w:r>
      <w:r>
        <w:rPr>
          <w:rFonts w:ascii="Times New Roman" w:hAnsi="Times New Roman" w:eastAsia="宋体"/>
          <w:color w:val="auto"/>
          <w:highlight w:val="none"/>
          <w14:ligatures w14:val="standardContextual"/>
        </w:rPr>
        <w:t>SWAT模型应用于不同类型</w:t>
      </w:r>
      <w:r>
        <w:rPr>
          <w:rFonts w:hint="eastAsia" w:ascii="Times New Roman" w:hAnsi="Times New Roman" w:eastAsia="宋体"/>
          <w:color w:val="auto"/>
          <w:highlight w:val="none"/>
          <w14:ligatures w14:val="standardContextual"/>
        </w:rPr>
        <w:t>的</w:t>
      </w:r>
      <w:r>
        <w:rPr>
          <w:rFonts w:ascii="Times New Roman" w:hAnsi="Times New Roman" w:eastAsia="宋体"/>
          <w:color w:val="auto"/>
          <w:highlight w:val="none"/>
          <w14:ligatures w14:val="standardContextual"/>
        </w:rPr>
        <w:t>流域</w:t>
      </w:r>
      <w:r>
        <w:rPr>
          <w:rFonts w:hint="eastAsia" w:ascii="Times New Roman" w:hAnsi="Times New Roman" w:eastAsia="宋体"/>
          <w:color w:val="auto"/>
          <w:highlight w:val="none"/>
          <w14:ligatures w14:val="standardContextual"/>
        </w:rPr>
        <w:t>，如</w:t>
      </w:r>
      <w:r>
        <w:rPr>
          <w:rFonts w:ascii="Times New Roman" w:hAnsi="Times New Roman" w:eastAsia="宋体"/>
          <w:color w:val="auto"/>
          <w:highlight w:val="none"/>
          <w14:ligatures w14:val="standardContextual"/>
        </w:rPr>
        <w:t>延河、</w:t>
      </w:r>
      <w:r>
        <w:rPr>
          <w:rFonts w:hint="eastAsia" w:ascii="Times New Roman" w:hAnsi="Times New Roman" w:eastAsia="宋体"/>
          <w:color w:val="auto"/>
          <w:highlight w:val="none"/>
          <w14:ligatures w14:val="standardContextual"/>
        </w:rPr>
        <w:t>金沙河和东北黑土区等，表明其</w:t>
      </w:r>
      <w:r>
        <w:rPr>
          <w:rFonts w:ascii="Times New Roman" w:hAnsi="Times New Roman" w:eastAsia="宋体"/>
          <w:color w:val="auto"/>
          <w:highlight w:val="none"/>
          <w14:ligatures w14:val="standardContextual"/>
        </w:rPr>
        <w:t>在复杂流域水文响应模拟、归因分析及未来情景预测中具有较好的适用性</w:t>
      </w:r>
      <w:r>
        <w:rPr>
          <w:rFonts w:ascii="Times New Roman" w:hAnsi="Times New Roman" w:eastAsia="宋体"/>
          <w:color w:val="auto"/>
          <w:highlight w:val="none"/>
          <w:vertAlign w:val="superscript"/>
          <w14:ligatures w14:val="standardContextual"/>
        </w:rPr>
        <w:t>[16-18]</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SWAT模型侧重水文过程模拟，Budyko方法侧重多年平均水热平衡分析，将二者结合可从不同理论基础对归因结果进行交叉比较和合理性检验</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从而增强归因结论的可靠性</w:t>
      </w:r>
      <w:r>
        <w:rPr>
          <w:rFonts w:ascii="Times New Roman" w:hAnsi="Times New Roman" w:eastAsia="宋体"/>
          <w:color w:val="auto"/>
          <w:highlight w:val="none"/>
          <w:vertAlign w:val="superscript"/>
          <w14:ligatures w14:val="standardContextual"/>
        </w:rPr>
        <w:t>[19-21]</w:t>
      </w:r>
      <w:r>
        <w:rPr>
          <w:rFonts w:ascii="Times New Roman" w:hAnsi="Times New Roman" w:eastAsia="宋体"/>
          <w:color w:val="auto"/>
          <w:highlight w:val="none"/>
          <w14:ligatures w14:val="standardContextual"/>
        </w:rPr>
        <w:t>。</w:t>
      </w:r>
    </w:p>
    <w:p w14:paraId="249E2FC9">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然而，</w:t>
      </w:r>
      <w:r>
        <w:rPr>
          <w:rFonts w:ascii="Times New Roman" w:hAnsi="Times New Roman" w:eastAsia="宋体"/>
          <w:color w:val="auto"/>
          <w:highlight w:val="none"/>
          <w14:ligatures w14:val="standardContextual"/>
        </w:rPr>
        <w:t>SWAT模型</w:t>
      </w:r>
      <w:r>
        <w:rPr>
          <w:rFonts w:hint="eastAsia" w:ascii="Times New Roman" w:hAnsi="Times New Roman" w:eastAsia="宋体"/>
          <w:color w:val="auto"/>
          <w:highlight w:val="none"/>
          <w14:ligatures w14:val="standardContextual"/>
        </w:rPr>
        <w:t>的模拟</w:t>
      </w:r>
      <w:r>
        <w:rPr>
          <w:rFonts w:ascii="Times New Roman" w:hAnsi="Times New Roman" w:eastAsia="宋体"/>
          <w:color w:val="auto"/>
          <w:highlight w:val="none"/>
          <w14:ligatures w14:val="standardContextual"/>
        </w:rPr>
        <w:t>结果仍受模型结构概化、参数不确定性、输入数据误差，以及复杂人类活动资料不足或难以精细参数化表征等因素影响</w:t>
      </w:r>
      <w:r>
        <w:rPr>
          <w:rFonts w:ascii="Times New Roman" w:hAnsi="Times New Roman" w:eastAsia="宋体"/>
          <w:color w:val="auto"/>
          <w:highlight w:val="none"/>
          <w:vertAlign w:val="superscript"/>
          <w14:ligatures w14:val="standardContextual"/>
        </w:rPr>
        <w:t>[22]</w:t>
      </w:r>
      <w:r>
        <w:rPr>
          <w:rFonts w:ascii="Times New Roman" w:hAnsi="Times New Roman" w:eastAsia="宋体"/>
          <w:color w:val="auto"/>
          <w:highlight w:val="none"/>
          <w14:ligatures w14:val="standardContextual"/>
        </w:rPr>
        <w:t>。尤其在北方半干旱流域，灌溉取水、地下水开采、小型水利工程拦蓄和土地利用变化等人为扰动普遍存在，其水文效应具有显著的非线性、时变性和累积性，易导致模型在特定时期或水文条件下产生系统偏差。此类偏差不仅影响基准期径流模拟精度，还可能在变化期天然径流重建中累积，并进一步传递至气候变化和人类活动贡献率估计。</w:t>
      </w:r>
      <w:r>
        <w:rPr>
          <w:rFonts w:hint="eastAsia" w:ascii="Times New Roman" w:hAnsi="Times New Roman" w:eastAsia="宋体"/>
          <w:color w:val="auto"/>
          <w:highlight w:val="none"/>
          <w14:ligatures w14:val="standardContextual"/>
        </w:rPr>
        <w:t>因此，有必要在提高水文模型模拟精度的基础上，开展更可靠的天然径流重建，并据此进行径流归因分析，以降低模型系统误差对归因结果可靠性的不利影响。</w:t>
      </w:r>
    </w:p>
    <w:p w14:paraId="639BEE7C">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近年来，机器学习方法凭借较强的非线性拟合和时序特征提取能力，已广泛应用于水文预测研究</w:t>
      </w:r>
      <w:r>
        <w:rPr>
          <w:rFonts w:ascii="Times New Roman" w:hAnsi="Times New Roman" w:eastAsia="宋体"/>
          <w:color w:val="auto"/>
          <w:highlight w:val="none"/>
          <w:vertAlign w:val="superscript"/>
          <w14:ligatures w14:val="standardContextual"/>
        </w:rPr>
        <w:t>[23-24]</w:t>
      </w:r>
      <w:r>
        <w:rPr>
          <w:rFonts w:hint="eastAsia" w:ascii="Times New Roman" w:hAnsi="Times New Roman" w:eastAsia="宋体"/>
          <w:color w:val="auto"/>
          <w:highlight w:val="none"/>
          <w14:ligatures w14:val="standardContextual"/>
        </w:rPr>
        <w:t>。现有研究多将机器学习直接用于径流预测</w:t>
      </w:r>
      <w:r>
        <w:rPr>
          <w:rFonts w:ascii="Times New Roman" w:hAnsi="Times New Roman" w:eastAsia="宋体"/>
          <w:color w:val="auto"/>
          <w:highlight w:val="none"/>
          <w:vertAlign w:val="superscript"/>
          <w14:ligatures w14:val="standardContextual"/>
        </w:rPr>
        <w:t>[25-28]</w:t>
      </w:r>
      <w:r>
        <w:rPr>
          <w:rFonts w:hint="eastAsia" w:ascii="Times New Roman" w:hAnsi="Times New Roman" w:eastAsia="宋体"/>
          <w:color w:val="auto"/>
          <w:highlight w:val="none"/>
          <w14:ligatures w14:val="standardContextual"/>
        </w:rPr>
        <w:t>，而将其作为过程型水文模型的残差后处理工具，并进一步服务于天然径流重建和径流归因的研究相对较少。相较于单一数据驱动预测，</w:t>
      </w:r>
      <w:r>
        <w:rPr>
          <w:rFonts w:ascii="Times New Roman" w:hAnsi="Times New Roman" w:eastAsia="宋体"/>
          <w:color w:val="auto"/>
          <w:highlight w:val="none"/>
          <w14:ligatures w14:val="standardContextual"/>
        </w:rPr>
        <w:t>SWAT与机器学习耦合的混合模型能够在保留水文过程机理约束的基础上订正模型残差，</w:t>
      </w:r>
      <w:r>
        <w:rPr>
          <w:rFonts w:hint="eastAsia" w:ascii="Times New Roman" w:hAnsi="Times New Roman" w:eastAsia="宋体"/>
          <w:color w:val="auto"/>
          <w:highlight w:val="none"/>
          <w14:ligatures w14:val="standardContextual"/>
        </w:rPr>
        <w:t>从而改善复杂非线性水文响应条件下的径流模拟表现</w:t>
      </w:r>
      <w:r>
        <w:rPr>
          <w:rFonts w:ascii="Times New Roman" w:hAnsi="Times New Roman" w:eastAsia="宋体"/>
          <w:color w:val="auto"/>
          <w:highlight w:val="none"/>
          <w:vertAlign w:val="superscript"/>
          <w14:ligatures w14:val="standardContextual"/>
        </w:rPr>
        <w:t>[29]</w:t>
      </w:r>
      <w:r>
        <w:rPr>
          <w:rFonts w:hint="eastAsia" w:ascii="Times New Roman" w:hAnsi="Times New Roman" w:eastAsia="宋体"/>
          <w:color w:val="auto"/>
          <w:highlight w:val="none"/>
          <w14:ligatures w14:val="standardContextual"/>
        </w:rPr>
        <w:t>。然而，针对半干旱区长时间序列月尺度径流，不同机器学习后处理模型对天然径流重建精度及归因结果影响的系统比较仍有待加强。</w:t>
      </w:r>
    </w:p>
    <w:bookmarkEnd w:id="17"/>
    <w:p w14:paraId="7018FB49">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基于此，本文以老哈河流域为研究对象，利用</w:t>
      </w:r>
      <w:r>
        <w:rPr>
          <w:rFonts w:ascii="Times New Roman" w:hAnsi="Times New Roman" w:eastAsia="宋体"/>
          <w:color w:val="auto"/>
          <w:highlight w:val="none"/>
          <w14:ligatures w14:val="standardContextual"/>
        </w:rPr>
        <w:t>1964</w:t>
      </w:r>
      <w:r>
        <w:rPr>
          <w:rFonts w:ascii="Times New Roman" w:hAnsi="Times New Roman" w:cs="Times New Roman"/>
          <w:color w:val="auto"/>
          <w:szCs w:val="21"/>
          <w:highlight w:val="none"/>
        </w:rPr>
        <w:t>—</w:t>
      </w:r>
      <w:r>
        <w:rPr>
          <w:rFonts w:ascii="Times New Roman" w:hAnsi="Times New Roman" w:eastAsia="宋体"/>
          <w:color w:val="auto"/>
          <w:highlight w:val="none"/>
          <w14:ligatures w14:val="standardContextual"/>
        </w:rPr>
        <w:t>2022年水文气象资料</w:t>
      </w:r>
      <w:r>
        <w:rPr>
          <w:rFonts w:hint="eastAsia" w:ascii="Times New Roman" w:hAnsi="Times New Roman" w:eastAsia="宋体"/>
          <w:color w:val="auto"/>
          <w:highlight w:val="none"/>
          <w14:ligatures w14:val="standardContextual"/>
        </w:rPr>
        <w:t>识别径流趋势和突变特征</w:t>
      </w:r>
      <w:r>
        <w:rPr>
          <w:rFonts w:ascii="Times New Roman" w:hAnsi="Times New Roman" w:eastAsia="宋体"/>
          <w:color w:val="auto"/>
          <w:highlight w:val="none"/>
          <w14:ligatures w14:val="standardContextual"/>
        </w:rPr>
        <w:t>，构建SWAT-RF、SWAT-LSTM和SWAT-Informer三种混合模型，</w:t>
      </w:r>
      <w:r>
        <w:rPr>
          <w:rFonts w:hint="eastAsia" w:ascii="Times New Roman" w:hAnsi="Times New Roman" w:eastAsia="宋体"/>
          <w:color w:val="auto"/>
          <w:highlight w:val="none"/>
          <w14:ligatures w14:val="standardContextual"/>
        </w:rPr>
        <w:t>开展</w:t>
      </w:r>
      <w:r>
        <w:rPr>
          <w:rFonts w:ascii="Times New Roman" w:hAnsi="Times New Roman" w:eastAsia="宋体"/>
          <w:color w:val="auto"/>
          <w:highlight w:val="none"/>
          <w14:ligatures w14:val="standardContextual"/>
        </w:rPr>
        <w:t>月尺度天然径流重建，并比较不同后处理模型对径流</w:t>
      </w:r>
      <w:r>
        <w:rPr>
          <w:rFonts w:hint="eastAsia" w:ascii="Times New Roman" w:hAnsi="Times New Roman" w:eastAsia="宋体"/>
          <w:color w:val="auto"/>
          <w:highlight w:val="none"/>
          <w14:ligatures w14:val="standardContextual"/>
        </w:rPr>
        <w:t>模拟精度</w:t>
      </w:r>
      <w:r>
        <w:rPr>
          <w:rFonts w:ascii="Times New Roman" w:hAnsi="Times New Roman" w:eastAsia="宋体"/>
          <w:color w:val="auto"/>
          <w:highlight w:val="none"/>
          <w14:ligatures w14:val="standardContextual"/>
        </w:rPr>
        <w:t>的影响。在此基础上，结合Budyko假设中点弹性法对最优模型归因结果进行交叉验证。</w:t>
      </w:r>
      <w:r>
        <w:rPr>
          <w:rFonts w:ascii="Times New Roman" w:hAnsi="Times New Roman" w:eastAsia="宋体" w:cs="Times New Roman"/>
          <w:color w:val="auto"/>
          <w:highlight w:val="none"/>
          <w14:ligatures w14:val="standardContextual"/>
        </w:rPr>
        <w:t>与已有研究相比，本文的主要创新体现在：</w:t>
      </w:r>
      <w:r>
        <w:rPr>
          <w:rFonts w:hint="eastAsia" w:ascii="Times New Roman" w:hAnsi="Times New Roman" w:eastAsia="宋体" w:cs="Times New Roman"/>
          <w:color w:val="auto"/>
          <w:highlight w:val="none"/>
          <w14:ligatures w14:val="standardContextual"/>
        </w:rPr>
        <w:t>将机器学习由常规径流预测拓展至径流归因研究，构建</w:t>
      </w:r>
      <w:r>
        <w:rPr>
          <w:rFonts w:ascii="Times New Roman" w:hAnsi="Times New Roman" w:eastAsia="宋体" w:cs="Times New Roman"/>
          <w:color w:val="auto"/>
          <w:highlight w:val="none"/>
          <w14:ligatures w14:val="standardContextual"/>
        </w:rPr>
        <w:t>混合模型对SWAT天然径流模拟残差进行订正，以提高变化期天然径流重构精度。通过比较RF、LSTM和Informer等不同后处理模型，并结合Budyko弹性法开展归因交叉验证，</w:t>
      </w:r>
      <w:r>
        <w:rPr>
          <w:rFonts w:hint="eastAsia" w:ascii="Times New Roman" w:hAnsi="Times New Roman" w:eastAsia="宋体" w:cs="Times New Roman"/>
          <w:color w:val="auto"/>
          <w:highlight w:val="none"/>
          <w14:ligatures w14:val="standardContextual"/>
        </w:rPr>
        <w:t>为定量研究气候变化与人类活动对半干旱流域径流演变的贡献提供了新思路</w:t>
      </w:r>
      <w:r>
        <w:rPr>
          <w:rFonts w:ascii="Times New Roman" w:hAnsi="Times New Roman" w:eastAsia="宋体" w:cs="Times New Roman"/>
          <w:color w:val="auto"/>
          <w:highlight w:val="none"/>
          <w14:ligatures w14:val="standardContextual"/>
        </w:rPr>
        <w:t>。</w:t>
      </w:r>
    </w:p>
    <w:bookmarkEnd w:id="14"/>
    <w:bookmarkEnd w:id="15"/>
    <w:p w14:paraId="096D2379">
      <w:pPr>
        <w:pStyle w:val="2"/>
        <w:spacing w:before="0" w:after="0" w:line="240" w:lineRule="auto"/>
        <w:ind w:left="720" w:hanging="720"/>
        <w:rPr>
          <w:rFonts w:cs="Times New Roman"/>
          <w:b w:val="0"/>
          <w:color w:val="auto"/>
          <w:szCs w:val="28"/>
          <w:highlight w:val="none"/>
          <w14:ligatures w14:val="none"/>
        </w:rPr>
      </w:pPr>
      <w:bookmarkStart w:id="20" w:name="_Hlk233919770"/>
      <w:r>
        <w:rPr>
          <w:rFonts w:hint="eastAsia" w:cs="Times New Roman"/>
          <w:b w:val="0"/>
          <w:color w:val="auto"/>
          <w:szCs w:val="28"/>
          <w:highlight w:val="none"/>
          <w14:ligatures w14:val="none"/>
        </w:rPr>
        <w:t>1</w:t>
      </w:r>
      <w:r>
        <w:rPr>
          <w:rFonts w:cs="Times New Roman"/>
          <w:b w:val="0"/>
          <w:color w:val="auto"/>
          <w:szCs w:val="28"/>
          <w:highlight w:val="none"/>
          <w14:ligatures w14:val="none"/>
        </w:rPr>
        <w:t xml:space="preserve"> </w:t>
      </w:r>
      <w:r>
        <w:rPr>
          <w:rFonts w:hint="eastAsia" w:cs="Times New Roman"/>
          <w:b w:val="0"/>
          <w:color w:val="auto"/>
          <w:szCs w:val="28"/>
          <w:highlight w:val="none"/>
          <w14:ligatures w14:val="none"/>
        </w:rPr>
        <w:t>研究区概况与数据来源</w:t>
      </w:r>
    </w:p>
    <w:p w14:paraId="3AF6877D">
      <w:pPr>
        <w:pStyle w:val="3"/>
        <w:numPr>
          <w:ilvl w:val="0"/>
          <w:numId w:val="0"/>
        </w:numPr>
        <w:spacing w:before="0" w:after="0" w:line="240" w:lineRule="auto"/>
        <w:rPr>
          <w:rFonts w:eastAsia="黑体" w:cs="Times New Roman"/>
          <w:b w:val="0"/>
          <w:color w:val="auto"/>
          <w:sz w:val="21"/>
          <w:szCs w:val="22"/>
          <w:highlight w:val="none"/>
          <w14:ligatures w14:val="none"/>
        </w:rPr>
      </w:pPr>
      <w:r>
        <w:rPr>
          <w:rFonts w:hint="eastAsia" w:eastAsia="黑体" w:cs="Times New Roman"/>
          <w:b w:val="0"/>
          <w:color w:val="auto"/>
          <w:sz w:val="21"/>
          <w:szCs w:val="22"/>
          <w:highlight w:val="none"/>
          <w14:ligatures w14:val="none"/>
        </w:rPr>
        <w:t>1</w:t>
      </w:r>
      <w:r>
        <w:rPr>
          <w:rFonts w:eastAsia="黑体" w:cs="Times New Roman"/>
          <w:b w:val="0"/>
          <w:color w:val="auto"/>
          <w:sz w:val="21"/>
          <w:szCs w:val="22"/>
          <w:highlight w:val="none"/>
          <w14:ligatures w14:val="none"/>
        </w:rPr>
        <w:t xml:space="preserve">.1 </w:t>
      </w:r>
      <w:r>
        <w:rPr>
          <w:rFonts w:hint="eastAsia" w:eastAsia="黑体" w:cs="Times New Roman"/>
          <w:b w:val="0"/>
          <w:color w:val="auto"/>
          <w:sz w:val="21"/>
          <w:szCs w:val="22"/>
          <w:highlight w:val="none"/>
          <w14:ligatures w14:val="none"/>
        </w:rPr>
        <w:t>研究区概况</w:t>
      </w:r>
    </w:p>
    <w:p w14:paraId="1EB89889">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老哈河流域（</w:t>
      </w:r>
      <w:r>
        <w:rPr>
          <w:rFonts w:ascii="Times New Roman" w:hAnsi="Times New Roman" w:eastAsia="宋体" w:cs="Times New Roman"/>
          <w:color w:val="auto"/>
          <w:highlight w:val="none"/>
          <w14:ligatures w14:val="standardContextual"/>
        </w:rPr>
        <w:t>41</w:t>
      </w:r>
      <w:r>
        <w:rPr>
          <w:rFonts w:hint="eastAsia" w:ascii="Times New Roman" w:hAnsi="Times New Roman" w:eastAsia="宋体" w:cs="Times New Roman"/>
          <w:color w:val="auto"/>
          <w:highlight w:val="none"/>
          <w14:ligatures w14:val="standardContextual"/>
        </w:rPr>
        <w:t>°</w:t>
      </w:r>
      <w:r>
        <w:rPr>
          <w:rFonts w:ascii="Times New Roman" w:hAnsi="Times New Roman" w:eastAsia="宋体" w:cs="Times New Roman"/>
          <w:color w:val="auto"/>
          <w:highlight w:val="none"/>
          <w14:ligatures w14:val="standardContextual"/>
        </w:rPr>
        <w:t>00</w:t>
      </w:r>
      <w:r>
        <w:rPr>
          <w:rFonts w:hint="eastAsia" w:ascii="Times New Roman" w:hAnsi="Times New Roman" w:eastAsia="宋体" w:cs="Times New Roman"/>
          <w:color w:val="auto"/>
          <w:highlight w:val="none"/>
          <w14:ligatures w14:val="standardContextual"/>
        </w:rPr>
        <w:t>′</w:t>
      </w:r>
      <w:r>
        <w:rPr>
          <w:rFonts w:ascii="Times New Roman" w:hAnsi="Times New Roman" w:cs="Times New Roman"/>
          <w:color w:val="auto"/>
          <w:szCs w:val="21"/>
          <w:highlight w:val="none"/>
        </w:rPr>
        <w:t>—</w:t>
      </w:r>
      <w:r>
        <w:rPr>
          <w:rFonts w:ascii="Times New Roman" w:hAnsi="Times New Roman" w:eastAsia="宋体" w:cs="Times New Roman"/>
          <w:color w:val="auto"/>
          <w:highlight w:val="none"/>
          <w14:ligatures w14:val="standardContextual"/>
        </w:rPr>
        <w:t>42</w:t>
      </w:r>
      <w:r>
        <w:rPr>
          <w:rFonts w:hint="eastAsia" w:ascii="Times New Roman" w:hAnsi="Times New Roman" w:eastAsia="宋体" w:cs="Times New Roman"/>
          <w:color w:val="auto"/>
          <w:highlight w:val="none"/>
          <w14:ligatures w14:val="standardContextual"/>
        </w:rPr>
        <w:t>°</w:t>
      </w:r>
      <w:r>
        <w:rPr>
          <w:rFonts w:ascii="Times New Roman" w:hAnsi="Times New Roman" w:eastAsia="宋体" w:cs="Times New Roman"/>
          <w:color w:val="auto"/>
          <w:highlight w:val="none"/>
          <w14:ligatures w14:val="standardContextual"/>
        </w:rPr>
        <w:t>75</w:t>
      </w:r>
      <w:r>
        <w:rPr>
          <w:rFonts w:hint="eastAsia" w:ascii="Times New Roman" w:hAnsi="Times New Roman" w:eastAsia="宋体" w:cs="Times New Roman"/>
          <w:color w:val="auto"/>
          <w:highlight w:val="none"/>
          <w14:ligatures w14:val="standardContextual"/>
        </w:rPr>
        <w:t>′</w:t>
      </w:r>
      <w:r>
        <w:rPr>
          <w:rFonts w:ascii="Times New Roman" w:hAnsi="Times New Roman" w:eastAsia="宋体" w:cs="Times New Roman"/>
          <w:color w:val="auto"/>
          <w:highlight w:val="none"/>
          <w14:ligatures w14:val="standardContextual"/>
        </w:rPr>
        <w:t>N</w:t>
      </w:r>
      <w:r>
        <w:rPr>
          <w:rFonts w:hint="eastAsia" w:ascii="Times New Roman" w:hAnsi="Times New Roman" w:eastAsia="宋体" w:cs="Times New Roman"/>
          <w:color w:val="auto"/>
          <w:highlight w:val="none"/>
          <w14:ligatures w14:val="standardContextual"/>
        </w:rPr>
        <w:t>、</w:t>
      </w:r>
      <w:r>
        <w:rPr>
          <w:rFonts w:ascii="Times New Roman" w:hAnsi="Times New Roman" w:eastAsia="宋体" w:cs="Times New Roman"/>
          <w:color w:val="auto"/>
          <w:highlight w:val="none"/>
          <w14:ligatures w14:val="standardContextual"/>
        </w:rPr>
        <w:t>117</w:t>
      </w:r>
      <w:r>
        <w:rPr>
          <w:rFonts w:hint="eastAsia" w:ascii="Times New Roman" w:hAnsi="Times New Roman" w:eastAsia="宋体" w:cs="Times New Roman"/>
          <w:color w:val="auto"/>
          <w:highlight w:val="none"/>
          <w14:ligatures w14:val="standardContextual"/>
        </w:rPr>
        <w:t>°</w:t>
      </w:r>
      <w:r>
        <w:rPr>
          <w:rFonts w:ascii="Times New Roman" w:hAnsi="Times New Roman" w:eastAsia="宋体" w:cs="Times New Roman"/>
          <w:color w:val="auto"/>
          <w:highlight w:val="none"/>
          <w14:ligatures w14:val="standardContextual"/>
        </w:rPr>
        <w:t>25</w:t>
      </w:r>
      <w:r>
        <w:rPr>
          <w:rFonts w:hint="eastAsia" w:ascii="Times New Roman" w:hAnsi="Times New Roman" w:eastAsia="宋体" w:cs="Times New Roman"/>
          <w:color w:val="auto"/>
          <w:highlight w:val="none"/>
          <w14:ligatures w14:val="standardContextual"/>
        </w:rPr>
        <w:t>′</w:t>
      </w:r>
      <w:r>
        <w:rPr>
          <w:rFonts w:ascii="Times New Roman" w:hAnsi="Times New Roman" w:cs="Times New Roman"/>
          <w:color w:val="auto"/>
          <w:szCs w:val="21"/>
          <w:highlight w:val="none"/>
        </w:rPr>
        <w:t>—</w:t>
      </w:r>
      <w:r>
        <w:rPr>
          <w:rFonts w:ascii="Times New Roman" w:hAnsi="Times New Roman" w:eastAsia="宋体" w:cs="Times New Roman"/>
          <w:color w:val="auto"/>
          <w:highlight w:val="none"/>
          <w14:ligatures w14:val="standardContextual"/>
        </w:rPr>
        <w:t>120</w:t>
      </w:r>
      <w:r>
        <w:rPr>
          <w:rFonts w:hint="eastAsia" w:ascii="Times New Roman" w:hAnsi="Times New Roman" w:eastAsia="宋体" w:cs="Times New Roman"/>
          <w:color w:val="auto"/>
          <w:highlight w:val="none"/>
          <w14:ligatures w14:val="standardContextual"/>
        </w:rPr>
        <w:t>°</w:t>
      </w:r>
      <w:r>
        <w:rPr>
          <w:rFonts w:ascii="Times New Roman" w:hAnsi="Times New Roman" w:eastAsia="宋体" w:cs="Times New Roman"/>
          <w:color w:val="auto"/>
          <w:highlight w:val="none"/>
          <w14:ligatures w14:val="standardContextual"/>
        </w:rPr>
        <w:t>0</w:t>
      </w:r>
      <w:r>
        <w:rPr>
          <w:rFonts w:hint="eastAsia" w:ascii="Times New Roman" w:hAnsi="Times New Roman" w:eastAsia="宋体" w:cs="Times New Roman"/>
          <w:color w:val="auto"/>
          <w:highlight w:val="none"/>
          <w14:ligatures w14:val="standardContextual"/>
        </w:rPr>
        <w:t>0′</w:t>
      </w:r>
      <w:r>
        <w:rPr>
          <w:rFonts w:ascii="Times New Roman" w:hAnsi="Times New Roman" w:eastAsia="宋体" w:cs="Times New Roman"/>
          <w:color w:val="auto"/>
          <w:highlight w:val="none"/>
          <w14:ligatures w14:val="standardContextual"/>
        </w:rPr>
        <w:t>E</w:t>
      </w:r>
      <w:r>
        <w:rPr>
          <w:rFonts w:hint="eastAsia" w:ascii="Times New Roman" w:hAnsi="Times New Roman" w:eastAsia="宋体"/>
          <w:color w:val="auto"/>
          <w:highlight w:val="none"/>
          <w14:ligatures w14:val="standardContextual"/>
        </w:rPr>
        <w:t>）位于西辽河上游，属于典型的北方半干旱区流域。</w:t>
      </w:r>
      <w:r>
        <w:rPr>
          <w:rFonts w:ascii="Times New Roman" w:hAnsi="Times New Roman" w:eastAsia="宋体"/>
          <w:color w:val="auto"/>
          <w:highlight w:val="none"/>
          <w14:ligatures w14:val="standardContextual"/>
        </w:rPr>
        <w:t>本</w:t>
      </w:r>
      <w:r>
        <w:rPr>
          <w:rFonts w:hint="eastAsia" w:ascii="Times New Roman" w:hAnsi="Times New Roman" w:eastAsia="宋体"/>
          <w:color w:val="auto"/>
          <w:highlight w:val="none"/>
          <w14:ligatures w14:val="standardContextual"/>
        </w:rPr>
        <w:t>文</w:t>
      </w:r>
      <w:r>
        <w:rPr>
          <w:rFonts w:ascii="Times New Roman" w:hAnsi="Times New Roman" w:eastAsia="宋体"/>
          <w:color w:val="auto"/>
          <w:highlight w:val="none"/>
          <w14:ligatures w14:val="standardContextual"/>
        </w:rPr>
        <w:t>选取兴隆坡水文站以上控制流域作为研究区</w:t>
      </w:r>
      <w:r>
        <w:rPr>
          <w:rFonts w:hint="eastAsia" w:ascii="Times New Roman" w:hAnsi="Times New Roman" w:eastAsia="宋体"/>
          <w:color w:val="auto"/>
          <w:highlight w:val="none"/>
          <w14:ligatures w14:val="standardContextual"/>
        </w:rPr>
        <w:t>，如</w:t>
      </w:r>
      <w:r>
        <w:rPr>
          <w:rFonts w:ascii="Times New Roman" w:hAnsi="Times New Roman" w:eastAsia="宋体"/>
          <w:color w:val="auto"/>
          <w:highlight w:val="none"/>
          <w14:ligatures w14:val="standardContextual"/>
        </w:rPr>
        <w:t>图</w:t>
      </w:r>
      <w:r>
        <w:rPr>
          <w:rFonts w:hint="eastAsia" w:ascii="Times New Roman" w:hAnsi="Times New Roman" w:eastAsia="宋体"/>
          <w:color w:val="auto"/>
          <w:highlight w:val="none"/>
          <w14:ligatures w14:val="standardContextual"/>
        </w:rPr>
        <w:t>1（a）所示</w:t>
      </w:r>
      <w:r>
        <w:rPr>
          <w:rFonts w:ascii="Times New Roman" w:hAnsi="Times New Roman" w:eastAsia="宋体"/>
          <w:color w:val="auto"/>
          <w:highlight w:val="none"/>
          <w14:ligatures w14:val="standardContextual"/>
        </w:rPr>
        <w:t>，面积约</w:t>
      </w:r>
      <w:r>
        <w:rPr>
          <w:rFonts w:hint="eastAsia" w:ascii="Times New Roman" w:hAnsi="Times New Roman" w:eastAsia="宋体"/>
          <w:color w:val="auto"/>
          <w:highlight w:val="none"/>
          <w14:ligatures w14:val="standardContextual"/>
        </w:rPr>
        <w:t>1</w:t>
      </w:r>
      <w:r>
        <w:rPr>
          <w:rFonts w:ascii="Times New Roman" w:hAnsi="Times New Roman" w:eastAsia="宋体"/>
          <w:color w:val="auto"/>
          <w:highlight w:val="none"/>
          <w14:ligatures w14:val="standardContextual"/>
        </w:rPr>
        <w:t>8935 km</w:t>
      </w:r>
      <w:r>
        <w:rPr>
          <w:rFonts w:ascii="Times New Roman" w:hAnsi="Times New Roman" w:eastAsia="宋体"/>
          <w:color w:val="auto"/>
          <w:highlight w:val="none"/>
          <w:vertAlign w:val="superscript"/>
          <w14:ligatures w14:val="standardContextual"/>
        </w:rPr>
        <w:t>2</w:t>
      </w:r>
      <w:r>
        <w:rPr>
          <w:rFonts w:hint="eastAsia" w:ascii="Times New Roman" w:hAnsi="Times New Roman" w:eastAsia="宋体"/>
          <w:color w:val="auto"/>
          <w:highlight w:val="none"/>
          <w14:ligatures w14:val="standardContextual"/>
        </w:rPr>
        <w:t>。流域整体地势西高东低，属</w:t>
      </w:r>
      <w:r>
        <w:rPr>
          <w:rFonts w:ascii="Times New Roman" w:hAnsi="Times New Roman" w:eastAsia="宋体"/>
          <w:color w:val="auto"/>
          <w:highlight w:val="none"/>
          <w14:ligatures w14:val="standardContextual"/>
        </w:rPr>
        <w:t>温带大陆性季风气候，多年平均降水量约460 mm，降水年际波动较大</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且年内分配不均，主要集中于</w:t>
      </w:r>
      <w:r>
        <w:rPr>
          <w:rFonts w:hint="eastAsia" w:ascii="Times New Roman" w:hAnsi="Times New Roman" w:eastAsia="宋体"/>
          <w:color w:val="auto"/>
          <w:highlight w:val="none"/>
          <w14:ligatures w14:val="standardContextual"/>
        </w:rPr>
        <w:t>5</w:t>
      </w:r>
      <w:r>
        <w:rPr>
          <w:rFonts w:ascii="Times New Roman" w:hAnsi="Times New Roman" w:cs="Times New Roman"/>
          <w:color w:val="auto"/>
          <w:szCs w:val="21"/>
          <w:highlight w:val="none"/>
        </w:rPr>
        <w:t>—</w:t>
      </w:r>
      <w:r>
        <w:rPr>
          <w:rFonts w:ascii="Times New Roman" w:hAnsi="Times New Roman" w:eastAsia="宋体"/>
          <w:color w:val="auto"/>
          <w:highlight w:val="none"/>
          <w14:ligatures w14:val="standardContextual"/>
        </w:rPr>
        <w:t>10</w:t>
      </w:r>
      <w:r>
        <w:rPr>
          <w:rFonts w:hint="eastAsia" w:ascii="Times New Roman" w:hAnsi="Times New Roman" w:eastAsia="宋体"/>
          <w:color w:val="auto"/>
          <w:highlight w:val="none"/>
          <w14:ligatures w14:val="standardContextual"/>
        </w:rPr>
        <w:t>月份</w:t>
      </w:r>
      <w:r>
        <w:rPr>
          <w:rFonts w:ascii="Times New Roman" w:hAnsi="Times New Roman" w:eastAsia="宋体"/>
          <w:color w:val="auto"/>
          <w:highlight w:val="none"/>
          <w:vertAlign w:val="superscript"/>
          <w14:ligatures w14:val="standardContextual"/>
        </w:rPr>
        <w:t>[30]</w:t>
      </w:r>
      <w:r>
        <w:rPr>
          <w:rFonts w:hint="eastAsia" w:ascii="Times New Roman" w:hAnsi="Times New Roman" w:eastAsia="宋体"/>
          <w:color w:val="auto"/>
          <w:highlight w:val="none"/>
          <w14:ligatures w14:val="standardContextual"/>
        </w:rPr>
        <w:t>，多年平均径流量约1</w:t>
      </w:r>
      <w:r>
        <w:rPr>
          <w:rFonts w:ascii="Times New Roman" w:hAnsi="Times New Roman" w:eastAsia="宋体"/>
          <w:color w:val="auto"/>
          <w:highlight w:val="none"/>
          <w14:ligatures w14:val="standardContextual"/>
        </w:rPr>
        <w:t>3.0</w:t>
      </w:r>
      <w:r>
        <w:rPr>
          <w:rFonts w:hint="eastAsia" w:ascii="Times New Roman" w:hAnsi="Times New Roman" w:eastAsia="宋体"/>
          <w:color w:val="auto"/>
          <w:highlight w:val="none"/>
          <w14:ligatures w14:val="standardContextual"/>
        </w:rPr>
        <w:t xml:space="preserve"> m³/s。近年来，流域农业灌溉、地下水开采等人类活动较为频繁，天然产汇流过程受到明显干扰。</w:t>
      </w:r>
    </w:p>
    <w:p w14:paraId="2AC0763E">
      <w:pPr>
        <w:jc w:val="center"/>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drawing>
          <wp:inline distT="0" distB="0" distL="0" distR="0">
            <wp:extent cx="5399405" cy="3408045"/>
            <wp:effectExtent l="0" t="0" r="0"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a:extLst>
                        <a:ext uri="{28A0092B-C50C-407E-A947-70E740481C1C}">
                          <a14:useLocalDpi xmlns:a14="http://schemas.microsoft.com/office/drawing/2010/main" val="0"/>
                        </a:ext>
                      </a:extLst>
                    </a:blip>
                    <a:srcRect l="2627" t="15985" r="3318"/>
                    <a:stretch>
                      <a:fillRect/>
                    </a:stretch>
                  </pic:blipFill>
                  <pic:spPr>
                    <a:xfrm>
                      <a:off x="0" y="0"/>
                      <a:ext cx="5400000" cy="3408311"/>
                    </a:xfrm>
                    <a:prstGeom prst="rect">
                      <a:avLst/>
                    </a:prstGeom>
                    <a:noFill/>
                    <a:ln>
                      <a:noFill/>
                    </a:ln>
                  </pic:spPr>
                </pic:pic>
              </a:graphicData>
            </a:graphic>
          </wp:inline>
        </w:drawing>
      </w:r>
    </w:p>
    <w:p w14:paraId="34850463">
      <w:pPr>
        <w:pStyle w:val="59"/>
        <w:spacing w:beforeLines="0" w:afterLines="0" w:line="240" w:lineRule="auto"/>
        <w:rPr>
          <w:b w:val="0"/>
          <w:bCs/>
          <w:color w:val="auto"/>
          <w:szCs w:val="21"/>
          <w:highlight w:val="none"/>
        </w:rPr>
      </w:pPr>
      <w:r>
        <w:rPr>
          <w:rFonts w:hint="eastAsia"/>
          <w:b w:val="0"/>
          <w:bCs/>
          <w:color w:val="auto"/>
          <w:szCs w:val="21"/>
          <w:highlight w:val="none"/>
        </w:rPr>
        <w:t>图1</w:t>
      </w:r>
      <w:r>
        <w:rPr>
          <w:b w:val="0"/>
          <w:bCs/>
          <w:color w:val="auto"/>
          <w:szCs w:val="21"/>
          <w:highlight w:val="none"/>
        </w:rPr>
        <w:t xml:space="preserve">  老哈河流域</w:t>
      </w:r>
    </w:p>
    <w:p w14:paraId="6E0617F6">
      <w:pPr>
        <w:pStyle w:val="59"/>
        <w:spacing w:beforeLines="0" w:afterLines="0" w:line="240" w:lineRule="auto"/>
        <w:rPr>
          <w:b w:val="0"/>
          <w:bCs/>
          <w:color w:val="auto"/>
          <w:szCs w:val="21"/>
          <w:highlight w:val="none"/>
        </w:rPr>
      </w:pPr>
      <w:r>
        <w:rPr>
          <w:b w:val="0"/>
          <w:bCs/>
          <w:color w:val="auto"/>
          <w:szCs w:val="21"/>
          <w:highlight w:val="none"/>
        </w:rPr>
        <w:t>Fig.1  Maps of Laoha River Basin</w:t>
      </w:r>
    </w:p>
    <w:p w14:paraId="7AD23BF0">
      <w:pPr>
        <w:pStyle w:val="3"/>
        <w:numPr>
          <w:ilvl w:val="0"/>
          <w:numId w:val="0"/>
        </w:numPr>
        <w:spacing w:before="0" w:after="0" w:line="240" w:lineRule="auto"/>
        <w:rPr>
          <w:rFonts w:eastAsia="黑体" w:cs="Times New Roman"/>
          <w:b w:val="0"/>
          <w:color w:val="auto"/>
          <w:sz w:val="21"/>
          <w:szCs w:val="22"/>
          <w:highlight w:val="none"/>
          <w14:ligatures w14:val="none"/>
        </w:rPr>
      </w:pPr>
      <w:r>
        <w:rPr>
          <w:rFonts w:hint="eastAsia" w:eastAsia="黑体" w:cs="Times New Roman"/>
          <w:b w:val="0"/>
          <w:color w:val="auto"/>
          <w:sz w:val="21"/>
          <w:szCs w:val="22"/>
          <w:highlight w:val="none"/>
          <w14:ligatures w14:val="none"/>
        </w:rPr>
        <w:t>1</w:t>
      </w:r>
      <w:r>
        <w:rPr>
          <w:rFonts w:eastAsia="黑体" w:cs="Times New Roman"/>
          <w:b w:val="0"/>
          <w:color w:val="auto"/>
          <w:sz w:val="21"/>
          <w:szCs w:val="22"/>
          <w:highlight w:val="none"/>
          <w14:ligatures w14:val="none"/>
        </w:rPr>
        <w:t xml:space="preserve">.2 </w:t>
      </w:r>
      <w:r>
        <w:rPr>
          <w:rFonts w:hint="eastAsia" w:eastAsia="黑体" w:cs="Times New Roman"/>
          <w:b w:val="0"/>
          <w:color w:val="auto"/>
          <w:sz w:val="21"/>
          <w:szCs w:val="22"/>
          <w:highlight w:val="none"/>
          <w14:ligatures w14:val="none"/>
        </w:rPr>
        <w:t>数据来源</w:t>
      </w:r>
    </w:p>
    <w:p w14:paraId="6E5264E4">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本文所用数据主要包括水文气象数据</w:t>
      </w:r>
      <w:r>
        <w:rPr>
          <w:rFonts w:ascii="Times New Roman" w:hAnsi="Times New Roman" w:eastAsia="宋体"/>
          <w:color w:val="auto"/>
          <w:highlight w:val="none"/>
          <w14:ligatures w14:val="standardContextual"/>
        </w:rPr>
        <w:t>和</w:t>
      </w:r>
      <w:r>
        <w:rPr>
          <w:rFonts w:hint="eastAsia" w:ascii="Times New Roman" w:hAnsi="Times New Roman" w:eastAsia="宋体"/>
          <w:color w:val="auto"/>
          <w:highlight w:val="none"/>
          <w14:ligatures w14:val="standardContextual"/>
        </w:rPr>
        <w:t>地理信息基础数据：</w:t>
      </w:r>
      <w:r>
        <w:rPr>
          <w:rFonts w:hint="eastAsia" w:ascii="宋体" w:hAnsi="宋体" w:eastAsia="宋体"/>
          <w:color w:val="auto"/>
          <w:highlight w:val="none"/>
          <w14:ligatures w14:val="standardContextual"/>
        </w:rPr>
        <w:t>（1）</w:t>
      </w:r>
      <w:r>
        <w:rPr>
          <w:rFonts w:hint="eastAsia" w:ascii="Times New Roman" w:hAnsi="Times New Roman" w:eastAsia="宋体"/>
          <w:color w:val="auto"/>
          <w:highlight w:val="none"/>
          <w14:ligatures w14:val="standardContextual"/>
        </w:rPr>
        <w:t>气象数据采用</w:t>
      </w:r>
      <w:r>
        <w:rPr>
          <w:rFonts w:ascii="Times New Roman" w:hAnsi="Times New Roman" w:eastAsia="宋体"/>
          <w:color w:val="auto"/>
          <w:highlight w:val="none"/>
          <w14:ligatures w14:val="standardContextual"/>
        </w:rPr>
        <w:t>中国区域地面气象要素驱动数据集（CMFD）</w:t>
      </w:r>
      <w:r>
        <w:rPr>
          <w:rFonts w:hint="eastAsia" w:ascii="Times New Roman" w:hAnsi="Times New Roman" w:eastAsia="宋体"/>
          <w:color w:val="auto"/>
          <w:highlight w:val="none"/>
          <w14:ligatures w14:val="standardContextual"/>
        </w:rPr>
        <w:t>1</w:t>
      </w:r>
      <w:r>
        <w:rPr>
          <w:rFonts w:ascii="Times New Roman" w:hAnsi="Times New Roman" w:eastAsia="宋体"/>
          <w:color w:val="auto"/>
          <w:highlight w:val="none"/>
          <w14:ligatures w14:val="standardContextual"/>
        </w:rPr>
        <w:t>964</w:t>
      </w:r>
      <w:r>
        <w:rPr>
          <w:rFonts w:ascii="Times New Roman" w:hAnsi="Times New Roman" w:cs="Times New Roman"/>
          <w:color w:val="auto"/>
          <w:szCs w:val="21"/>
          <w:highlight w:val="none"/>
        </w:rPr>
        <w:t>—</w:t>
      </w:r>
      <w:r>
        <w:rPr>
          <w:rFonts w:hint="eastAsia" w:ascii="Times New Roman" w:hAnsi="Times New Roman" w:eastAsia="宋体"/>
          <w:color w:val="auto"/>
          <w:highlight w:val="none"/>
          <w14:ligatures w14:val="standardContextual"/>
        </w:rPr>
        <w:t>2</w:t>
      </w:r>
      <w:r>
        <w:rPr>
          <w:rFonts w:ascii="Times New Roman" w:hAnsi="Times New Roman" w:eastAsia="宋体"/>
          <w:color w:val="auto"/>
          <w:highlight w:val="none"/>
          <w14:ligatures w14:val="standardContextual"/>
        </w:rPr>
        <w:t>022</w:t>
      </w:r>
      <w:r>
        <w:rPr>
          <w:rFonts w:hint="eastAsia" w:ascii="Times New Roman" w:hAnsi="Times New Roman" w:eastAsia="宋体"/>
          <w:color w:val="auto"/>
          <w:highlight w:val="none"/>
          <w14:ligatures w14:val="standardContextual"/>
        </w:rPr>
        <w:t>年的日气象数据，分辨率为0</w:t>
      </w:r>
      <w:r>
        <w:rPr>
          <w:rFonts w:ascii="Times New Roman" w:hAnsi="Times New Roman" w:eastAsia="宋体"/>
          <w:color w:val="auto"/>
          <w:highlight w:val="none"/>
          <w14:ligatures w14:val="standardContextual"/>
        </w:rPr>
        <w:t>.1°</w:t>
      </w:r>
      <w:r>
        <w:rPr>
          <w:rFonts w:hint="eastAsia" w:ascii="Times New Roman" w:hAnsi="Times New Roman" w:eastAsia="宋体"/>
          <w:color w:val="auto"/>
          <w:highlight w:val="none"/>
          <w14:ligatures w14:val="standardContextual"/>
        </w:rPr>
        <w:t>，用于驱动S</w:t>
      </w:r>
      <w:r>
        <w:rPr>
          <w:rFonts w:ascii="Times New Roman" w:hAnsi="Times New Roman" w:eastAsia="宋体"/>
          <w:color w:val="auto"/>
          <w:highlight w:val="none"/>
          <w14:ligatures w14:val="standardContextual"/>
        </w:rPr>
        <w:t>WAT</w:t>
      </w:r>
      <w:r>
        <w:rPr>
          <w:rFonts w:hint="eastAsia" w:ascii="Times New Roman" w:hAnsi="Times New Roman" w:eastAsia="宋体"/>
          <w:color w:val="auto"/>
          <w:highlight w:val="none"/>
          <w14:ligatures w14:val="standardContextual"/>
        </w:rPr>
        <w:t>模型并计算流域气象要素。水文数据为兴隆坡</w:t>
      </w:r>
      <w:r>
        <w:rPr>
          <w:rFonts w:ascii="Times New Roman" w:hAnsi="Times New Roman" w:eastAsia="宋体"/>
          <w:color w:val="auto"/>
          <w:highlight w:val="none"/>
          <w14:ligatures w14:val="standardContextual"/>
        </w:rPr>
        <w:t>水文站1964</w:t>
      </w:r>
      <w:r>
        <w:rPr>
          <w:rFonts w:ascii="Times New Roman" w:hAnsi="Times New Roman" w:cs="Times New Roman"/>
          <w:color w:val="auto"/>
          <w:szCs w:val="21"/>
          <w:highlight w:val="none"/>
        </w:rPr>
        <w:t>—</w:t>
      </w:r>
      <w:r>
        <w:rPr>
          <w:rFonts w:ascii="Times New Roman" w:hAnsi="Times New Roman" w:eastAsia="宋体"/>
          <w:color w:val="auto"/>
          <w:highlight w:val="none"/>
          <w14:ligatures w14:val="standardContextual"/>
        </w:rPr>
        <w:t>2022年的</w:t>
      </w:r>
      <w:r>
        <w:rPr>
          <w:rFonts w:hint="eastAsia" w:ascii="Times New Roman" w:hAnsi="Times New Roman" w:eastAsia="宋体"/>
          <w:color w:val="auto"/>
          <w:highlight w:val="none"/>
          <w14:ligatures w14:val="standardContextual"/>
        </w:rPr>
        <w:t>日尺度</w:t>
      </w:r>
      <w:r>
        <w:rPr>
          <w:rFonts w:ascii="Times New Roman" w:hAnsi="Times New Roman" w:eastAsia="宋体"/>
          <w:color w:val="auto"/>
          <w:highlight w:val="none"/>
          <w14:ligatures w14:val="standardContextual"/>
        </w:rPr>
        <w:t>径流资料</w:t>
      </w:r>
      <w:r>
        <w:rPr>
          <w:rFonts w:hint="eastAsia" w:ascii="Times New Roman" w:hAnsi="Times New Roman" w:eastAsia="宋体"/>
          <w:color w:val="auto"/>
          <w:highlight w:val="none"/>
          <w14:ligatures w14:val="standardContextual"/>
        </w:rPr>
        <w:t>，来源于水文年鉴。（2）地理信息基础数据包括数字高程模型（D</w:t>
      </w:r>
      <w:r>
        <w:rPr>
          <w:rFonts w:ascii="Times New Roman" w:hAnsi="Times New Roman" w:eastAsia="宋体"/>
          <w:color w:val="auto"/>
          <w:highlight w:val="none"/>
          <w14:ligatures w14:val="standardContextual"/>
        </w:rPr>
        <w:t>EM</w:t>
      </w:r>
      <w:r>
        <w:rPr>
          <w:rFonts w:hint="eastAsia" w:ascii="Times New Roman" w:hAnsi="Times New Roman" w:eastAsia="宋体"/>
          <w:color w:val="auto"/>
          <w:highlight w:val="none"/>
          <w14:ligatures w14:val="standardContextual"/>
        </w:rPr>
        <w:t>）、土壤和土地利用数据。土壤数据来源于</w:t>
      </w:r>
      <w:r>
        <w:rPr>
          <w:rFonts w:ascii="Times New Roman" w:hAnsi="Times New Roman" w:eastAsia="宋体"/>
          <w:color w:val="auto"/>
          <w:highlight w:val="none"/>
          <w14:ligatures w14:val="standardContextual"/>
        </w:rPr>
        <w:t>全球土壤数据库（</w:t>
      </w:r>
      <w:r>
        <w:rPr>
          <w:rFonts w:hint="eastAsia" w:ascii="Times New Roman" w:hAnsi="Times New Roman" w:eastAsia="宋体"/>
          <w:color w:val="auto"/>
          <w:highlight w:val="none"/>
          <w14:ligatures w14:val="standardContextual"/>
        </w:rPr>
        <w:t>H</w:t>
      </w:r>
      <w:r>
        <w:rPr>
          <w:rFonts w:ascii="Times New Roman" w:hAnsi="Times New Roman" w:eastAsia="宋体"/>
          <w:color w:val="auto"/>
          <w:highlight w:val="none"/>
          <w14:ligatures w14:val="standardContextual"/>
        </w:rPr>
        <w:t>WSD）</w:t>
      </w:r>
      <w:r>
        <w:rPr>
          <w:rFonts w:hint="eastAsia" w:ascii="Times New Roman" w:hAnsi="Times New Roman" w:eastAsia="宋体"/>
          <w:color w:val="auto"/>
          <w:highlight w:val="none"/>
          <w14:ligatures w14:val="standardContextual"/>
        </w:rPr>
        <w:t>，分辨率为1</w:t>
      </w:r>
      <w:r>
        <w:rPr>
          <w:rFonts w:ascii="Times New Roman" w:hAnsi="Times New Roman" w:eastAsia="宋体"/>
          <w:color w:val="auto"/>
          <w:highlight w:val="none"/>
          <w14:ligatures w14:val="standardContextual"/>
        </w:rPr>
        <w:t xml:space="preserve"> km</w:t>
      </w:r>
      <w:r>
        <w:rPr>
          <w:rFonts w:hint="eastAsia" w:ascii="Times New Roman" w:hAnsi="Times New Roman" w:eastAsia="宋体"/>
          <w:color w:val="auto"/>
          <w:highlight w:val="none"/>
          <w14:ligatures w14:val="standardContextual"/>
        </w:rPr>
        <w:t>；土地利用数据来源于中国多时期土地利用遥感监测数据集（CNLUCC），分辨率为1</w:t>
      </w:r>
      <w:r>
        <w:rPr>
          <w:rFonts w:ascii="Times New Roman" w:hAnsi="Times New Roman" w:eastAsia="宋体"/>
          <w:color w:val="auto"/>
          <w:highlight w:val="none"/>
          <w14:ligatures w14:val="standardContextual"/>
        </w:rPr>
        <w:t xml:space="preserve"> km</w:t>
      </w:r>
      <w:r>
        <w:rPr>
          <w:rFonts w:hint="eastAsia" w:ascii="Times New Roman" w:hAnsi="Times New Roman" w:eastAsia="宋体"/>
          <w:color w:val="auto"/>
          <w:highlight w:val="none"/>
          <w14:ligatures w14:val="standardContextual"/>
        </w:rPr>
        <w:t>，本文中采用1</w:t>
      </w:r>
      <w:r>
        <w:rPr>
          <w:rFonts w:ascii="Times New Roman" w:hAnsi="Times New Roman" w:eastAsia="宋体"/>
          <w:color w:val="auto"/>
          <w:highlight w:val="none"/>
          <w14:ligatures w14:val="standardContextual"/>
        </w:rPr>
        <w:t>980</w:t>
      </w:r>
      <w:r>
        <w:rPr>
          <w:rFonts w:hint="eastAsia" w:ascii="Times New Roman" w:hAnsi="Times New Roman" w:eastAsia="宋体"/>
          <w:color w:val="auto"/>
          <w:highlight w:val="none"/>
          <w14:ligatures w14:val="standardContextual"/>
        </w:rPr>
        <w:t>年的静态土地利用数据作为模型输入数据；D</w:t>
      </w:r>
      <w:r>
        <w:rPr>
          <w:rFonts w:ascii="Times New Roman" w:hAnsi="Times New Roman" w:eastAsia="宋体"/>
          <w:color w:val="auto"/>
          <w:highlight w:val="none"/>
          <w14:ligatures w14:val="standardContextual"/>
        </w:rPr>
        <w:t>EM</w:t>
      </w:r>
      <w:r>
        <w:rPr>
          <w:rFonts w:hint="eastAsia" w:ascii="Times New Roman" w:hAnsi="Times New Roman" w:eastAsia="宋体"/>
          <w:color w:val="auto"/>
          <w:highlight w:val="none"/>
          <w14:ligatures w14:val="standardContextual"/>
        </w:rPr>
        <w:t>数据来源于</w:t>
      </w:r>
      <w:r>
        <w:rPr>
          <w:rFonts w:ascii="Times New Roman" w:hAnsi="Times New Roman" w:eastAsia="宋体"/>
          <w:color w:val="auto"/>
          <w:highlight w:val="none"/>
        </w:rPr>
        <w:t>GDEMV3</w:t>
      </w:r>
      <w:r>
        <w:rPr>
          <w:rFonts w:hint="eastAsia" w:ascii="Times New Roman" w:hAnsi="Times New Roman" w:eastAsia="宋体"/>
          <w:color w:val="auto"/>
          <w:highlight w:val="none"/>
        </w:rPr>
        <w:t>，分辨率为</w:t>
      </w:r>
      <w:r>
        <w:rPr>
          <w:rFonts w:ascii="Times New Roman" w:hAnsi="Times New Roman" w:eastAsia="宋体"/>
          <w:color w:val="auto"/>
          <w:highlight w:val="none"/>
        </w:rPr>
        <w:t>30 m</w:t>
      </w:r>
      <w:r>
        <w:rPr>
          <w:rFonts w:hint="eastAsia" w:ascii="Times New Roman" w:hAnsi="Times New Roman" w:eastAsia="宋体"/>
          <w:color w:val="auto"/>
          <w:highlight w:val="none"/>
          <w14:ligatures w14:val="standardContextual"/>
        </w:rPr>
        <w:t>。</w:t>
      </w:r>
      <w:bookmarkEnd w:id="20"/>
      <w:bookmarkStart w:id="21" w:name="_Hlk233922202"/>
    </w:p>
    <w:p w14:paraId="69F55EA9">
      <w:pPr>
        <w:pStyle w:val="2"/>
        <w:spacing w:before="0" w:after="0" w:line="240" w:lineRule="auto"/>
        <w:ind w:left="720" w:hanging="720"/>
        <w:rPr>
          <w:rFonts w:cs="Times New Roman"/>
          <w:b w:val="0"/>
          <w:color w:val="auto"/>
          <w:szCs w:val="28"/>
          <w:highlight w:val="none"/>
          <w14:ligatures w14:val="none"/>
        </w:rPr>
      </w:pPr>
      <w:r>
        <w:rPr>
          <w:rFonts w:hint="eastAsia" w:cs="Times New Roman"/>
          <w:b w:val="0"/>
          <w:color w:val="auto"/>
          <w:szCs w:val="28"/>
          <w:highlight w:val="none"/>
          <w14:ligatures w14:val="none"/>
        </w:rPr>
        <w:t>2</w:t>
      </w:r>
      <w:r>
        <w:rPr>
          <w:rFonts w:cs="Times New Roman"/>
          <w:b w:val="0"/>
          <w:color w:val="auto"/>
          <w:szCs w:val="28"/>
          <w:highlight w:val="none"/>
          <w14:ligatures w14:val="none"/>
        </w:rPr>
        <w:t xml:space="preserve"> </w:t>
      </w:r>
      <w:r>
        <w:rPr>
          <w:rFonts w:hint="eastAsia" w:cs="Times New Roman"/>
          <w:b w:val="0"/>
          <w:color w:val="auto"/>
          <w:szCs w:val="28"/>
          <w:highlight w:val="none"/>
          <w14:ligatures w14:val="none"/>
        </w:rPr>
        <w:t>研究方法</w:t>
      </w:r>
    </w:p>
    <w:p w14:paraId="053D5F87">
      <w:pPr>
        <w:pStyle w:val="3"/>
        <w:numPr>
          <w:ilvl w:val="0"/>
          <w:numId w:val="0"/>
        </w:numPr>
        <w:spacing w:before="0" w:after="0" w:line="240" w:lineRule="auto"/>
        <w:rPr>
          <w:rFonts w:eastAsia="黑体" w:cs="Times New Roman"/>
          <w:b w:val="0"/>
          <w:color w:val="auto"/>
          <w:sz w:val="21"/>
          <w:szCs w:val="22"/>
          <w:highlight w:val="none"/>
          <w14:ligatures w14:val="none"/>
        </w:rPr>
      </w:pPr>
      <w:r>
        <w:rPr>
          <w:rFonts w:hint="eastAsia" w:eastAsia="黑体" w:cs="Times New Roman"/>
          <w:b w:val="0"/>
          <w:color w:val="auto"/>
          <w:sz w:val="21"/>
          <w:szCs w:val="22"/>
          <w:highlight w:val="none"/>
          <w14:ligatures w14:val="none"/>
        </w:rPr>
        <w:t>2</w:t>
      </w:r>
      <w:r>
        <w:rPr>
          <w:rFonts w:eastAsia="黑体" w:cs="Times New Roman"/>
          <w:b w:val="0"/>
          <w:color w:val="auto"/>
          <w:sz w:val="21"/>
          <w:szCs w:val="22"/>
          <w:highlight w:val="none"/>
          <w14:ligatures w14:val="none"/>
        </w:rPr>
        <w:t xml:space="preserve">.1 </w:t>
      </w:r>
      <w:r>
        <w:rPr>
          <w:rFonts w:hint="eastAsia" w:eastAsia="黑体" w:cs="Times New Roman"/>
          <w:b w:val="0"/>
          <w:color w:val="auto"/>
          <w:sz w:val="21"/>
          <w:szCs w:val="22"/>
          <w:highlight w:val="none"/>
          <w14:ligatures w14:val="none"/>
        </w:rPr>
        <w:t>突变分析及研究期划分</w:t>
      </w:r>
    </w:p>
    <w:p w14:paraId="1E866143">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为识别研究期内水文气象要素，尤其是径流序列的阶段性变化特征，采用趋势分析、</w:t>
      </w:r>
      <w:r>
        <w:rPr>
          <w:rFonts w:ascii="Times New Roman" w:hAnsi="Times New Roman" w:eastAsia="宋体"/>
          <w:color w:val="auto"/>
          <w:highlight w:val="none"/>
          <w14:ligatures w14:val="standardContextual"/>
        </w:rPr>
        <w:t>Mann-Kendall（MK）检验、Pettitt检验、累计距平分析以及降水-径流双累积曲线等方法，对1964</w:t>
      </w:r>
      <w:r>
        <w:rPr>
          <w:rFonts w:ascii="Times New Roman" w:hAnsi="Times New Roman" w:cs="Times New Roman"/>
          <w:color w:val="auto"/>
          <w:szCs w:val="21"/>
          <w:highlight w:val="none"/>
        </w:rPr>
        <w:t>—</w:t>
      </w:r>
      <w:r>
        <w:rPr>
          <w:rFonts w:ascii="Times New Roman" w:hAnsi="Times New Roman" w:eastAsia="宋体"/>
          <w:color w:val="auto"/>
          <w:highlight w:val="none"/>
          <w14:ligatures w14:val="standardContextual"/>
        </w:rPr>
        <w:t>2022年老哈河流域降水、气温、潜在蒸散发和径流序列进行综合诊断，多方法联合可降低单一方法识别结果的不确定性，提高研究期划分的可靠性。将突变点之前的时期划定为基准期，用于模型率定和验证，突变点之后的时期划分为变化期，用于径流演变归因。</w:t>
      </w:r>
    </w:p>
    <w:p w14:paraId="244E090E">
      <w:pPr>
        <w:pStyle w:val="3"/>
        <w:numPr>
          <w:ilvl w:val="0"/>
          <w:numId w:val="0"/>
        </w:numPr>
        <w:spacing w:before="0" w:after="0" w:line="240" w:lineRule="auto"/>
        <w:rPr>
          <w:rFonts w:eastAsia="黑体" w:cs="Times New Roman"/>
          <w:b w:val="0"/>
          <w:color w:val="auto"/>
          <w:sz w:val="21"/>
          <w:szCs w:val="22"/>
          <w:highlight w:val="none"/>
          <w14:ligatures w14:val="none"/>
        </w:rPr>
      </w:pPr>
      <w:r>
        <w:rPr>
          <w:rFonts w:hint="eastAsia" w:eastAsia="黑体" w:cs="Times New Roman"/>
          <w:b w:val="0"/>
          <w:color w:val="auto"/>
          <w:sz w:val="21"/>
          <w:szCs w:val="22"/>
          <w:highlight w:val="none"/>
          <w14:ligatures w14:val="none"/>
        </w:rPr>
        <w:t>2</w:t>
      </w:r>
      <w:r>
        <w:rPr>
          <w:rFonts w:eastAsia="黑体" w:cs="Times New Roman"/>
          <w:b w:val="0"/>
          <w:color w:val="auto"/>
          <w:sz w:val="21"/>
          <w:szCs w:val="22"/>
          <w:highlight w:val="none"/>
          <w14:ligatures w14:val="none"/>
        </w:rPr>
        <w:t>.2 基于</w:t>
      </w:r>
      <w:r>
        <w:rPr>
          <w:rFonts w:hint="eastAsia" w:eastAsia="黑体" w:cs="Times New Roman"/>
          <w:b w:val="0"/>
          <w:color w:val="auto"/>
          <w:sz w:val="21"/>
          <w:szCs w:val="22"/>
          <w:highlight w:val="none"/>
          <w14:ligatures w14:val="none"/>
        </w:rPr>
        <w:t>S</w:t>
      </w:r>
      <w:r>
        <w:rPr>
          <w:rFonts w:eastAsia="黑体" w:cs="Times New Roman"/>
          <w:b w:val="0"/>
          <w:color w:val="auto"/>
          <w:sz w:val="21"/>
          <w:szCs w:val="22"/>
          <w:highlight w:val="none"/>
          <w14:ligatures w14:val="none"/>
        </w:rPr>
        <w:t>WAT</w:t>
      </w:r>
      <w:r>
        <w:rPr>
          <w:rFonts w:hint="eastAsia" w:eastAsia="黑体" w:cs="Times New Roman"/>
          <w:b w:val="0"/>
          <w:color w:val="auto"/>
          <w:sz w:val="21"/>
          <w:szCs w:val="22"/>
          <w:highlight w:val="none"/>
          <w14:ligatures w14:val="none"/>
        </w:rPr>
        <w:t>混合模型的径流归因</w:t>
      </w:r>
    </w:p>
    <w:p w14:paraId="60BE1D06">
      <w:pPr>
        <w:pStyle w:val="4"/>
        <w:rPr>
          <w:rFonts w:eastAsia="楷体" w:cs="Times New Roman"/>
          <w:color w:val="auto"/>
          <w:szCs w:val="22"/>
          <w:highlight w:val="none"/>
          <w14:ligatures w14:val="none"/>
        </w:rPr>
      </w:pPr>
      <w:bookmarkStart w:id="22" w:name="OLE_LINK26"/>
      <w:r>
        <w:rPr>
          <w:rFonts w:eastAsia="楷体" w:cs="Times New Roman"/>
          <w:color w:val="auto"/>
          <w:szCs w:val="22"/>
          <w:highlight w:val="none"/>
          <w14:ligatures w14:val="none"/>
        </w:rPr>
        <w:t>2.2.1 SWAT</w:t>
      </w:r>
      <w:r>
        <w:rPr>
          <w:rFonts w:hint="eastAsia" w:eastAsia="楷体" w:cs="Times New Roman"/>
          <w:color w:val="auto"/>
          <w:szCs w:val="22"/>
          <w:highlight w:val="none"/>
          <w14:ligatures w14:val="none"/>
        </w:rPr>
        <w:t>模型构建与率定</w:t>
      </w:r>
    </w:p>
    <w:p w14:paraId="786C5F32">
      <w:pPr>
        <w:ind w:firstLine="420" w:firstLineChars="200"/>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t>SWAT模型是面向流域尺度水文过程模拟的分布式模型，能够综合考虑气候、地形、土壤和土地利用等因素对产汇流过程的影响</w:t>
      </w:r>
      <w:r>
        <w:rPr>
          <w:rFonts w:ascii="Times New Roman" w:hAnsi="Times New Roman" w:eastAsia="宋体"/>
          <w:color w:val="auto"/>
          <w:highlight w:val="none"/>
          <w:vertAlign w:val="superscript"/>
          <w14:ligatures w14:val="standardContextual"/>
        </w:rPr>
        <w:t>[31]</w:t>
      </w:r>
      <w:r>
        <w:rPr>
          <w:rFonts w:ascii="Times New Roman" w:hAnsi="Times New Roman" w:eastAsia="宋体"/>
          <w:color w:val="auto"/>
          <w:highlight w:val="none"/>
          <w14:ligatures w14:val="standardContextual"/>
        </w:rPr>
        <w:t>。本</w:t>
      </w:r>
      <w:r>
        <w:rPr>
          <w:rFonts w:hint="eastAsia" w:ascii="Times New Roman" w:hAnsi="Times New Roman" w:eastAsia="宋体"/>
          <w:color w:val="auto"/>
          <w:highlight w:val="none"/>
          <w14:ligatures w14:val="standardContextual"/>
        </w:rPr>
        <w:t>文</w:t>
      </w:r>
      <w:r>
        <w:rPr>
          <w:rFonts w:ascii="Times New Roman" w:hAnsi="Times New Roman" w:eastAsia="宋体"/>
          <w:color w:val="auto"/>
          <w:highlight w:val="none"/>
          <w14:ligatures w14:val="standardContextual"/>
        </w:rPr>
        <w:t>基于DEM、土地利用、土壤和气象数据构建老哈河流域SWAT模型</w:t>
      </w:r>
      <w:r>
        <w:rPr>
          <w:rFonts w:hint="eastAsia" w:ascii="Times New Roman" w:hAnsi="Times New Roman" w:eastAsia="宋体"/>
          <w:color w:val="auto"/>
          <w:highlight w:val="none"/>
          <w14:ligatures w14:val="standardContextual"/>
        </w:rPr>
        <w:t>，并利用兴隆坡</w:t>
      </w:r>
      <w:r>
        <w:rPr>
          <w:rFonts w:ascii="Times New Roman" w:hAnsi="Times New Roman" w:eastAsia="宋体"/>
          <w:color w:val="auto"/>
          <w:highlight w:val="none"/>
          <w14:ligatures w14:val="standardContextual"/>
        </w:rPr>
        <w:t>水文站实测径流资料</w:t>
      </w:r>
      <w:r>
        <w:rPr>
          <w:rFonts w:hint="eastAsia" w:ascii="Times New Roman" w:hAnsi="Times New Roman" w:eastAsia="宋体"/>
          <w:color w:val="auto"/>
          <w:highlight w:val="none"/>
          <w14:ligatures w14:val="standardContextual"/>
        </w:rPr>
        <w:t>进行</w:t>
      </w:r>
      <w:r>
        <w:rPr>
          <w:rFonts w:ascii="Times New Roman" w:hAnsi="Times New Roman" w:eastAsia="宋体"/>
          <w:color w:val="auto"/>
          <w:highlight w:val="none"/>
          <w14:ligatures w14:val="standardContextual"/>
        </w:rPr>
        <w:t>率定与验证。</w:t>
      </w:r>
      <w:r>
        <w:rPr>
          <w:rFonts w:hint="eastAsia" w:ascii="Times New Roman" w:hAnsi="Times New Roman" w:eastAsia="宋体"/>
          <w:color w:val="auto"/>
          <w:highlight w:val="none"/>
          <w14:ligatures w14:val="standardContextual"/>
        </w:rPr>
        <w:t>如图</w:t>
      </w:r>
      <w:r>
        <w:rPr>
          <w:rFonts w:ascii="Times New Roman" w:hAnsi="Times New Roman" w:eastAsia="宋体"/>
          <w:color w:val="auto"/>
          <w:highlight w:val="none"/>
          <w14:ligatures w14:val="standardContextual"/>
        </w:rPr>
        <w:t>1</w:t>
      </w:r>
      <w:r>
        <w:rPr>
          <w:rFonts w:hint="eastAsia" w:ascii="Times New Roman" w:hAnsi="Times New Roman" w:eastAsia="宋体"/>
          <w:color w:val="auto"/>
          <w:highlight w:val="none"/>
          <w14:ligatures w14:val="standardContextual"/>
        </w:rPr>
        <w:t>（b）和图</w:t>
      </w:r>
      <w:r>
        <w:rPr>
          <w:rFonts w:ascii="Times New Roman" w:hAnsi="Times New Roman" w:eastAsia="宋体"/>
          <w:color w:val="auto"/>
          <w:highlight w:val="none"/>
          <w14:ligatures w14:val="standardContextual"/>
        </w:rPr>
        <w:t>1</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c</w:t>
      </w:r>
      <w:r>
        <w:rPr>
          <w:rFonts w:hint="eastAsia" w:ascii="Times New Roman" w:hAnsi="Times New Roman" w:eastAsia="宋体"/>
          <w:color w:val="auto"/>
          <w:highlight w:val="none"/>
          <w14:ligatures w14:val="standardContextual"/>
        </w:rPr>
        <w:t>）所示，</w:t>
      </w:r>
      <w:r>
        <w:rPr>
          <w:rFonts w:ascii="Times New Roman" w:hAnsi="Times New Roman" w:eastAsia="宋体"/>
          <w:color w:val="auto"/>
          <w:highlight w:val="none"/>
          <w14:ligatures w14:val="standardContextual"/>
        </w:rPr>
        <w:t>土地利用重分类为6类</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土壤数据重分类为12个代表性类型</w:t>
      </w:r>
      <w:r>
        <w:rPr>
          <w:rFonts w:hint="eastAsia" w:ascii="Times New Roman" w:hAnsi="Times New Roman" w:eastAsia="宋体"/>
          <w:color w:val="auto"/>
          <w:highlight w:val="none"/>
          <w14:ligatures w14:val="standardContextual"/>
        </w:rPr>
        <w:t>，并结合</w:t>
      </w:r>
      <w:r>
        <w:rPr>
          <w:rFonts w:ascii="Times New Roman" w:hAnsi="Times New Roman" w:eastAsia="宋体"/>
          <w:color w:val="auto"/>
          <w:highlight w:val="none"/>
          <w14:ligatures w14:val="standardContextual"/>
        </w:rPr>
        <w:t>流域实际地形和河网特征，</w:t>
      </w:r>
      <w:bookmarkStart w:id="23" w:name="OLE_LINK33"/>
      <w:r>
        <w:rPr>
          <w:rFonts w:ascii="Times New Roman" w:hAnsi="Times New Roman" w:eastAsia="宋体"/>
          <w:color w:val="auto"/>
          <w:highlight w:val="none"/>
          <w14:ligatures w14:val="standardContextual"/>
        </w:rPr>
        <w:t>将最小集水面积阈值设为520.58 km</w:t>
      </w:r>
      <w:r>
        <w:rPr>
          <w:rFonts w:ascii="Times New Roman" w:hAnsi="Times New Roman" w:eastAsia="宋体"/>
          <w:color w:val="auto"/>
          <w:highlight w:val="none"/>
          <w:vertAlign w:val="superscript"/>
          <w14:ligatures w14:val="standardContextual"/>
        </w:rPr>
        <w:t>2</w:t>
      </w:r>
      <w:r>
        <w:rPr>
          <w:rFonts w:ascii="Times New Roman" w:hAnsi="Times New Roman" w:eastAsia="宋体"/>
          <w:color w:val="auto"/>
          <w:highlight w:val="none"/>
          <w14:ligatures w14:val="standardContextual"/>
        </w:rPr>
        <w:t>，</w:t>
      </w:r>
      <w:bookmarkEnd w:id="23"/>
      <w:r>
        <w:rPr>
          <w:rFonts w:ascii="Times New Roman" w:hAnsi="Times New Roman" w:eastAsia="宋体"/>
          <w:color w:val="auto"/>
          <w:highlight w:val="none"/>
          <w14:ligatures w14:val="standardContextual"/>
        </w:rPr>
        <w:t>划分得到34个子流域</w:t>
      </w:r>
      <w:r>
        <w:rPr>
          <w:rFonts w:hint="eastAsia" w:ascii="Times New Roman" w:hAnsi="Times New Roman" w:eastAsia="宋体"/>
          <w:color w:val="auto"/>
          <w:highlight w:val="none"/>
          <w14:ligatures w14:val="standardContextual"/>
        </w:rPr>
        <w:t>和</w:t>
      </w:r>
      <w:r>
        <w:rPr>
          <w:rFonts w:ascii="Times New Roman" w:hAnsi="Times New Roman" w:eastAsia="宋体"/>
          <w:color w:val="auto"/>
          <w:highlight w:val="none"/>
          <w14:ligatures w14:val="standardContextual"/>
        </w:rPr>
        <w:t>546个水文响应单元（HRU）。</w:t>
      </w:r>
    </w:p>
    <w:p w14:paraId="708CF035">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考虑到气象数据分辨率为</w:t>
      </w:r>
      <w:r>
        <w:rPr>
          <w:rFonts w:ascii="Times New Roman" w:hAnsi="Times New Roman" w:eastAsia="宋体"/>
          <w:color w:val="auto"/>
          <w:highlight w:val="none"/>
          <w14:ligatures w14:val="standardContextual"/>
        </w:rPr>
        <w:t>0.1</w:t>
      </w:r>
      <w:bookmarkStart w:id="24" w:name="OLE_LINK13"/>
      <w:r>
        <w:rPr>
          <w:rFonts w:ascii="Times New Roman" w:hAnsi="Times New Roman" w:eastAsia="宋体"/>
          <w:color w:val="auto"/>
          <w:highlight w:val="none"/>
          <w14:ligatures w14:val="standardContextual"/>
        </w:rPr>
        <w:t>°</w:t>
      </w:r>
      <w:bookmarkEnd w:id="24"/>
      <w:r>
        <w:rPr>
          <w:rFonts w:ascii="Times New Roman" w:hAnsi="Times New Roman" w:eastAsia="宋体"/>
          <w:color w:val="auto"/>
          <w:highlight w:val="none"/>
          <w14:ligatures w14:val="standardContextual"/>
        </w:rPr>
        <w:t>、土壤和土地利用数据分辨率为1 km，不同数据尺度通过子流域气象输入及HRU下垫面属性影响模型模拟。具体而言，气象数据主要影响温度递减率（TLAPS）及积雪融雪参数（SFTMP、SMTMP、SMFMX、SMFMN、TIMP）等；土地利用数据主要影响径流曲线数（CN2）、冠层截留量（CANMX）和植物吸收补偿系数（EPCO）等；土壤数据主要影响土层深度（SOL_Z）、有效持水量（SOL_AWC）、饱和导水率（SOL_K）、蒸发补偿系数（ESCO）和生物混合效率（BIOMIX）等。</w:t>
      </w:r>
      <w:r>
        <w:rPr>
          <w:rFonts w:hint="eastAsia" w:ascii="Times New Roman" w:hAnsi="Times New Roman" w:eastAsia="宋体"/>
          <w:color w:val="auto"/>
          <w:highlight w:val="none"/>
          <w14:ligatures w14:val="standardContextual"/>
        </w:rPr>
        <w:t>在此基础上，采用</w:t>
      </w:r>
      <w:r>
        <w:rPr>
          <w:rFonts w:ascii="Times New Roman" w:hAnsi="Times New Roman" w:eastAsia="宋体"/>
          <w:color w:val="auto"/>
          <w:highlight w:val="none"/>
          <w14:ligatures w14:val="standardContextual"/>
        </w:rPr>
        <w:t>SWAT-CUP中的SUFI-2算法对选定的参数进行率定与验证，并以决定系数（</w:t>
      </w:r>
      <w:r>
        <w:rPr>
          <w:rFonts w:ascii="Times New Roman" w:hAnsi="Times New Roman" w:eastAsia="宋体"/>
          <w:i/>
          <w:iCs/>
          <w:color w:val="auto"/>
          <w:highlight w:val="none"/>
          <w14:ligatures w14:val="standardContextual"/>
        </w:rPr>
        <w:t>R²</w:t>
      </w:r>
      <w:r>
        <w:rPr>
          <w:rFonts w:ascii="Times New Roman" w:hAnsi="Times New Roman" w:eastAsia="宋体"/>
          <w:color w:val="auto"/>
          <w:highlight w:val="none"/>
          <w14:ligatures w14:val="standardContextual"/>
        </w:rPr>
        <w:t>）、纳什效率系数（</w:t>
      </w:r>
      <w:r>
        <w:rPr>
          <w:rFonts w:ascii="Times New Roman" w:hAnsi="Times New Roman" w:eastAsia="宋体"/>
          <w:i/>
          <w:iCs/>
          <w:color w:val="auto"/>
          <w:highlight w:val="none"/>
          <w14:ligatures w14:val="standardContextual"/>
        </w:rPr>
        <w:t>NS</w:t>
      </w:r>
      <w:r>
        <w:rPr>
          <w:rFonts w:ascii="Times New Roman" w:hAnsi="Times New Roman" w:eastAsia="宋体"/>
          <w:color w:val="auto"/>
          <w:highlight w:val="none"/>
          <w14:ligatures w14:val="standardContextual"/>
        </w:rPr>
        <w:t>）和偏差百分比（</w:t>
      </w:r>
      <w:r>
        <w:rPr>
          <w:rFonts w:ascii="Times New Roman" w:hAnsi="Times New Roman" w:eastAsia="宋体"/>
          <w:i/>
          <w:iCs/>
          <w:color w:val="auto"/>
          <w:highlight w:val="none"/>
          <w14:ligatures w14:val="standardContextual"/>
        </w:rPr>
        <w:t>PBIAS</w:t>
      </w:r>
      <w:r>
        <w:rPr>
          <w:rFonts w:ascii="Times New Roman" w:hAnsi="Times New Roman" w:eastAsia="宋体"/>
          <w:color w:val="auto"/>
          <w:highlight w:val="none"/>
          <w14:ligatures w14:val="standardContextual"/>
        </w:rPr>
        <w:t>）评价模型精度。</w:t>
      </w:r>
    </w:p>
    <w:bookmarkEnd w:id="22"/>
    <w:p w14:paraId="69E80295">
      <w:pPr>
        <w:pStyle w:val="4"/>
        <w:rPr>
          <w:rFonts w:eastAsia="楷体" w:cs="Times New Roman"/>
          <w:color w:val="auto"/>
          <w:szCs w:val="22"/>
          <w:highlight w:val="none"/>
          <w14:ligatures w14:val="none"/>
        </w:rPr>
      </w:pPr>
      <w:bookmarkStart w:id="25" w:name="OLE_LINK40"/>
      <w:r>
        <w:rPr>
          <w:rFonts w:hint="eastAsia" w:eastAsia="楷体" w:cs="Times New Roman"/>
          <w:color w:val="auto"/>
          <w:szCs w:val="22"/>
          <w:highlight w:val="none"/>
          <w14:ligatures w14:val="none"/>
        </w:rPr>
        <w:t>2</w:t>
      </w:r>
      <w:r>
        <w:rPr>
          <w:rFonts w:eastAsia="楷体" w:cs="Times New Roman"/>
          <w:color w:val="auto"/>
          <w:szCs w:val="22"/>
          <w:highlight w:val="none"/>
          <w14:ligatures w14:val="none"/>
        </w:rPr>
        <w:t xml:space="preserve">.2.2 </w:t>
      </w:r>
      <w:r>
        <w:rPr>
          <w:rFonts w:hint="eastAsia" w:eastAsia="楷体" w:cs="Times New Roman"/>
          <w:color w:val="auto"/>
          <w:szCs w:val="22"/>
          <w:highlight w:val="none"/>
          <w14:ligatures w14:val="none"/>
        </w:rPr>
        <w:t>S</w:t>
      </w:r>
      <w:r>
        <w:rPr>
          <w:rFonts w:eastAsia="楷体" w:cs="Times New Roman"/>
          <w:color w:val="auto"/>
          <w:szCs w:val="22"/>
          <w:highlight w:val="none"/>
          <w14:ligatures w14:val="none"/>
        </w:rPr>
        <w:t>WAT</w:t>
      </w:r>
      <w:r>
        <w:rPr>
          <w:rFonts w:hint="eastAsia" w:eastAsia="楷体" w:cs="Times New Roman"/>
          <w:color w:val="auto"/>
          <w:szCs w:val="22"/>
          <w:highlight w:val="none"/>
          <w14:ligatures w14:val="none"/>
        </w:rPr>
        <w:t>混合模型框架</w:t>
      </w:r>
    </w:p>
    <w:p w14:paraId="04B80C89">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为提高月尺度径流重建精度，本文以率定后的</w:t>
      </w:r>
      <w:r>
        <w:rPr>
          <w:rFonts w:ascii="Times New Roman" w:hAnsi="Times New Roman" w:eastAsia="宋体"/>
          <w:color w:val="auto"/>
          <w:highlight w:val="none"/>
          <w14:ligatures w14:val="standardContextual"/>
        </w:rPr>
        <w:t>SWAT</w:t>
      </w:r>
      <w:r>
        <w:rPr>
          <w:rFonts w:hint="eastAsia" w:ascii="Times New Roman" w:hAnsi="Times New Roman" w:eastAsia="宋体"/>
          <w:color w:val="auto"/>
          <w:highlight w:val="none"/>
          <w14:ligatures w14:val="standardContextual"/>
        </w:rPr>
        <w:t>模拟</w:t>
      </w:r>
      <w:r>
        <w:rPr>
          <w:rFonts w:ascii="Times New Roman" w:hAnsi="Times New Roman" w:eastAsia="宋体"/>
          <w:color w:val="auto"/>
          <w:highlight w:val="none"/>
          <w14:ligatures w14:val="standardContextual"/>
        </w:rPr>
        <w:t>径流为基础，构建SWAT-RF、SWAT-LSTM和SWAT-Informer混合模型，对模拟残差进行后处理订正。月尺度残差定义为同期实测径流与SWAT模拟径流之差</w:t>
      </w:r>
      <w:r>
        <w:rPr>
          <w:rFonts w:hint="eastAsia" w:ascii="Times New Roman" w:hAnsi="Times New Roman" w:eastAsia="宋体"/>
          <w:color w:val="auto"/>
          <w:highlight w:val="none"/>
          <w14:ligatures w14:val="standardContextual"/>
        </w:rPr>
        <w:t>，具体计算公式为</w:t>
      </w:r>
    </w:p>
    <w:p w14:paraId="23C5A7A8">
      <w:pPr>
        <w:ind w:firstLine="420" w:firstLineChars="200"/>
        <w:rPr>
          <w:rFonts w:ascii="Times New Roman" w:hAnsi="Times New Roman" w:eastAsia="宋体"/>
          <w:color w:val="auto"/>
          <w:highlight w:val="none"/>
          <w14:ligatures w14:val="standardContextual"/>
        </w:rPr>
      </w:pPr>
      <m:oMathPara>
        <m:oMath>
          <m:eqArr>
            <w:bookmarkStart w:id="26" w:name="OLE_LINK38"/>
            <w:bookmarkStart w:id="27" w:name="_Hlk238495719"/>
            <m:eqArrPr>
              <m:maxDist m:val="1"/>
              <m:ctrlPr>
                <w:rPr>
                  <w:rFonts w:ascii="Cambria Math" w:hAnsi="Cambria Math" w:eastAsia="宋体"/>
                  <w:i/>
                  <w:color w:val="auto"/>
                  <w:highlight w:val="none"/>
                  <w14:ligatures w14:val="standardContextual"/>
                </w:rPr>
              </m:ctrlPr>
            </m:eqArrPr>
            <m:e>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e</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t</m:t>
                  </m:r>
                  <w:bookmarkEnd w:id="26"/>
                  <m:ctrlPr>
                    <w:rPr>
                      <w:rFonts w:ascii="Cambria Math" w:hAnsi="Cambria Math" w:eastAsia="宋体"/>
                      <w:i/>
                      <w:color w:val="auto"/>
                      <w:highlight w:val="none"/>
                      <w14:ligatures w14:val="standardContextual"/>
                    </w:rPr>
                  </m:ctrlPr>
                </m:sub>
              </m:sSub>
              <w:bookmarkStart w:id="28" w:name="OLE_LINK37"/>
              <m:r>
                <m:rPr/>
                <w:rPr>
                  <w:rFonts w:ascii="Cambria Math" w:hAnsi="Cambria Math" w:eastAsia="宋体"/>
                  <w:color w:val="auto"/>
                  <w:highlight w:val="none"/>
                  <w14:ligatures w14:val="standardContextual"/>
                </w:rPr>
                <m:t>=</m:t>
              </m:r>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obs,t</m:t>
                  </m:r>
                  <w:bookmarkEnd w:id="28"/>
                  <m:ctrlPr>
                    <w:rPr>
                      <w:rFonts w:ascii="Cambria Math" w:hAnsi="Cambria Math" w:eastAsia="宋体"/>
                      <w:i/>
                      <w:color w:val="auto"/>
                      <w:highlight w:val="none"/>
                      <w14:ligatures w14:val="standardContextual"/>
                    </w:rPr>
                  </m:ctrlPr>
                </m:sub>
              </m:sSub>
              <m:r>
                <m:rPr/>
                <w:rPr>
                  <w:rFonts w:ascii="Cambria Math" w:hAnsi="Cambria Math" w:eastAsia="宋体"/>
                  <w:color w:val="auto"/>
                  <w:highlight w:val="none"/>
                  <w14:ligatures w14:val="standardContextual"/>
                </w:rPr>
                <m:t>−</m:t>
              </m:r>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SWAT,t</m:t>
                  </m:r>
                  <m:ctrlPr>
                    <w:rPr>
                      <w:rFonts w:ascii="Cambria Math" w:hAnsi="Cambria Math" w:eastAsia="宋体"/>
                      <w:i/>
                      <w:color w:val="auto"/>
                      <w:highlight w:val="none"/>
                      <w14:ligatures w14:val="standardContextual"/>
                    </w:rPr>
                  </m:ctrlPr>
                </m:sub>
              </m:sSub>
              <m:r>
                <m:rPr/>
                <w:rPr>
                  <w:rFonts w:ascii="Cambria Math" w:hAnsi="Cambria Math" w:eastAsia="宋体"/>
                  <w:color w:val="auto"/>
                  <w:highlight w:val="none"/>
                  <w14:ligatures w14:val="standardContextual"/>
                </w:rPr>
                <m:t>#</m:t>
              </m:r>
              <m:d>
                <m:dPr>
                  <m:begChr m:val="（"/>
                  <m:endChr m:val="）"/>
                  <m:ctrlPr>
                    <w:rPr>
                      <w:rFonts w:ascii="Cambria Math" w:hAnsi="Cambria Math" w:eastAsia="宋体"/>
                      <w:i/>
                      <w:color w:val="auto"/>
                      <w:highlight w:val="none"/>
                      <w14:ligatures w14:val="standardContextual"/>
                    </w:rPr>
                  </m:ctrlPr>
                </m:dPr>
                <m:e>
                  <m:r>
                    <m:rPr/>
                    <w:rPr>
                      <w:rFonts w:ascii="Cambria Math" w:hAnsi="Cambria Math" w:eastAsia="宋体"/>
                      <w:color w:val="auto"/>
                      <w:highlight w:val="none"/>
                      <w14:ligatures w14:val="standardContextual"/>
                    </w:rPr>
                    <m:t>1</m:t>
                  </m:r>
                  <m:ctrlPr>
                    <w:rPr>
                      <w:rFonts w:ascii="Cambria Math" w:hAnsi="Cambria Math" w:eastAsia="宋体"/>
                      <w:i/>
                      <w:color w:val="auto"/>
                      <w:highlight w:val="none"/>
                      <w14:ligatures w14:val="standardContextual"/>
                    </w:rPr>
                  </m:ctrlPr>
                </m:e>
              </m:d>
              <m:ctrlPr>
                <w:rPr>
                  <w:rFonts w:ascii="Cambria Math" w:hAnsi="Cambria Math" w:eastAsia="宋体"/>
                  <w:i/>
                  <w:color w:val="auto"/>
                  <w:highlight w:val="none"/>
                  <w14:ligatures w14:val="standardContextual"/>
                </w:rPr>
              </m:ctrlPr>
            </m:e>
          </m:eqArr>
        </m:oMath>
      </m:oMathPara>
    </w:p>
    <w:bookmarkEnd w:id="27"/>
    <w:p w14:paraId="70BDA13C">
      <w:pPr>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式中，</w:t>
      </w:r>
      <m:oMath>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e</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t</m:t>
            </m:r>
            <m:ctrlPr>
              <w:rPr>
                <w:rFonts w:ascii="Cambria Math" w:hAnsi="Cambria Math" w:eastAsia="宋体"/>
                <w:i/>
                <w:color w:val="auto"/>
                <w:highlight w:val="none"/>
                <w14:ligatures w14:val="standardContextual"/>
              </w:rPr>
            </m:ctrlPr>
          </m:sub>
        </m:sSub>
      </m:oMath>
      <w:r>
        <w:rPr>
          <w:rFonts w:ascii="Times New Roman" w:hAnsi="Times New Roman" w:eastAsia="宋体"/>
          <w:color w:val="auto"/>
          <w:highlight w:val="none"/>
          <w14:ligatures w14:val="standardContextual"/>
        </w:rPr>
        <w:t>为第</w:t>
      </w:r>
      <w:r>
        <w:rPr>
          <w:rFonts w:hint="eastAsia" w:ascii="Times New Roman" w:hAnsi="Times New Roman" w:eastAsia="宋体"/>
          <w:i/>
          <w:iCs/>
          <w:color w:val="auto"/>
          <w:highlight w:val="none"/>
          <w14:ligatures w14:val="standardContextual"/>
        </w:rPr>
        <w:t>t</w:t>
      </w:r>
      <w:r>
        <w:rPr>
          <w:rFonts w:hint="eastAsia" w:ascii="Times New Roman" w:hAnsi="Times New Roman" w:eastAsia="宋体"/>
          <w:color w:val="auto"/>
          <w:highlight w:val="none"/>
          <w14:ligatures w14:val="standardContextual"/>
        </w:rPr>
        <w:t>个月的模拟残差（m³/</w:t>
      </w:r>
      <w:r>
        <w:rPr>
          <w:rFonts w:ascii="Times New Roman" w:hAnsi="Times New Roman" w:eastAsia="宋体"/>
          <w:color w:val="auto"/>
          <w:highlight w:val="none"/>
          <w14:ligatures w14:val="standardContextual"/>
        </w:rPr>
        <w:t>s</w:t>
      </w:r>
      <w:r>
        <w:rPr>
          <w:rFonts w:hint="eastAsia" w:ascii="Times New Roman" w:hAnsi="Times New Roman" w:eastAsia="宋体"/>
          <w:color w:val="auto"/>
          <w:highlight w:val="none"/>
          <w14:ligatures w14:val="standardContextual"/>
        </w:rPr>
        <w:t>）；</w:t>
      </w:r>
      <m:oMath>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obs,t</m:t>
            </m:r>
            <m:ctrlPr>
              <w:rPr>
                <w:rFonts w:ascii="Cambria Math" w:hAnsi="Cambria Math" w:eastAsia="宋体"/>
                <w:i/>
                <w:color w:val="auto"/>
                <w:highlight w:val="none"/>
                <w14:ligatures w14:val="standardContextual"/>
              </w:rPr>
            </m:ctrlPr>
          </m:sub>
        </m:sSub>
      </m:oMath>
      <w:r>
        <w:rPr>
          <w:rFonts w:hint="eastAsia" w:ascii="Times New Roman" w:hAnsi="Times New Roman" w:eastAsia="宋体"/>
          <w:color w:val="auto"/>
          <w:highlight w:val="none"/>
          <w14:ligatures w14:val="standardContextual"/>
        </w:rPr>
        <w:t>和</w:t>
      </w:r>
      <m:oMath>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SWAT,t</m:t>
            </m:r>
            <m:ctrlPr>
              <w:rPr>
                <w:rFonts w:ascii="Cambria Math" w:hAnsi="Cambria Math" w:eastAsia="宋体"/>
                <w:i/>
                <w:color w:val="auto"/>
                <w:highlight w:val="none"/>
                <w14:ligatures w14:val="standardContextual"/>
              </w:rPr>
            </m:ctrlPr>
          </m:sub>
        </m:sSub>
      </m:oMath>
      <w:r>
        <w:rPr>
          <w:rFonts w:hint="eastAsia" w:ascii="Times New Roman" w:hAnsi="Times New Roman" w:eastAsia="宋体"/>
          <w:color w:val="auto"/>
          <w:highlight w:val="none"/>
          <w14:ligatures w14:val="standardContextual"/>
        </w:rPr>
        <w:t>分别为第</w:t>
      </w:r>
      <w:r>
        <w:rPr>
          <w:rFonts w:hint="eastAsia" w:ascii="Times New Roman" w:hAnsi="Times New Roman" w:eastAsia="宋体"/>
          <w:i/>
          <w:iCs/>
          <w:color w:val="auto"/>
          <w:highlight w:val="none"/>
          <w14:ligatures w14:val="standardContextual"/>
        </w:rPr>
        <w:t>t</w:t>
      </w:r>
      <w:r>
        <w:rPr>
          <w:rFonts w:hint="eastAsia" w:ascii="Times New Roman" w:hAnsi="Times New Roman" w:eastAsia="宋体"/>
          <w:color w:val="auto"/>
          <w:highlight w:val="none"/>
          <w14:ligatures w14:val="standardContextual"/>
        </w:rPr>
        <w:t>个月的实测径流和</w:t>
      </w:r>
      <w:r>
        <w:rPr>
          <w:rFonts w:ascii="Times New Roman" w:hAnsi="Times New Roman" w:eastAsia="宋体"/>
          <w:color w:val="auto"/>
          <w:highlight w:val="none"/>
          <w14:ligatures w14:val="standardContextual"/>
        </w:rPr>
        <w:t>SWAT模拟径流</w:t>
      </w:r>
      <w:r>
        <w:rPr>
          <w:rFonts w:hint="eastAsia" w:ascii="Times New Roman" w:hAnsi="Times New Roman" w:eastAsia="宋体"/>
          <w:color w:val="auto"/>
          <w:highlight w:val="none"/>
          <w14:ligatures w14:val="standardContextual"/>
        </w:rPr>
        <w:t>（m³/</w:t>
      </w:r>
      <w:r>
        <w:rPr>
          <w:rFonts w:ascii="Times New Roman" w:hAnsi="Times New Roman" w:eastAsia="宋体"/>
          <w:color w:val="auto"/>
          <w:highlight w:val="none"/>
          <w14:ligatures w14:val="standardContextual"/>
        </w:rPr>
        <w:t>s</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w:t>
      </w:r>
    </w:p>
    <w:p w14:paraId="35DF6665">
      <w:pPr>
        <w:ind w:firstLine="420" w:firstLineChars="200"/>
        <w:rPr>
          <w:rFonts w:hint="eastAsia" w:ascii="Times New Roman" w:hAnsi="Times New Roman" w:eastAsia="宋体"/>
          <w:color w:val="auto"/>
          <w:highlight w:val="none"/>
          <w:lang w:val="en-US" w:eastAsia="zh-CN"/>
          <w14:ligatures w14:val="standardContextual"/>
        </w:rPr>
      </w:pPr>
      <w:r>
        <w:rPr>
          <w:rFonts w:hint="eastAsia" w:ascii="Times New Roman" w:hAnsi="Times New Roman" w:eastAsia="宋体"/>
          <w:color w:val="auto"/>
          <w:highlight w:val="none"/>
          <w14:ligatures w14:val="standardContextual"/>
        </w:rPr>
        <w:t>混合模型以气象数据、</w:t>
      </w:r>
      <w:r>
        <w:rPr>
          <w:rFonts w:ascii="Times New Roman" w:hAnsi="Times New Roman" w:eastAsia="宋体"/>
          <w:color w:val="auto"/>
          <w:highlight w:val="none"/>
          <w14:ligatures w14:val="standardContextual"/>
        </w:rPr>
        <w:t>SWAT模拟径流、前期残差、滑动统计量以及年份、季节和月份等周期性特征为输入，以当月残差</w:t>
      </w:r>
      <m:oMath>
        <m:sSub>
          <m:sSubPr>
            <m:ctrlPr>
              <w:rPr>
                <w:rFonts w:ascii="Cambria Math" w:hAnsi="Cambria Math" w:eastAsia="宋体"/>
                <w:color w:val="auto"/>
                <w:highlight w:val="none"/>
                <w14:ligatures w14:val="standardContextual"/>
              </w:rPr>
            </m:ctrlPr>
          </m:sSubPr>
          <m:e>
            <m:r>
              <m:rPr/>
              <w:rPr>
                <w:rFonts w:ascii="Cambria Math" w:hAnsi="Cambria Math" w:eastAsia="宋体"/>
                <w:color w:val="auto"/>
                <w:highlight w:val="none"/>
                <w14:ligatures w14:val="standardContextual"/>
              </w:rPr>
              <m:t>e</m:t>
            </m:r>
            <m:ctrlPr>
              <w:rPr>
                <w:rFonts w:ascii="Cambria Math" w:hAnsi="Cambria Math" w:eastAsia="宋体"/>
                <w:color w:val="auto"/>
                <w:highlight w:val="none"/>
                <w14:ligatures w14:val="standardContextual"/>
              </w:rPr>
            </m:ctrlPr>
          </m:e>
          <m:sub>
            <m:r>
              <m:rPr/>
              <w:rPr>
                <w:rFonts w:ascii="Cambria Math" w:hAnsi="Cambria Math" w:eastAsia="宋体"/>
                <w:color w:val="auto"/>
                <w:highlight w:val="none"/>
                <w14:ligatures w14:val="standardContextual"/>
              </w:rPr>
              <m:t>t</m:t>
            </m:r>
            <m:ctrlPr>
              <w:rPr>
                <w:rFonts w:ascii="Cambria Math" w:hAnsi="Cambria Math" w:eastAsia="宋体"/>
                <w:color w:val="auto"/>
                <w:highlight w:val="none"/>
                <w14:ligatures w14:val="standardContextual"/>
              </w:rPr>
            </m:ctrlPr>
          </m:sub>
        </m:sSub>
      </m:oMath>
      <w:r>
        <w:rPr>
          <w:rFonts w:hint="eastAsia" w:ascii="Times New Roman" w:hAnsi="Times New Roman" w:eastAsia="宋体"/>
          <w:color w:val="auto"/>
          <w:highlight w:val="none"/>
          <w14:ligatures w14:val="standardContextual"/>
        </w:rPr>
        <w:t>为预测目标。</w:t>
      </w:r>
      <w:r>
        <w:rPr>
          <w:rFonts w:ascii="Times New Roman" w:hAnsi="Times New Roman" w:eastAsia="宋体"/>
          <w:color w:val="auto"/>
          <w:highlight w:val="none"/>
          <w14:ligatures w14:val="standardContextual"/>
        </w:rPr>
        <w:t>模型输出预测残差</w:t>
      </w:r>
      <m:oMath>
        <m:sSub>
          <m:sSubPr>
            <m:ctrlPr>
              <w:rPr>
                <w:rFonts w:ascii="Cambria Math" w:hAnsi="Cambria Math" w:eastAsia="宋体"/>
                <w:i/>
                <w:color w:val="auto"/>
                <w:highlight w:val="none"/>
                <w14:ligatures w14:val="standardContextual"/>
              </w:rPr>
            </m:ctrlPr>
          </m:sSubPr>
          <m:e>
            <m:acc>
              <m:accPr>
                <m:ctrlPr>
                  <w:rPr>
                    <w:rFonts w:ascii="Cambria Math" w:hAnsi="Cambria Math" w:eastAsia="宋体"/>
                    <w:i/>
                    <w:color w:val="auto"/>
                    <w:highlight w:val="none"/>
                    <w14:ligatures w14:val="standardContextual"/>
                  </w:rPr>
                </m:ctrlPr>
              </m:accPr>
              <m:e>
                <m:r>
                  <m:rPr/>
                  <w:rPr>
                    <w:rFonts w:ascii="Cambria Math" w:hAnsi="Cambria Math" w:eastAsia="宋体"/>
                    <w:color w:val="auto"/>
                    <w:highlight w:val="none"/>
                    <w14:ligatures w14:val="standardContextual"/>
                  </w:rPr>
                  <m:t>e</m:t>
                </m:r>
                <m:ctrlPr>
                  <w:rPr>
                    <w:rFonts w:ascii="Cambria Math" w:hAnsi="Cambria Math" w:eastAsia="宋体"/>
                    <w:i/>
                    <w:color w:val="auto"/>
                    <w:highlight w:val="none"/>
                    <w14:ligatures w14:val="standardContextual"/>
                  </w:rPr>
                </m:ctrlPr>
              </m:e>
            </m:acc>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t</m:t>
            </m:r>
            <m:ctrlPr>
              <w:rPr>
                <w:rFonts w:ascii="Cambria Math" w:hAnsi="Cambria Math" w:eastAsia="宋体"/>
                <w:i/>
                <w:color w:val="auto"/>
                <w:highlight w:val="none"/>
                <w14:ligatures w14:val="standardContextual"/>
              </w:rPr>
            </m:ctrlPr>
          </m:sub>
        </m:sSub>
      </m:oMath>
      <w:r>
        <w:rPr>
          <w:rFonts w:ascii="Times New Roman" w:hAnsi="Times New Roman" w:eastAsia="宋体"/>
          <w:color w:val="auto"/>
          <w:highlight w:val="none"/>
          <w14:ligatures w14:val="standardContextual"/>
        </w:rPr>
        <w:t>后，将其叠加至同期SWAT模拟径流，获得订正后的径流</w:t>
      </w:r>
      <w:r>
        <w:rPr>
          <w:rFonts w:hint="eastAsia" w:ascii="Times New Roman" w:hAnsi="Times New Roman" w:eastAsia="宋体"/>
          <w:color w:val="auto"/>
          <w:highlight w:val="none"/>
          <w:lang w:val="en-US" w:eastAsia="zh-CN"/>
          <w14:ligatures w14:val="standardContextual"/>
        </w:rPr>
        <w:t>为</w:t>
      </w:r>
    </w:p>
    <w:p w14:paraId="5668043C">
      <w:pPr>
        <w:rPr>
          <w:rFonts w:ascii="Times New Roman" w:hAnsi="Times New Roman" w:eastAsia="宋体"/>
          <w:color w:val="auto"/>
          <w:highlight w:val="none"/>
          <w14:ligatures w14:val="standardContextual"/>
        </w:rPr>
      </w:pPr>
      <w:bookmarkStart w:id="29" w:name="_Hlk238495750"/>
      <m:oMathPara>
        <m:oMath>
          <m:eqArr>
            <m:eqArrPr>
              <m:maxDist m:val="1"/>
              <m:ctrlPr>
                <w:rPr>
                  <w:rFonts w:ascii="Cambria Math" w:hAnsi="Cambria Math" w:eastAsia="宋体"/>
                  <w:i/>
                  <w:color w:val="auto"/>
                  <w:highlight w:val="none"/>
                  <w14:ligatures w14:val="standardContextual"/>
                </w:rPr>
              </m:ctrlPr>
            </m:eqArrPr>
            <m:e>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sim,t</m:t>
                  </m:r>
                  <m:ctrlPr>
                    <w:rPr>
                      <w:rFonts w:ascii="Cambria Math" w:hAnsi="Cambria Math" w:eastAsia="宋体"/>
                      <w:i/>
                      <w:color w:val="auto"/>
                      <w:highlight w:val="none"/>
                      <w14:ligatures w14:val="standardContextual"/>
                    </w:rPr>
                  </m:ctrlPr>
                </m:sub>
              </m:sSub>
              <m:r>
                <m:rPr/>
                <w:rPr>
                  <w:rFonts w:ascii="Cambria Math" w:hAnsi="Cambria Math" w:eastAsia="宋体"/>
                  <w:color w:val="auto"/>
                  <w:highlight w:val="none"/>
                  <w14:ligatures w14:val="standardContextual"/>
                </w:rPr>
                <m:t>=</m:t>
              </m:r>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SWAT,t</m:t>
                  </m:r>
                  <m:ctrlPr>
                    <w:rPr>
                      <w:rFonts w:ascii="Cambria Math" w:hAnsi="Cambria Math" w:eastAsia="宋体"/>
                      <w:i/>
                      <w:color w:val="auto"/>
                      <w:highlight w:val="none"/>
                      <w14:ligatures w14:val="standardContextual"/>
                    </w:rPr>
                  </m:ctrlPr>
                </m:sub>
              </m:sSub>
              <m:r>
                <m:rPr/>
                <w:rPr>
                  <w:rFonts w:ascii="Cambria Math" w:hAnsi="Cambria Math" w:eastAsia="宋体"/>
                  <w:color w:val="auto"/>
                  <w:highlight w:val="none"/>
                  <w14:ligatures w14:val="standardContextual"/>
                </w:rPr>
                <m:t>+</m:t>
              </m:r>
              <m:sSub>
                <m:sSubPr>
                  <m:ctrlPr>
                    <w:rPr>
                      <w:rFonts w:ascii="Cambria Math" w:hAnsi="Cambria Math" w:eastAsia="宋体"/>
                      <w:i/>
                      <w:color w:val="auto"/>
                      <w:highlight w:val="none"/>
                      <w14:ligatures w14:val="standardContextual"/>
                    </w:rPr>
                  </m:ctrlPr>
                </m:sSubPr>
                <m:e>
                  <m:acc>
                    <m:accPr>
                      <m:ctrlPr>
                        <w:rPr>
                          <w:rFonts w:ascii="Cambria Math" w:hAnsi="Cambria Math" w:eastAsia="宋体"/>
                          <w:i/>
                          <w:color w:val="auto"/>
                          <w:highlight w:val="none"/>
                          <w14:ligatures w14:val="standardContextual"/>
                        </w:rPr>
                      </m:ctrlPr>
                    </m:accPr>
                    <m:e>
                      <m:r>
                        <m:rPr/>
                        <w:rPr>
                          <w:rFonts w:ascii="Cambria Math" w:hAnsi="Cambria Math" w:eastAsia="宋体"/>
                          <w:color w:val="auto"/>
                          <w:highlight w:val="none"/>
                          <w14:ligatures w14:val="standardContextual"/>
                        </w:rPr>
                        <m:t>e</m:t>
                      </m:r>
                      <m:ctrlPr>
                        <w:rPr>
                          <w:rFonts w:ascii="Cambria Math" w:hAnsi="Cambria Math" w:eastAsia="宋体"/>
                          <w:i/>
                          <w:color w:val="auto"/>
                          <w:highlight w:val="none"/>
                          <w14:ligatures w14:val="standardContextual"/>
                        </w:rPr>
                      </m:ctrlPr>
                    </m:e>
                  </m:acc>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t</m:t>
                  </m:r>
                  <m:ctrlPr>
                    <w:rPr>
                      <w:rFonts w:ascii="Cambria Math" w:hAnsi="Cambria Math" w:eastAsia="宋体"/>
                      <w:i/>
                      <w:color w:val="auto"/>
                      <w:highlight w:val="none"/>
                      <w14:ligatures w14:val="standardContextual"/>
                    </w:rPr>
                  </m:ctrlPr>
                </m:sub>
              </m:sSub>
              <m:r>
                <m:rPr/>
                <w:rPr>
                  <w:rFonts w:ascii="Cambria Math" w:hAnsi="Cambria Math" w:eastAsia="宋体"/>
                  <w:color w:val="auto"/>
                  <w:highlight w:val="none"/>
                  <w14:ligatures w14:val="standardContextual"/>
                </w:rPr>
                <m:t>#</m:t>
              </m:r>
              <m:d>
                <m:dPr>
                  <m:begChr m:val="（"/>
                  <m:endChr m:val="）"/>
                  <m:ctrlPr>
                    <w:rPr>
                      <w:rFonts w:ascii="Cambria Math" w:hAnsi="Cambria Math" w:eastAsia="宋体"/>
                      <w:i/>
                      <w:color w:val="auto"/>
                      <w:highlight w:val="none"/>
                      <w14:ligatures w14:val="standardContextual"/>
                    </w:rPr>
                  </m:ctrlPr>
                </m:dPr>
                <m:e>
                  <m:r>
                    <m:rPr/>
                    <w:rPr>
                      <w:rFonts w:ascii="Cambria Math" w:hAnsi="Cambria Math" w:eastAsia="宋体"/>
                      <w:color w:val="auto"/>
                      <w:highlight w:val="none"/>
                      <w14:ligatures w14:val="standardContextual"/>
                    </w:rPr>
                    <m:t>2</m:t>
                  </m:r>
                  <m:ctrlPr>
                    <w:rPr>
                      <w:rFonts w:ascii="Cambria Math" w:hAnsi="Cambria Math" w:eastAsia="宋体"/>
                      <w:i/>
                      <w:color w:val="auto"/>
                      <w:highlight w:val="none"/>
                      <w14:ligatures w14:val="standardContextual"/>
                    </w:rPr>
                  </m:ctrlPr>
                </m:e>
              </m:d>
              <m:ctrlPr>
                <w:rPr>
                  <w:rFonts w:ascii="Cambria Math" w:hAnsi="Cambria Math" w:eastAsia="宋体"/>
                  <w:i/>
                  <w:color w:val="auto"/>
                  <w:highlight w:val="none"/>
                  <w14:ligatures w14:val="standardContextual"/>
                </w:rPr>
              </m:ctrlPr>
            </m:e>
          </m:eqArr>
        </m:oMath>
      </m:oMathPara>
    </w:p>
    <w:p w14:paraId="6F775FF0">
      <w:pPr>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式中，</w:t>
      </w:r>
      <m:oMath>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sim,t</m:t>
            </m:r>
            <m:ctrlPr>
              <w:rPr>
                <w:rFonts w:ascii="Cambria Math" w:hAnsi="Cambria Math" w:eastAsia="宋体"/>
                <w:i/>
                <w:color w:val="auto"/>
                <w:highlight w:val="none"/>
                <w14:ligatures w14:val="standardContextual"/>
              </w:rPr>
            </m:ctrlPr>
          </m:sub>
        </m:sSub>
      </m:oMath>
      <w:r>
        <w:rPr>
          <w:rFonts w:hint="eastAsia" w:ascii="Times New Roman" w:hAnsi="Times New Roman" w:eastAsia="宋体"/>
          <w:color w:val="auto"/>
          <w:highlight w:val="none"/>
          <w14:ligatures w14:val="standardContextual"/>
        </w:rPr>
        <w:t>为第</w:t>
      </w:r>
      <w:r>
        <w:rPr>
          <w:rFonts w:ascii="Times New Roman" w:hAnsi="Times New Roman" w:eastAsia="宋体"/>
          <w:i/>
          <w:iCs/>
          <w:color w:val="auto"/>
          <w:highlight w:val="none"/>
          <w14:ligatures w14:val="standardContextual"/>
        </w:rPr>
        <w:t>t</w:t>
      </w:r>
      <w:r>
        <w:rPr>
          <w:rFonts w:hint="eastAsia" w:ascii="Times New Roman" w:hAnsi="Times New Roman" w:eastAsia="宋体"/>
          <w:color w:val="auto"/>
          <w:highlight w:val="none"/>
          <w14:ligatures w14:val="standardContextual"/>
        </w:rPr>
        <w:t>个月的机器学习后处理模拟值（m³/</w:t>
      </w:r>
      <w:r>
        <w:rPr>
          <w:rFonts w:ascii="Times New Roman" w:hAnsi="Times New Roman" w:eastAsia="宋体"/>
          <w:color w:val="auto"/>
          <w:highlight w:val="none"/>
          <w14:ligatures w14:val="standardContextual"/>
        </w:rPr>
        <w:t>s</w:t>
      </w:r>
      <w:r>
        <w:rPr>
          <w:rFonts w:hint="eastAsia" w:ascii="Times New Roman" w:hAnsi="Times New Roman" w:eastAsia="宋体"/>
          <w:color w:val="auto"/>
          <w:highlight w:val="none"/>
          <w14:ligatures w14:val="standardContextual"/>
        </w:rPr>
        <w:t>）。</w:t>
      </w:r>
    </w:p>
    <w:bookmarkEnd w:id="29"/>
    <w:p w14:paraId="51A87AD7">
      <w:pPr>
        <w:ind w:firstLine="420" w:firstLineChars="200"/>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t>RF模型采用时间序列交叉验证确定树数量、最大树深、叶节点最小样本数及最大特征比例等参数，并通过多随机种子集成提高预测稳定性。LSTM模型以连续3个月的特征序列为输入，隐藏层单元数设为24，Dropout设为0.25，L2正则化系数设为0.005，学习率设为0.005；采用5折交叉验证、早停机制及重复训练确定模型参数。Informer采用编码器-解码器结构，其输入序列长度、标签长度、预测步长、模型维度、注意力头数、编码器与解码器层数、前馈网络维度、Dropout率及蒸馏设置等参数，通过率定期训练结果进行优选，</w:t>
      </w:r>
      <w:r>
        <w:rPr>
          <w:rFonts w:hint="eastAsia" w:ascii="Times New Roman" w:hAnsi="Times New Roman" w:eastAsia="宋体"/>
          <w:color w:val="auto"/>
          <w:highlight w:val="none"/>
          <w14:ligatures w14:val="standardContextual"/>
        </w:rPr>
        <w:t>并将最优参数组合保存用于后续预测。最终通过比较</w:t>
      </w:r>
      <w:r>
        <w:rPr>
          <w:rFonts w:ascii="Times New Roman" w:hAnsi="Times New Roman" w:eastAsia="宋体"/>
          <w:i/>
          <w:iCs/>
          <w:color w:val="auto"/>
          <w:highlight w:val="none"/>
          <w14:ligatures w14:val="standardContextual"/>
        </w:rPr>
        <w:t>R²</w:t>
      </w:r>
      <w:r>
        <w:rPr>
          <w:rFonts w:ascii="Times New Roman" w:hAnsi="Times New Roman" w:eastAsia="宋体"/>
          <w:color w:val="auto"/>
          <w:highlight w:val="none"/>
          <w14:ligatures w14:val="standardContextual"/>
        </w:rPr>
        <w:t>、</w:t>
      </w:r>
      <w:r>
        <w:rPr>
          <w:rFonts w:ascii="Times New Roman" w:hAnsi="Times New Roman" w:eastAsia="宋体"/>
          <w:i/>
          <w:iCs/>
          <w:color w:val="auto"/>
          <w:highlight w:val="none"/>
          <w14:ligatures w14:val="standardContextual"/>
        </w:rPr>
        <w:t>NS</w:t>
      </w:r>
      <w:r>
        <w:rPr>
          <w:rFonts w:ascii="Times New Roman" w:hAnsi="Times New Roman" w:eastAsia="宋体"/>
          <w:color w:val="auto"/>
          <w:highlight w:val="none"/>
          <w14:ligatures w14:val="standardContextual"/>
        </w:rPr>
        <w:t>和</w:t>
      </w:r>
      <w:r>
        <w:rPr>
          <w:rFonts w:ascii="Times New Roman" w:hAnsi="Times New Roman" w:eastAsia="宋体"/>
          <w:i/>
          <w:iCs/>
          <w:color w:val="auto"/>
          <w:highlight w:val="none"/>
          <w14:ligatures w14:val="standardContextual"/>
        </w:rPr>
        <w:t>PBIAS</w:t>
      </w:r>
      <w:r>
        <w:rPr>
          <w:rFonts w:hint="eastAsia" w:ascii="Times New Roman" w:hAnsi="Times New Roman" w:eastAsia="宋体"/>
          <w:color w:val="auto"/>
          <w:highlight w:val="none"/>
          <w14:ligatures w14:val="standardContextual"/>
        </w:rPr>
        <w:t>，选出最优混合模型。</w:t>
      </w:r>
    </w:p>
    <w:p w14:paraId="477D5F4C">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模型训练阶段利用历史实测径流计算残差并构建训练样本；在验证期和天然情景重建阶段，不使用同期或未来实测径流计算残差，前期残差及其滑动统计特征均由前期预测残差递推获得，实测径流仅用于最终精度评价。预测残差叠加至同期</w:t>
      </w:r>
      <w:r>
        <w:rPr>
          <w:rFonts w:ascii="Times New Roman" w:hAnsi="Times New Roman" w:eastAsia="宋体"/>
          <w:color w:val="auto"/>
          <w:highlight w:val="none"/>
          <w14:ligatures w14:val="standardContextual"/>
        </w:rPr>
        <w:t>SWAT模拟径流后得到订正径流，从而避免实测径流信息泄露。该方法在保留SWAT物理机制约束的基础上，</w:t>
      </w:r>
      <w:r>
        <w:rPr>
          <w:rFonts w:hint="eastAsia" w:ascii="Times New Roman" w:hAnsi="Times New Roman" w:eastAsia="宋体"/>
          <w:color w:val="auto"/>
          <w:highlight w:val="none"/>
          <w14:ligatures w14:val="standardContextual"/>
        </w:rPr>
        <w:t>利用</w:t>
      </w:r>
      <w:r>
        <w:rPr>
          <w:rFonts w:ascii="Times New Roman" w:hAnsi="Times New Roman" w:eastAsia="宋体"/>
          <w:color w:val="auto"/>
          <w:highlight w:val="none"/>
          <w14:ligatures w14:val="standardContextual"/>
        </w:rPr>
        <w:t>数据驱动模型</w:t>
      </w:r>
      <w:r>
        <w:rPr>
          <w:rFonts w:hint="eastAsia" w:ascii="Times New Roman" w:hAnsi="Times New Roman" w:eastAsia="宋体"/>
          <w:color w:val="auto"/>
          <w:highlight w:val="none"/>
          <w14:ligatures w14:val="standardContextual"/>
        </w:rPr>
        <w:t>补偿模拟偏差</w:t>
      </w:r>
      <w:r>
        <w:rPr>
          <w:rFonts w:ascii="Times New Roman" w:hAnsi="Times New Roman" w:eastAsia="宋体"/>
          <w:color w:val="auto"/>
          <w:highlight w:val="none"/>
          <w14:ligatures w14:val="standardContextual"/>
        </w:rPr>
        <w:t>，</w:t>
      </w:r>
      <w:r>
        <w:rPr>
          <w:rFonts w:hint="eastAsia" w:ascii="Times New Roman" w:hAnsi="Times New Roman" w:eastAsia="宋体"/>
          <w:color w:val="auto"/>
          <w:highlight w:val="none"/>
          <w14:ligatures w14:val="standardContextual"/>
        </w:rPr>
        <w:t>以</w:t>
      </w:r>
      <w:r>
        <w:rPr>
          <w:rFonts w:ascii="Times New Roman" w:hAnsi="Times New Roman" w:eastAsia="宋体"/>
          <w:color w:val="auto"/>
          <w:highlight w:val="none"/>
          <w14:ligatures w14:val="standardContextual"/>
        </w:rPr>
        <w:t>提升径流模拟精度</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混合模型结构</w:t>
      </w:r>
      <w:r>
        <w:rPr>
          <w:rFonts w:hint="eastAsia" w:ascii="Times New Roman" w:hAnsi="Times New Roman" w:eastAsia="宋体"/>
          <w:color w:val="auto"/>
          <w:highlight w:val="none"/>
          <w:lang w:val="en-US" w:eastAsia="zh-CN"/>
          <w14:ligatures w14:val="standardContextual"/>
        </w:rPr>
        <w:t>如</w:t>
      </w:r>
      <w:r>
        <w:rPr>
          <w:rFonts w:ascii="Times New Roman" w:hAnsi="Times New Roman" w:eastAsia="宋体"/>
          <w:color w:val="auto"/>
          <w:highlight w:val="none"/>
          <w14:ligatures w14:val="standardContextual"/>
        </w:rPr>
        <w:t>图2</w:t>
      </w:r>
      <w:r>
        <w:rPr>
          <w:rFonts w:hint="eastAsia" w:ascii="Times New Roman" w:hAnsi="Times New Roman" w:eastAsia="宋体"/>
          <w:color w:val="auto"/>
          <w:highlight w:val="none"/>
          <w:lang w:val="en-US" w:eastAsia="zh-CN"/>
          <w14:ligatures w14:val="standardContextual"/>
        </w:rPr>
        <w:t>所示</w:t>
      </w:r>
      <w:r>
        <w:rPr>
          <w:rFonts w:ascii="Times New Roman" w:hAnsi="Times New Roman" w:eastAsia="宋体"/>
          <w:color w:val="auto"/>
          <w:highlight w:val="none"/>
          <w14:ligatures w14:val="standardContextual"/>
        </w:rPr>
        <w:t>。</w:t>
      </w:r>
    </w:p>
    <w:bookmarkEnd w:id="25"/>
    <w:p w14:paraId="2FBDD49B">
      <w:pPr>
        <w:spacing w:after="160" w:line="360" w:lineRule="auto"/>
        <w:jc w:val="center"/>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drawing>
          <wp:inline distT="0" distB="0" distL="0" distR="0">
            <wp:extent cx="2879725" cy="200406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880000" cy="2004078"/>
                    </a:xfrm>
                    <a:prstGeom prst="rect">
                      <a:avLst/>
                    </a:prstGeom>
                    <a:noFill/>
                    <a:ln>
                      <a:noFill/>
                    </a:ln>
                  </pic:spPr>
                </pic:pic>
              </a:graphicData>
            </a:graphic>
          </wp:inline>
        </w:drawing>
      </w:r>
    </w:p>
    <w:p w14:paraId="20920AAA">
      <w:pPr>
        <w:pStyle w:val="59"/>
        <w:spacing w:beforeLines="0" w:afterLines="0" w:line="240" w:lineRule="auto"/>
        <w:rPr>
          <w:b w:val="0"/>
          <w:bCs/>
          <w:color w:val="auto"/>
          <w:szCs w:val="21"/>
          <w:highlight w:val="none"/>
        </w:rPr>
      </w:pPr>
      <w:r>
        <w:rPr>
          <w:rFonts w:hint="eastAsia"/>
          <w:b w:val="0"/>
          <w:bCs/>
          <w:color w:val="auto"/>
          <w:szCs w:val="21"/>
          <w:highlight w:val="none"/>
        </w:rPr>
        <w:t>图</w:t>
      </w:r>
      <w:r>
        <w:rPr>
          <w:b w:val="0"/>
          <w:bCs/>
          <w:color w:val="auto"/>
          <w:szCs w:val="21"/>
          <w:highlight w:val="none"/>
        </w:rPr>
        <w:t>2  SWAT</w:t>
      </w:r>
      <w:r>
        <w:rPr>
          <w:rFonts w:hint="eastAsia"/>
          <w:b w:val="0"/>
          <w:bCs/>
          <w:color w:val="auto"/>
          <w:szCs w:val="21"/>
          <w:highlight w:val="none"/>
        </w:rPr>
        <w:t>和机器学习、深度学习混合结构</w:t>
      </w:r>
    </w:p>
    <w:p w14:paraId="1DAFD2C2">
      <w:pPr>
        <w:pStyle w:val="59"/>
        <w:spacing w:beforeLines="0" w:afterLines="0" w:line="240" w:lineRule="auto"/>
        <w:rPr>
          <w:b w:val="0"/>
          <w:bCs/>
          <w:color w:val="auto"/>
          <w:szCs w:val="21"/>
          <w:highlight w:val="none"/>
        </w:rPr>
      </w:pPr>
      <w:r>
        <w:rPr>
          <w:rFonts w:hint="eastAsia"/>
          <w:b w:val="0"/>
          <w:bCs/>
          <w:color w:val="auto"/>
          <w:szCs w:val="21"/>
          <w:highlight w:val="none"/>
        </w:rPr>
        <w:t>F</w:t>
      </w:r>
      <w:r>
        <w:rPr>
          <w:b w:val="0"/>
          <w:bCs/>
          <w:color w:val="auto"/>
          <w:szCs w:val="21"/>
          <w:highlight w:val="none"/>
        </w:rPr>
        <w:t>ig.2  Schematic diagram of SWAT model combined with machine learning and deep learning</w:t>
      </w:r>
    </w:p>
    <w:p w14:paraId="7D351C63">
      <w:pPr>
        <w:pStyle w:val="4"/>
        <w:rPr>
          <w:rFonts w:eastAsia="楷体" w:cs="Times New Roman"/>
          <w:color w:val="auto"/>
          <w:szCs w:val="22"/>
          <w:highlight w:val="none"/>
          <w14:ligatures w14:val="none"/>
        </w:rPr>
      </w:pPr>
      <w:r>
        <w:rPr>
          <w:rFonts w:eastAsia="楷体" w:cs="Times New Roman"/>
          <w:color w:val="auto"/>
          <w:szCs w:val="22"/>
          <w:highlight w:val="none"/>
          <w14:ligatures w14:val="none"/>
        </w:rPr>
        <w:t>2.2.3 径流归因</w:t>
      </w:r>
      <w:r>
        <w:rPr>
          <w:rFonts w:hint="eastAsia" w:eastAsia="楷体" w:cs="Times New Roman"/>
          <w:color w:val="auto"/>
          <w:szCs w:val="22"/>
          <w:highlight w:val="none"/>
          <w14:ligatures w14:val="none"/>
        </w:rPr>
        <w:t>方法</w:t>
      </w:r>
    </w:p>
    <w:p w14:paraId="798EFFD7">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在最优S</w:t>
      </w:r>
      <w:r>
        <w:rPr>
          <w:rFonts w:ascii="Times New Roman" w:hAnsi="Times New Roman" w:eastAsia="宋体"/>
          <w:color w:val="auto"/>
          <w:highlight w:val="none"/>
          <w14:ligatures w14:val="standardContextual"/>
        </w:rPr>
        <w:t>WAT</w:t>
      </w:r>
      <w:r>
        <w:rPr>
          <w:rFonts w:hint="eastAsia" w:ascii="Times New Roman" w:hAnsi="Times New Roman" w:eastAsia="宋体"/>
          <w:color w:val="auto"/>
          <w:highlight w:val="none"/>
          <w14:ligatures w14:val="standardContextual"/>
        </w:rPr>
        <w:t>混合模型基础上，固定基准期下垫面条件、输入变化期气候数据，模拟变化期天然情景径流，并据此分离气候变化和人类活动对径流变化的贡献</w:t>
      </w:r>
      <w:r>
        <w:rPr>
          <w:rFonts w:ascii="Times New Roman" w:hAnsi="Times New Roman" w:eastAsia="宋体"/>
          <w:color w:val="auto"/>
          <w:highlight w:val="none"/>
          <w:vertAlign w:val="superscript"/>
          <w14:ligatures w14:val="standardContextual"/>
        </w:rPr>
        <w:t>[32-34]</w:t>
      </w:r>
      <w:r>
        <w:rPr>
          <w:rFonts w:hint="eastAsia" w:ascii="Times New Roman" w:hAnsi="Times New Roman" w:eastAsia="宋体"/>
          <w:color w:val="auto"/>
          <w:highlight w:val="none"/>
          <w14:ligatures w14:val="standardContextual"/>
        </w:rPr>
        <w:t>。</w:t>
      </w:r>
    </w:p>
    <w:p w14:paraId="7DF9E14C">
      <w:pPr>
        <w:ind w:firstLine="420" w:firstLineChars="200"/>
        <w:rPr>
          <w:rFonts w:ascii="Times New Roman" w:hAnsi="Times New Roman" w:eastAsia="宋体"/>
          <w:color w:val="auto"/>
          <w:highlight w:val="none"/>
        </w:rPr>
      </w:pPr>
      <m:oMathPara>
        <m:oMath>
          <m:eqArr>
            <m:eqArrPr>
              <m:maxDist m:val="1"/>
              <m:ctrlPr>
                <w:rPr>
                  <w:rFonts w:ascii="Cambria Math" w:hAnsi="Cambria Math" w:eastAsia="宋体"/>
                  <w:i/>
                  <w:color w:val="auto"/>
                  <w:highlight w:val="none"/>
                </w:rPr>
              </m:ctrlPr>
            </m:eqArrPr>
            <m:e>
              <m:r>
                <m:rPr/>
                <w:rPr>
                  <w:rFonts w:ascii="Cambria Math" w:hAnsi="Cambria Math" w:eastAsia="宋体"/>
                  <w:color w:val="auto"/>
                  <w:highlight w:val="none"/>
                </w:rPr>
                <m:t>∆R=</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2</m:t>
                  </m:r>
                  <m:ctrlPr>
                    <w:rPr>
                      <w:rFonts w:ascii="Cambria Math" w:hAnsi="Cambria Math" w:eastAsia="宋体"/>
                      <w:i/>
                      <w:color w:val="auto"/>
                      <w:highlight w:val="none"/>
                    </w:rPr>
                  </m:ctrlPr>
                </m:sub>
              </m:sSub>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1</m:t>
                  </m:r>
                  <m:ctrlPr>
                    <w:rPr>
                      <w:rFonts w:ascii="Cambria Math" w:hAnsi="Cambria Math" w:eastAsia="宋体"/>
                      <w:i/>
                      <w:color w:val="auto"/>
                      <w:highlight w:val="none"/>
                    </w:rPr>
                  </m:ctrlPr>
                </m:sub>
              </m:sSub>
              <m:r>
                <m:rPr/>
                <w:rPr>
                  <w:rFonts w:ascii="Cambria Math" w:hAnsi="Cambria Math" w:eastAsia="宋体"/>
                  <w:color w:val="auto"/>
                  <w:highlight w:val="none"/>
                </w:rPr>
                <m:t>#</m:t>
              </m:r>
              <m:d>
                <m:dPr>
                  <m:begChr m:val="（"/>
                  <m:endChr m:val="）"/>
                  <m:ctrlPr>
                    <w:rPr>
                      <w:rFonts w:ascii="Cambria Math" w:hAnsi="Cambria Math" w:eastAsia="宋体"/>
                      <w:i/>
                      <w:color w:val="auto"/>
                      <w:highlight w:val="none"/>
                    </w:rPr>
                  </m:ctrlPr>
                </m:dPr>
                <m:e>
                  <m:r>
                    <m:rPr/>
                    <w:rPr>
                      <w:rFonts w:ascii="Cambria Math" w:hAnsi="Cambria Math" w:eastAsia="宋体"/>
                      <w:color w:val="auto"/>
                      <w:highlight w:val="none"/>
                    </w:rPr>
                    <m:t>3</m:t>
                  </m:r>
                  <m:ctrlPr>
                    <w:rPr>
                      <w:rFonts w:ascii="Cambria Math" w:hAnsi="Cambria Math" w:eastAsia="宋体"/>
                      <w:i/>
                      <w:color w:val="auto"/>
                      <w:highlight w:val="none"/>
                    </w:rPr>
                  </m:ctrlPr>
                </m:e>
              </m:d>
              <m:ctrlPr>
                <w:rPr>
                  <w:rFonts w:ascii="Cambria Math" w:hAnsi="Cambria Math" w:eastAsia="宋体"/>
                  <w:i/>
                  <w:color w:val="auto"/>
                  <w:highlight w:val="none"/>
                </w:rPr>
              </m:ctrlPr>
            </m:e>
          </m:eqArr>
        </m:oMath>
      </m:oMathPara>
    </w:p>
    <w:p w14:paraId="76452D19">
      <w:pPr>
        <w:ind w:firstLine="420" w:firstLineChars="200"/>
        <w:rPr>
          <w:rFonts w:ascii="Times New Roman" w:hAnsi="Times New Roman" w:eastAsia="宋体"/>
          <w:color w:val="auto"/>
          <w:highlight w:val="none"/>
        </w:rPr>
      </w:pPr>
      <m:oMathPara>
        <m:oMath>
          <m:eqArr>
            <m:eqArrPr>
              <m:maxDist m:val="1"/>
              <m:ctrlPr>
                <w:rPr>
                  <w:rFonts w:ascii="Cambria Math" w:hAnsi="Cambria Math" w:eastAsia="宋体"/>
                  <w:i/>
                  <w:color w:val="auto"/>
                  <w:highlight w:val="none"/>
                </w:rPr>
              </m:ctrlPr>
            </m:eqArrPr>
            <m:e>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CC</m:t>
                  </m:r>
                  <m:ctrlPr>
                    <w:rPr>
                      <w:rFonts w:ascii="Cambria Math" w:hAnsi="Cambria Math" w:eastAsia="宋体"/>
                      <w:i/>
                      <w:color w:val="auto"/>
                      <w:highlight w:val="none"/>
                    </w:rPr>
                  </m:ctrlPr>
                </m:sub>
              </m:sSub>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sim</m:t>
                  </m:r>
                  <m:ctrlPr>
                    <w:rPr>
                      <w:rFonts w:ascii="Cambria Math" w:hAnsi="Cambria Math" w:eastAsia="宋体"/>
                      <w:i/>
                      <w:color w:val="auto"/>
                      <w:highlight w:val="none"/>
                    </w:rPr>
                  </m:ctrlPr>
                </m:sub>
              </m:sSub>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1</m:t>
                  </m:r>
                  <m:ctrlPr>
                    <w:rPr>
                      <w:rFonts w:ascii="Cambria Math" w:hAnsi="Cambria Math" w:eastAsia="宋体"/>
                      <w:i/>
                      <w:color w:val="auto"/>
                      <w:highlight w:val="none"/>
                    </w:rPr>
                  </m:ctrlPr>
                </m:sub>
              </m:sSub>
              <m:r>
                <m:rPr/>
                <w:rPr>
                  <w:rFonts w:ascii="Cambria Math" w:hAnsi="Cambria Math" w:eastAsia="宋体"/>
                  <w:color w:val="auto"/>
                  <w:highlight w:val="none"/>
                </w:rPr>
                <m:t>#</m:t>
              </m:r>
              <m:d>
                <m:dPr>
                  <m:begChr m:val="（"/>
                  <m:endChr m:val="）"/>
                  <m:ctrlPr>
                    <w:rPr>
                      <w:rFonts w:ascii="Cambria Math" w:hAnsi="Cambria Math" w:eastAsia="宋体"/>
                      <w:i/>
                      <w:color w:val="auto"/>
                      <w:highlight w:val="none"/>
                    </w:rPr>
                  </m:ctrlPr>
                </m:dPr>
                <m:e>
                  <m:r>
                    <m:rPr/>
                    <w:rPr>
                      <w:rFonts w:ascii="Cambria Math" w:hAnsi="Cambria Math" w:eastAsia="宋体"/>
                      <w:color w:val="auto"/>
                      <w:highlight w:val="none"/>
                    </w:rPr>
                    <m:t>4</m:t>
                  </m:r>
                  <m:ctrlPr>
                    <w:rPr>
                      <w:rFonts w:ascii="Cambria Math" w:hAnsi="Cambria Math" w:eastAsia="宋体"/>
                      <w:i/>
                      <w:color w:val="auto"/>
                      <w:highlight w:val="none"/>
                    </w:rPr>
                  </m:ctrlPr>
                </m:e>
              </m:d>
              <m:ctrlPr>
                <w:rPr>
                  <w:rFonts w:ascii="Cambria Math" w:hAnsi="Cambria Math" w:eastAsia="宋体"/>
                  <w:i/>
                  <w:color w:val="auto"/>
                  <w:highlight w:val="none"/>
                </w:rPr>
              </m:ctrlPr>
            </m:e>
          </m:eqArr>
        </m:oMath>
      </m:oMathPara>
    </w:p>
    <w:p w14:paraId="56E00819">
      <w:pPr>
        <w:ind w:firstLine="420" w:firstLineChars="200"/>
        <w:rPr>
          <w:rFonts w:ascii="Times New Roman" w:hAnsi="Times New Roman" w:eastAsia="宋体"/>
          <w:color w:val="auto"/>
          <w:highlight w:val="none"/>
        </w:rPr>
      </w:pPr>
      <m:oMathPara>
        <m:oMath>
          <m:eqArr>
            <m:eqArrPr>
              <m:maxDist m:val="1"/>
              <m:ctrlPr>
                <w:rPr>
                  <w:rFonts w:ascii="Cambria Math" w:hAnsi="Cambria Math" w:eastAsia="宋体"/>
                  <w:i/>
                  <w:color w:val="auto"/>
                  <w:highlight w:val="none"/>
                </w:rPr>
              </m:ctrlPr>
            </m:eqArrPr>
            <m:e>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USC</m:t>
                  </m:r>
                  <m:ctrlPr>
                    <w:rPr>
                      <w:rFonts w:ascii="Cambria Math" w:hAnsi="Cambria Math" w:eastAsia="宋体"/>
                      <w:i/>
                      <w:color w:val="auto"/>
                      <w:highlight w:val="none"/>
                    </w:rPr>
                  </m:ctrlPr>
                </m:sub>
              </m:sSub>
              <m:r>
                <m:rPr/>
                <w:rPr>
                  <w:rFonts w:ascii="Cambria Math" w:hAnsi="Cambria Math" w:eastAsia="宋体"/>
                  <w:color w:val="auto"/>
                  <w:highlight w:val="none"/>
                </w:rPr>
                <m:t>=∆R−∆</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CC</m:t>
                  </m:r>
                  <m:ctrlPr>
                    <w:rPr>
                      <w:rFonts w:ascii="Cambria Math" w:hAnsi="Cambria Math" w:eastAsia="宋体"/>
                      <w:i/>
                      <w:color w:val="auto"/>
                      <w:highlight w:val="none"/>
                    </w:rPr>
                  </m:ctrlPr>
                </m:sub>
              </m:sSub>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2</m:t>
                  </m:r>
                  <m:ctrlPr>
                    <w:rPr>
                      <w:rFonts w:ascii="Cambria Math" w:hAnsi="Cambria Math" w:eastAsia="宋体"/>
                      <w:i/>
                      <w:color w:val="auto"/>
                      <w:highlight w:val="none"/>
                    </w:rPr>
                  </m:ctrlPr>
                </m:sub>
              </m:sSub>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sim</m:t>
                  </m:r>
                  <m:ctrlPr>
                    <w:rPr>
                      <w:rFonts w:ascii="Cambria Math" w:hAnsi="Cambria Math" w:eastAsia="宋体"/>
                      <w:i/>
                      <w:color w:val="auto"/>
                      <w:highlight w:val="none"/>
                    </w:rPr>
                  </m:ctrlPr>
                </m:sub>
              </m:sSub>
              <m:r>
                <m:rPr/>
                <w:rPr>
                  <w:rFonts w:ascii="Cambria Math" w:hAnsi="Cambria Math" w:eastAsia="宋体"/>
                  <w:color w:val="auto"/>
                  <w:highlight w:val="none"/>
                </w:rPr>
                <m:t>#</m:t>
              </m:r>
              <m:d>
                <m:dPr>
                  <m:begChr m:val="（"/>
                  <m:endChr m:val="）"/>
                  <m:ctrlPr>
                    <w:rPr>
                      <w:rFonts w:ascii="Cambria Math" w:hAnsi="Cambria Math" w:eastAsia="宋体"/>
                      <w:i/>
                      <w:color w:val="auto"/>
                      <w:highlight w:val="none"/>
                    </w:rPr>
                  </m:ctrlPr>
                </m:dPr>
                <m:e>
                  <m:r>
                    <m:rPr/>
                    <w:rPr>
                      <w:rFonts w:ascii="Cambria Math" w:hAnsi="Cambria Math" w:eastAsia="宋体"/>
                      <w:color w:val="auto"/>
                      <w:highlight w:val="none"/>
                    </w:rPr>
                    <m:t>5</m:t>
                  </m:r>
                  <m:ctrlPr>
                    <w:rPr>
                      <w:rFonts w:ascii="Cambria Math" w:hAnsi="Cambria Math" w:eastAsia="宋体"/>
                      <w:i/>
                      <w:color w:val="auto"/>
                      <w:highlight w:val="none"/>
                    </w:rPr>
                  </m:ctrlPr>
                </m:e>
              </m:d>
              <m:ctrlPr>
                <w:rPr>
                  <w:rFonts w:ascii="Cambria Math" w:hAnsi="Cambria Math" w:eastAsia="宋体"/>
                  <w:i/>
                  <w:color w:val="auto"/>
                  <w:highlight w:val="none"/>
                </w:rPr>
              </m:ctrlPr>
            </m:e>
          </m:eqArr>
        </m:oMath>
      </m:oMathPara>
    </w:p>
    <w:p w14:paraId="6BA39633">
      <w:pPr>
        <w:pStyle w:val="24"/>
        <w:rPr>
          <w:rFonts w:ascii="Times New Roman" w:hAnsi="Times New Roman" w:eastAsia="宋体"/>
          <w:color w:val="auto"/>
          <w:highlight w:val="none"/>
        </w:rPr>
      </w:pPr>
      <m:oMathPara>
        <m:oMath>
          <m:eqArr>
            <m:eqArrPr>
              <m:maxDist m:val="1"/>
              <m:ctrlPr>
                <w:rPr>
                  <w:rFonts w:ascii="Cambria Math" w:hAnsi="Cambria Math" w:eastAsia="宋体"/>
                  <w:i/>
                  <w:color w:val="auto"/>
                  <w:highlight w:val="none"/>
                </w:rPr>
              </m:ctrlPr>
            </m:eqArrPr>
            <m:e>
              <m:d>
                <m:dPr>
                  <m:begChr m:val="{"/>
                  <m:endChr m:val=""/>
                  <m:ctrlPr>
                    <w:rPr>
                      <w:rFonts w:ascii="Cambria Math" w:hAnsi="Cambria Math" w:eastAsia="宋体"/>
                      <w:i/>
                      <w:color w:val="auto"/>
                      <w:highlight w:val="none"/>
                    </w:rPr>
                  </m:ctrlPr>
                </m:dPr>
                <m:e>
                  <m:eqArr>
                    <m:eqArrPr>
                      <m:ctrlPr>
                        <w:rPr>
                          <w:rFonts w:ascii="Cambria Math" w:hAnsi="Cambria Math" w:eastAsia="宋体"/>
                          <w:i/>
                          <w:color w:val="auto"/>
                          <w:highlight w:val="none"/>
                        </w:rPr>
                      </m:ctrlPr>
                    </m:eqArrPr>
                    <m:e>
                      <m:sSub>
                        <m:sSubPr>
                          <m:ctrlPr>
                            <w:rPr>
                              <w:rFonts w:ascii="Cambria Math" w:hAnsi="Cambria Math" w:eastAsia="宋体"/>
                              <w:i/>
                              <w:color w:val="auto"/>
                              <w:highlight w:val="none"/>
                            </w:rPr>
                          </m:ctrlPr>
                        </m:sSubPr>
                        <m:e>
                          <m:r>
                            <m:rPr/>
                            <w:rPr>
                              <w:rFonts w:ascii="Cambria Math" w:hAnsi="Cambria Math" w:eastAsia="宋体"/>
                              <w:color w:val="auto"/>
                              <w:highlight w:val="none"/>
                            </w:rPr>
                            <m:t>C</m:t>
                          </m:r>
                          <m:ctrlPr>
                            <w:rPr>
                              <w:rFonts w:ascii="Cambria Math" w:hAnsi="Cambria Math" w:eastAsia="宋体"/>
                              <w:i/>
                              <w:color w:val="auto"/>
                              <w:highlight w:val="none"/>
                            </w:rPr>
                          </m:ctrlPr>
                        </m:e>
                        <m:sub>
                          <m:r>
                            <m:rPr/>
                            <w:rPr>
                              <w:rFonts w:ascii="Cambria Math" w:hAnsi="Cambria Math" w:eastAsia="宋体"/>
                              <w:color w:val="auto"/>
                              <w:highlight w:val="none"/>
                            </w:rPr>
                            <m:t>CC</m:t>
                          </m:r>
                          <m:ctrlPr>
                            <w:rPr>
                              <w:rFonts w:ascii="Cambria Math" w:hAnsi="Cambria Math" w:eastAsia="宋体"/>
                              <w:i/>
                              <w:color w:val="auto"/>
                              <w:highlight w:val="none"/>
                            </w:rPr>
                          </m:ctrlPr>
                        </m:sub>
                      </m:sSub>
                      <m:r>
                        <m:rPr/>
                        <w:rPr>
                          <w:rFonts w:ascii="Cambria Math" w:hAnsi="Cambria Math" w:eastAsia="宋体"/>
                          <w:color w:val="auto"/>
                          <w:highlight w:val="none"/>
                        </w:rPr>
                        <m:t>=</m:t>
                      </m:r>
                      <m:f>
                        <m:fPr>
                          <m:ctrlPr>
                            <w:rPr>
                              <w:rFonts w:ascii="Cambria Math" w:hAnsi="Cambria Math" w:eastAsia="宋体"/>
                              <w:i/>
                              <w:color w:val="auto"/>
                              <w:highlight w:val="none"/>
                            </w:rPr>
                          </m:ctrlPr>
                        </m:fPr>
                        <m:num>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CC</m:t>
                              </m:r>
                              <m:ctrlPr>
                                <w:rPr>
                                  <w:rFonts w:ascii="Cambria Math" w:hAnsi="Cambria Math" w:eastAsia="宋体"/>
                                  <w:i/>
                                  <w:color w:val="auto"/>
                                  <w:highlight w:val="none"/>
                                </w:rPr>
                              </m:ctrlPr>
                            </m:sub>
                          </m:sSub>
                          <m:ctrlPr>
                            <w:rPr>
                              <w:rFonts w:ascii="Cambria Math" w:hAnsi="Cambria Math" w:eastAsia="宋体"/>
                              <w:i/>
                              <w:color w:val="auto"/>
                              <w:highlight w:val="none"/>
                            </w:rPr>
                          </m:ctrlPr>
                        </m:num>
                        <m:den>
                          <m:r>
                            <m:rPr/>
                            <w:rPr>
                              <w:rFonts w:ascii="Cambria Math" w:hAnsi="Cambria Math" w:eastAsia="宋体"/>
                              <w:color w:val="auto"/>
                              <w:highlight w:val="none"/>
                            </w:rPr>
                            <m:t>∆R</m:t>
                          </m:r>
                          <m:ctrlPr>
                            <w:rPr>
                              <w:rFonts w:ascii="Cambria Math" w:hAnsi="Cambria Math" w:eastAsia="宋体"/>
                              <w:i/>
                              <w:color w:val="auto"/>
                              <w:highlight w:val="none"/>
                            </w:rPr>
                          </m:ctrlPr>
                        </m:den>
                      </m:f>
                      <m:r>
                        <m:rPr/>
                        <w:rPr>
                          <w:rFonts w:ascii="Cambria Math" w:hAnsi="Cambria Math" w:eastAsia="宋体"/>
                          <w:color w:val="auto"/>
                          <w:highlight w:val="none"/>
                        </w:rPr>
                        <m:t>×100%</m:t>
                      </m:r>
                      <m:ctrlPr>
                        <w:rPr>
                          <w:rFonts w:ascii="Cambria Math" w:hAnsi="Cambria Math" w:eastAsia="宋体"/>
                          <w:i/>
                          <w:color w:val="auto"/>
                          <w:highlight w:val="none"/>
                        </w:rPr>
                      </m:ctrlPr>
                    </m:e>
                    <m:e>
                      <m:sSub>
                        <m:sSubPr>
                          <m:ctrlPr>
                            <w:rPr>
                              <w:rFonts w:ascii="Cambria Math" w:hAnsi="Cambria Math" w:eastAsia="宋体"/>
                              <w:i/>
                              <w:color w:val="auto"/>
                              <w:highlight w:val="none"/>
                            </w:rPr>
                          </m:ctrlPr>
                        </m:sSubPr>
                        <m:e>
                          <m:r>
                            <m:rPr/>
                            <w:rPr>
                              <w:rFonts w:ascii="Cambria Math" w:hAnsi="Cambria Math" w:eastAsia="宋体"/>
                              <w:color w:val="auto"/>
                              <w:highlight w:val="none"/>
                            </w:rPr>
                            <m:t>C</m:t>
                          </m:r>
                          <m:ctrlPr>
                            <w:rPr>
                              <w:rFonts w:ascii="Cambria Math" w:hAnsi="Cambria Math" w:eastAsia="宋体"/>
                              <w:i/>
                              <w:color w:val="auto"/>
                              <w:highlight w:val="none"/>
                            </w:rPr>
                          </m:ctrlPr>
                        </m:e>
                        <m:sub>
                          <m:r>
                            <m:rPr/>
                            <w:rPr>
                              <w:rFonts w:ascii="Cambria Math" w:hAnsi="Cambria Math" w:eastAsia="宋体"/>
                              <w:color w:val="auto"/>
                              <w:highlight w:val="none"/>
                            </w:rPr>
                            <m:t>USC</m:t>
                          </m:r>
                          <m:ctrlPr>
                            <w:rPr>
                              <w:rFonts w:ascii="Cambria Math" w:hAnsi="Cambria Math" w:eastAsia="宋体"/>
                              <w:i/>
                              <w:color w:val="auto"/>
                              <w:highlight w:val="none"/>
                            </w:rPr>
                          </m:ctrlPr>
                        </m:sub>
                      </m:sSub>
                      <m:r>
                        <m:rPr/>
                        <w:rPr>
                          <w:rFonts w:ascii="Cambria Math" w:hAnsi="Cambria Math" w:eastAsia="宋体"/>
                          <w:color w:val="auto"/>
                          <w:highlight w:val="none"/>
                        </w:rPr>
                        <m:t>=</m:t>
                      </m:r>
                      <m:f>
                        <m:fPr>
                          <m:ctrlPr>
                            <w:rPr>
                              <w:rFonts w:ascii="Cambria Math" w:hAnsi="Cambria Math" w:eastAsia="宋体"/>
                              <w:i/>
                              <w:color w:val="auto"/>
                              <w:highlight w:val="none"/>
                            </w:rPr>
                          </m:ctrlPr>
                        </m:fPr>
                        <m:num>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USC</m:t>
                              </m:r>
                              <m:ctrlPr>
                                <w:rPr>
                                  <w:rFonts w:ascii="Cambria Math" w:hAnsi="Cambria Math" w:eastAsia="宋体"/>
                                  <w:i/>
                                  <w:color w:val="auto"/>
                                  <w:highlight w:val="none"/>
                                </w:rPr>
                              </m:ctrlPr>
                            </m:sub>
                          </m:sSub>
                          <m:ctrlPr>
                            <w:rPr>
                              <w:rFonts w:ascii="Cambria Math" w:hAnsi="Cambria Math" w:eastAsia="宋体"/>
                              <w:i/>
                              <w:color w:val="auto"/>
                              <w:highlight w:val="none"/>
                            </w:rPr>
                          </m:ctrlPr>
                        </m:num>
                        <m:den>
                          <m:r>
                            <m:rPr/>
                            <w:rPr>
                              <w:rFonts w:ascii="Cambria Math" w:hAnsi="Cambria Math" w:eastAsia="宋体"/>
                              <w:color w:val="auto"/>
                              <w:highlight w:val="none"/>
                            </w:rPr>
                            <m:t>∆R</m:t>
                          </m:r>
                          <m:ctrlPr>
                            <w:rPr>
                              <w:rFonts w:ascii="Cambria Math" w:hAnsi="Cambria Math" w:eastAsia="宋体"/>
                              <w:i/>
                              <w:color w:val="auto"/>
                              <w:highlight w:val="none"/>
                            </w:rPr>
                          </m:ctrlPr>
                        </m:den>
                      </m:f>
                      <m:r>
                        <m:rPr/>
                        <w:rPr>
                          <w:rFonts w:ascii="Cambria Math" w:hAnsi="Cambria Math" w:eastAsia="宋体"/>
                          <w:color w:val="auto"/>
                          <w:highlight w:val="none"/>
                        </w:rPr>
                        <m:t>×100%</m:t>
                      </m:r>
                      <m:ctrlPr>
                        <w:rPr>
                          <w:rFonts w:ascii="Cambria Math" w:hAnsi="Cambria Math" w:eastAsia="宋体"/>
                          <w:i/>
                          <w:color w:val="auto"/>
                          <w:highlight w:val="none"/>
                        </w:rPr>
                      </m:ctrlPr>
                    </m:e>
                  </m:eqArr>
                  <m:ctrlPr>
                    <w:rPr>
                      <w:rFonts w:ascii="Cambria Math" w:hAnsi="Cambria Math" w:eastAsia="宋体"/>
                      <w:i/>
                      <w:color w:val="auto"/>
                      <w:highlight w:val="none"/>
                    </w:rPr>
                  </m:ctrlPr>
                </m:e>
              </m:d>
              <m:r>
                <m:rPr/>
                <w:rPr>
                  <w:rFonts w:ascii="Cambria Math" w:hAnsi="Cambria Math" w:eastAsia="宋体"/>
                  <w:color w:val="auto"/>
                  <w:highlight w:val="none"/>
                </w:rPr>
                <m:t>#</m:t>
              </m:r>
              <m:d>
                <m:dPr>
                  <m:begChr m:val="（"/>
                  <m:endChr m:val="）"/>
                  <m:ctrlPr>
                    <w:rPr>
                      <w:rFonts w:ascii="Cambria Math" w:hAnsi="Cambria Math" w:eastAsia="宋体"/>
                      <w:i/>
                      <w:color w:val="auto"/>
                      <w:highlight w:val="none"/>
                    </w:rPr>
                  </m:ctrlPr>
                </m:dPr>
                <m:e>
                  <m:r>
                    <m:rPr/>
                    <w:rPr>
                      <w:rFonts w:ascii="Cambria Math" w:hAnsi="Cambria Math" w:eastAsia="宋体"/>
                      <w:color w:val="auto"/>
                      <w:highlight w:val="none"/>
                    </w:rPr>
                    <m:t>6</m:t>
                  </m:r>
                  <m:ctrlPr>
                    <w:rPr>
                      <w:rFonts w:ascii="Cambria Math" w:hAnsi="Cambria Math" w:eastAsia="宋体"/>
                      <w:i/>
                      <w:color w:val="auto"/>
                      <w:highlight w:val="none"/>
                    </w:rPr>
                  </m:ctrlPr>
                </m:e>
              </m:d>
              <m:ctrlPr>
                <w:rPr>
                  <w:rFonts w:ascii="Cambria Math" w:hAnsi="Cambria Math" w:eastAsia="宋体"/>
                  <w:i/>
                  <w:color w:val="auto"/>
                  <w:highlight w:val="none"/>
                </w:rPr>
              </m:ctrlPr>
            </m:e>
          </m:eqArr>
        </m:oMath>
      </m:oMathPara>
    </w:p>
    <w:p w14:paraId="7DC60AAD">
      <w:pPr>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式中，</w:t>
      </w:r>
      <m:oMath>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1</m:t>
            </m:r>
            <m:ctrlPr>
              <w:rPr>
                <w:rFonts w:ascii="Cambria Math" w:hAnsi="Cambria Math" w:eastAsia="宋体"/>
                <w:i/>
                <w:color w:val="auto"/>
                <w:highlight w:val="none"/>
              </w:rPr>
            </m:ctrlPr>
          </m:sub>
        </m:sSub>
      </m:oMath>
      <w:r>
        <w:rPr>
          <w:rFonts w:hint="eastAsia" w:ascii="Times New Roman" w:hAnsi="Times New Roman" w:eastAsia="宋体"/>
          <w:color w:val="auto"/>
          <w:highlight w:val="none"/>
          <w14:ligatures w14:val="standardContextual"/>
        </w:rPr>
        <w:t>、</w:t>
      </w:r>
      <m:oMath>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2</m:t>
            </m:r>
            <m:ctrlPr>
              <w:rPr>
                <w:rFonts w:ascii="Cambria Math" w:hAnsi="Cambria Math" w:eastAsia="宋体"/>
                <w:i/>
                <w:color w:val="auto"/>
                <w:highlight w:val="none"/>
              </w:rPr>
            </m:ctrlPr>
          </m:sub>
        </m:sSub>
      </m:oMath>
      <w:r>
        <w:rPr>
          <w:rFonts w:hint="eastAsia" w:ascii="Times New Roman" w:hAnsi="Times New Roman" w:eastAsia="宋体"/>
          <w:color w:val="auto"/>
          <w:highlight w:val="none"/>
        </w:rPr>
        <w:t>和</w:t>
      </w:r>
      <m:oMath>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sim</m:t>
            </m:r>
            <m:ctrlPr>
              <w:rPr>
                <w:rFonts w:ascii="Cambria Math" w:hAnsi="Cambria Math" w:eastAsia="宋体"/>
                <w:i/>
                <w:color w:val="auto"/>
                <w:highlight w:val="none"/>
              </w:rPr>
            </m:ctrlPr>
          </m:sub>
        </m:sSub>
      </m:oMath>
      <w:r>
        <w:rPr>
          <w:rFonts w:ascii="Times New Roman" w:hAnsi="Times New Roman" w:eastAsia="宋体"/>
          <w:color w:val="auto"/>
          <w:highlight w:val="none"/>
          <w14:ligatures w14:val="standardContextual"/>
        </w:rPr>
        <w:t>分别为基准期</w:t>
      </w:r>
      <w:r>
        <w:rPr>
          <w:rFonts w:hint="eastAsia" w:ascii="Times New Roman" w:hAnsi="Times New Roman" w:eastAsia="宋体"/>
          <w:color w:val="auto"/>
          <w:highlight w:val="none"/>
          <w14:ligatures w14:val="standardContextual"/>
        </w:rPr>
        <w:t>实测、</w:t>
      </w:r>
      <w:r>
        <w:rPr>
          <w:rFonts w:ascii="Times New Roman" w:hAnsi="Times New Roman" w:eastAsia="宋体"/>
          <w:color w:val="auto"/>
          <w:highlight w:val="none"/>
          <w14:ligatures w14:val="standardContextual"/>
        </w:rPr>
        <w:t>变化期实测</w:t>
      </w:r>
      <w:r>
        <w:rPr>
          <w:rFonts w:hint="eastAsia" w:ascii="Times New Roman" w:hAnsi="Times New Roman" w:eastAsia="宋体"/>
          <w:color w:val="auto"/>
          <w:highlight w:val="none"/>
          <w14:ligatures w14:val="standardContextual"/>
        </w:rPr>
        <w:t>和变化期天然情景模拟的</w:t>
      </w:r>
      <w:r>
        <w:rPr>
          <w:rFonts w:ascii="Times New Roman" w:hAnsi="Times New Roman" w:eastAsia="宋体"/>
          <w:color w:val="auto"/>
          <w:highlight w:val="none"/>
          <w14:ligatures w14:val="standardContextual"/>
        </w:rPr>
        <w:t>多年平均径流</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m³/s</w:t>
      </w:r>
      <w:r>
        <w:rPr>
          <w:rFonts w:hint="eastAsia" w:ascii="Times New Roman" w:hAnsi="Times New Roman" w:eastAsia="宋体"/>
          <w:color w:val="auto"/>
          <w:highlight w:val="none"/>
          <w14:ligatures w14:val="standardContextual"/>
        </w:rPr>
        <w:t>）；</w:t>
      </w:r>
      <m:oMath>
        <m:r>
          <m:rPr/>
          <w:rPr>
            <w:rFonts w:ascii="Cambria Math" w:hAnsi="Cambria Math" w:eastAsia="宋体"/>
            <w:color w:val="auto"/>
            <w:highlight w:val="none"/>
          </w:rPr>
          <m:t>∆R</m:t>
        </m:r>
      </m:oMath>
      <w:r>
        <w:rPr>
          <w:rFonts w:hint="eastAsia" w:ascii="Times New Roman" w:hAnsi="Times New Roman" w:eastAsia="宋体"/>
          <w:color w:val="auto"/>
          <w:highlight w:val="none"/>
        </w:rPr>
        <w:t>、</w:t>
      </w:r>
      <m:oMath>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CC</m:t>
            </m:r>
            <m:ctrlPr>
              <w:rPr>
                <w:rFonts w:ascii="Cambria Math" w:hAnsi="Cambria Math" w:eastAsia="宋体"/>
                <w:i/>
                <w:color w:val="auto"/>
                <w:highlight w:val="none"/>
              </w:rPr>
            </m:ctrlPr>
          </m:sub>
        </m:sSub>
      </m:oMath>
      <w:r>
        <w:rPr>
          <w:rFonts w:hint="eastAsia" w:ascii="Times New Roman" w:hAnsi="Times New Roman" w:eastAsia="宋体"/>
          <w:color w:val="auto"/>
          <w:highlight w:val="none"/>
        </w:rPr>
        <w:t>和</w:t>
      </w:r>
      <m:oMath>
        <m:r>
          <m:rPr/>
          <w:rPr>
            <w:rFonts w:ascii="Cambria Math" w:hAnsi="Cambria Math" w:eastAsia="宋体"/>
            <w:color w:val="auto"/>
            <w:highlight w:val="none"/>
          </w:rPr>
          <m:t>∆</m:t>
        </m:r>
        <m:sSub>
          <m:sSubPr>
            <m:ctrlPr>
              <w:rPr>
                <w:rFonts w:ascii="Cambria Math" w:hAnsi="Cambria Math" w:eastAsia="宋体"/>
                <w:i/>
                <w:color w:val="auto"/>
                <w:highlight w:val="none"/>
              </w:rPr>
            </m:ctrlPr>
          </m:sSubPr>
          <m:e>
            <m:r>
              <m:rPr/>
              <w:rPr>
                <w:rFonts w:ascii="Cambria Math" w:hAnsi="Cambria Math" w:eastAsia="宋体"/>
                <w:color w:val="auto"/>
                <w:highlight w:val="none"/>
              </w:rPr>
              <m:t>R</m:t>
            </m:r>
            <m:ctrlPr>
              <w:rPr>
                <w:rFonts w:ascii="Cambria Math" w:hAnsi="Cambria Math" w:eastAsia="宋体"/>
                <w:i/>
                <w:color w:val="auto"/>
                <w:highlight w:val="none"/>
              </w:rPr>
            </m:ctrlPr>
          </m:e>
          <m:sub>
            <m:r>
              <m:rPr/>
              <w:rPr>
                <w:rFonts w:ascii="Cambria Math" w:hAnsi="Cambria Math" w:eastAsia="宋体"/>
                <w:color w:val="auto"/>
                <w:highlight w:val="none"/>
              </w:rPr>
              <m:t>USC</m:t>
            </m:r>
            <m:ctrlPr>
              <w:rPr>
                <w:rFonts w:ascii="Cambria Math" w:hAnsi="Cambria Math" w:eastAsia="宋体"/>
                <w:i/>
                <w:color w:val="auto"/>
                <w:highlight w:val="none"/>
              </w:rPr>
            </m:ctrlPr>
          </m:sub>
        </m:sSub>
      </m:oMath>
      <w:r>
        <w:rPr>
          <w:rFonts w:hint="eastAsia" w:ascii="Times New Roman" w:hAnsi="Times New Roman" w:eastAsia="宋体"/>
          <w:color w:val="auto"/>
          <w:highlight w:val="none"/>
        </w:rPr>
        <w:t>分别为总径流变化量、气候变化和人类活动引起的径流变化量（</w:t>
      </w:r>
      <w:r>
        <w:rPr>
          <w:rFonts w:ascii="Times New Roman" w:hAnsi="Times New Roman" w:eastAsia="宋体"/>
          <w:color w:val="auto"/>
          <w:highlight w:val="none"/>
          <w14:ligatures w14:val="standardContextual"/>
        </w:rPr>
        <w:t>m³/s</w:t>
      </w:r>
      <w:r>
        <w:rPr>
          <w:rFonts w:hint="eastAsia" w:ascii="Times New Roman" w:hAnsi="Times New Roman" w:eastAsia="宋体"/>
          <w:color w:val="auto"/>
          <w:highlight w:val="none"/>
        </w:rPr>
        <w:t>）；</w:t>
      </w:r>
      <m:oMath>
        <m:sSub>
          <m:sSubPr>
            <m:ctrlPr>
              <w:rPr>
                <w:rFonts w:ascii="Cambria Math" w:hAnsi="Cambria Math" w:eastAsia="宋体"/>
                <w:color w:val="auto"/>
                <w:highlight w:val="none"/>
                <w14:ligatures w14:val="standardContextual"/>
              </w:rPr>
            </m:ctrlPr>
          </m:sSubPr>
          <m:e>
            <m:r>
              <m:rPr/>
              <w:rPr>
                <w:rFonts w:ascii="Cambria Math" w:hAnsi="Cambria Math" w:eastAsia="宋体"/>
                <w:color w:val="auto"/>
                <w:highlight w:val="none"/>
                <w14:ligatures w14:val="standardContextual"/>
              </w:rPr>
              <m:t>C</m:t>
            </m:r>
            <m:ctrlPr>
              <w:rPr>
                <w:rFonts w:ascii="Cambria Math" w:hAnsi="Cambria Math" w:eastAsia="宋体"/>
                <w:color w:val="auto"/>
                <w:highlight w:val="none"/>
                <w14:ligatures w14:val="standardContextual"/>
              </w:rPr>
            </m:ctrlPr>
          </m:e>
          <m:sub>
            <m:r>
              <m:rPr/>
              <w:rPr>
                <w:rFonts w:ascii="Cambria Math" w:hAnsi="Cambria Math" w:eastAsia="宋体"/>
                <w:color w:val="auto"/>
                <w:highlight w:val="none"/>
                <w14:ligatures w14:val="standardContextual"/>
              </w:rPr>
              <m:t>CC</m:t>
            </m:r>
            <m:ctrlPr>
              <w:rPr>
                <w:rFonts w:ascii="Cambria Math" w:hAnsi="Cambria Math" w:eastAsia="宋体"/>
                <w:color w:val="auto"/>
                <w:highlight w:val="none"/>
                <w14:ligatures w14:val="standardContextual"/>
              </w:rPr>
            </m:ctrlPr>
          </m:sub>
        </m:sSub>
      </m:oMath>
      <w:r>
        <w:rPr>
          <w:rFonts w:hint="eastAsia" w:ascii="Times New Roman" w:hAnsi="Times New Roman" w:eastAsia="宋体"/>
          <w:color w:val="auto"/>
          <w:highlight w:val="none"/>
          <w14:ligatures w14:val="standardContextual"/>
        </w:rPr>
        <w:t>和</w:t>
      </w:r>
      <m:oMath>
        <m:sSub>
          <m:sSubPr>
            <m:ctrlPr>
              <w:rPr>
                <w:rFonts w:ascii="Cambria Math" w:hAnsi="Cambria Math" w:eastAsia="宋体"/>
                <w:color w:val="auto"/>
                <w:highlight w:val="none"/>
                <w14:ligatures w14:val="standardContextual"/>
              </w:rPr>
            </m:ctrlPr>
          </m:sSubPr>
          <m:e>
            <m:r>
              <m:rPr/>
              <w:rPr>
                <w:rFonts w:ascii="Cambria Math" w:hAnsi="Cambria Math" w:eastAsia="宋体"/>
                <w:color w:val="auto"/>
                <w:highlight w:val="none"/>
                <w14:ligatures w14:val="standardContextual"/>
              </w:rPr>
              <m:t>C</m:t>
            </m:r>
            <m:ctrlPr>
              <w:rPr>
                <w:rFonts w:ascii="Cambria Math" w:hAnsi="Cambria Math" w:eastAsia="宋体"/>
                <w:color w:val="auto"/>
                <w:highlight w:val="none"/>
                <w14:ligatures w14:val="standardContextual"/>
              </w:rPr>
            </m:ctrlPr>
          </m:e>
          <m:sub>
            <m:r>
              <m:rPr/>
              <w:rPr>
                <w:rFonts w:ascii="Cambria Math" w:hAnsi="Cambria Math" w:eastAsia="宋体"/>
                <w:color w:val="auto"/>
                <w:highlight w:val="none"/>
                <w14:ligatures w14:val="standardContextual"/>
              </w:rPr>
              <m:t>USC</m:t>
            </m:r>
            <m:ctrlPr>
              <w:rPr>
                <w:rFonts w:ascii="Cambria Math" w:hAnsi="Cambria Math" w:eastAsia="宋体"/>
                <w:color w:val="auto"/>
                <w:highlight w:val="none"/>
                <w14:ligatures w14:val="standardContextual"/>
              </w:rPr>
            </m:ctrlPr>
          </m:sub>
        </m:sSub>
      </m:oMath>
      <w:r>
        <w:rPr>
          <w:rFonts w:hint="eastAsia" w:ascii="Times New Roman" w:hAnsi="Times New Roman" w:eastAsia="宋体"/>
          <w:color w:val="auto"/>
          <w:highlight w:val="none"/>
          <w14:ligatures w14:val="standardContextual"/>
        </w:rPr>
        <w:t>分别为气候变化和人类活动对径流变化的贡献率。</w:t>
      </w:r>
    </w:p>
    <w:p w14:paraId="31947B45">
      <w:pPr>
        <w:pStyle w:val="3"/>
        <w:numPr>
          <w:ilvl w:val="0"/>
          <w:numId w:val="0"/>
        </w:numPr>
        <w:spacing w:before="0" w:after="0" w:line="240" w:lineRule="auto"/>
        <w:rPr>
          <w:rFonts w:eastAsia="黑体" w:cs="Times New Roman"/>
          <w:b w:val="0"/>
          <w:color w:val="auto"/>
          <w:sz w:val="21"/>
          <w:szCs w:val="22"/>
          <w:highlight w:val="none"/>
          <w14:ligatures w14:val="none"/>
        </w:rPr>
      </w:pPr>
      <w:r>
        <w:rPr>
          <w:rFonts w:eastAsia="黑体" w:cs="Times New Roman"/>
          <w:b w:val="0"/>
          <w:color w:val="auto"/>
          <w:sz w:val="21"/>
          <w:szCs w:val="22"/>
          <w:highlight w:val="none"/>
          <w14:ligatures w14:val="none"/>
        </w:rPr>
        <w:t>2.3 Budyko</w:t>
      </w:r>
      <w:r>
        <w:rPr>
          <w:rFonts w:hint="eastAsia" w:eastAsia="黑体" w:cs="Times New Roman"/>
          <w:b w:val="0"/>
          <w:color w:val="auto"/>
          <w:sz w:val="21"/>
          <w:szCs w:val="22"/>
          <w:highlight w:val="none"/>
          <w14:ligatures w14:val="none"/>
        </w:rPr>
        <w:t>归因方法</w:t>
      </w:r>
    </w:p>
    <w:p w14:paraId="2849D99D">
      <w:pPr>
        <w:ind w:firstLine="420" w:firstLineChars="200"/>
        <w:rPr>
          <w:rFonts w:hint="eastAsia" w:ascii="Times New Roman" w:hAnsi="Times New Roman" w:eastAsia="宋体"/>
          <w:color w:val="auto"/>
          <w:highlight w:val="none"/>
          <w:lang w:val="en-US" w:eastAsia="zh-CN"/>
          <w14:ligatures w14:val="standardContextual"/>
        </w:rPr>
      </w:pPr>
      <w:r>
        <w:rPr>
          <w:rFonts w:ascii="Times New Roman" w:hAnsi="Times New Roman" w:eastAsia="宋体"/>
          <w:color w:val="auto"/>
          <w:highlight w:val="none"/>
          <w14:ligatures w14:val="standardContextual"/>
        </w:rPr>
        <w:t>为从多年平均水热平衡角度对SWAT</w:t>
      </w:r>
      <w:r>
        <w:rPr>
          <w:rFonts w:hint="eastAsia" w:ascii="Times New Roman" w:hAnsi="Times New Roman" w:eastAsia="宋体"/>
          <w:color w:val="auto"/>
          <w:highlight w:val="none"/>
          <w14:ligatures w14:val="standardContextual"/>
        </w:rPr>
        <w:t>混合模型</w:t>
      </w:r>
      <w:r>
        <w:rPr>
          <w:rFonts w:ascii="Times New Roman" w:hAnsi="Times New Roman" w:eastAsia="宋体"/>
          <w:color w:val="auto"/>
          <w:highlight w:val="none"/>
          <w14:ligatures w14:val="standardContextual"/>
        </w:rPr>
        <w:t>归因结果进行独立验证，本</w:t>
      </w:r>
      <w:r>
        <w:rPr>
          <w:rFonts w:hint="eastAsia" w:ascii="Times New Roman" w:hAnsi="Times New Roman" w:eastAsia="宋体"/>
          <w:color w:val="auto"/>
          <w:highlight w:val="none"/>
          <w14:ligatures w14:val="standardContextual"/>
        </w:rPr>
        <w:t>文</w:t>
      </w:r>
      <w:r>
        <w:rPr>
          <w:rFonts w:ascii="Times New Roman" w:hAnsi="Times New Roman" w:eastAsia="宋体"/>
          <w:color w:val="auto"/>
          <w:highlight w:val="none"/>
          <w14:ligatures w14:val="standardContextual"/>
        </w:rPr>
        <w:t>引入Budyko假设中点弹性法开展对比分析。该方法将多年平均降水</w:t>
      </w:r>
      <w:r>
        <w:rPr>
          <w:rFonts w:ascii="Times New Roman" w:hAnsi="Times New Roman" w:eastAsia="宋体"/>
          <w:i/>
          <w:iCs/>
          <w:color w:val="auto"/>
          <w:highlight w:val="none"/>
          <w14:ligatures w14:val="standardContextual"/>
        </w:rPr>
        <w:t>P</w:t>
      </w:r>
      <w:r>
        <w:rPr>
          <w:rFonts w:ascii="Times New Roman" w:hAnsi="Times New Roman" w:eastAsia="宋体"/>
          <w:color w:val="auto"/>
          <w:highlight w:val="none"/>
          <w14:ligatures w14:val="standardContextual"/>
        </w:rPr>
        <w:t>、潜在蒸散发</w:t>
      </w:r>
      <w:r>
        <w:rPr>
          <w:rFonts w:ascii="Times New Roman" w:hAnsi="Times New Roman" w:eastAsia="宋体"/>
          <w:i/>
          <w:color w:val="auto"/>
          <w:highlight w:val="none"/>
          <w14:ligatures w14:val="standardContextual"/>
        </w:rPr>
        <w:t>ET</w:t>
      </w:r>
      <w:r>
        <w:rPr>
          <w:rFonts w:ascii="Times New Roman" w:hAnsi="Times New Roman" w:eastAsia="宋体"/>
          <w:color w:val="auto"/>
          <w:highlight w:val="none"/>
          <w:vertAlign w:val="subscript"/>
          <w14:ligatures w14:val="standardContextual"/>
        </w:rPr>
        <w:t>0</w:t>
      </w:r>
      <w:r>
        <w:rPr>
          <w:rFonts w:ascii="Times New Roman" w:hAnsi="Times New Roman" w:eastAsia="宋体"/>
          <w:color w:val="auto"/>
          <w:highlight w:val="none"/>
          <w14:ligatures w14:val="standardContextual"/>
        </w:rPr>
        <w:t>与径流</w:t>
      </w:r>
      <w:r>
        <w:rPr>
          <w:rFonts w:ascii="Times New Roman" w:hAnsi="Times New Roman" w:eastAsia="宋体"/>
          <w:i/>
          <w:iCs/>
          <w:color w:val="auto"/>
          <w:highlight w:val="none"/>
          <w14:ligatures w14:val="standardContextual"/>
        </w:rPr>
        <w:t>R</w:t>
      </w:r>
      <w:r>
        <w:rPr>
          <w:rFonts w:ascii="Times New Roman" w:hAnsi="Times New Roman" w:eastAsia="宋体"/>
          <w:color w:val="auto"/>
          <w:highlight w:val="none"/>
          <w14:ligatures w14:val="standardContextual"/>
        </w:rPr>
        <w:t>联系起来，并通过参数</w:t>
      </w:r>
      <w:r>
        <w:rPr>
          <w:rFonts w:ascii="Times New Roman" w:hAnsi="Times New Roman" w:eastAsia="宋体"/>
          <w:i/>
          <w:iCs/>
          <w:color w:val="auto"/>
          <w:highlight w:val="none"/>
          <w14:ligatures w14:val="standardContextual"/>
        </w:rPr>
        <w:t>n</w:t>
      </w:r>
      <w:r>
        <w:rPr>
          <w:rFonts w:ascii="Times New Roman" w:hAnsi="Times New Roman" w:eastAsia="宋体"/>
          <w:color w:val="auto"/>
          <w:highlight w:val="none"/>
          <w14:ligatures w14:val="standardContextual"/>
        </w:rPr>
        <w:t>综合表征地形、土壤、植被和土地利用等</w:t>
      </w:r>
      <w:r>
        <w:rPr>
          <w:rFonts w:hint="eastAsia" w:ascii="Times New Roman" w:hAnsi="Times New Roman" w:eastAsia="宋体"/>
          <w:color w:val="auto"/>
          <w:highlight w:val="none"/>
          <w14:ligatures w14:val="standardContextual"/>
        </w:rPr>
        <w:t>下垫面特征变化</w:t>
      </w:r>
      <w:r>
        <w:rPr>
          <w:rFonts w:ascii="Times New Roman" w:hAnsi="Times New Roman" w:eastAsia="宋体"/>
          <w:color w:val="auto"/>
          <w:highlight w:val="none"/>
          <w:vertAlign w:val="superscript"/>
          <w14:ligatures w14:val="standardContextual"/>
        </w:rPr>
        <w:t>[35]</w:t>
      </w:r>
      <w:r>
        <w:rPr>
          <w:rFonts w:ascii="Times New Roman" w:hAnsi="Times New Roman" w:eastAsia="宋体"/>
          <w:color w:val="auto"/>
          <w:highlight w:val="none"/>
          <w14:ligatures w14:val="standardContextual"/>
        </w:rPr>
        <w:t>。</w:t>
      </w:r>
      <w:r>
        <w:rPr>
          <w:rFonts w:hint="eastAsia" w:ascii="Times New Roman" w:hAnsi="Times New Roman" w:eastAsia="宋体"/>
          <w:color w:val="auto"/>
          <w:highlight w:val="none"/>
          <w14:ligatures w14:val="standardContextual"/>
        </w:rPr>
        <w:t>本文采用Choudhury</w:t>
      </w:r>
      <w:r>
        <w:rPr>
          <w:rFonts w:ascii="Times New Roman" w:hAnsi="Times New Roman" w:eastAsia="宋体"/>
          <w:color w:val="auto"/>
          <w:highlight w:val="none"/>
          <w14:ligatures w14:val="standardContextual"/>
        </w:rPr>
        <w:t>-Yang</w:t>
      </w:r>
      <w:r>
        <w:rPr>
          <w:rFonts w:hint="eastAsia" w:ascii="Times New Roman" w:hAnsi="Times New Roman" w:eastAsia="宋体"/>
          <w:color w:val="auto"/>
          <w:highlight w:val="none"/>
          <w14:ligatures w14:val="standardContextual"/>
        </w:rPr>
        <w:t>推导的B</w:t>
      </w:r>
      <w:r>
        <w:rPr>
          <w:rFonts w:ascii="Times New Roman" w:hAnsi="Times New Roman" w:eastAsia="宋体"/>
          <w:color w:val="auto"/>
          <w:highlight w:val="none"/>
          <w14:ligatures w14:val="standardContextual"/>
        </w:rPr>
        <w:t>udyko</w:t>
      </w:r>
      <w:r>
        <w:rPr>
          <w:rFonts w:hint="eastAsia" w:ascii="Times New Roman" w:hAnsi="Times New Roman" w:eastAsia="宋体"/>
          <w:color w:val="auto"/>
          <w:highlight w:val="none"/>
          <w14:ligatures w14:val="standardContextual"/>
        </w:rPr>
        <w:t>假设经验公式</w:t>
      </w:r>
      <w:r>
        <w:rPr>
          <w:rFonts w:ascii="Times New Roman" w:hAnsi="Times New Roman" w:eastAsia="宋体"/>
          <w:color w:val="auto"/>
          <w:highlight w:val="none"/>
          <w:vertAlign w:val="superscript"/>
          <w14:ligatures w14:val="standardContextual"/>
        </w:rPr>
        <w:t>[36]</w:t>
      </w:r>
      <w:r>
        <w:rPr>
          <w:rFonts w:hint="eastAsia" w:ascii="Times New Roman" w:hAnsi="Times New Roman" w:eastAsia="宋体"/>
          <w:color w:val="auto"/>
          <w:highlight w:val="none"/>
          <w14:ligatures w14:val="standardContextual"/>
        </w:rPr>
        <w:t>，潜在蒸散发</w:t>
      </w:r>
      <w:r>
        <w:rPr>
          <w:rFonts w:hint="eastAsia" w:ascii="Times New Roman" w:hAnsi="Times New Roman" w:eastAsia="宋体"/>
          <w:i/>
          <w:color w:val="auto"/>
          <w:highlight w:val="none"/>
          <w14:ligatures w14:val="standardContextual"/>
        </w:rPr>
        <w:t>E</w:t>
      </w:r>
      <w:r>
        <w:rPr>
          <w:rFonts w:ascii="Times New Roman" w:hAnsi="Times New Roman" w:eastAsia="宋体"/>
          <w:i/>
          <w:color w:val="auto"/>
          <w:highlight w:val="none"/>
          <w14:ligatures w14:val="standardContextual"/>
        </w:rPr>
        <w:t>T</w:t>
      </w:r>
      <w:r>
        <w:rPr>
          <w:rFonts w:ascii="Times New Roman" w:hAnsi="Times New Roman" w:eastAsia="宋体"/>
          <w:color w:val="auto"/>
          <w:highlight w:val="none"/>
          <w:vertAlign w:val="subscript"/>
          <w14:ligatures w14:val="standardContextual"/>
        </w:rPr>
        <w:t>0</w:t>
      </w:r>
      <w:r>
        <w:rPr>
          <w:rFonts w:hint="eastAsia" w:ascii="Times New Roman" w:hAnsi="Times New Roman" w:eastAsia="宋体"/>
          <w:color w:val="auto"/>
          <w:highlight w:val="none"/>
          <w14:ligatures w14:val="standardContextual"/>
        </w:rPr>
        <w:t>采用修正的P</w:t>
      </w:r>
      <w:r>
        <w:rPr>
          <w:rFonts w:ascii="Times New Roman" w:hAnsi="Times New Roman" w:eastAsia="宋体"/>
          <w:color w:val="auto"/>
          <w:highlight w:val="none"/>
          <w14:ligatures w14:val="standardContextual"/>
        </w:rPr>
        <w:t>enman-Monteith</w:t>
      </w:r>
      <w:r>
        <w:rPr>
          <w:rFonts w:hint="eastAsia" w:ascii="Times New Roman" w:hAnsi="Times New Roman" w:eastAsia="宋体"/>
          <w:color w:val="auto"/>
          <w:highlight w:val="none"/>
          <w14:ligatures w14:val="standardContextual"/>
        </w:rPr>
        <w:t>公式计算</w:t>
      </w:r>
      <w:r>
        <w:rPr>
          <w:rFonts w:ascii="Times New Roman" w:hAnsi="Times New Roman" w:eastAsia="宋体"/>
          <w:color w:val="auto"/>
          <w:highlight w:val="none"/>
          <w:vertAlign w:val="superscript"/>
          <w14:ligatures w14:val="standardContextual"/>
        </w:rPr>
        <w:t>[37]</w:t>
      </w:r>
      <w:r>
        <w:rPr>
          <w:rFonts w:hint="eastAsia" w:ascii="Times New Roman" w:hAnsi="Times New Roman" w:eastAsia="宋体"/>
          <w:color w:val="auto"/>
          <w:highlight w:val="none"/>
          <w14:ligatures w14:val="standardContextual"/>
        </w:rPr>
        <w:t>，结合</w:t>
      </w:r>
      <w:r>
        <w:rPr>
          <w:rFonts w:ascii="Times New Roman" w:hAnsi="Times New Roman" w:eastAsia="宋体"/>
          <w:color w:val="auto"/>
          <w:highlight w:val="none"/>
          <w14:ligatures w14:val="standardContextual"/>
        </w:rPr>
        <w:t>多年平均水量平衡关系</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建立多年平均径流</w:t>
      </w:r>
      <w:r>
        <w:rPr>
          <w:rFonts w:hint="eastAsia" w:ascii="Times New Roman" w:hAnsi="Times New Roman" w:eastAsia="宋体"/>
          <w:i/>
          <w:iCs/>
          <w:color w:val="auto"/>
          <w:highlight w:val="none"/>
          <w14:ligatures w14:val="standardContextual"/>
        </w:rPr>
        <w:t>R</w:t>
      </w:r>
      <w:r>
        <w:rPr>
          <w:rFonts w:ascii="Times New Roman" w:hAnsi="Times New Roman" w:eastAsia="宋体"/>
          <w:color w:val="auto"/>
          <w:highlight w:val="none"/>
          <w14:ligatures w14:val="standardContextual"/>
        </w:rPr>
        <w:t>与</w:t>
      </w:r>
      <w:r>
        <w:rPr>
          <w:rFonts w:ascii="Times New Roman" w:hAnsi="Times New Roman" w:eastAsia="宋体"/>
          <w:i/>
          <w:iCs/>
          <w:color w:val="auto"/>
          <w:highlight w:val="none"/>
          <w14:ligatures w14:val="standardContextual"/>
        </w:rPr>
        <w:t>P</w:t>
      </w:r>
      <w:r>
        <w:rPr>
          <w:rFonts w:ascii="Times New Roman" w:hAnsi="Times New Roman" w:eastAsia="宋体"/>
          <w:color w:val="auto"/>
          <w:highlight w:val="none"/>
          <w14:ligatures w14:val="standardContextual"/>
        </w:rPr>
        <w:t>、</w:t>
      </w:r>
      <w:r>
        <w:rPr>
          <w:rFonts w:hint="eastAsia" w:ascii="Times New Roman" w:hAnsi="Times New Roman" w:eastAsia="宋体"/>
          <w:i/>
          <w:color w:val="auto"/>
          <w:highlight w:val="none"/>
          <w14:ligatures w14:val="standardContextual"/>
        </w:rPr>
        <w:t>E</w:t>
      </w:r>
      <w:r>
        <w:rPr>
          <w:rFonts w:ascii="Times New Roman" w:hAnsi="Times New Roman" w:eastAsia="宋体"/>
          <w:i/>
          <w:color w:val="auto"/>
          <w:highlight w:val="none"/>
          <w14:ligatures w14:val="standardContextual"/>
        </w:rPr>
        <w:t>T</w:t>
      </w:r>
      <w:r>
        <w:rPr>
          <w:rFonts w:ascii="Times New Roman" w:hAnsi="Times New Roman" w:eastAsia="宋体"/>
          <w:color w:val="auto"/>
          <w:highlight w:val="none"/>
          <w:vertAlign w:val="subscript"/>
          <w14:ligatures w14:val="standardContextual"/>
        </w:rPr>
        <w:t>0</w:t>
      </w:r>
      <w:r>
        <w:rPr>
          <w:rFonts w:ascii="Times New Roman" w:hAnsi="Times New Roman" w:eastAsia="宋体"/>
          <w:color w:val="auto"/>
          <w:highlight w:val="none"/>
          <w14:ligatures w14:val="standardContextual"/>
        </w:rPr>
        <w:t>及</w:t>
      </w:r>
      <w:r>
        <w:rPr>
          <w:rFonts w:ascii="Times New Roman" w:hAnsi="Times New Roman" w:eastAsia="宋体"/>
          <w:i/>
          <w:iCs/>
          <w:color w:val="auto"/>
          <w:highlight w:val="none"/>
          <w14:ligatures w14:val="standardContextual"/>
        </w:rPr>
        <w:t>n</w:t>
      </w:r>
      <w:r>
        <w:rPr>
          <w:rFonts w:ascii="Times New Roman" w:hAnsi="Times New Roman" w:eastAsia="宋体"/>
          <w:color w:val="auto"/>
          <w:highlight w:val="none"/>
          <w14:ligatures w14:val="standardContextual"/>
        </w:rPr>
        <w:t>之间的函数关系</w:t>
      </w:r>
      <w:r>
        <w:rPr>
          <w:rFonts w:hint="eastAsia" w:ascii="Times New Roman" w:hAnsi="Times New Roman" w:eastAsia="宋体"/>
          <w:color w:val="auto"/>
          <w:highlight w:val="none"/>
          <w:lang w:val="en-US" w:eastAsia="zh-CN"/>
          <w14:ligatures w14:val="standardContextual"/>
        </w:rPr>
        <w:t>为</w:t>
      </w:r>
    </w:p>
    <w:p w14:paraId="342E23D1">
      <w:pPr>
        <w:ind w:firstLine="420" w:firstLineChars="200"/>
        <w:rPr>
          <w:rFonts w:ascii="Times New Roman" w:hAnsi="Times New Roman" w:eastAsia="宋体"/>
          <w:color w:val="auto"/>
          <w:highlight w:val="none"/>
          <w14:ligatures w14:val="standardContextual"/>
        </w:rPr>
      </w:pPr>
      <m:oMathPara>
        <m:oMath>
          <m:eqArr>
            <m:eqArrPr>
              <m:maxDist m:val="1"/>
              <m:ctrlPr>
                <w:rPr>
                  <w:rFonts w:ascii="Cambria Math" w:hAnsi="Cambria Math" w:eastAsia="宋体"/>
                  <w:i/>
                  <w:color w:val="auto"/>
                  <w:highlight w:val="none"/>
                  <w14:ligatures w14:val="standardContextual"/>
                </w:rPr>
              </m:ctrlPr>
            </m:eqArrPr>
            <m:e>
              <m:r>
                <m:rPr/>
                <w:rPr>
                  <w:rFonts w:ascii="Cambria Math" w:hAnsi="Cambria Math" w:eastAsia="宋体"/>
                  <w:color w:val="auto"/>
                  <w:highlight w:val="none"/>
                  <w14:ligatures w14:val="standardContextual"/>
                </w:rPr>
                <m:t>R=P−</m:t>
              </m:r>
              <m:f>
                <m:fPr>
                  <m:ctrlPr>
                    <w:rPr>
                      <w:rFonts w:ascii="Cambria Math" w:hAnsi="Cambria Math" w:eastAsia="宋体"/>
                      <w:i/>
                      <w:color w:val="auto"/>
                      <w:highlight w:val="none"/>
                      <w14:ligatures w14:val="standardContextual"/>
                    </w:rPr>
                  </m:ctrlPr>
                </m:fPr>
                <m:num>
                  <m:r>
                    <m:rPr/>
                    <w:rPr>
                      <w:rFonts w:ascii="Cambria Math" w:hAnsi="Cambria Math" w:eastAsia="宋体"/>
                      <w:color w:val="auto"/>
                      <w:highlight w:val="none"/>
                      <w14:ligatures w14:val="standardContextual"/>
                    </w:rPr>
                    <m:t>P</m:t>
                  </m:r>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ET</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0</m:t>
                      </m:r>
                      <m:ctrlPr>
                        <w:rPr>
                          <w:rFonts w:ascii="Cambria Math" w:hAnsi="Cambria Math" w:eastAsia="宋体"/>
                          <w:i/>
                          <w:color w:val="auto"/>
                          <w:highlight w:val="none"/>
                          <w14:ligatures w14:val="standardContextual"/>
                        </w:rPr>
                      </m:ctrlPr>
                    </m:sub>
                  </m:sSub>
                  <m:ctrlPr>
                    <w:rPr>
                      <w:rFonts w:ascii="Cambria Math" w:hAnsi="Cambria Math" w:eastAsia="宋体"/>
                      <w:i/>
                      <w:color w:val="auto"/>
                      <w:highlight w:val="none"/>
                      <w14:ligatures w14:val="standardContextual"/>
                    </w:rPr>
                  </m:ctrlPr>
                </m:num>
                <m:den>
                  <m:sSup>
                    <m:sSupPr>
                      <m:ctrlPr>
                        <w:rPr>
                          <w:rFonts w:ascii="Cambria Math" w:hAnsi="Cambria Math" w:eastAsia="宋体"/>
                          <w:i/>
                          <w:color w:val="auto"/>
                          <w:highlight w:val="none"/>
                          <w14:ligatures w14:val="standardContextual"/>
                        </w:rPr>
                      </m:ctrlPr>
                    </m:sSupPr>
                    <m:e>
                      <m:d>
                        <m:dPr>
                          <m:ctrlPr>
                            <w:rPr>
                              <w:rFonts w:ascii="Cambria Math" w:hAnsi="Cambria Math" w:eastAsia="宋体"/>
                              <w:i/>
                              <w:color w:val="auto"/>
                              <w:highlight w:val="none"/>
                              <w14:ligatures w14:val="standardContextual"/>
                            </w:rPr>
                          </m:ctrlPr>
                        </m:dPr>
                        <m:e>
                          <m:sSup>
                            <m:sSupPr>
                              <m:ctrlPr>
                                <w:rPr>
                                  <w:rFonts w:ascii="Cambria Math" w:hAnsi="Cambria Math" w:eastAsia="宋体"/>
                                  <w:i/>
                                  <w:color w:val="auto"/>
                                  <w:highlight w:val="none"/>
                                  <w14:ligatures w14:val="standardContextual"/>
                                </w:rPr>
                              </m:ctrlPr>
                            </m:sSupPr>
                            <m:e>
                              <m:r>
                                <m:rPr/>
                                <w:rPr>
                                  <w:rFonts w:ascii="Cambria Math" w:hAnsi="Cambria Math" w:eastAsia="宋体"/>
                                  <w:color w:val="auto"/>
                                  <w:highlight w:val="none"/>
                                  <w14:ligatures w14:val="standardContextual"/>
                                </w:rPr>
                                <m:t>P</m:t>
                              </m:r>
                              <m:ctrlPr>
                                <w:rPr>
                                  <w:rFonts w:ascii="Cambria Math" w:hAnsi="Cambria Math" w:eastAsia="宋体"/>
                                  <w:i/>
                                  <w:color w:val="auto"/>
                                  <w:highlight w:val="none"/>
                                  <w14:ligatures w14:val="standardContextual"/>
                                </w:rPr>
                              </m:ctrlPr>
                            </m:e>
                            <m:sup>
                              <m:r>
                                <m:rPr/>
                                <w:rPr>
                                  <w:rFonts w:ascii="Cambria Math" w:hAnsi="Cambria Math" w:eastAsia="宋体"/>
                                  <w:color w:val="auto"/>
                                  <w:highlight w:val="none"/>
                                  <w14:ligatures w14:val="standardContextual"/>
                                </w:rPr>
                                <m:t>n</m:t>
                              </m:r>
                              <m:ctrlPr>
                                <w:rPr>
                                  <w:rFonts w:ascii="Cambria Math" w:hAnsi="Cambria Math" w:eastAsia="宋体"/>
                                  <w:i/>
                                  <w:color w:val="auto"/>
                                  <w:highlight w:val="none"/>
                                  <w14:ligatures w14:val="standardContextual"/>
                                </w:rPr>
                              </m:ctrlPr>
                            </m:sup>
                          </m:sSup>
                          <m:r>
                            <m:rPr/>
                            <w:rPr>
                              <w:rFonts w:ascii="Cambria Math" w:hAnsi="Cambria Math" w:eastAsia="宋体"/>
                              <w:color w:val="auto"/>
                              <w:highlight w:val="none"/>
                              <w14:ligatures w14:val="standardContextual"/>
                            </w:rPr>
                            <m:t>+</m:t>
                          </m:r>
                          <m:sSubSup>
                            <m:sSubSupPr>
                              <m:ctrlPr>
                                <w:rPr>
                                  <w:rFonts w:ascii="Cambria Math" w:hAnsi="Cambria Math" w:eastAsia="宋体"/>
                                  <w:i/>
                                  <w:color w:val="auto"/>
                                  <w:highlight w:val="none"/>
                                  <w14:ligatures w14:val="standardContextual"/>
                                </w:rPr>
                              </m:ctrlPr>
                            </m:sSubSupPr>
                            <m:e>
                              <m:r>
                                <m:rPr/>
                                <w:rPr>
                                  <w:rFonts w:ascii="Cambria Math" w:hAnsi="Cambria Math" w:eastAsia="宋体"/>
                                  <w:color w:val="auto"/>
                                  <w:highlight w:val="none"/>
                                  <w14:ligatures w14:val="standardContextual"/>
                                </w:rPr>
                                <m:t>ET</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0</m:t>
                              </m:r>
                              <m:ctrlPr>
                                <w:rPr>
                                  <w:rFonts w:ascii="Cambria Math" w:hAnsi="Cambria Math" w:eastAsia="宋体"/>
                                  <w:i/>
                                  <w:color w:val="auto"/>
                                  <w:highlight w:val="none"/>
                                  <w14:ligatures w14:val="standardContextual"/>
                                </w:rPr>
                              </m:ctrlPr>
                            </m:sub>
                            <m:sup>
                              <m:r>
                                <m:rPr/>
                                <w:rPr>
                                  <w:rFonts w:ascii="Cambria Math" w:hAnsi="Cambria Math" w:eastAsia="宋体"/>
                                  <w:color w:val="auto"/>
                                  <w:highlight w:val="none"/>
                                  <w14:ligatures w14:val="standardContextual"/>
                                </w:rPr>
                                <m:t>n</m:t>
                              </m:r>
                              <m:ctrlPr>
                                <w:rPr>
                                  <w:rFonts w:ascii="Cambria Math" w:hAnsi="Cambria Math" w:eastAsia="宋体"/>
                                  <w:i/>
                                  <w:color w:val="auto"/>
                                  <w:highlight w:val="none"/>
                                  <w14:ligatures w14:val="standardContextual"/>
                                </w:rPr>
                              </m:ctrlPr>
                            </m:sup>
                          </m:sSubSup>
                          <m:ctrlPr>
                            <w:rPr>
                              <w:rFonts w:ascii="Cambria Math" w:hAnsi="Cambria Math" w:eastAsia="宋体"/>
                              <w:i/>
                              <w:color w:val="auto"/>
                              <w:highlight w:val="none"/>
                              <w14:ligatures w14:val="standardContextual"/>
                            </w:rPr>
                          </m:ctrlPr>
                        </m:e>
                      </m:d>
                      <m:ctrlPr>
                        <w:rPr>
                          <w:rFonts w:ascii="Cambria Math" w:hAnsi="Cambria Math" w:eastAsia="宋体"/>
                          <w:i/>
                          <w:color w:val="auto"/>
                          <w:highlight w:val="none"/>
                          <w14:ligatures w14:val="standardContextual"/>
                        </w:rPr>
                      </m:ctrlPr>
                    </m:e>
                    <m:sup>
                      <m:f>
                        <m:fPr>
                          <m:ctrlPr>
                            <w:rPr>
                              <w:rFonts w:ascii="Cambria Math" w:hAnsi="Cambria Math" w:eastAsia="宋体"/>
                              <w:i/>
                              <w:color w:val="auto"/>
                              <w:highlight w:val="none"/>
                              <w14:ligatures w14:val="standardContextual"/>
                            </w:rPr>
                          </m:ctrlPr>
                        </m:fPr>
                        <m:num>
                          <m:r>
                            <m:rPr/>
                            <w:rPr>
                              <w:rFonts w:ascii="Cambria Math" w:hAnsi="Cambria Math" w:eastAsia="宋体"/>
                              <w:color w:val="auto"/>
                              <w:highlight w:val="none"/>
                              <w14:ligatures w14:val="standardContextual"/>
                            </w:rPr>
                            <m:t>1</m:t>
                          </m:r>
                          <m:ctrlPr>
                            <w:rPr>
                              <w:rFonts w:ascii="Cambria Math" w:hAnsi="Cambria Math" w:eastAsia="宋体"/>
                              <w:i/>
                              <w:color w:val="auto"/>
                              <w:highlight w:val="none"/>
                              <w14:ligatures w14:val="standardContextual"/>
                            </w:rPr>
                          </m:ctrlPr>
                        </m:num>
                        <m:den>
                          <m:r>
                            <m:rPr/>
                            <w:rPr>
                              <w:rFonts w:ascii="Cambria Math" w:hAnsi="Cambria Math" w:eastAsia="宋体"/>
                              <w:color w:val="auto"/>
                              <w:highlight w:val="none"/>
                              <w14:ligatures w14:val="standardContextual"/>
                            </w:rPr>
                            <m:t>n</m:t>
                          </m:r>
                          <m:ctrlPr>
                            <w:rPr>
                              <w:rFonts w:ascii="Cambria Math" w:hAnsi="Cambria Math" w:eastAsia="宋体"/>
                              <w:i/>
                              <w:color w:val="auto"/>
                              <w:highlight w:val="none"/>
                              <w14:ligatures w14:val="standardContextual"/>
                            </w:rPr>
                          </m:ctrlPr>
                        </m:den>
                      </m:f>
                      <m:ctrlPr>
                        <w:rPr>
                          <w:rFonts w:ascii="Cambria Math" w:hAnsi="Cambria Math" w:eastAsia="宋体"/>
                          <w:i/>
                          <w:color w:val="auto"/>
                          <w:highlight w:val="none"/>
                          <w14:ligatures w14:val="standardContextual"/>
                        </w:rPr>
                      </m:ctrlPr>
                    </m:sup>
                  </m:sSup>
                  <m:ctrlPr>
                    <w:rPr>
                      <w:rFonts w:ascii="Cambria Math" w:hAnsi="Cambria Math" w:eastAsia="宋体"/>
                      <w:i/>
                      <w:color w:val="auto"/>
                      <w:highlight w:val="none"/>
                      <w14:ligatures w14:val="standardContextual"/>
                    </w:rPr>
                  </m:ctrlPr>
                </m:den>
              </m:f>
              <m:r>
                <m:rPr/>
                <w:rPr>
                  <w:rFonts w:ascii="Cambria Math" w:hAnsi="Cambria Math" w:eastAsia="宋体"/>
                  <w:color w:val="auto"/>
                  <w:highlight w:val="none"/>
                  <w14:ligatures w14:val="standardContextual"/>
                </w:rPr>
                <m:t>#</m:t>
              </m:r>
              <m:d>
                <m:dPr>
                  <m:begChr m:val="（"/>
                  <m:endChr m:val="）"/>
                  <m:ctrlPr>
                    <w:rPr>
                      <w:rFonts w:ascii="Cambria Math" w:hAnsi="Cambria Math" w:eastAsia="宋体"/>
                      <w:i/>
                      <w:color w:val="auto"/>
                      <w:highlight w:val="none"/>
                      <w14:ligatures w14:val="standardContextual"/>
                    </w:rPr>
                  </m:ctrlPr>
                </m:dPr>
                <m:e>
                  <m:r>
                    <m:rPr/>
                    <w:rPr>
                      <w:rFonts w:ascii="Cambria Math" w:hAnsi="Cambria Math" w:eastAsia="宋体"/>
                      <w:color w:val="auto"/>
                      <w:highlight w:val="none"/>
                      <w14:ligatures w14:val="standardContextual"/>
                    </w:rPr>
                    <m:t>7</m:t>
                  </m:r>
                  <m:ctrlPr>
                    <w:rPr>
                      <w:rFonts w:ascii="Cambria Math" w:hAnsi="Cambria Math" w:eastAsia="宋体"/>
                      <w:i/>
                      <w:color w:val="auto"/>
                      <w:highlight w:val="none"/>
                      <w14:ligatures w14:val="standardContextual"/>
                    </w:rPr>
                  </m:ctrlPr>
                </m:e>
              </m:d>
              <m:ctrlPr>
                <w:rPr>
                  <w:rFonts w:ascii="Cambria Math" w:hAnsi="Cambria Math" w:eastAsia="宋体"/>
                  <w:i/>
                  <w:color w:val="auto"/>
                  <w:highlight w:val="none"/>
                  <w14:ligatures w14:val="standardContextual"/>
                </w:rPr>
              </m:ctrlPr>
            </m:e>
          </m:eqArr>
        </m:oMath>
      </m:oMathPara>
    </w:p>
    <w:p w14:paraId="6920E336">
      <w:pPr>
        <w:ind w:firstLine="420" w:firstLineChars="200"/>
        <w:rPr>
          <w:rFonts w:hint="eastAsia" w:ascii="Times New Roman" w:hAnsi="Times New Roman" w:eastAsia="宋体"/>
          <w:color w:val="auto"/>
          <w:highlight w:val="none"/>
          <w:lang w:val="en-US" w:eastAsia="zh-CN"/>
          <w14:ligatures w14:val="standardContextual"/>
        </w:rPr>
      </w:pPr>
      <w:r>
        <w:rPr>
          <w:rFonts w:hint="eastAsia" w:ascii="Times New Roman" w:hAnsi="Times New Roman" w:eastAsia="宋体"/>
          <w:color w:val="auto"/>
          <w:highlight w:val="none"/>
          <w14:ligatures w14:val="standardContextual"/>
        </w:rPr>
        <w:t>采用中点弹性法将基准期与变化期之间的径流变化量分解为降水变化、潜在蒸散发变化和人类活动变化</w:t>
      </w:r>
      <w:r>
        <w:rPr>
          <w:rFonts w:ascii="Times New Roman" w:hAnsi="Times New Roman" w:eastAsia="宋体"/>
          <w:color w:val="auto"/>
          <w:highlight w:val="none"/>
          <w14:ligatures w14:val="standardContextual"/>
        </w:rPr>
        <w:t>3部分，并据此计算各因子的贡献率</w:t>
      </w:r>
      <w:r>
        <w:rPr>
          <w:rFonts w:hint="eastAsia" w:ascii="Times New Roman" w:hAnsi="Times New Roman" w:eastAsia="宋体"/>
          <w:color w:val="auto"/>
          <w:highlight w:val="none"/>
          <w:lang w:val="en-US" w:eastAsia="zh-CN"/>
          <w14:ligatures w14:val="standardContextual"/>
        </w:rPr>
        <w:t>为</w:t>
      </w:r>
    </w:p>
    <w:p w14:paraId="2DB98A1A">
      <w:pPr>
        <w:ind w:firstLine="420" w:firstLineChars="200"/>
        <w:rPr>
          <w:rFonts w:ascii="Times New Roman" w:hAnsi="Times New Roman" w:eastAsia="宋体"/>
          <w:color w:val="auto"/>
          <w:highlight w:val="none"/>
          <w14:ligatures w14:val="standardContextual"/>
        </w:rPr>
      </w:pPr>
      <m:oMathPara>
        <m:oMath>
          <m:eqArr>
            <m:eqArrPr>
              <m:maxDist m:val="1"/>
              <m:ctrlPr>
                <w:rPr>
                  <w:rFonts w:ascii="Cambria Math" w:hAnsi="Cambria Math" w:eastAsia="宋体"/>
                  <w:i/>
                  <w:color w:val="auto"/>
                  <w:highlight w:val="none"/>
                  <w14:ligatures w14:val="standardContextual"/>
                </w:rPr>
              </m:ctrlPr>
            </m:eqArrPr>
            <m:e>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C</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x</m:t>
                  </m:r>
                  <m:ctrlPr>
                    <w:rPr>
                      <w:rFonts w:ascii="Cambria Math" w:hAnsi="Cambria Math" w:eastAsia="宋体"/>
                      <w:i/>
                      <w:color w:val="auto"/>
                      <w:highlight w:val="none"/>
                      <w14:ligatures w14:val="standardContextual"/>
                    </w:rPr>
                  </m:ctrlPr>
                </m:sub>
              </m:sSub>
              <m:r>
                <m:rPr/>
                <w:rPr>
                  <w:rFonts w:ascii="Cambria Math" w:hAnsi="Cambria Math" w:eastAsia="宋体"/>
                  <w:color w:val="auto"/>
                  <w:highlight w:val="none"/>
                  <w14:ligatures w14:val="standardContextual"/>
                </w:rPr>
                <m:t>=</m:t>
              </m:r>
              <m:f>
                <w:bookmarkStart w:id="30" w:name="OLE_LINK31"/>
                <m:fPr>
                  <m:ctrlPr>
                    <w:rPr>
                      <w:rFonts w:ascii="Cambria Math" w:hAnsi="Cambria Math" w:eastAsia="宋体"/>
                      <w:i/>
                      <w:color w:val="auto"/>
                      <w:highlight w:val="none"/>
                      <w14:ligatures w14:val="standardContextual"/>
                    </w:rPr>
                  </m:ctrlPr>
                </m:fPr>
                <m:num>
                  <m:r>
                    <m:rPr/>
                    <w:rPr>
                      <w:rFonts w:ascii="Cambria Math" w:hAnsi="Cambria Math" w:eastAsia="宋体"/>
                      <w:color w:val="auto"/>
                      <w:highlight w:val="none"/>
                      <w14:ligatures w14:val="standardContextual"/>
                    </w:rPr>
                    <m:t>∆</m:t>
                  </m:r>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x</m:t>
                      </m:r>
                      <w:bookmarkEnd w:id="30"/>
                      <m:ctrlPr>
                        <w:rPr>
                          <w:rFonts w:ascii="Cambria Math" w:hAnsi="Cambria Math" w:eastAsia="宋体"/>
                          <w:i/>
                          <w:color w:val="auto"/>
                          <w:highlight w:val="none"/>
                          <w14:ligatures w14:val="standardContextual"/>
                        </w:rPr>
                      </m:ctrlPr>
                    </m:sub>
                  </m:sSub>
                  <m:ctrlPr>
                    <w:rPr>
                      <w:rFonts w:ascii="Cambria Math" w:hAnsi="Cambria Math" w:eastAsia="宋体"/>
                      <w:i/>
                      <w:color w:val="auto"/>
                      <w:highlight w:val="none"/>
                      <w14:ligatures w14:val="standardContextual"/>
                    </w:rPr>
                  </m:ctrlPr>
                </m:num>
                <m:den>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den>
              </m:f>
              <m:r>
                <m:rPr/>
                <w:rPr>
                  <w:rFonts w:ascii="Cambria Math" w:hAnsi="Cambria Math" w:eastAsia="宋体"/>
                  <w:color w:val="auto"/>
                  <w:highlight w:val="none"/>
                  <w14:ligatures w14:val="standardContextual"/>
                </w:rPr>
                <m:t xml:space="preserve">×100% </m:t>
              </m:r>
              <m:d>
                <m:dPr>
                  <m:ctrlPr>
                    <w:rPr>
                      <w:rFonts w:ascii="Cambria Math" w:hAnsi="Cambria Math" w:eastAsia="宋体"/>
                      <w:i/>
                      <w:color w:val="auto"/>
                      <w:highlight w:val="none"/>
                      <w14:ligatures w14:val="standardContextual"/>
                    </w:rPr>
                  </m:ctrlPr>
                </m:dPr>
                <m:e>
                  <m:r>
                    <m:rPr/>
                    <w:rPr>
                      <w:rFonts w:ascii="Cambria Math" w:hAnsi="Cambria Math" w:eastAsia="宋体"/>
                      <w:color w:val="auto"/>
                      <w:highlight w:val="none"/>
                      <w14:ligatures w14:val="standardContextual"/>
                    </w:rPr>
                    <m:t>x=P,</m:t>
                  </m:r>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E</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0</m:t>
                      </m:r>
                      <m:ctrlPr>
                        <w:rPr>
                          <w:rFonts w:ascii="Cambria Math" w:hAnsi="Cambria Math" w:eastAsia="宋体"/>
                          <w:i/>
                          <w:color w:val="auto"/>
                          <w:highlight w:val="none"/>
                          <w14:ligatures w14:val="standardContextual"/>
                        </w:rPr>
                      </m:ctrlPr>
                    </m:sub>
                  </m:sSub>
                  <m:r>
                    <m:rPr/>
                    <w:rPr>
                      <w:rFonts w:ascii="Cambria Math" w:hAnsi="Cambria Math" w:eastAsia="宋体"/>
                      <w:color w:val="auto"/>
                      <w:highlight w:val="none"/>
                      <w14:ligatures w14:val="standardContextual"/>
                    </w:rPr>
                    <m:t>,n</m:t>
                  </m:r>
                  <m:ctrlPr>
                    <w:rPr>
                      <w:rFonts w:ascii="Cambria Math" w:hAnsi="Cambria Math" w:eastAsia="宋体"/>
                      <w:i/>
                      <w:color w:val="auto"/>
                      <w:highlight w:val="none"/>
                      <w14:ligatures w14:val="standardContextual"/>
                    </w:rPr>
                  </m:ctrlPr>
                </m:e>
              </m:d>
              <m:r>
                <m:rPr/>
                <w:rPr>
                  <w:rFonts w:ascii="Cambria Math" w:hAnsi="Cambria Math" w:eastAsia="宋体"/>
                  <w:color w:val="auto"/>
                  <w:highlight w:val="none"/>
                  <w14:ligatures w14:val="standardContextual"/>
                </w:rPr>
                <m:t>#</m:t>
              </m:r>
              <m:d>
                <m:dPr>
                  <m:begChr m:val="（"/>
                  <m:endChr m:val="）"/>
                  <m:ctrlPr>
                    <w:rPr>
                      <w:rFonts w:ascii="Cambria Math" w:hAnsi="Cambria Math" w:eastAsia="宋体"/>
                      <w:i/>
                      <w:color w:val="auto"/>
                      <w:highlight w:val="none"/>
                      <w14:ligatures w14:val="standardContextual"/>
                    </w:rPr>
                  </m:ctrlPr>
                </m:dPr>
                <m:e>
                  <m:r>
                    <m:rPr/>
                    <w:rPr>
                      <w:rFonts w:ascii="Cambria Math" w:hAnsi="Cambria Math" w:eastAsia="宋体"/>
                      <w:color w:val="auto"/>
                      <w:highlight w:val="none"/>
                      <w14:ligatures w14:val="standardContextual"/>
                    </w:rPr>
                    <m:t>8</m:t>
                  </m:r>
                  <m:ctrlPr>
                    <w:rPr>
                      <w:rFonts w:ascii="Cambria Math" w:hAnsi="Cambria Math" w:eastAsia="宋体"/>
                      <w:i/>
                      <w:color w:val="auto"/>
                      <w:highlight w:val="none"/>
                      <w14:ligatures w14:val="standardContextual"/>
                    </w:rPr>
                  </m:ctrlPr>
                </m:e>
              </m:d>
              <m:ctrlPr>
                <w:rPr>
                  <w:rFonts w:ascii="Cambria Math" w:hAnsi="Cambria Math" w:eastAsia="宋体"/>
                  <w:i/>
                  <w:color w:val="auto"/>
                  <w:highlight w:val="none"/>
                  <w14:ligatures w14:val="standardContextual"/>
                </w:rPr>
              </m:ctrlPr>
            </m:e>
          </m:eqArr>
        </m:oMath>
      </m:oMathPara>
    </w:p>
    <w:p w14:paraId="41F3C81C">
      <w:pPr>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式中，</w:t>
      </w:r>
      <m:oMath>
        <m:r>
          <m:rPr/>
          <w:rPr>
            <w:rFonts w:ascii="Cambria Math" w:hAnsi="Cambria Math" w:eastAsia="宋体"/>
            <w:color w:val="auto"/>
            <w:highlight w:val="none"/>
            <w14:ligatures w14:val="standardContextual"/>
          </w:rPr>
          <m:t>∆</m:t>
        </m:r>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R</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x</m:t>
            </m:r>
            <m:ctrlPr>
              <w:rPr>
                <w:rFonts w:ascii="Cambria Math" w:hAnsi="Cambria Math" w:eastAsia="宋体"/>
                <w:i/>
                <w:color w:val="auto"/>
                <w:highlight w:val="none"/>
                <w14:ligatures w14:val="standardContextual"/>
              </w:rPr>
            </m:ctrlPr>
          </m:sub>
        </m:sSub>
      </m:oMath>
      <w:r>
        <w:rPr>
          <w:rFonts w:hint="eastAsia" w:ascii="Times New Roman" w:hAnsi="Times New Roman" w:eastAsia="宋体"/>
          <w:color w:val="auto"/>
          <w:highlight w:val="none"/>
          <w14:ligatures w14:val="standardContextual"/>
        </w:rPr>
        <w:t>为各驱动因子引起的径流变化量（m</w:t>
      </w:r>
      <w:r>
        <w:rPr>
          <w:rFonts w:ascii="Times New Roman" w:hAnsi="Times New Roman" w:eastAsia="宋体"/>
          <w:color w:val="auto"/>
          <w:highlight w:val="none"/>
          <w14:ligatures w14:val="standardContextual"/>
        </w:rPr>
        <w:t>m</w:t>
      </w:r>
      <w:r>
        <w:rPr>
          <w:rFonts w:hint="eastAsia" w:ascii="Times New Roman" w:hAnsi="Times New Roman" w:eastAsia="宋体"/>
          <w:color w:val="auto"/>
          <w:highlight w:val="none"/>
          <w14:ligatures w14:val="standardContextual"/>
        </w:rPr>
        <w:t>）；</w:t>
      </w:r>
      <m:oMath>
        <m:sSub>
          <m:sSubPr>
            <m:ctrlPr>
              <w:rPr>
                <w:rFonts w:ascii="Cambria Math" w:hAnsi="Cambria Math" w:eastAsia="宋体"/>
                <w:i/>
                <w:color w:val="auto"/>
                <w:highlight w:val="none"/>
                <w14:ligatures w14:val="standardContextual"/>
              </w:rPr>
            </m:ctrlPr>
          </m:sSubPr>
          <m:e>
            <m:r>
              <m:rPr/>
              <w:rPr>
                <w:rFonts w:ascii="Cambria Math" w:hAnsi="Cambria Math" w:eastAsia="宋体"/>
                <w:color w:val="auto"/>
                <w:highlight w:val="none"/>
                <w14:ligatures w14:val="standardContextual"/>
              </w:rPr>
              <m:t>C</m:t>
            </m:r>
            <m:ctrlPr>
              <w:rPr>
                <w:rFonts w:ascii="Cambria Math" w:hAnsi="Cambria Math" w:eastAsia="宋体"/>
                <w:i/>
                <w:color w:val="auto"/>
                <w:highlight w:val="none"/>
                <w14:ligatures w14:val="standardContextual"/>
              </w:rPr>
            </m:ctrlPr>
          </m:e>
          <m:sub>
            <m:r>
              <m:rPr/>
              <w:rPr>
                <w:rFonts w:ascii="Cambria Math" w:hAnsi="Cambria Math" w:eastAsia="宋体"/>
                <w:color w:val="auto"/>
                <w:highlight w:val="none"/>
                <w14:ligatures w14:val="standardContextual"/>
              </w:rPr>
              <m:t>x</m:t>
            </m:r>
            <m:ctrlPr>
              <w:rPr>
                <w:rFonts w:ascii="Cambria Math" w:hAnsi="Cambria Math" w:eastAsia="宋体"/>
                <w:i/>
                <w:color w:val="auto"/>
                <w:highlight w:val="none"/>
                <w14:ligatures w14:val="standardContextual"/>
              </w:rPr>
            </m:ctrlPr>
          </m:sub>
        </m:sSub>
      </m:oMath>
      <w:r>
        <w:rPr>
          <w:rFonts w:hint="eastAsia" w:ascii="Times New Roman" w:hAnsi="Times New Roman" w:eastAsia="宋体"/>
          <w:color w:val="auto"/>
          <w:highlight w:val="none"/>
          <w14:ligatures w14:val="standardContextual"/>
        </w:rPr>
        <w:t>为各驱动因子对径流变化的贡献率。</w:t>
      </w:r>
    </w:p>
    <w:bookmarkEnd w:id="21"/>
    <w:p w14:paraId="4050AAA5">
      <w:pPr>
        <w:pStyle w:val="2"/>
        <w:spacing w:before="0" w:after="0" w:line="240" w:lineRule="auto"/>
        <w:ind w:left="720" w:hanging="720"/>
        <w:rPr>
          <w:rFonts w:cs="Times New Roman"/>
          <w:b w:val="0"/>
          <w:color w:val="auto"/>
          <w:szCs w:val="28"/>
          <w:highlight w:val="none"/>
          <w14:ligatures w14:val="none"/>
        </w:rPr>
      </w:pPr>
      <w:r>
        <w:rPr>
          <w:rFonts w:hint="eastAsia" w:cs="Times New Roman"/>
          <w:b w:val="0"/>
          <w:color w:val="auto"/>
          <w:szCs w:val="28"/>
          <w:highlight w:val="none"/>
          <w14:ligatures w14:val="none"/>
        </w:rPr>
        <w:t>3</w:t>
      </w:r>
      <w:r>
        <w:rPr>
          <w:rFonts w:cs="Times New Roman"/>
          <w:b w:val="0"/>
          <w:color w:val="auto"/>
          <w:szCs w:val="28"/>
          <w:highlight w:val="none"/>
          <w14:ligatures w14:val="none"/>
        </w:rPr>
        <w:t xml:space="preserve"> </w:t>
      </w:r>
      <w:r>
        <w:rPr>
          <w:rFonts w:hint="eastAsia" w:cs="Times New Roman"/>
          <w:b w:val="0"/>
          <w:color w:val="auto"/>
          <w:szCs w:val="28"/>
          <w:highlight w:val="none"/>
          <w14:ligatures w14:val="none"/>
        </w:rPr>
        <w:t>结果与分析</w:t>
      </w:r>
    </w:p>
    <w:p w14:paraId="71AF58ED">
      <w:pPr>
        <w:pStyle w:val="3"/>
        <w:numPr>
          <w:ilvl w:val="0"/>
          <w:numId w:val="0"/>
        </w:numPr>
        <w:spacing w:before="0" w:after="0" w:line="240" w:lineRule="auto"/>
        <w:rPr>
          <w:rFonts w:eastAsia="黑体" w:cs="Times New Roman"/>
          <w:b w:val="0"/>
          <w:color w:val="auto"/>
          <w:sz w:val="21"/>
          <w:szCs w:val="22"/>
          <w:highlight w:val="none"/>
          <w14:ligatures w14:val="none"/>
        </w:rPr>
      </w:pPr>
      <w:r>
        <w:rPr>
          <w:rFonts w:hint="eastAsia" w:eastAsia="黑体" w:cs="Times New Roman"/>
          <w:b w:val="0"/>
          <w:color w:val="auto"/>
          <w:sz w:val="21"/>
          <w:szCs w:val="22"/>
          <w:highlight w:val="none"/>
          <w14:ligatures w14:val="none"/>
        </w:rPr>
        <w:t>3</w:t>
      </w:r>
      <w:r>
        <w:rPr>
          <w:rFonts w:eastAsia="黑体" w:cs="Times New Roman"/>
          <w:b w:val="0"/>
          <w:color w:val="auto"/>
          <w:sz w:val="21"/>
          <w:szCs w:val="22"/>
          <w:highlight w:val="none"/>
          <w14:ligatures w14:val="none"/>
        </w:rPr>
        <w:t xml:space="preserve">.1 </w:t>
      </w:r>
      <w:r>
        <w:rPr>
          <w:rFonts w:hint="eastAsia" w:eastAsia="黑体" w:cs="Times New Roman"/>
          <w:b w:val="0"/>
          <w:color w:val="auto"/>
          <w:sz w:val="21"/>
          <w:szCs w:val="22"/>
          <w:highlight w:val="none"/>
          <w14:ligatures w14:val="none"/>
        </w:rPr>
        <w:t>水文气象要素演变特征</w:t>
      </w:r>
    </w:p>
    <w:p w14:paraId="6EF365E5">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为明确老哈河流域径流演变特征及研究期划分依据，对</w:t>
      </w:r>
      <w:r>
        <w:rPr>
          <w:rFonts w:ascii="Times New Roman" w:hAnsi="Times New Roman" w:eastAsia="宋体"/>
          <w:color w:val="auto"/>
          <w:highlight w:val="none"/>
          <w14:ligatures w14:val="standardContextual"/>
        </w:rPr>
        <w:t>1964</w:t>
      </w:r>
      <w:r>
        <w:rPr>
          <w:rFonts w:ascii="Times New Roman" w:hAnsi="Times New Roman" w:cs="Times New Roman"/>
          <w:color w:val="auto"/>
          <w:szCs w:val="21"/>
          <w:highlight w:val="none"/>
        </w:rPr>
        <w:t>—</w:t>
      </w:r>
      <w:r>
        <w:rPr>
          <w:rFonts w:ascii="Times New Roman" w:hAnsi="Times New Roman" w:eastAsia="宋体"/>
          <w:color w:val="auto"/>
          <w:highlight w:val="none"/>
          <w14:ligatures w14:val="standardContextual"/>
        </w:rPr>
        <w:t>2022年降水、气温、潜在蒸散发和径流序列进行了趋势与突变分析</w:t>
      </w:r>
      <w:r>
        <w:rPr>
          <w:rFonts w:hint="eastAsia" w:ascii="Times New Roman" w:hAnsi="Times New Roman" w:eastAsia="宋体"/>
          <w:color w:val="auto"/>
          <w:highlight w:val="none"/>
          <w14:ligatures w14:val="standardContextual"/>
        </w:rPr>
        <w:t>（见图3）</w:t>
      </w:r>
      <w:r>
        <w:rPr>
          <w:rFonts w:ascii="Times New Roman" w:hAnsi="Times New Roman" w:eastAsia="宋体"/>
          <w:color w:val="auto"/>
          <w:highlight w:val="none"/>
          <w14:ligatures w14:val="standardContextual"/>
        </w:rPr>
        <w:t>。MK趋势检验</w:t>
      </w:r>
      <w:r>
        <w:rPr>
          <w:rFonts w:hint="eastAsia" w:ascii="Times New Roman" w:hAnsi="Times New Roman" w:eastAsia="宋体"/>
          <w:color w:val="auto"/>
          <w:highlight w:val="none"/>
          <w14:ligatures w14:val="standardContextual"/>
        </w:rPr>
        <w:t>结果表明：</w:t>
      </w:r>
      <w:r>
        <w:rPr>
          <w:rFonts w:ascii="Times New Roman" w:hAnsi="Times New Roman" w:eastAsia="宋体"/>
          <w:color w:val="auto"/>
          <w:highlight w:val="none"/>
          <w14:ligatures w14:val="standardContextual"/>
        </w:rPr>
        <w:t>老哈河流域降水总体无显著变化趋势（</w:t>
      </w:r>
      <w:r>
        <w:rPr>
          <w:rFonts w:ascii="Times New Roman" w:hAnsi="Times New Roman" w:eastAsia="宋体"/>
          <w:i/>
          <w:iCs/>
          <w:color w:val="auto"/>
          <w:highlight w:val="none"/>
          <w14:ligatures w14:val="standardContextual"/>
        </w:rPr>
        <w:t>p</w:t>
      </w:r>
      <w:r>
        <w:rPr>
          <w:rFonts w:ascii="Times New Roman" w:hAnsi="Times New Roman" w:eastAsia="宋体"/>
          <w:color w:val="auto"/>
          <w:highlight w:val="none"/>
          <w14:ligatures w14:val="standardContextual"/>
        </w:rPr>
        <w:t xml:space="preserve"> ＞</w:t>
      </w:r>
      <w:r>
        <w:rPr>
          <w:rFonts w:hint="eastAsia" w:ascii="Times New Roman" w:hAnsi="Times New Roman" w:eastAsia="宋体"/>
          <w:color w:val="auto"/>
          <w:highlight w:val="none"/>
          <w14:ligatures w14:val="standardContextual"/>
        </w:rPr>
        <w:t xml:space="preserve"> </w:t>
      </w:r>
      <w:r>
        <w:rPr>
          <w:rFonts w:ascii="Times New Roman" w:hAnsi="Times New Roman" w:eastAsia="宋体"/>
          <w:color w:val="auto"/>
          <w:highlight w:val="none"/>
          <w14:ligatures w14:val="standardContextual"/>
        </w:rPr>
        <w:t>0.05），而气温和潜在蒸散发均呈显著上升趋势（</w:t>
      </w:r>
      <w:r>
        <w:rPr>
          <w:rFonts w:ascii="Times New Roman" w:hAnsi="Times New Roman" w:eastAsia="宋体"/>
          <w:i/>
          <w:iCs/>
          <w:color w:val="auto"/>
          <w:highlight w:val="none"/>
          <w14:ligatures w14:val="standardContextual"/>
        </w:rPr>
        <w:t>p</w:t>
      </w:r>
      <w:r>
        <w:rPr>
          <w:rFonts w:ascii="Times New Roman" w:hAnsi="Times New Roman" w:eastAsia="宋体"/>
          <w:color w:val="auto"/>
          <w:highlight w:val="none"/>
          <w14:ligatures w14:val="standardContextual"/>
        </w:rPr>
        <w:t xml:space="preserve"> ＜</w:t>
      </w:r>
      <w:r>
        <w:rPr>
          <w:rFonts w:hint="eastAsia" w:ascii="Times New Roman" w:hAnsi="Times New Roman" w:eastAsia="宋体"/>
          <w:color w:val="auto"/>
          <w:highlight w:val="none"/>
          <w14:ligatures w14:val="standardContextual"/>
        </w:rPr>
        <w:t xml:space="preserve"> </w:t>
      </w:r>
      <w:r>
        <w:rPr>
          <w:rFonts w:ascii="Times New Roman" w:hAnsi="Times New Roman" w:eastAsia="宋体"/>
          <w:color w:val="auto"/>
          <w:highlight w:val="none"/>
          <w14:ligatures w14:val="standardContextual"/>
        </w:rPr>
        <w:t>0.05），径流则呈显著下降趋势（</w:t>
      </w:r>
      <w:r>
        <w:rPr>
          <w:rFonts w:ascii="Times New Roman" w:hAnsi="Times New Roman" w:eastAsia="宋体"/>
          <w:i/>
          <w:iCs/>
          <w:color w:val="auto"/>
          <w:highlight w:val="none"/>
          <w14:ligatures w14:val="standardContextual"/>
        </w:rPr>
        <w:t>p</w:t>
      </w:r>
      <w:r>
        <w:rPr>
          <w:rFonts w:ascii="Times New Roman" w:hAnsi="Times New Roman" w:eastAsia="宋体"/>
          <w:color w:val="auto"/>
          <w:highlight w:val="none"/>
          <w14:ligatures w14:val="standardContextual"/>
        </w:rPr>
        <w:t xml:space="preserve"> ＜</w:t>
      </w:r>
      <w:r>
        <w:rPr>
          <w:rFonts w:hint="eastAsia" w:ascii="Times New Roman" w:hAnsi="Times New Roman" w:eastAsia="宋体"/>
          <w:color w:val="auto"/>
          <w:highlight w:val="none"/>
          <w14:ligatures w14:val="standardContextual"/>
        </w:rPr>
        <w:t xml:space="preserve"> </w:t>
      </w:r>
      <w:r>
        <w:rPr>
          <w:rFonts w:ascii="Times New Roman" w:hAnsi="Times New Roman" w:eastAsia="宋体"/>
          <w:color w:val="auto"/>
          <w:highlight w:val="none"/>
          <w14:ligatures w14:val="standardContextual"/>
        </w:rPr>
        <w:t>0.05）。</w:t>
      </w:r>
      <w:r>
        <w:rPr>
          <w:rFonts w:hint="eastAsia" w:ascii="Times New Roman" w:hAnsi="Times New Roman" w:eastAsia="宋体"/>
          <w:color w:val="auto"/>
          <w:highlight w:val="none"/>
          <w14:ligatures w14:val="standardContextual"/>
        </w:rPr>
        <w:t>说明在降水未明显减少的背景下，流域产流能力持续减弱，径流衰减可能受气候变暖和人类活动共同影响。</w:t>
      </w:r>
    </w:p>
    <w:p w14:paraId="0A98EE51">
      <w:pPr>
        <w:spacing w:after="160" w:line="360" w:lineRule="auto"/>
        <w:jc w:val="center"/>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drawing>
          <wp:inline distT="0" distB="0" distL="0" distR="0">
            <wp:extent cx="5039995" cy="4106545"/>
            <wp:effectExtent l="0" t="0" r="8255"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2">
                      <a:extLst>
                        <a:ext uri="{28A0092B-C50C-407E-A947-70E740481C1C}">
                          <a14:useLocalDpi xmlns:a14="http://schemas.microsoft.com/office/drawing/2010/main" val="0"/>
                        </a:ext>
                      </a:extLst>
                    </a:blip>
                    <a:srcRect l="4026" t="4444" r="3389"/>
                    <a:stretch>
                      <a:fillRect/>
                    </a:stretch>
                  </pic:blipFill>
                  <pic:spPr>
                    <a:xfrm>
                      <a:off x="0" y="0"/>
                      <a:ext cx="5040000" cy="4106985"/>
                    </a:xfrm>
                    <a:prstGeom prst="rect">
                      <a:avLst/>
                    </a:prstGeom>
                    <a:noFill/>
                    <a:ln>
                      <a:noFill/>
                    </a:ln>
                  </pic:spPr>
                </pic:pic>
              </a:graphicData>
            </a:graphic>
          </wp:inline>
        </w:drawing>
      </w:r>
    </w:p>
    <w:p w14:paraId="27FB5119">
      <w:pPr>
        <w:pStyle w:val="59"/>
        <w:spacing w:beforeLines="0" w:afterLines="0" w:line="240" w:lineRule="auto"/>
        <w:rPr>
          <w:b w:val="0"/>
          <w:bCs/>
          <w:color w:val="auto"/>
          <w:szCs w:val="21"/>
          <w:highlight w:val="none"/>
        </w:rPr>
      </w:pPr>
      <w:r>
        <w:rPr>
          <w:rFonts w:hint="eastAsia"/>
          <w:b w:val="0"/>
          <w:bCs/>
          <w:color w:val="auto"/>
          <w:szCs w:val="21"/>
          <w:highlight w:val="none"/>
        </w:rPr>
        <w:t>图</w:t>
      </w:r>
      <w:r>
        <w:rPr>
          <w:b w:val="0"/>
          <w:bCs/>
          <w:color w:val="auto"/>
          <w:szCs w:val="21"/>
          <w:highlight w:val="none"/>
        </w:rPr>
        <w:t xml:space="preserve">3 </w:t>
      </w:r>
      <w:bookmarkStart w:id="31" w:name="OLE_LINK5"/>
      <w:r>
        <w:rPr>
          <w:b w:val="0"/>
          <w:bCs/>
          <w:color w:val="auto"/>
          <w:szCs w:val="21"/>
          <w:highlight w:val="none"/>
        </w:rPr>
        <w:t xml:space="preserve"> </w:t>
      </w:r>
      <w:r>
        <w:rPr>
          <w:rFonts w:hint="eastAsia"/>
          <w:b w:val="0"/>
          <w:bCs/>
          <w:color w:val="auto"/>
          <w:szCs w:val="21"/>
          <w:highlight w:val="none"/>
        </w:rPr>
        <w:t>老哈河流域水文气象要素年际变化</w:t>
      </w:r>
      <w:bookmarkEnd w:id="31"/>
    </w:p>
    <w:p w14:paraId="6F630458">
      <w:pPr>
        <w:pStyle w:val="59"/>
        <w:spacing w:beforeLines="0" w:afterLines="0" w:line="240" w:lineRule="auto"/>
        <w:rPr>
          <w:b w:val="0"/>
          <w:bCs/>
          <w:color w:val="auto"/>
          <w:szCs w:val="21"/>
          <w:highlight w:val="none"/>
        </w:rPr>
      </w:pPr>
      <w:r>
        <w:rPr>
          <w:rFonts w:hint="eastAsia"/>
          <w:b w:val="0"/>
          <w:bCs/>
          <w:color w:val="auto"/>
          <w:szCs w:val="21"/>
          <w:highlight w:val="none"/>
        </w:rPr>
        <w:t>F</w:t>
      </w:r>
      <w:r>
        <w:rPr>
          <w:b w:val="0"/>
          <w:bCs/>
          <w:color w:val="auto"/>
          <w:szCs w:val="21"/>
          <w:highlight w:val="none"/>
        </w:rPr>
        <w:t xml:space="preserve">ig.3  Interannual </w:t>
      </w:r>
      <w:r>
        <w:rPr>
          <w:rFonts w:hint="eastAsia"/>
          <w:b w:val="0"/>
          <w:bCs/>
          <w:color w:val="auto"/>
          <w:szCs w:val="21"/>
          <w:highlight w:val="none"/>
        </w:rPr>
        <w:t>variations in</w:t>
      </w:r>
      <w:r>
        <w:rPr>
          <w:b w:val="0"/>
          <w:bCs/>
          <w:color w:val="auto"/>
          <w:szCs w:val="21"/>
          <w:highlight w:val="none"/>
        </w:rPr>
        <w:t xml:space="preserve"> hydrometeorological variables in Laoha River Basin</w:t>
      </w:r>
    </w:p>
    <w:p w14:paraId="44AAA31F">
      <w:pPr>
        <w:ind w:firstLine="420" w:firstLineChars="200"/>
        <w:rPr>
          <w:b/>
          <w:bCs/>
          <w:color w:val="auto"/>
          <w:szCs w:val="21"/>
          <w:highlight w:val="none"/>
        </w:rPr>
      </w:pPr>
      <w:r>
        <w:rPr>
          <w:rFonts w:hint="eastAsia" w:ascii="Times New Roman" w:hAnsi="Times New Roman" w:eastAsia="宋体"/>
          <w:color w:val="auto"/>
          <w:highlight w:val="none"/>
          <w14:ligatures w14:val="standardContextual"/>
        </w:rPr>
        <w:t>为提高突变识别的可靠性，采用</w:t>
      </w:r>
      <w:r>
        <w:rPr>
          <w:rFonts w:ascii="Times New Roman" w:hAnsi="Times New Roman" w:eastAsia="宋体"/>
          <w:color w:val="auto"/>
          <w:highlight w:val="none"/>
          <w14:ligatures w14:val="standardContextual"/>
        </w:rPr>
        <w:t>Pettitt检验、累计距平分析及降水-径流双累积曲线进行</w:t>
      </w:r>
      <w:r>
        <w:rPr>
          <w:rFonts w:hint="eastAsia" w:ascii="Times New Roman" w:hAnsi="Times New Roman" w:eastAsia="宋体"/>
          <w:color w:val="auto"/>
          <w:highlight w:val="none"/>
          <w14:ligatures w14:val="standardContextual"/>
        </w:rPr>
        <w:t>交叉验证，结果如图4所示，</w:t>
      </w:r>
      <w:r>
        <w:rPr>
          <w:rFonts w:ascii="Times New Roman" w:hAnsi="Times New Roman" w:eastAsia="宋体"/>
          <w:color w:val="auto"/>
          <w:highlight w:val="none"/>
          <w14:ligatures w14:val="standardContextual"/>
        </w:rPr>
        <w:t>Pettitt检验</w:t>
      </w:r>
      <w:r>
        <w:rPr>
          <w:rFonts w:hint="eastAsia" w:ascii="Times New Roman" w:hAnsi="Times New Roman" w:eastAsia="宋体"/>
          <w:color w:val="auto"/>
          <w:highlight w:val="none"/>
          <w14:ligatures w14:val="standardContextual"/>
        </w:rPr>
        <w:t>表明首个</w:t>
      </w:r>
      <w:r>
        <w:rPr>
          <w:rFonts w:ascii="Times New Roman" w:hAnsi="Times New Roman" w:eastAsia="宋体"/>
          <w:color w:val="auto"/>
          <w:highlight w:val="none"/>
          <w14:ligatures w14:val="standardContextual"/>
        </w:rPr>
        <w:t>通过99%置信水平检验</w:t>
      </w:r>
      <w:r>
        <w:rPr>
          <w:rFonts w:hint="eastAsia" w:ascii="Times New Roman" w:hAnsi="Times New Roman" w:eastAsia="宋体"/>
          <w:color w:val="auto"/>
          <w:highlight w:val="none"/>
          <w14:ligatures w14:val="standardContextual"/>
        </w:rPr>
        <w:t>的突变点为</w:t>
      </w:r>
      <w:r>
        <w:rPr>
          <w:rFonts w:ascii="Times New Roman" w:hAnsi="Times New Roman" w:eastAsia="宋体"/>
          <w:color w:val="auto"/>
          <w:highlight w:val="none"/>
          <w14:ligatures w14:val="standardContextual"/>
        </w:rPr>
        <w:t>1979年（</w:t>
      </w:r>
      <w:r>
        <w:rPr>
          <w:rFonts w:ascii="Times New Roman" w:hAnsi="Times New Roman" w:eastAsia="宋体"/>
          <w:i/>
          <w:iCs/>
          <w:color w:val="auto"/>
          <w:highlight w:val="none"/>
          <w14:ligatures w14:val="standardContextual"/>
        </w:rPr>
        <w:t>p</w:t>
      </w:r>
      <w:r>
        <w:rPr>
          <w:rFonts w:ascii="Times New Roman" w:hAnsi="Times New Roman" w:eastAsia="宋体"/>
          <w:color w:val="auto"/>
          <w:highlight w:val="none"/>
          <w14:ligatures w14:val="standardContextual"/>
        </w:rPr>
        <w:t xml:space="preserve"> ＜</w:t>
      </w:r>
      <w:r>
        <w:rPr>
          <w:rFonts w:hint="eastAsia" w:ascii="Times New Roman" w:hAnsi="Times New Roman" w:eastAsia="宋体"/>
          <w:color w:val="auto"/>
          <w:highlight w:val="none"/>
          <w14:ligatures w14:val="standardContextual"/>
        </w:rPr>
        <w:t xml:space="preserve"> </w:t>
      </w:r>
      <w:r>
        <w:rPr>
          <w:rFonts w:ascii="Times New Roman" w:hAnsi="Times New Roman" w:eastAsia="宋体"/>
          <w:color w:val="auto"/>
          <w:highlight w:val="none"/>
          <w14:ligatures w14:val="standardContextual"/>
        </w:rPr>
        <w:t>0.01）</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1999年前后突变特征进一步增强</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累计距平曲线在1979年和1999年附近均出现转折</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降水-径流双累积曲线斜率亦在相应时段发生变化。</w:t>
      </w:r>
      <w:r>
        <w:rPr>
          <w:rFonts w:hint="eastAsia" w:ascii="Times New Roman" w:hAnsi="Times New Roman" w:eastAsia="宋体"/>
          <w:color w:val="auto"/>
          <w:highlight w:val="none"/>
          <w14:ligatures w14:val="standardContextual"/>
        </w:rPr>
        <w:t>综合多方法识别结果、突变后的持续性及降水</w:t>
      </w:r>
      <w:r>
        <w:rPr>
          <w:rFonts w:ascii="Times New Roman" w:hAnsi="Times New Roman" w:eastAsia="宋体"/>
          <w:color w:val="auto"/>
          <w:highlight w:val="none"/>
          <w14:ligatures w14:val="standardContextual"/>
        </w:rPr>
        <w:t>-径流关系</w:t>
      </w:r>
      <w:r>
        <w:rPr>
          <w:rFonts w:hint="eastAsia" w:ascii="Times New Roman" w:hAnsi="Times New Roman" w:eastAsia="宋体"/>
          <w:color w:val="auto"/>
          <w:highlight w:val="none"/>
          <w14:ligatures w14:val="standardContextual"/>
        </w:rPr>
        <w:t>变化</w:t>
      </w:r>
      <w:r>
        <w:rPr>
          <w:rFonts w:ascii="Times New Roman" w:hAnsi="Times New Roman" w:eastAsia="宋体"/>
          <w:color w:val="auto"/>
          <w:highlight w:val="none"/>
          <w14:ligatures w14:val="standardContextual"/>
        </w:rPr>
        <w:t>特征，老哈河径流演变呈现</w:t>
      </w:r>
      <w:r>
        <w:rPr>
          <w:rFonts w:hint="eastAsia" w:ascii="Times New Roman" w:hAnsi="Times New Roman" w:eastAsia="宋体"/>
          <w:color w:val="auto"/>
          <w:highlight w:val="none"/>
          <w14:ligatures w14:val="standardContextual"/>
        </w:rPr>
        <w:t>“1</w:t>
      </w:r>
      <w:r>
        <w:rPr>
          <w:rFonts w:ascii="Times New Roman" w:hAnsi="Times New Roman" w:eastAsia="宋体"/>
          <w:color w:val="auto"/>
          <w:highlight w:val="none"/>
          <w14:ligatures w14:val="standardContextual"/>
        </w:rPr>
        <w:t>979年</w:t>
      </w:r>
      <w:r>
        <w:rPr>
          <w:rFonts w:hint="eastAsia" w:ascii="Times New Roman" w:hAnsi="Times New Roman" w:eastAsia="宋体"/>
          <w:color w:val="auto"/>
          <w:highlight w:val="none"/>
          <w14:ligatures w14:val="standardContextual"/>
        </w:rPr>
        <w:t>发生</w:t>
      </w:r>
      <w:r>
        <w:rPr>
          <w:rFonts w:ascii="Times New Roman" w:hAnsi="Times New Roman" w:eastAsia="宋体"/>
          <w:color w:val="auto"/>
          <w:highlight w:val="none"/>
          <w14:ligatures w14:val="standardContextual"/>
        </w:rPr>
        <w:t>首次系统性转折、1999年前后</w:t>
      </w:r>
      <w:r>
        <w:rPr>
          <w:rFonts w:hint="eastAsia" w:ascii="Times New Roman" w:hAnsi="Times New Roman" w:eastAsia="宋体"/>
          <w:color w:val="auto"/>
          <w:highlight w:val="none"/>
          <w14:ligatures w14:val="standardContextual"/>
        </w:rPr>
        <w:t>衰减</w:t>
      </w:r>
      <w:r>
        <w:rPr>
          <w:rFonts w:ascii="Times New Roman" w:hAnsi="Times New Roman" w:eastAsia="宋体"/>
          <w:color w:val="auto"/>
          <w:highlight w:val="none"/>
          <w14:ligatures w14:val="standardContextual"/>
        </w:rPr>
        <w:t>进一步</w:t>
      </w:r>
      <w:r>
        <w:rPr>
          <w:rFonts w:hint="eastAsia" w:ascii="Times New Roman" w:hAnsi="Times New Roman" w:eastAsia="宋体"/>
          <w:color w:val="auto"/>
          <w:highlight w:val="none"/>
          <w14:ligatures w14:val="standardContextual"/>
        </w:rPr>
        <w:t>加剧”</w:t>
      </w:r>
      <w:r>
        <w:rPr>
          <w:rFonts w:ascii="Times New Roman" w:hAnsi="Times New Roman" w:eastAsia="宋体"/>
          <w:color w:val="auto"/>
          <w:highlight w:val="none"/>
          <w14:ligatures w14:val="standardContextual"/>
        </w:rPr>
        <w:t>的特征。其中，1979年标志着径流由相对稳定状态转入持续衰减阶段，确定为主突变点；1999年发生于已变化的水文阶段内，反映径流衰减的进一步强化，界定为次级突变点。</w:t>
      </w:r>
      <w:r>
        <w:rPr>
          <w:rFonts w:hint="eastAsia" w:ascii="Times New Roman" w:hAnsi="Times New Roman" w:eastAsia="宋体"/>
          <w:color w:val="auto"/>
          <w:highlight w:val="none"/>
          <w14:ligatures w14:val="standardContextual"/>
        </w:rPr>
        <w:t>为避免将已发生显著水文响应变化的</w:t>
      </w:r>
      <w:r>
        <w:rPr>
          <w:rFonts w:ascii="Times New Roman" w:hAnsi="Times New Roman" w:eastAsia="宋体"/>
          <w:color w:val="auto"/>
          <w:highlight w:val="none"/>
          <w14:ligatures w14:val="standardContextual"/>
        </w:rPr>
        <w:t>1980—1999年纳入参照期，本文将1964—1979年划分为基准期，1980—2022年划分为变化期，并据此开展后续天然径流重建与归因分析。</w:t>
      </w:r>
    </w:p>
    <w:p w14:paraId="6140BF8A">
      <w:pPr>
        <w:spacing w:after="160" w:line="360" w:lineRule="auto"/>
        <w:jc w:val="center"/>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drawing>
          <wp:inline distT="0" distB="0" distL="0" distR="0">
            <wp:extent cx="5754370" cy="1558290"/>
            <wp:effectExtent l="0" t="0" r="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a:extLst>
                        <a:ext uri="{28A0092B-C50C-407E-A947-70E740481C1C}">
                          <a14:useLocalDpi xmlns:a14="http://schemas.microsoft.com/office/drawing/2010/main" val="0"/>
                        </a:ext>
                      </a:extLst>
                    </a:blip>
                    <a:srcRect l="3490" r="3659"/>
                    <a:stretch>
                      <a:fillRect/>
                    </a:stretch>
                  </pic:blipFill>
                  <pic:spPr>
                    <a:xfrm>
                      <a:off x="0" y="0"/>
                      <a:ext cx="5764103" cy="1561318"/>
                    </a:xfrm>
                    <a:prstGeom prst="rect">
                      <a:avLst/>
                    </a:prstGeom>
                    <a:noFill/>
                    <a:ln>
                      <a:noFill/>
                    </a:ln>
                  </pic:spPr>
                </pic:pic>
              </a:graphicData>
            </a:graphic>
          </wp:inline>
        </w:drawing>
      </w:r>
    </w:p>
    <w:p w14:paraId="0C0104D3">
      <w:pPr>
        <w:pStyle w:val="59"/>
        <w:spacing w:beforeLines="0" w:afterLines="0" w:line="240" w:lineRule="auto"/>
        <w:rPr>
          <w:b w:val="0"/>
          <w:bCs/>
          <w:color w:val="auto"/>
          <w:szCs w:val="21"/>
          <w:highlight w:val="none"/>
        </w:rPr>
      </w:pPr>
      <w:r>
        <w:rPr>
          <w:rFonts w:hint="eastAsia"/>
          <w:b w:val="0"/>
          <w:bCs/>
          <w:color w:val="auto"/>
          <w:szCs w:val="21"/>
          <w:highlight w:val="none"/>
        </w:rPr>
        <w:t>图</w:t>
      </w:r>
      <w:r>
        <w:rPr>
          <w:b w:val="0"/>
          <w:bCs/>
          <w:color w:val="auto"/>
          <w:szCs w:val="21"/>
          <w:highlight w:val="none"/>
        </w:rPr>
        <w:t>4  老哈河流域1964—2022年</w:t>
      </w:r>
      <w:r>
        <w:rPr>
          <w:rFonts w:hint="eastAsia"/>
          <w:b w:val="0"/>
          <w:bCs/>
          <w:color w:val="auto"/>
          <w:szCs w:val="21"/>
          <w:highlight w:val="none"/>
        </w:rPr>
        <w:t>径流序列突变点检验</w:t>
      </w:r>
    </w:p>
    <w:p w14:paraId="1E22D784">
      <w:pPr>
        <w:pStyle w:val="59"/>
        <w:spacing w:beforeLines="0" w:afterLines="0" w:line="240" w:lineRule="auto"/>
        <w:rPr>
          <w:b w:val="0"/>
          <w:bCs/>
          <w:color w:val="auto"/>
          <w:szCs w:val="21"/>
          <w:highlight w:val="none"/>
        </w:rPr>
      </w:pPr>
      <w:r>
        <w:rPr>
          <w:rFonts w:hint="eastAsia"/>
          <w:b w:val="0"/>
          <w:bCs/>
          <w:color w:val="auto"/>
          <w:szCs w:val="21"/>
          <w:highlight w:val="none"/>
        </w:rPr>
        <w:t>F</w:t>
      </w:r>
      <w:r>
        <w:rPr>
          <w:b w:val="0"/>
          <w:bCs/>
          <w:color w:val="auto"/>
          <w:szCs w:val="21"/>
          <w:highlight w:val="none"/>
        </w:rPr>
        <w:t>ig.4  Testing for abrupt change points in runoff series of Laoha River Basin (1964</w:t>
      </w:r>
      <w:r>
        <w:rPr>
          <w:rFonts w:hint="eastAsia"/>
          <w:b w:val="0"/>
          <w:bCs/>
          <w:color w:val="auto"/>
          <w:szCs w:val="21"/>
          <w:highlight w:val="none"/>
          <w:lang w:eastAsia="zh-CN"/>
        </w:rPr>
        <w:t>—</w:t>
      </w:r>
      <w:r>
        <w:rPr>
          <w:b w:val="0"/>
          <w:bCs/>
          <w:color w:val="auto"/>
          <w:szCs w:val="21"/>
          <w:highlight w:val="none"/>
        </w:rPr>
        <w:t>2022)</w:t>
      </w:r>
    </w:p>
    <w:p w14:paraId="39B293A8">
      <w:pPr>
        <w:pStyle w:val="59"/>
        <w:spacing w:beforeLines="0" w:afterLines="0" w:line="240" w:lineRule="auto"/>
        <w:rPr>
          <w:b w:val="0"/>
          <w:bCs/>
          <w:color w:val="auto"/>
          <w:szCs w:val="21"/>
          <w:highlight w:val="none"/>
        </w:rPr>
      </w:pPr>
    </w:p>
    <w:p w14:paraId="12D7706C">
      <w:pPr>
        <w:pStyle w:val="3"/>
        <w:numPr>
          <w:ilvl w:val="0"/>
          <w:numId w:val="0"/>
        </w:numPr>
        <w:spacing w:before="0" w:after="0" w:line="240" w:lineRule="auto"/>
        <w:rPr>
          <w:rFonts w:eastAsia="黑体" w:cs="Times New Roman"/>
          <w:b w:val="0"/>
          <w:color w:val="auto"/>
          <w:sz w:val="21"/>
          <w:szCs w:val="22"/>
          <w:highlight w:val="none"/>
          <w14:ligatures w14:val="none"/>
        </w:rPr>
      </w:pPr>
      <w:r>
        <w:rPr>
          <w:rFonts w:hint="eastAsia" w:eastAsia="黑体" w:cs="Times New Roman"/>
          <w:b w:val="0"/>
          <w:color w:val="auto"/>
          <w:sz w:val="21"/>
          <w:szCs w:val="22"/>
          <w:highlight w:val="none"/>
          <w14:ligatures w14:val="none"/>
        </w:rPr>
        <w:t>3</w:t>
      </w:r>
      <w:r>
        <w:rPr>
          <w:rFonts w:eastAsia="黑体" w:cs="Times New Roman"/>
          <w:b w:val="0"/>
          <w:color w:val="auto"/>
          <w:sz w:val="21"/>
          <w:szCs w:val="22"/>
          <w:highlight w:val="none"/>
          <w14:ligatures w14:val="none"/>
        </w:rPr>
        <w:t xml:space="preserve">.2 </w:t>
      </w:r>
      <w:r>
        <w:rPr>
          <w:rFonts w:hint="eastAsia" w:eastAsia="黑体" w:cs="Times New Roman"/>
          <w:b w:val="0"/>
          <w:color w:val="auto"/>
          <w:sz w:val="21"/>
          <w:szCs w:val="22"/>
          <w:highlight w:val="none"/>
          <w14:ligatures w14:val="none"/>
        </w:rPr>
        <w:t>最优混合模型构建及优选</w:t>
      </w:r>
    </w:p>
    <w:p w14:paraId="6E009149">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综合考虑地形、地貌和相关研究，确定了2</w:t>
      </w:r>
      <w:r>
        <w:rPr>
          <w:rFonts w:ascii="Times New Roman" w:hAnsi="Times New Roman" w:eastAsia="宋体"/>
          <w:color w:val="auto"/>
          <w:highlight w:val="none"/>
          <w14:ligatures w14:val="standardContextual"/>
        </w:rPr>
        <w:t>4</w:t>
      </w:r>
      <w:r>
        <w:rPr>
          <w:rFonts w:hint="eastAsia" w:ascii="Times New Roman" w:hAnsi="Times New Roman" w:eastAsia="宋体"/>
          <w:color w:val="auto"/>
          <w:highlight w:val="none"/>
          <w14:ligatures w14:val="standardContextual"/>
        </w:rPr>
        <w:t>个敏感性较强和应用较多的参数，参数率定结果如表1所列。</w:t>
      </w:r>
    </w:p>
    <w:p w14:paraId="26D28440">
      <w:pPr>
        <w:jc w:val="center"/>
        <w:rPr>
          <w:rFonts w:ascii="Times New Roman" w:hAnsi="Times New Roman" w:eastAsia="黑体" w:cs="Times New Roman"/>
          <w:color w:val="auto"/>
          <w:sz w:val="18"/>
          <w:szCs w:val="18"/>
          <w:highlight w:val="none"/>
        </w:rPr>
      </w:pPr>
      <w:r>
        <w:rPr>
          <w:rFonts w:hint="eastAsia" w:ascii="Times New Roman" w:hAnsi="Times New Roman" w:eastAsia="黑体" w:cs="Times New Roman"/>
          <w:color w:val="auto"/>
          <w:sz w:val="18"/>
          <w:szCs w:val="18"/>
          <w:highlight w:val="none"/>
        </w:rPr>
        <w:t>表</w:t>
      </w:r>
      <w:r>
        <w:rPr>
          <w:rFonts w:ascii="Times New Roman" w:hAnsi="Times New Roman" w:eastAsia="黑体" w:cs="Times New Roman"/>
          <w:color w:val="auto"/>
          <w:sz w:val="18"/>
          <w:szCs w:val="18"/>
          <w:highlight w:val="none"/>
        </w:rPr>
        <w:t xml:space="preserve">1  </w:t>
      </w:r>
      <w:bookmarkStart w:id="32" w:name="OLE_LINK27"/>
      <w:r>
        <w:rPr>
          <w:rFonts w:hint="eastAsia" w:ascii="Times New Roman" w:hAnsi="Times New Roman" w:eastAsia="黑体" w:cs="Times New Roman"/>
          <w:color w:val="auto"/>
          <w:sz w:val="18"/>
          <w:szCs w:val="18"/>
          <w:highlight w:val="none"/>
        </w:rPr>
        <w:t>S</w:t>
      </w:r>
      <w:r>
        <w:rPr>
          <w:rFonts w:ascii="Times New Roman" w:hAnsi="Times New Roman" w:eastAsia="黑体" w:cs="Times New Roman"/>
          <w:color w:val="auto"/>
          <w:sz w:val="18"/>
          <w:szCs w:val="18"/>
          <w:highlight w:val="none"/>
        </w:rPr>
        <w:t>WAT</w:t>
      </w:r>
      <w:r>
        <w:rPr>
          <w:rFonts w:hint="eastAsia" w:ascii="Times New Roman" w:hAnsi="Times New Roman" w:eastAsia="黑体" w:cs="Times New Roman"/>
          <w:color w:val="auto"/>
          <w:sz w:val="18"/>
          <w:szCs w:val="18"/>
          <w:highlight w:val="none"/>
        </w:rPr>
        <w:t>模型参数率定结果</w:t>
      </w:r>
      <w:bookmarkEnd w:id="32"/>
    </w:p>
    <w:p w14:paraId="75283FEC">
      <w:pPr>
        <w:jc w:val="center"/>
        <w:rPr>
          <w:rFonts w:ascii="Times New Roman" w:hAnsi="Times New Roman" w:eastAsia="黑体" w:cs="Times New Roman"/>
          <w:color w:val="auto"/>
          <w:sz w:val="18"/>
          <w:szCs w:val="18"/>
          <w:highlight w:val="none"/>
        </w:rPr>
      </w:pPr>
      <w:r>
        <w:rPr>
          <w:rFonts w:ascii="Times New Roman" w:hAnsi="Times New Roman" w:eastAsia="黑体" w:cs="Times New Roman"/>
          <w:color w:val="auto"/>
          <w:sz w:val="18"/>
          <w:szCs w:val="18"/>
          <w:highlight w:val="none"/>
        </w:rPr>
        <w:t>Table</w:t>
      </w:r>
      <w:r>
        <w:rPr>
          <w:rFonts w:hint="eastAsia" w:ascii="Times New Roman" w:hAnsi="Times New Roman" w:eastAsia="黑体" w:cs="Times New Roman"/>
          <w:color w:val="auto"/>
          <w:sz w:val="18"/>
          <w:szCs w:val="18"/>
          <w:highlight w:val="none"/>
        </w:rPr>
        <w:t xml:space="preserve"> </w:t>
      </w:r>
      <w:r>
        <w:rPr>
          <w:rFonts w:ascii="Times New Roman" w:hAnsi="Times New Roman" w:eastAsia="黑体" w:cs="Times New Roman"/>
          <w:color w:val="auto"/>
          <w:sz w:val="18"/>
          <w:szCs w:val="18"/>
          <w:highlight w:val="none"/>
        </w:rPr>
        <w:t>1  Results of SWAT model parameter calibration</w:t>
      </w:r>
    </w:p>
    <w:tbl>
      <w:tblPr>
        <w:tblStyle w:val="16"/>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560"/>
        <w:gridCol w:w="3969"/>
        <w:gridCol w:w="850"/>
        <w:gridCol w:w="851"/>
        <w:gridCol w:w="992"/>
      </w:tblGrid>
      <w:tr w14:paraId="4B176E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560" w:type="dxa"/>
            <w:vMerge w:val="restart"/>
            <w:tcBorders>
              <w:top w:val="single" w:color="auto" w:sz="12" w:space="0"/>
              <w:bottom w:val="nil"/>
            </w:tcBorders>
            <w:noWrap/>
            <w:vAlign w:val="center"/>
          </w:tcPr>
          <w:p w14:paraId="2429352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参数名称</w:t>
            </w:r>
          </w:p>
        </w:tc>
        <w:tc>
          <w:tcPr>
            <w:tcW w:w="3969" w:type="dxa"/>
            <w:vMerge w:val="restart"/>
            <w:tcBorders>
              <w:top w:val="single" w:color="auto" w:sz="12" w:space="0"/>
              <w:bottom w:val="nil"/>
            </w:tcBorders>
            <w:noWrap/>
            <w:vAlign w:val="center"/>
          </w:tcPr>
          <w:p w14:paraId="5BE9BD5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物理意义</w:t>
            </w:r>
          </w:p>
        </w:tc>
        <w:tc>
          <w:tcPr>
            <w:tcW w:w="1701" w:type="dxa"/>
            <w:gridSpan w:val="2"/>
            <w:tcBorders>
              <w:top w:val="single" w:color="auto" w:sz="12" w:space="0"/>
              <w:bottom w:val="single" w:color="auto" w:sz="4" w:space="0"/>
            </w:tcBorders>
            <w:noWrap/>
            <w:vAlign w:val="center"/>
          </w:tcPr>
          <w:p w14:paraId="3110883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初始范围</w:t>
            </w:r>
          </w:p>
        </w:tc>
        <w:tc>
          <w:tcPr>
            <w:tcW w:w="992" w:type="dxa"/>
            <w:vMerge w:val="restart"/>
            <w:tcBorders>
              <w:top w:val="single" w:color="auto" w:sz="12" w:space="0"/>
              <w:bottom w:val="nil"/>
            </w:tcBorders>
            <w:noWrap/>
            <w:vAlign w:val="center"/>
          </w:tcPr>
          <w:p w14:paraId="6246A43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最优值</w:t>
            </w:r>
          </w:p>
        </w:tc>
      </w:tr>
      <w:tr w14:paraId="35ECC0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560" w:type="dxa"/>
            <w:vMerge w:val="continue"/>
            <w:tcBorders>
              <w:top w:val="nil"/>
              <w:bottom w:val="single" w:color="auto" w:sz="4" w:space="0"/>
            </w:tcBorders>
            <w:vAlign w:val="center"/>
          </w:tcPr>
          <w:p w14:paraId="5CE7F99E">
            <w:pPr>
              <w:jc w:val="center"/>
              <w:rPr>
                <w:rFonts w:ascii="Times New Roman" w:hAnsi="Times New Roman" w:eastAsia="宋体"/>
                <w:color w:val="auto"/>
                <w:sz w:val="15"/>
                <w:szCs w:val="18"/>
                <w:highlight w:val="none"/>
                <w14:ligatures w14:val="standardContextual"/>
              </w:rPr>
            </w:pPr>
          </w:p>
        </w:tc>
        <w:tc>
          <w:tcPr>
            <w:tcW w:w="3969" w:type="dxa"/>
            <w:vMerge w:val="continue"/>
            <w:tcBorders>
              <w:top w:val="nil"/>
              <w:bottom w:val="single" w:color="auto" w:sz="4" w:space="0"/>
            </w:tcBorders>
            <w:vAlign w:val="center"/>
          </w:tcPr>
          <w:p w14:paraId="4A600D3F">
            <w:pPr>
              <w:jc w:val="center"/>
              <w:rPr>
                <w:rFonts w:ascii="Times New Roman" w:hAnsi="Times New Roman" w:eastAsia="宋体"/>
                <w:color w:val="auto"/>
                <w:sz w:val="15"/>
                <w:szCs w:val="18"/>
                <w:highlight w:val="none"/>
                <w14:ligatures w14:val="standardContextual"/>
              </w:rPr>
            </w:pPr>
          </w:p>
        </w:tc>
        <w:tc>
          <w:tcPr>
            <w:tcW w:w="850" w:type="dxa"/>
            <w:tcBorders>
              <w:top w:val="single" w:color="auto" w:sz="4" w:space="0"/>
              <w:bottom w:val="single" w:color="auto" w:sz="4" w:space="0"/>
            </w:tcBorders>
            <w:noWrap/>
            <w:vAlign w:val="bottom"/>
          </w:tcPr>
          <w:p w14:paraId="61E9047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最小值</w:t>
            </w:r>
          </w:p>
        </w:tc>
        <w:tc>
          <w:tcPr>
            <w:tcW w:w="851" w:type="dxa"/>
            <w:tcBorders>
              <w:top w:val="single" w:color="auto" w:sz="4" w:space="0"/>
              <w:bottom w:val="single" w:color="auto" w:sz="4" w:space="0"/>
            </w:tcBorders>
            <w:noWrap/>
            <w:vAlign w:val="bottom"/>
          </w:tcPr>
          <w:p w14:paraId="435D86F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最大值</w:t>
            </w:r>
          </w:p>
        </w:tc>
        <w:tc>
          <w:tcPr>
            <w:tcW w:w="992" w:type="dxa"/>
            <w:vMerge w:val="continue"/>
            <w:tcBorders>
              <w:top w:val="nil"/>
              <w:bottom w:val="single" w:color="auto" w:sz="4" w:space="0"/>
            </w:tcBorders>
            <w:vAlign w:val="center"/>
          </w:tcPr>
          <w:p w14:paraId="760EEED1">
            <w:pPr>
              <w:jc w:val="center"/>
              <w:rPr>
                <w:rFonts w:ascii="Times New Roman" w:hAnsi="Times New Roman" w:eastAsia="宋体"/>
                <w:color w:val="auto"/>
                <w:sz w:val="15"/>
                <w:szCs w:val="18"/>
                <w:highlight w:val="none"/>
                <w14:ligatures w14:val="standardContextual"/>
              </w:rPr>
            </w:pPr>
          </w:p>
        </w:tc>
      </w:tr>
      <w:tr w14:paraId="2CFC19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tcBorders>
              <w:top w:val="single" w:color="auto" w:sz="4" w:space="0"/>
            </w:tcBorders>
            <w:noWrap/>
            <w:vAlign w:val="center"/>
          </w:tcPr>
          <w:p w14:paraId="5698996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V__TLAPS.sub</w:t>
            </w:r>
          </w:p>
        </w:tc>
        <w:tc>
          <w:tcPr>
            <w:tcW w:w="3969" w:type="dxa"/>
            <w:tcBorders>
              <w:top w:val="single" w:color="auto" w:sz="4" w:space="0"/>
            </w:tcBorders>
            <w:noWrap/>
            <w:vAlign w:val="center"/>
          </w:tcPr>
          <w:p w14:paraId="37415D0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气温垂直递减率/℃</w:t>
            </w:r>
            <w:bookmarkStart w:id="33" w:name="OLE_LINK3"/>
            <w:r>
              <w:rPr>
                <w:rFonts w:hint="eastAsia" w:ascii="Times New Roman" w:hAnsi="Times New Roman" w:eastAsia="宋体"/>
                <w:color w:val="auto"/>
                <w:sz w:val="15"/>
                <w:szCs w:val="18"/>
                <w:highlight w:val="none"/>
                <w14:ligatures w14:val="standardContextual"/>
              </w:rPr>
              <w:t>·</w:t>
            </w:r>
            <w:bookmarkEnd w:id="33"/>
            <w:r>
              <w:rPr>
                <w:rFonts w:hint="eastAsia" w:ascii="Times New Roman" w:hAnsi="Times New Roman" w:eastAsia="宋体"/>
                <w:color w:val="auto"/>
                <w:sz w:val="15"/>
                <w:szCs w:val="18"/>
                <w:highlight w:val="none"/>
                <w14:ligatures w14:val="standardContextual"/>
              </w:rPr>
              <w:t>km</w:t>
            </w:r>
            <w:r>
              <w:rPr>
                <w:rFonts w:ascii="Times New Roman" w:hAnsi="Times New Roman" w:eastAsia="宋体"/>
                <w:color w:val="auto"/>
                <w:sz w:val="15"/>
                <w:szCs w:val="18"/>
                <w:highlight w:val="none"/>
                <w:vertAlign w:val="superscript"/>
                <w14:ligatures w14:val="standardContextual"/>
              </w:rPr>
              <w:t>-1</w:t>
            </w:r>
          </w:p>
        </w:tc>
        <w:tc>
          <w:tcPr>
            <w:tcW w:w="850" w:type="dxa"/>
            <w:tcBorders>
              <w:top w:val="single" w:color="auto" w:sz="4" w:space="0"/>
            </w:tcBorders>
            <w:noWrap/>
            <w:vAlign w:val="bottom"/>
          </w:tcPr>
          <w:p w14:paraId="6199DAB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-10</w:t>
            </w:r>
          </w:p>
        </w:tc>
        <w:tc>
          <w:tcPr>
            <w:tcW w:w="851" w:type="dxa"/>
            <w:tcBorders>
              <w:top w:val="single" w:color="auto" w:sz="4" w:space="0"/>
            </w:tcBorders>
            <w:noWrap/>
            <w:vAlign w:val="bottom"/>
          </w:tcPr>
          <w:p w14:paraId="6669434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10</w:t>
            </w:r>
          </w:p>
        </w:tc>
        <w:tc>
          <w:tcPr>
            <w:tcW w:w="992" w:type="dxa"/>
            <w:tcBorders>
              <w:top w:val="single" w:color="auto" w:sz="4" w:space="0"/>
            </w:tcBorders>
            <w:noWrap/>
            <w:vAlign w:val="bottom"/>
          </w:tcPr>
          <w:p w14:paraId="6F47B51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-6.18</w:t>
            </w:r>
          </w:p>
        </w:tc>
      </w:tr>
      <w:tr w14:paraId="1D9DE0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5E5A5AA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V__SLSUBBSN.hru</w:t>
            </w:r>
          </w:p>
        </w:tc>
        <w:tc>
          <w:tcPr>
            <w:tcW w:w="3969" w:type="dxa"/>
            <w:noWrap/>
            <w:vAlign w:val="center"/>
          </w:tcPr>
          <w:p w14:paraId="4B5451F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平均坡长/m</w:t>
            </w:r>
          </w:p>
        </w:tc>
        <w:tc>
          <w:tcPr>
            <w:tcW w:w="850" w:type="dxa"/>
            <w:noWrap/>
            <w:vAlign w:val="bottom"/>
          </w:tcPr>
          <w:p w14:paraId="7CDA663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10</w:t>
            </w:r>
          </w:p>
        </w:tc>
        <w:tc>
          <w:tcPr>
            <w:tcW w:w="851" w:type="dxa"/>
            <w:noWrap/>
            <w:vAlign w:val="bottom"/>
          </w:tcPr>
          <w:p w14:paraId="61916B1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150</w:t>
            </w:r>
          </w:p>
        </w:tc>
        <w:tc>
          <w:tcPr>
            <w:tcW w:w="992" w:type="dxa"/>
            <w:noWrap/>
            <w:vAlign w:val="bottom"/>
          </w:tcPr>
          <w:p w14:paraId="22C5E98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84.90</w:t>
            </w:r>
          </w:p>
        </w:tc>
      </w:tr>
      <w:tr w14:paraId="0B28D7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jc w:val="center"/>
        </w:trPr>
        <w:tc>
          <w:tcPr>
            <w:tcW w:w="1560" w:type="dxa"/>
            <w:noWrap/>
            <w:vAlign w:val="center"/>
          </w:tcPr>
          <w:p w14:paraId="4CAC08E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V__HRU_SLP.hru</w:t>
            </w:r>
          </w:p>
        </w:tc>
        <w:tc>
          <w:tcPr>
            <w:tcW w:w="3969" w:type="dxa"/>
            <w:noWrap/>
            <w:vAlign w:val="center"/>
          </w:tcPr>
          <w:p w14:paraId="7EDEB1F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平均坡度/m·m</w:t>
            </w:r>
            <w:r>
              <w:rPr>
                <w:rFonts w:hint="eastAsia" w:ascii="Times New Roman" w:hAnsi="Times New Roman" w:eastAsia="宋体"/>
                <w:color w:val="auto"/>
                <w:sz w:val="15"/>
                <w:szCs w:val="18"/>
                <w:highlight w:val="none"/>
                <w:vertAlign w:val="superscript"/>
                <w14:ligatures w14:val="standardContextual"/>
              </w:rPr>
              <w:t>-1</w:t>
            </w:r>
          </w:p>
        </w:tc>
        <w:tc>
          <w:tcPr>
            <w:tcW w:w="850" w:type="dxa"/>
            <w:noWrap/>
            <w:vAlign w:val="bottom"/>
          </w:tcPr>
          <w:p w14:paraId="405DB94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bottom"/>
          </w:tcPr>
          <w:p w14:paraId="6699B85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w:t>
            </w:r>
          </w:p>
        </w:tc>
        <w:tc>
          <w:tcPr>
            <w:tcW w:w="992" w:type="dxa"/>
            <w:noWrap/>
            <w:vAlign w:val="bottom"/>
          </w:tcPr>
          <w:p w14:paraId="324138B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0.18</w:t>
            </w:r>
          </w:p>
        </w:tc>
      </w:tr>
      <w:tr w14:paraId="175304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jc w:val="center"/>
        </w:trPr>
        <w:tc>
          <w:tcPr>
            <w:tcW w:w="1560" w:type="dxa"/>
            <w:noWrap/>
            <w:vAlign w:val="center"/>
          </w:tcPr>
          <w:p w14:paraId="38EA182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V__CANMX.hru</w:t>
            </w:r>
          </w:p>
        </w:tc>
        <w:tc>
          <w:tcPr>
            <w:tcW w:w="3969" w:type="dxa"/>
            <w:noWrap/>
            <w:vAlign w:val="center"/>
          </w:tcPr>
          <w:p w14:paraId="07AE430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最大冠层截留量/mm</w:t>
            </w:r>
          </w:p>
        </w:tc>
        <w:tc>
          <w:tcPr>
            <w:tcW w:w="850" w:type="dxa"/>
            <w:noWrap/>
            <w:vAlign w:val="bottom"/>
          </w:tcPr>
          <w:p w14:paraId="434D29D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bottom"/>
          </w:tcPr>
          <w:p w14:paraId="024C25C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100</w:t>
            </w:r>
          </w:p>
        </w:tc>
        <w:tc>
          <w:tcPr>
            <w:tcW w:w="992" w:type="dxa"/>
            <w:noWrap/>
            <w:vAlign w:val="bottom"/>
          </w:tcPr>
          <w:p w14:paraId="3E5328DA">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1.58</w:t>
            </w:r>
          </w:p>
        </w:tc>
      </w:tr>
      <w:tr w14:paraId="4514C9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66F188E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V__ESCO.hru</w:t>
            </w:r>
          </w:p>
        </w:tc>
        <w:tc>
          <w:tcPr>
            <w:tcW w:w="3969" w:type="dxa"/>
            <w:noWrap/>
            <w:vAlign w:val="center"/>
          </w:tcPr>
          <w:p w14:paraId="5B1E3A0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土壤蒸发补偿系数</w:t>
            </w:r>
          </w:p>
        </w:tc>
        <w:tc>
          <w:tcPr>
            <w:tcW w:w="850" w:type="dxa"/>
            <w:noWrap/>
            <w:vAlign w:val="bottom"/>
          </w:tcPr>
          <w:p w14:paraId="31A5AB5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bottom"/>
          </w:tcPr>
          <w:p w14:paraId="3BA9E47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w:t>
            </w:r>
          </w:p>
        </w:tc>
        <w:tc>
          <w:tcPr>
            <w:tcW w:w="992" w:type="dxa"/>
            <w:noWrap/>
            <w:vAlign w:val="bottom"/>
          </w:tcPr>
          <w:p w14:paraId="7FADAEB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0.69</w:t>
            </w:r>
          </w:p>
        </w:tc>
      </w:tr>
      <w:tr w14:paraId="252B2B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498B81D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V__EPCO.hru</w:t>
            </w:r>
          </w:p>
        </w:tc>
        <w:tc>
          <w:tcPr>
            <w:tcW w:w="3969" w:type="dxa"/>
            <w:noWrap/>
            <w:vAlign w:val="center"/>
          </w:tcPr>
          <w:p w14:paraId="0801FC5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植物吸收补偿因子</w:t>
            </w:r>
          </w:p>
        </w:tc>
        <w:tc>
          <w:tcPr>
            <w:tcW w:w="850" w:type="dxa"/>
            <w:noWrap/>
            <w:vAlign w:val="bottom"/>
          </w:tcPr>
          <w:p w14:paraId="4F395AA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bottom"/>
          </w:tcPr>
          <w:p w14:paraId="6657D7D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w:t>
            </w:r>
          </w:p>
        </w:tc>
        <w:tc>
          <w:tcPr>
            <w:tcW w:w="992" w:type="dxa"/>
            <w:noWrap/>
            <w:vAlign w:val="bottom"/>
          </w:tcPr>
          <w:p w14:paraId="52FF3F4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0.90</w:t>
            </w:r>
          </w:p>
        </w:tc>
      </w:tr>
      <w:tr w14:paraId="6397EB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043C73B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R__CN2.mgt</w:t>
            </w:r>
          </w:p>
        </w:tc>
        <w:tc>
          <w:tcPr>
            <w:tcW w:w="3969" w:type="dxa"/>
            <w:noWrap/>
            <w:vAlign w:val="center"/>
          </w:tcPr>
          <w:p w14:paraId="1E2F692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湿润条件Ⅱ下的初始SCS径流曲线数</w:t>
            </w:r>
          </w:p>
        </w:tc>
        <w:tc>
          <w:tcPr>
            <w:tcW w:w="850" w:type="dxa"/>
            <w:noWrap/>
            <w:vAlign w:val="center"/>
          </w:tcPr>
          <w:p w14:paraId="1BE1CFD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w:t>
            </w:r>
          </w:p>
        </w:tc>
        <w:tc>
          <w:tcPr>
            <w:tcW w:w="851" w:type="dxa"/>
            <w:noWrap/>
            <w:vAlign w:val="center"/>
          </w:tcPr>
          <w:p w14:paraId="40EE45D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w:t>
            </w:r>
          </w:p>
        </w:tc>
        <w:tc>
          <w:tcPr>
            <w:tcW w:w="992" w:type="dxa"/>
            <w:noWrap/>
            <w:vAlign w:val="center"/>
          </w:tcPr>
          <w:p w14:paraId="0FF921F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0.29</w:t>
            </w:r>
          </w:p>
        </w:tc>
      </w:tr>
      <w:tr w14:paraId="6136D3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5625E1E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R__BIOMIX.mgt</w:t>
            </w:r>
          </w:p>
        </w:tc>
        <w:tc>
          <w:tcPr>
            <w:tcW w:w="3969" w:type="dxa"/>
            <w:noWrap/>
            <w:vAlign w:val="center"/>
          </w:tcPr>
          <w:p w14:paraId="065862D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生物混合效率</w:t>
            </w:r>
          </w:p>
        </w:tc>
        <w:tc>
          <w:tcPr>
            <w:tcW w:w="850" w:type="dxa"/>
            <w:noWrap/>
            <w:vAlign w:val="center"/>
          </w:tcPr>
          <w:p w14:paraId="07D4989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w:t>
            </w:r>
          </w:p>
        </w:tc>
        <w:tc>
          <w:tcPr>
            <w:tcW w:w="851" w:type="dxa"/>
            <w:noWrap/>
            <w:vAlign w:val="center"/>
          </w:tcPr>
          <w:p w14:paraId="01EF95F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w:t>
            </w:r>
          </w:p>
        </w:tc>
        <w:tc>
          <w:tcPr>
            <w:tcW w:w="992" w:type="dxa"/>
            <w:noWrap/>
            <w:vAlign w:val="center"/>
          </w:tcPr>
          <w:p w14:paraId="5F58801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0.33</w:t>
            </w:r>
          </w:p>
        </w:tc>
      </w:tr>
      <w:tr w14:paraId="311223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0F4A171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R__SOL_Z.sol</w:t>
            </w:r>
          </w:p>
        </w:tc>
        <w:tc>
          <w:tcPr>
            <w:tcW w:w="3969" w:type="dxa"/>
            <w:noWrap/>
            <w:vAlign w:val="center"/>
          </w:tcPr>
          <w:p w14:paraId="2863E67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土壤表层到底层的深度</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mm</w:t>
            </w:r>
          </w:p>
        </w:tc>
        <w:tc>
          <w:tcPr>
            <w:tcW w:w="850" w:type="dxa"/>
            <w:noWrap/>
            <w:vAlign w:val="center"/>
          </w:tcPr>
          <w:p w14:paraId="1B8DC77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w:t>
            </w:r>
          </w:p>
        </w:tc>
        <w:tc>
          <w:tcPr>
            <w:tcW w:w="851" w:type="dxa"/>
            <w:noWrap/>
            <w:vAlign w:val="center"/>
          </w:tcPr>
          <w:p w14:paraId="2929DE5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w:t>
            </w:r>
          </w:p>
        </w:tc>
        <w:tc>
          <w:tcPr>
            <w:tcW w:w="992" w:type="dxa"/>
            <w:noWrap/>
            <w:vAlign w:val="center"/>
          </w:tcPr>
          <w:p w14:paraId="4643C61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0.05</w:t>
            </w:r>
          </w:p>
        </w:tc>
      </w:tr>
      <w:tr w14:paraId="246E18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jc w:val="center"/>
        </w:trPr>
        <w:tc>
          <w:tcPr>
            <w:tcW w:w="1560" w:type="dxa"/>
            <w:noWrap/>
            <w:vAlign w:val="center"/>
          </w:tcPr>
          <w:p w14:paraId="1FE742E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R__SOL_AWC.sol</w:t>
            </w:r>
          </w:p>
        </w:tc>
        <w:tc>
          <w:tcPr>
            <w:tcW w:w="3969" w:type="dxa"/>
            <w:noWrap/>
            <w:vAlign w:val="center"/>
          </w:tcPr>
          <w:p w14:paraId="05FF6ED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土壤层有效水容量</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mm(H</w:t>
            </w:r>
            <w:r>
              <w:rPr>
                <w:rFonts w:hint="eastAsia" w:ascii="Times New Roman" w:hAnsi="Times New Roman" w:eastAsia="宋体"/>
                <w:color w:val="auto"/>
                <w:sz w:val="15"/>
                <w:szCs w:val="18"/>
                <w:highlight w:val="none"/>
                <w:vertAlign w:val="subscript"/>
                <w14:ligatures w14:val="standardContextual"/>
              </w:rPr>
              <w:t>2</w:t>
            </w:r>
            <w:r>
              <w:rPr>
                <w:rFonts w:hint="eastAsia" w:ascii="Times New Roman" w:hAnsi="Times New Roman" w:eastAsia="宋体"/>
                <w:color w:val="auto"/>
                <w:sz w:val="15"/>
                <w:szCs w:val="18"/>
                <w:highlight w:val="none"/>
                <w14:ligatures w14:val="standardContextual"/>
              </w:rPr>
              <w:t>O)·mm</w:t>
            </w:r>
            <w:r>
              <w:rPr>
                <w:rFonts w:ascii="Times New Roman" w:hAnsi="Times New Roman" w:eastAsia="宋体"/>
                <w:color w:val="auto"/>
                <w:sz w:val="15"/>
                <w:szCs w:val="18"/>
                <w:highlight w:val="none"/>
                <w:vertAlign w:val="superscript"/>
                <w14:ligatures w14:val="standardContextual"/>
              </w:rPr>
              <w:t>-1</w:t>
            </w:r>
            <w:r>
              <w:rPr>
                <w:rFonts w:hint="eastAsia" w:ascii="Times New Roman" w:hAnsi="Times New Roman" w:eastAsia="宋体"/>
                <w:color w:val="auto"/>
                <w:sz w:val="15"/>
                <w:szCs w:val="18"/>
                <w:highlight w:val="none"/>
                <w14:ligatures w14:val="standardContextual"/>
              </w:rPr>
              <w:t>(soil)</w:t>
            </w:r>
          </w:p>
        </w:tc>
        <w:tc>
          <w:tcPr>
            <w:tcW w:w="850" w:type="dxa"/>
            <w:noWrap/>
            <w:vAlign w:val="center"/>
          </w:tcPr>
          <w:p w14:paraId="334CFC4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w:t>
            </w:r>
          </w:p>
        </w:tc>
        <w:tc>
          <w:tcPr>
            <w:tcW w:w="851" w:type="dxa"/>
            <w:noWrap/>
            <w:vAlign w:val="center"/>
          </w:tcPr>
          <w:p w14:paraId="2B775AD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w:t>
            </w:r>
          </w:p>
        </w:tc>
        <w:tc>
          <w:tcPr>
            <w:tcW w:w="992" w:type="dxa"/>
            <w:noWrap/>
            <w:vAlign w:val="center"/>
          </w:tcPr>
          <w:p w14:paraId="1CE5515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-0.09</w:t>
            </w:r>
          </w:p>
        </w:tc>
      </w:tr>
      <w:tr w14:paraId="54B790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jc w:val="center"/>
        </w:trPr>
        <w:tc>
          <w:tcPr>
            <w:tcW w:w="1560" w:type="dxa"/>
            <w:noWrap/>
            <w:vAlign w:val="center"/>
          </w:tcPr>
          <w:p w14:paraId="2EB0979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R__SOL_K.sol</w:t>
            </w:r>
          </w:p>
        </w:tc>
        <w:tc>
          <w:tcPr>
            <w:tcW w:w="3969" w:type="dxa"/>
            <w:noWrap/>
            <w:vAlign w:val="center"/>
          </w:tcPr>
          <w:p w14:paraId="47B34DF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土壤饱和水力传导度</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mm·h</w:t>
            </w:r>
            <w:r>
              <w:rPr>
                <w:rFonts w:ascii="Times New Roman" w:hAnsi="Times New Roman" w:eastAsia="宋体"/>
                <w:color w:val="auto"/>
                <w:sz w:val="15"/>
                <w:szCs w:val="18"/>
                <w:highlight w:val="none"/>
                <w:vertAlign w:val="superscript"/>
                <w14:ligatures w14:val="standardContextual"/>
              </w:rPr>
              <w:t>-1</w:t>
            </w:r>
          </w:p>
        </w:tc>
        <w:tc>
          <w:tcPr>
            <w:tcW w:w="850" w:type="dxa"/>
            <w:noWrap/>
            <w:vAlign w:val="center"/>
          </w:tcPr>
          <w:p w14:paraId="44C2269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-0.8</w:t>
            </w:r>
          </w:p>
        </w:tc>
        <w:tc>
          <w:tcPr>
            <w:tcW w:w="851" w:type="dxa"/>
            <w:noWrap/>
            <w:vAlign w:val="center"/>
          </w:tcPr>
          <w:p w14:paraId="674E407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0.8</w:t>
            </w:r>
          </w:p>
        </w:tc>
        <w:tc>
          <w:tcPr>
            <w:tcW w:w="992" w:type="dxa"/>
            <w:noWrap/>
            <w:vAlign w:val="center"/>
          </w:tcPr>
          <w:p w14:paraId="400D2E5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0.7</w:t>
            </w:r>
            <w:r>
              <w:rPr>
                <w:rFonts w:ascii="Times New Roman" w:hAnsi="Times New Roman" w:eastAsia="宋体"/>
                <w:color w:val="auto"/>
                <w:sz w:val="15"/>
                <w:szCs w:val="18"/>
                <w:highlight w:val="none"/>
                <w14:ligatures w14:val="standardContextual"/>
              </w:rPr>
              <w:t>2</w:t>
            </w:r>
          </w:p>
        </w:tc>
      </w:tr>
      <w:tr w14:paraId="109A91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21220C2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V__GW_DELAY.gw</w:t>
            </w:r>
          </w:p>
        </w:tc>
        <w:tc>
          <w:tcPr>
            <w:tcW w:w="3969" w:type="dxa"/>
            <w:noWrap/>
            <w:vAlign w:val="center"/>
          </w:tcPr>
          <w:p w14:paraId="3237E6F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地下水延迟时间/d</w:t>
            </w:r>
          </w:p>
        </w:tc>
        <w:tc>
          <w:tcPr>
            <w:tcW w:w="850" w:type="dxa"/>
            <w:noWrap/>
            <w:vAlign w:val="center"/>
          </w:tcPr>
          <w:p w14:paraId="25A371B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center"/>
          </w:tcPr>
          <w:p w14:paraId="0A4D210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500</w:t>
            </w:r>
          </w:p>
        </w:tc>
        <w:tc>
          <w:tcPr>
            <w:tcW w:w="992" w:type="dxa"/>
            <w:noWrap/>
            <w:vAlign w:val="center"/>
          </w:tcPr>
          <w:p w14:paraId="4BF8532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80.63</w:t>
            </w:r>
          </w:p>
        </w:tc>
      </w:tr>
      <w:tr w14:paraId="363399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14C22F4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V__ALPHA_BF.gw</w:t>
            </w:r>
          </w:p>
        </w:tc>
        <w:tc>
          <w:tcPr>
            <w:tcW w:w="3969" w:type="dxa"/>
            <w:noWrap/>
            <w:vAlign w:val="center"/>
          </w:tcPr>
          <w:p w14:paraId="789D263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基流alpha因子/d</w:t>
            </w:r>
          </w:p>
        </w:tc>
        <w:tc>
          <w:tcPr>
            <w:tcW w:w="850" w:type="dxa"/>
            <w:noWrap/>
            <w:vAlign w:val="center"/>
          </w:tcPr>
          <w:p w14:paraId="3FCEE66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center"/>
          </w:tcPr>
          <w:p w14:paraId="7F6953F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w:t>
            </w:r>
          </w:p>
        </w:tc>
        <w:tc>
          <w:tcPr>
            <w:tcW w:w="992" w:type="dxa"/>
            <w:noWrap/>
            <w:vAlign w:val="center"/>
          </w:tcPr>
          <w:p w14:paraId="06C7B33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0.13</w:t>
            </w:r>
          </w:p>
        </w:tc>
      </w:tr>
      <w:tr w14:paraId="5D2461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7490DC6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V__GWQMN.gw</w:t>
            </w:r>
          </w:p>
        </w:tc>
        <w:tc>
          <w:tcPr>
            <w:tcW w:w="3969" w:type="dxa"/>
            <w:noWrap/>
            <w:vAlign w:val="center"/>
          </w:tcPr>
          <w:p w14:paraId="74637EE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浅层含水层产生“基流”的阈值深度</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mm</w:t>
            </w:r>
          </w:p>
        </w:tc>
        <w:tc>
          <w:tcPr>
            <w:tcW w:w="850" w:type="dxa"/>
            <w:noWrap/>
            <w:vAlign w:val="center"/>
          </w:tcPr>
          <w:p w14:paraId="2807718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center"/>
          </w:tcPr>
          <w:p w14:paraId="409A2DC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5000</w:t>
            </w:r>
          </w:p>
        </w:tc>
        <w:tc>
          <w:tcPr>
            <w:tcW w:w="992" w:type="dxa"/>
            <w:noWrap/>
            <w:vAlign w:val="center"/>
          </w:tcPr>
          <w:p w14:paraId="75DA921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1005.00</w:t>
            </w:r>
          </w:p>
        </w:tc>
      </w:tr>
      <w:tr w14:paraId="53E57D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57BEC07A">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V__GW_REVAP.gw</w:t>
            </w:r>
          </w:p>
        </w:tc>
        <w:tc>
          <w:tcPr>
            <w:tcW w:w="3969" w:type="dxa"/>
            <w:noWrap/>
            <w:vAlign w:val="center"/>
          </w:tcPr>
          <w:p w14:paraId="4BEADDE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浅层地下水再蒸发系数</w:t>
            </w:r>
          </w:p>
        </w:tc>
        <w:tc>
          <w:tcPr>
            <w:tcW w:w="850" w:type="dxa"/>
            <w:noWrap/>
            <w:vAlign w:val="center"/>
          </w:tcPr>
          <w:p w14:paraId="0C4F37F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0.02</w:t>
            </w:r>
          </w:p>
        </w:tc>
        <w:tc>
          <w:tcPr>
            <w:tcW w:w="851" w:type="dxa"/>
            <w:noWrap/>
            <w:vAlign w:val="center"/>
          </w:tcPr>
          <w:p w14:paraId="5621D04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0.2</w:t>
            </w:r>
          </w:p>
        </w:tc>
        <w:tc>
          <w:tcPr>
            <w:tcW w:w="992" w:type="dxa"/>
            <w:noWrap/>
            <w:vAlign w:val="center"/>
          </w:tcPr>
          <w:p w14:paraId="6A40D2D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0.08</w:t>
            </w:r>
          </w:p>
        </w:tc>
      </w:tr>
      <w:tr w14:paraId="5195E7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25FE8B4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V__REVAPMN.gw</w:t>
            </w:r>
          </w:p>
        </w:tc>
        <w:tc>
          <w:tcPr>
            <w:tcW w:w="3969" w:type="dxa"/>
            <w:noWrap/>
            <w:vAlign w:val="center"/>
          </w:tcPr>
          <w:p w14:paraId="3132A57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浅层含水层“再蒸发”或渗透到深层含水层的阈值深度/mm</w:t>
            </w:r>
          </w:p>
        </w:tc>
        <w:tc>
          <w:tcPr>
            <w:tcW w:w="850" w:type="dxa"/>
            <w:noWrap/>
            <w:vAlign w:val="center"/>
          </w:tcPr>
          <w:p w14:paraId="7F01E12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center"/>
          </w:tcPr>
          <w:p w14:paraId="06276DB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500</w:t>
            </w:r>
          </w:p>
        </w:tc>
        <w:tc>
          <w:tcPr>
            <w:tcW w:w="992" w:type="dxa"/>
            <w:noWrap/>
            <w:vAlign w:val="center"/>
          </w:tcPr>
          <w:p w14:paraId="31A993B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117.00</w:t>
            </w:r>
          </w:p>
        </w:tc>
      </w:tr>
      <w:tr w14:paraId="60275C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7ECD76F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V__CH_N2.rte</w:t>
            </w:r>
          </w:p>
        </w:tc>
        <w:tc>
          <w:tcPr>
            <w:tcW w:w="3969" w:type="dxa"/>
            <w:noWrap/>
            <w:vAlign w:val="center"/>
          </w:tcPr>
          <w:p w14:paraId="2B5A107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主河道河床曼宁系数</w:t>
            </w:r>
          </w:p>
        </w:tc>
        <w:tc>
          <w:tcPr>
            <w:tcW w:w="850" w:type="dxa"/>
            <w:noWrap/>
            <w:vAlign w:val="center"/>
          </w:tcPr>
          <w:p w14:paraId="39366F2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-0.01</w:t>
            </w:r>
          </w:p>
        </w:tc>
        <w:tc>
          <w:tcPr>
            <w:tcW w:w="851" w:type="dxa"/>
            <w:noWrap/>
            <w:vAlign w:val="center"/>
          </w:tcPr>
          <w:p w14:paraId="785442A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0.3</w:t>
            </w:r>
          </w:p>
        </w:tc>
        <w:tc>
          <w:tcPr>
            <w:tcW w:w="992" w:type="dxa"/>
            <w:noWrap/>
            <w:vAlign w:val="center"/>
          </w:tcPr>
          <w:p w14:paraId="538CEB2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0.22</w:t>
            </w:r>
          </w:p>
        </w:tc>
      </w:tr>
      <w:tr w14:paraId="07855B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jc w:val="center"/>
        </w:trPr>
        <w:tc>
          <w:tcPr>
            <w:tcW w:w="1560" w:type="dxa"/>
            <w:noWrap/>
            <w:vAlign w:val="center"/>
          </w:tcPr>
          <w:p w14:paraId="6102D00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V__CH_K2.rte</w:t>
            </w:r>
          </w:p>
        </w:tc>
        <w:tc>
          <w:tcPr>
            <w:tcW w:w="3969" w:type="dxa"/>
            <w:noWrap/>
            <w:vAlign w:val="center"/>
          </w:tcPr>
          <w:p w14:paraId="43F3D26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主河道河床有效水力传导度</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mm·h</w:t>
            </w:r>
            <w:r>
              <w:rPr>
                <w:rFonts w:ascii="Times New Roman" w:hAnsi="Times New Roman" w:eastAsia="宋体"/>
                <w:color w:val="auto"/>
                <w:sz w:val="15"/>
                <w:szCs w:val="18"/>
                <w:highlight w:val="none"/>
                <w:vertAlign w:val="superscript"/>
                <w14:ligatures w14:val="standardContextual"/>
              </w:rPr>
              <w:t>-1</w:t>
            </w:r>
          </w:p>
        </w:tc>
        <w:tc>
          <w:tcPr>
            <w:tcW w:w="850" w:type="dxa"/>
            <w:noWrap/>
            <w:vAlign w:val="center"/>
          </w:tcPr>
          <w:p w14:paraId="7BDB407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-0.01</w:t>
            </w:r>
          </w:p>
        </w:tc>
        <w:tc>
          <w:tcPr>
            <w:tcW w:w="851" w:type="dxa"/>
            <w:noWrap/>
            <w:vAlign w:val="center"/>
          </w:tcPr>
          <w:p w14:paraId="2544CB8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500</w:t>
            </w:r>
          </w:p>
        </w:tc>
        <w:tc>
          <w:tcPr>
            <w:tcW w:w="992" w:type="dxa"/>
            <w:noWrap/>
            <w:vAlign w:val="center"/>
          </w:tcPr>
          <w:p w14:paraId="5B41D49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1.13</w:t>
            </w:r>
          </w:p>
        </w:tc>
      </w:tr>
      <w:tr w14:paraId="026C7F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221BE0B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V__SFTMP.bsn</w:t>
            </w:r>
          </w:p>
        </w:tc>
        <w:tc>
          <w:tcPr>
            <w:tcW w:w="3969" w:type="dxa"/>
            <w:noWrap/>
            <w:vAlign w:val="center"/>
          </w:tcPr>
          <w:p w14:paraId="228945B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降雪温度/℃</w:t>
            </w:r>
          </w:p>
        </w:tc>
        <w:tc>
          <w:tcPr>
            <w:tcW w:w="850" w:type="dxa"/>
            <w:noWrap/>
            <w:vAlign w:val="center"/>
          </w:tcPr>
          <w:p w14:paraId="0743766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w:t>
            </w:r>
          </w:p>
        </w:tc>
        <w:tc>
          <w:tcPr>
            <w:tcW w:w="851" w:type="dxa"/>
            <w:noWrap/>
            <w:vAlign w:val="center"/>
          </w:tcPr>
          <w:p w14:paraId="42217AB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w:t>
            </w:r>
          </w:p>
        </w:tc>
        <w:tc>
          <w:tcPr>
            <w:tcW w:w="992" w:type="dxa"/>
            <w:noWrap/>
            <w:vAlign w:val="center"/>
          </w:tcPr>
          <w:p w14:paraId="196CEA7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-0.91</w:t>
            </w:r>
          </w:p>
        </w:tc>
      </w:tr>
      <w:tr w14:paraId="1FF0DE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17640CE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V__SMTMP.bsn</w:t>
            </w:r>
          </w:p>
        </w:tc>
        <w:tc>
          <w:tcPr>
            <w:tcW w:w="3969" w:type="dxa"/>
            <w:noWrap/>
            <w:vAlign w:val="center"/>
          </w:tcPr>
          <w:p w14:paraId="74506EC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融雪基温/℃</w:t>
            </w:r>
          </w:p>
        </w:tc>
        <w:tc>
          <w:tcPr>
            <w:tcW w:w="850" w:type="dxa"/>
            <w:noWrap/>
            <w:vAlign w:val="center"/>
          </w:tcPr>
          <w:p w14:paraId="4CB6F69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w:t>
            </w:r>
          </w:p>
        </w:tc>
        <w:tc>
          <w:tcPr>
            <w:tcW w:w="851" w:type="dxa"/>
            <w:noWrap/>
            <w:vAlign w:val="center"/>
          </w:tcPr>
          <w:p w14:paraId="221E526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w:t>
            </w:r>
          </w:p>
        </w:tc>
        <w:tc>
          <w:tcPr>
            <w:tcW w:w="992" w:type="dxa"/>
            <w:noWrap/>
            <w:vAlign w:val="center"/>
          </w:tcPr>
          <w:p w14:paraId="004CDE1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1.83</w:t>
            </w:r>
          </w:p>
        </w:tc>
      </w:tr>
      <w:tr w14:paraId="3FCE7D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6" w:hRule="atLeast"/>
          <w:jc w:val="center"/>
        </w:trPr>
        <w:tc>
          <w:tcPr>
            <w:tcW w:w="1560" w:type="dxa"/>
            <w:noWrap/>
            <w:vAlign w:val="center"/>
          </w:tcPr>
          <w:p w14:paraId="76971BB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V__SMFMX.bsn</w:t>
            </w:r>
          </w:p>
        </w:tc>
        <w:tc>
          <w:tcPr>
            <w:tcW w:w="3969" w:type="dxa"/>
            <w:noWrap/>
            <w:vAlign w:val="center"/>
          </w:tcPr>
          <w:p w14:paraId="1E0F4F2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6月21日的融雪因子</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mm</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H</w:t>
            </w:r>
            <w:r>
              <w:rPr>
                <w:rFonts w:hint="eastAsia" w:ascii="Times New Roman" w:hAnsi="Times New Roman" w:eastAsia="宋体"/>
                <w:color w:val="auto"/>
                <w:sz w:val="15"/>
                <w:szCs w:val="18"/>
                <w:highlight w:val="none"/>
                <w:vertAlign w:val="subscript"/>
                <w14:ligatures w14:val="standardContextual"/>
              </w:rPr>
              <w:t>2</w:t>
            </w:r>
            <w:r>
              <w:rPr>
                <w:rFonts w:hint="eastAsia" w:ascii="Times New Roman" w:hAnsi="Times New Roman" w:eastAsia="宋体"/>
                <w:color w:val="auto"/>
                <w:sz w:val="15"/>
                <w:szCs w:val="18"/>
                <w:highlight w:val="none"/>
                <w14:ligatures w14:val="standardContextual"/>
              </w:rPr>
              <w:t>O</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vertAlign w:val="superscript"/>
                <w14:ligatures w14:val="standardContextual"/>
              </w:rPr>
              <w:t>-</w:t>
            </w:r>
            <w:r>
              <w:rPr>
                <w:rFonts w:ascii="Times New Roman" w:hAnsi="Times New Roman" w:eastAsia="宋体"/>
                <w:color w:val="auto"/>
                <w:sz w:val="15"/>
                <w:szCs w:val="18"/>
                <w:highlight w:val="none"/>
                <w:vertAlign w:val="superscript"/>
                <w14:ligatures w14:val="standardContextual"/>
              </w:rPr>
              <w:t>1</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day</w:t>
            </w:r>
            <w:r>
              <w:rPr>
                <w:rFonts w:ascii="Times New Roman" w:hAnsi="Times New Roman" w:eastAsia="宋体"/>
                <w:color w:val="auto"/>
                <w:sz w:val="15"/>
                <w:szCs w:val="18"/>
                <w:highlight w:val="none"/>
                <w14:ligatures w14:val="standardContextual"/>
              </w:rPr>
              <w:t>)</w:t>
            </w:r>
          </w:p>
        </w:tc>
        <w:tc>
          <w:tcPr>
            <w:tcW w:w="850" w:type="dxa"/>
            <w:noWrap/>
            <w:vAlign w:val="center"/>
          </w:tcPr>
          <w:p w14:paraId="4C5CD8B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center"/>
          </w:tcPr>
          <w:p w14:paraId="20F207B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w:t>
            </w:r>
          </w:p>
        </w:tc>
        <w:tc>
          <w:tcPr>
            <w:tcW w:w="992" w:type="dxa"/>
            <w:noWrap/>
            <w:vAlign w:val="center"/>
          </w:tcPr>
          <w:p w14:paraId="001EFCA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4.64</w:t>
            </w:r>
          </w:p>
        </w:tc>
      </w:tr>
      <w:tr w14:paraId="22AE3B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6FB9850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V__SMFMN.bsn</w:t>
            </w:r>
          </w:p>
        </w:tc>
        <w:tc>
          <w:tcPr>
            <w:tcW w:w="3969" w:type="dxa"/>
            <w:noWrap/>
            <w:vAlign w:val="center"/>
          </w:tcPr>
          <w:p w14:paraId="3B3285CA">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12月21日的融雪因子</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mm</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H</w:t>
            </w:r>
            <w:r>
              <w:rPr>
                <w:rFonts w:hint="eastAsia" w:ascii="Times New Roman" w:hAnsi="Times New Roman" w:eastAsia="宋体"/>
                <w:color w:val="auto"/>
                <w:sz w:val="15"/>
                <w:szCs w:val="18"/>
                <w:highlight w:val="none"/>
                <w:vertAlign w:val="subscript"/>
                <w14:ligatures w14:val="standardContextual"/>
              </w:rPr>
              <w:t>2</w:t>
            </w:r>
            <w:r>
              <w:rPr>
                <w:rFonts w:hint="eastAsia" w:ascii="Times New Roman" w:hAnsi="Times New Roman" w:eastAsia="宋体"/>
                <w:color w:val="auto"/>
                <w:sz w:val="15"/>
                <w:szCs w:val="18"/>
                <w:highlight w:val="none"/>
                <w14:ligatures w14:val="standardContextual"/>
              </w:rPr>
              <w:t>O</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vertAlign w:val="superscript"/>
                <w14:ligatures w14:val="standardContextual"/>
              </w:rPr>
              <w:t>-</w:t>
            </w:r>
            <w:r>
              <w:rPr>
                <w:rFonts w:ascii="Times New Roman" w:hAnsi="Times New Roman" w:eastAsia="宋体"/>
                <w:color w:val="auto"/>
                <w:sz w:val="15"/>
                <w:szCs w:val="18"/>
                <w:highlight w:val="none"/>
                <w:vertAlign w:val="superscript"/>
                <w14:ligatures w14:val="standardContextual"/>
              </w:rPr>
              <w:t>1</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day</w:t>
            </w:r>
            <w:r>
              <w:rPr>
                <w:rFonts w:ascii="Times New Roman" w:hAnsi="Times New Roman" w:eastAsia="宋体"/>
                <w:color w:val="auto"/>
                <w:sz w:val="15"/>
                <w:szCs w:val="18"/>
                <w:highlight w:val="none"/>
                <w14:ligatures w14:val="standardContextual"/>
              </w:rPr>
              <w:t>)</w:t>
            </w:r>
          </w:p>
        </w:tc>
        <w:tc>
          <w:tcPr>
            <w:tcW w:w="850" w:type="dxa"/>
            <w:noWrap/>
            <w:vAlign w:val="center"/>
          </w:tcPr>
          <w:p w14:paraId="1C435B3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center"/>
          </w:tcPr>
          <w:p w14:paraId="5F10309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w:t>
            </w:r>
          </w:p>
        </w:tc>
        <w:tc>
          <w:tcPr>
            <w:tcW w:w="992" w:type="dxa"/>
            <w:noWrap/>
            <w:vAlign w:val="center"/>
          </w:tcPr>
          <w:p w14:paraId="0B24ED3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3.34</w:t>
            </w:r>
          </w:p>
        </w:tc>
      </w:tr>
      <w:tr w14:paraId="7B7953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113E4CE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V__TIMP.bsn</w:t>
            </w:r>
          </w:p>
        </w:tc>
        <w:tc>
          <w:tcPr>
            <w:tcW w:w="3969" w:type="dxa"/>
            <w:noWrap/>
            <w:vAlign w:val="center"/>
          </w:tcPr>
          <w:p w14:paraId="1E1987F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积雪温度滞后系数</w:t>
            </w:r>
          </w:p>
        </w:tc>
        <w:tc>
          <w:tcPr>
            <w:tcW w:w="850" w:type="dxa"/>
            <w:noWrap/>
            <w:vAlign w:val="center"/>
          </w:tcPr>
          <w:p w14:paraId="5482229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w:t>
            </w:r>
          </w:p>
        </w:tc>
        <w:tc>
          <w:tcPr>
            <w:tcW w:w="851" w:type="dxa"/>
            <w:noWrap/>
            <w:vAlign w:val="center"/>
          </w:tcPr>
          <w:p w14:paraId="1F74D69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w:t>
            </w:r>
          </w:p>
        </w:tc>
        <w:tc>
          <w:tcPr>
            <w:tcW w:w="992" w:type="dxa"/>
            <w:noWrap/>
            <w:vAlign w:val="center"/>
          </w:tcPr>
          <w:p w14:paraId="605A18E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0.03</w:t>
            </w:r>
          </w:p>
        </w:tc>
      </w:tr>
      <w:tr w14:paraId="75E2F3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1560" w:type="dxa"/>
            <w:noWrap/>
            <w:vAlign w:val="center"/>
          </w:tcPr>
          <w:p w14:paraId="7881137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V__SURLAG.bsn</w:t>
            </w:r>
          </w:p>
        </w:tc>
        <w:tc>
          <w:tcPr>
            <w:tcW w:w="3969" w:type="dxa"/>
            <w:noWrap/>
            <w:vAlign w:val="center"/>
          </w:tcPr>
          <w:p w14:paraId="0AD5C5D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地表径流滞后系数</w:t>
            </w:r>
          </w:p>
        </w:tc>
        <w:tc>
          <w:tcPr>
            <w:tcW w:w="850" w:type="dxa"/>
            <w:noWrap/>
            <w:vAlign w:val="center"/>
          </w:tcPr>
          <w:p w14:paraId="4613360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0.05</w:t>
            </w:r>
          </w:p>
        </w:tc>
        <w:tc>
          <w:tcPr>
            <w:tcW w:w="851" w:type="dxa"/>
            <w:noWrap/>
            <w:vAlign w:val="center"/>
          </w:tcPr>
          <w:p w14:paraId="6A0B6BA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24</w:t>
            </w:r>
          </w:p>
        </w:tc>
        <w:tc>
          <w:tcPr>
            <w:tcW w:w="992" w:type="dxa"/>
            <w:noWrap/>
            <w:vAlign w:val="center"/>
          </w:tcPr>
          <w:p w14:paraId="532CB9D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6.47</w:t>
            </w:r>
          </w:p>
        </w:tc>
      </w:tr>
    </w:tbl>
    <w:p w14:paraId="1EA479C0">
      <w:pPr>
        <w:ind w:firstLine="420" w:firstLineChars="200"/>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t>SWAT单模型及各混合模型在兴隆坡站率定期和验证期的评价指标</w:t>
      </w:r>
      <w:r>
        <w:rPr>
          <w:rFonts w:hint="eastAsia" w:ascii="Times New Roman" w:hAnsi="Times New Roman" w:eastAsia="宋体"/>
          <w:color w:val="auto"/>
          <w:highlight w:val="none"/>
          <w14:ligatures w14:val="standardContextual"/>
        </w:rPr>
        <w:t>如表2所列</w:t>
      </w:r>
      <w:r>
        <w:rPr>
          <w:rFonts w:ascii="Times New Roman" w:hAnsi="Times New Roman" w:eastAsia="宋体"/>
          <w:color w:val="auto"/>
          <w:highlight w:val="none"/>
          <w14:ligatures w14:val="standardContextual"/>
        </w:rPr>
        <w:t>。总体上，SWAT单模型在兴隆坡站取得了较好的月尺度模拟效果，率定期和验证期</w:t>
      </w:r>
      <w:r>
        <w:rPr>
          <w:rFonts w:ascii="Times New Roman" w:hAnsi="Times New Roman" w:eastAsia="宋体"/>
          <w:i/>
          <w:iCs/>
          <w:color w:val="auto"/>
          <w:highlight w:val="none"/>
          <w14:ligatures w14:val="standardContextual"/>
        </w:rPr>
        <w:t>NS</w:t>
      </w:r>
      <w:r>
        <w:rPr>
          <w:rFonts w:ascii="Times New Roman" w:hAnsi="Times New Roman" w:eastAsia="宋体"/>
          <w:color w:val="auto"/>
          <w:highlight w:val="none"/>
          <w14:ligatures w14:val="standardContextual"/>
        </w:rPr>
        <w:t>分别达到0.82和0.89，</w:t>
      </w:r>
      <w:r>
        <w:rPr>
          <w:rFonts w:ascii="Times New Roman" w:hAnsi="Times New Roman" w:eastAsia="宋体"/>
          <w:i/>
          <w:iCs/>
          <w:color w:val="auto"/>
          <w:highlight w:val="none"/>
          <w14:ligatures w14:val="standardContextual"/>
        </w:rPr>
        <w:t>R²</w:t>
      </w:r>
      <w:r>
        <w:rPr>
          <w:rFonts w:ascii="Times New Roman" w:hAnsi="Times New Roman" w:eastAsia="宋体"/>
          <w:color w:val="auto"/>
          <w:highlight w:val="none"/>
          <w14:ligatures w14:val="standardContextual"/>
        </w:rPr>
        <w:t>分别为0.85和0.89，表明其能够较好反映研究区产汇流基本过程，可作为后续天然情景重建的物理基础。然而，</w:t>
      </w:r>
      <w:r>
        <w:rPr>
          <w:rFonts w:hint="eastAsia" w:ascii="Times New Roman" w:hAnsi="Times New Roman" w:eastAsia="宋体"/>
          <w:color w:val="auto"/>
          <w:highlight w:val="none"/>
          <w14:ligatures w14:val="standardContextual"/>
        </w:rPr>
        <w:t>模拟结果显示</w:t>
      </w:r>
      <w:r>
        <w:rPr>
          <w:rFonts w:hint="eastAsia" w:ascii="Times New Roman" w:hAnsi="Times New Roman" w:eastAsia="宋体"/>
          <w:color w:val="auto"/>
          <w:highlight w:val="none"/>
          <w:lang w:val="en-US" w:eastAsia="zh-CN"/>
          <w14:ligatures w14:val="standardContextual"/>
        </w:rPr>
        <w:t>[</w:t>
      </w:r>
      <w:r>
        <w:rPr>
          <w:rFonts w:hint="eastAsia" w:ascii="Times New Roman" w:hAnsi="Times New Roman" w:eastAsia="宋体"/>
          <w:color w:val="auto"/>
          <w:highlight w:val="none"/>
          <w14:ligatures w14:val="standardContextual"/>
        </w:rPr>
        <w:t>见</w:t>
      </w:r>
      <w:r>
        <w:rPr>
          <w:rFonts w:ascii="Times New Roman" w:hAnsi="Times New Roman" w:eastAsia="宋体"/>
          <w:color w:val="auto"/>
          <w:highlight w:val="none"/>
          <w14:ligatures w14:val="standardContextual"/>
        </w:rPr>
        <w:t>图5</w:t>
      </w:r>
      <w:r>
        <w:rPr>
          <w:rFonts w:hint="eastAsia" w:ascii="Times New Roman" w:hAnsi="Times New Roman" w:eastAsia="宋体"/>
          <w:color w:val="auto"/>
          <w:highlight w:val="none"/>
          <w14:ligatures w14:val="standardContextual"/>
        </w:rPr>
        <w:t>（a）</w:t>
      </w:r>
      <w:r>
        <w:rPr>
          <w:rFonts w:ascii="Times New Roman" w:hAnsi="Times New Roman" w:eastAsia="宋体"/>
          <w:color w:val="auto"/>
          <w:highlight w:val="none"/>
          <w14:ligatures w14:val="standardContextual"/>
        </w:rPr>
        <w:t>和图6</w:t>
      </w:r>
      <w:r>
        <w:rPr>
          <w:rFonts w:hint="eastAsia" w:ascii="Times New Roman" w:hAnsi="Times New Roman" w:eastAsia="宋体"/>
          <w:color w:val="auto"/>
          <w:highlight w:val="none"/>
          <w:lang w:val="en-US" w:eastAsia="zh-CN"/>
          <w14:ligatures w14:val="standardContextual"/>
        </w:rPr>
        <w:t>]</w:t>
      </w:r>
      <w:r>
        <w:rPr>
          <w:rFonts w:ascii="Times New Roman" w:hAnsi="Times New Roman" w:eastAsia="宋体"/>
          <w:color w:val="auto"/>
          <w:highlight w:val="none"/>
          <w14:ligatures w14:val="standardContextual"/>
        </w:rPr>
        <w:t>，SWAT单模型在高流量和低流量阶段仍存在一定偏差：一方面，部分洪峰过程模拟偏低，个别中高流量点明显偏离1:1线，表明模型对强响应径流过程的刻画仍显不足；另一方面，低流量区散点离散性较大，枯水期过程线</w:t>
      </w:r>
      <w:r>
        <w:rPr>
          <w:rFonts w:hint="eastAsia" w:ascii="Times New Roman" w:hAnsi="Times New Roman" w:eastAsia="宋体"/>
          <w:color w:val="auto"/>
          <w:highlight w:val="none"/>
          <w14:ligatures w14:val="standardContextual"/>
        </w:rPr>
        <w:t>与实测值贴合度较弱，说明其对基流阶段的小流量波动模拟稳定性不足。此外，验证期内上述偏差仍有延续，表明</w:t>
      </w:r>
      <w:r>
        <w:rPr>
          <w:rFonts w:ascii="Times New Roman" w:hAnsi="Times New Roman" w:eastAsia="宋体"/>
          <w:color w:val="auto"/>
          <w:highlight w:val="none"/>
          <w14:ligatures w14:val="standardContextual"/>
        </w:rPr>
        <w:t>SWAT模型在复杂非线性水文响应及人为扰动条件下仍存在一定系统误差，可能影响天然情景径流重建精度，并进一步传递至归因结果。</w:t>
      </w:r>
      <w:bookmarkStart w:id="34" w:name="_Hlk238133530"/>
    </w:p>
    <w:p w14:paraId="26DF8528">
      <w:pPr>
        <w:jc w:val="center"/>
        <w:rPr>
          <w:rFonts w:ascii="Times New Roman" w:hAnsi="Times New Roman" w:eastAsia="黑体" w:cs="Times New Roman"/>
          <w:color w:val="auto"/>
          <w:sz w:val="18"/>
          <w:szCs w:val="18"/>
          <w:highlight w:val="none"/>
        </w:rPr>
      </w:pPr>
      <w:r>
        <w:rPr>
          <w:rFonts w:hint="eastAsia" w:ascii="Times New Roman" w:hAnsi="Times New Roman" w:eastAsia="黑体" w:cs="Times New Roman"/>
          <w:color w:val="auto"/>
          <w:sz w:val="18"/>
          <w:szCs w:val="18"/>
          <w:highlight w:val="none"/>
        </w:rPr>
        <w:t>表</w:t>
      </w:r>
      <w:r>
        <w:rPr>
          <w:rFonts w:ascii="Times New Roman" w:hAnsi="Times New Roman" w:eastAsia="黑体" w:cs="Times New Roman"/>
          <w:color w:val="auto"/>
          <w:sz w:val="18"/>
          <w:szCs w:val="18"/>
          <w:highlight w:val="none"/>
        </w:rPr>
        <w:t xml:space="preserve">2  </w:t>
      </w:r>
      <w:r>
        <w:rPr>
          <w:rFonts w:hint="eastAsia" w:ascii="Times New Roman" w:hAnsi="Times New Roman" w:eastAsia="黑体" w:cs="Times New Roman"/>
          <w:color w:val="auto"/>
          <w:sz w:val="18"/>
          <w:szCs w:val="18"/>
          <w:highlight w:val="none"/>
        </w:rPr>
        <w:t>各模型</w:t>
      </w:r>
      <w:r>
        <w:rPr>
          <w:rFonts w:ascii="Times New Roman" w:hAnsi="Times New Roman" w:eastAsia="黑体" w:cs="Times New Roman"/>
          <w:color w:val="auto"/>
          <w:sz w:val="18"/>
          <w:szCs w:val="18"/>
          <w:highlight w:val="none"/>
        </w:rPr>
        <w:t>指标评价</w:t>
      </w:r>
    </w:p>
    <w:p w14:paraId="6804112B">
      <w:pPr>
        <w:jc w:val="center"/>
        <w:rPr>
          <w:rFonts w:ascii="Times New Roman" w:hAnsi="Times New Roman" w:eastAsia="黑体" w:cs="Times New Roman"/>
          <w:color w:val="auto"/>
          <w:sz w:val="18"/>
          <w:szCs w:val="18"/>
          <w:highlight w:val="none"/>
        </w:rPr>
      </w:pPr>
      <w:r>
        <w:rPr>
          <w:rFonts w:ascii="Times New Roman" w:hAnsi="Times New Roman" w:eastAsia="黑体" w:cs="Times New Roman"/>
          <w:color w:val="auto"/>
          <w:sz w:val="18"/>
          <w:szCs w:val="18"/>
          <w:highlight w:val="none"/>
        </w:rPr>
        <w:t>Table</w:t>
      </w:r>
      <w:r>
        <w:rPr>
          <w:rFonts w:hint="eastAsia" w:ascii="Times New Roman" w:hAnsi="Times New Roman" w:eastAsia="黑体" w:cs="Times New Roman"/>
          <w:color w:val="auto"/>
          <w:sz w:val="18"/>
          <w:szCs w:val="18"/>
          <w:highlight w:val="none"/>
        </w:rPr>
        <w:t xml:space="preserve"> </w:t>
      </w:r>
      <w:r>
        <w:rPr>
          <w:rFonts w:ascii="Times New Roman" w:hAnsi="Times New Roman" w:eastAsia="黑体" w:cs="Times New Roman"/>
          <w:color w:val="auto"/>
          <w:sz w:val="18"/>
          <w:szCs w:val="18"/>
          <w:highlight w:val="none"/>
        </w:rPr>
        <w:t xml:space="preserve">2  Evaluation of model </w:t>
      </w:r>
      <w:r>
        <w:rPr>
          <w:rFonts w:hint="eastAsia" w:ascii="Times New Roman" w:hAnsi="Times New Roman" w:eastAsia="黑体" w:cs="Times New Roman"/>
          <w:color w:val="auto"/>
          <w:sz w:val="18"/>
          <w:szCs w:val="18"/>
          <w:highlight w:val="none"/>
        </w:rPr>
        <w:t>indicators</w:t>
      </w:r>
    </w:p>
    <w:bookmarkEnd w:id="34"/>
    <w:tbl>
      <w:tblPr>
        <w:tblStyle w:val="16"/>
        <w:tblW w:w="4873"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25"/>
        <w:gridCol w:w="1045"/>
        <w:gridCol w:w="1045"/>
        <w:gridCol w:w="1045"/>
        <w:gridCol w:w="1045"/>
        <w:gridCol w:w="1045"/>
        <w:gridCol w:w="1045"/>
      </w:tblGrid>
      <w:tr w14:paraId="1ED551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825" w:type="dxa"/>
            <w:vMerge w:val="restart"/>
            <w:tcBorders>
              <w:top w:val="single" w:color="auto" w:sz="12" w:space="0"/>
            </w:tcBorders>
            <w:noWrap/>
            <w:vAlign w:val="center"/>
          </w:tcPr>
          <w:p w14:paraId="7F137CF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模型</w:t>
            </w:r>
          </w:p>
        </w:tc>
        <w:tc>
          <w:tcPr>
            <w:tcW w:w="3135" w:type="dxa"/>
            <w:gridSpan w:val="3"/>
            <w:tcBorders>
              <w:top w:val="single" w:color="auto" w:sz="12" w:space="0"/>
              <w:bottom w:val="single" w:color="auto" w:sz="4" w:space="0"/>
            </w:tcBorders>
            <w:noWrap/>
            <w:vAlign w:val="center"/>
          </w:tcPr>
          <w:p w14:paraId="29AD90C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率定期</w:t>
            </w:r>
          </w:p>
        </w:tc>
        <w:tc>
          <w:tcPr>
            <w:tcW w:w="3135" w:type="dxa"/>
            <w:gridSpan w:val="3"/>
            <w:tcBorders>
              <w:top w:val="single" w:color="auto" w:sz="12" w:space="0"/>
              <w:bottom w:val="single" w:color="auto" w:sz="4" w:space="0"/>
            </w:tcBorders>
            <w:noWrap/>
            <w:vAlign w:val="center"/>
          </w:tcPr>
          <w:p w14:paraId="0298111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验证期</w:t>
            </w:r>
          </w:p>
        </w:tc>
      </w:tr>
      <w:tr w14:paraId="5247A4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825" w:type="dxa"/>
            <w:vMerge w:val="continue"/>
            <w:tcBorders>
              <w:bottom w:val="single" w:color="auto" w:sz="6" w:space="0"/>
            </w:tcBorders>
            <w:noWrap/>
            <w:vAlign w:val="center"/>
          </w:tcPr>
          <w:p w14:paraId="78B06EF4">
            <w:pPr>
              <w:jc w:val="center"/>
              <w:rPr>
                <w:rFonts w:ascii="Times New Roman" w:hAnsi="Times New Roman" w:eastAsia="宋体"/>
                <w:color w:val="auto"/>
                <w:sz w:val="15"/>
                <w:szCs w:val="18"/>
                <w:highlight w:val="none"/>
                <w14:ligatures w14:val="standardContextual"/>
              </w:rPr>
            </w:pPr>
          </w:p>
        </w:tc>
        <w:tc>
          <w:tcPr>
            <w:tcW w:w="1045" w:type="dxa"/>
            <w:tcBorders>
              <w:top w:val="single" w:color="auto" w:sz="4" w:space="0"/>
              <w:bottom w:val="single" w:color="auto" w:sz="4" w:space="0"/>
            </w:tcBorders>
            <w:noWrap/>
            <w:vAlign w:val="center"/>
          </w:tcPr>
          <w:p w14:paraId="239D880B">
            <w:pPr>
              <w:jc w:val="center"/>
              <w:rPr>
                <w:rFonts w:ascii="Times New Roman" w:hAnsi="Times New Roman" w:eastAsia="宋体"/>
                <w:i/>
                <w:iCs/>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NS</w:t>
            </w:r>
          </w:p>
        </w:tc>
        <w:tc>
          <w:tcPr>
            <w:tcW w:w="1045" w:type="dxa"/>
            <w:tcBorders>
              <w:top w:val="single" w:color="auto" w:sz="4" w:space="0"/>
              <w:bottom w:val="single" w:color="auto" w:sz="4" w:space="0"/>
            </w:tcBorders>
            <w:noWrap/>
            <w:vAlign w:val="center"/>
          </w:tcPr>
          <w:p w14:paraId="6D78DC25">
            <w:pPr>
              <w:jc w:val="center"/>
              <w:rPr>
                <w:rFonts w:ascii="Times New Roman" w:hAnsi="Times New Roman" w:eastAsia="宋体"/>
                <w:i/>
                <w:iCs/>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R</w:t>
            </w:r>
            <w:r>
              <w:rPr>
                <w:rFonts w:hint="eastAsia" w:ascii="Times New Roman" w:hAnsi="Times New Roman" w:eastAsia="宋体"/>
                <w:i/>
                <w:iCs/>
                <w:color w:val="auto"/>
                <w:sz w:val="15"/>
                <w:szCs w:val="18"/>
                <w:highlight w:val="none"/>
                <w:vertAlign w:val="superscript"/>
                <w14:ligatures w14:val="standardContextual"/>
              </w:rPr>
              <w:t>2</w:t>
            </w:r>
          </w:p>
        </w:tc>
        <w:tc>
          <w:tcPr>
            <w:tcW w:w="1045" w:type="dxa"/>
            <w:tcBorders>
              <w:top w:val="single" w:color="auto" w:sz="4" w:space="0"/>
              <w:bottom w:val="single" w:color="auto" w:sz="4" w:space="0"/>
            </w:tcBorders>
            <w:noWrap/>
            <w:vAlign w:val="center"/>
          </w:tcPr>
          <w:p w14:paraId="50A2629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PBIAS</w:t>
            </w:r>
            <w:r>
              <w:rPr>
                <w:rFonts w:ascii="Times New Roman" w:hAnsi="Times New Roman" w:eastAsia="宋体"/>
                <w:color w:val="auto"/>
                <w:sz w:val="15"/>
                <w:szCs w:val="18"/>
                <w:highlight w:val="none"/>
                <w14:ligatures w14:val="standardContextual"/>
              </w:rPr>
              <w:t>/%</w:t>
            </w:r>
          </w:p>
        </w:tc>
        <w:tc>
          <w:tcPr>
            <w:tcW w:w="1045" w:type="dxa"/>
            <w:tcBorders>
              <w:top w:val="single" w:color="auto" w:sz="4" w:space="0"/>
              <w:bottom w:val="single" w:color="auto" w:sz="4" w:space="0"/>
            </w:tcBorders>
            <w:noWrap/>
            <w:vAlign w:val="center"/>
          </w:tcPr>
          <w:p w14:paraId="00AD0B1C">
            <w:pPr>
              <w:jc w:val="center"/>
              <w:rPr>
                <w:rFonts w:ascii="Times New Roman" w:hAnsi="Times New Roman" w:eastAsia="宋体"/>
                <w:i/>
                <w:iCs/>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NS</w:t>
            </w:r>
          </w:p>
        </w:tc>
        <w:tc>
          <w:tcPr>
            <w:tcW w:w="1045" w:type="dxa"/>
            <w:tcBorders>
              <w:top w:val="single" w:color="auto" w:sz="4" w:space="0"/>
              <w:bottom w:val="single" w:color="auto" w:sz="4" w:space="0"/>
            </w:tcBorders>
            <w:noWrap/>
            <w:vAlign w:val="center"/>
          </w:tcPr>
          <w:p w14:paraId="098FD2E5">
            <w:pPr>
              <w:jc w:val="center"/>
              <w:rPr>
                <w:rFonts w:ascii="Times New Roman" w:hAnsi="Times New Roman" w:eastAsia="宋体"/>
                <w:i/>
                <w:iCs/>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R</w:t>
            </w:r>
            <w:r>
              <w:rPr>
                <w:rFonts w:hint="eastAsia" w:ascii="Times New Roman" w:hAnsi="Times New Roman" w:eastAsia="宋体"/>
                <w:i/>
                <w:iCs/>
                <w:color w:val="auto"/>
                <w:sz w:val="15"/>
                <w:szCs w:val="18"/>
                <w:highlight w:val="none"/>
                <w:vertAlign w:val="superscript"/>
                <w14:ligatures w14:val="standardContextual"/>
              </w:rPr>
              <w:t>2</w:t>
            </w:r>
          </w:p>
        </w:tc>
        <w:tc>
          <w:tcPr>
            <w:tcW w:w="1045" w:type="dxa"/>
            <w:tcBorders>
              <w:top w:val="single" w:color="auto" w:sz="4" w:space="0"/>
              <w:bottom w:val="single" w:color="auto" w:sz="4" w:space="0"/>
            </w:tcBorders>
            <w:noWrap/>
            <w:vAlign w:val="center"/>
          </w:tcPr>
          <w:p w14:paraId="6D9A44A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PBIAS</w:t>
            </w:r>
            <w:r>
              <w:rPr>
                <w:rFonts w:ascii="Times New Roman" w:hAnsi="Times New Roman" w:eastAsia="宋体"/>
                <w:color w:val="auto"/>
                <w:sz w:val="15"/>
                <w:szCs w:val="18"/>
                <w:highlight w:val="none"/>
                <w14:ligatures w14:val="standardContextual"/>
              </w:rPr>
              <w:t>/%</w:t>
            </w:r>
          </w:p>
        </w:tc>
      </w:tr>
      <w:tr w14:paraId="01F3DE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825" w:type="dxa"/>
            <w:tcBorders>
              <w:top w:val="single" w:color="auto" w:sz="6" w:space="0"/>
            </w:tcBorders>
            <w:noWrap/>
            <w:vAlign w:val="center"/>
          </w:tcPr>
          <w:p w14:paraId="21835EFA">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SWAT</w:t>
            </w:r>
          </w:p>
        </w:tc>
        <w:tc>
          <w:tcPr>
            <w:tcW w:w="1045" w:type="dxa"/>
            <w:tcBorders>
              <w:top w:val="single" w:color="auto" w:sz="4" w:space="0"/>
            </w:tcBorders>
            <w:noWrap/>
            <w:vAlign w:val="center"/>
          </w:tcPr>
          <w:p w14:paraId="47DF4FE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0.82</w:t>
            </w:r>
          </w:p>
        </w:tc>
        <w:tc>
          <w:tcPr>
            <w:tcW w:w="1045" w:type="dxa"/>
            <w:tcBorders>
              <w:top w:val="single" w:color="auto" w:sz="4" w:space="0"/>
            </w:tcBorders>
            <w:noWrap/>
            <w:vAlign w:val="center"/>
          </w:tcPr>
          <w:p w14:paraId="5D09E5E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0.85</w:t>
            </w:r>
          </w:p>
        </w:tc>
        <w:tc>
          <w:tcPr>
            <w:tcW w:w="1045" w:type="dxa"/>
            <w:tcBorders>
              <w:top w:val="single" w:color="auto" w:sz="4" w:space="0"/>
            </w:tcBorders>
            <w:noWrap/>
            <w:vAlign w:val="center"/>
          </w:tcPr>
          <w:p w14:paraId="5FC6A31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-2.00</w:t>
            </w:r>
          </w:p>
        </w:tc>
        <w:tc>
          <w:tcPr>
            <w:tcW w:w="1045" w:type="dxa"/>
            <w:tcBorders>
              <w:top w:val="single" w:color="auto" w:sz="4" w:space="0"/>
            </w:tcBorders>
            <w:noWrap/>
            <w:vAlign w:val="center"/>
          </w:tcPr>
          <w:p w14:paraId="626B9C1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0.89</w:t>
            </w:r>
          </w:p>
        </w:tc>
        <w:tc>
          <w:tcPr>
            <w:tcW w:w="1045" w:type="dxa"/>
            <w:tcBorders>
              <w:top w:val="single" w:color="auto" w:sz="4" w:space="0"/>
            </w:tcBorders>
            <w:noWrap/>
            <w:vAlign w:val="center"/>
          </w:tcPr>
          <w:p w14:paraId="554F3BE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0.89</w:t>
            </w:r>
          </w:p>
        </w:tc>
        <w:tc>
          <w:tcPr>
            <w:tcW w:w="1045" w:type="dxa"/>
            <w:tcBorders>
              <w:top w:val="single" w:color="auto" w:sz="4" w:space="0"/>
            </w:tcBorders>
            <w:noWrap/>
            <w:vAlign w:val="center"/>
          </w:tcPr>
          <w:p w14:paraId="5BB9CCD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-6.44</w:t>
            </w:r>
          </w:p>
        </w:tc>
      </w:tr>
      <w:tr w14:paraId="58711B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825" w:type="dxa"/>
            <w:noWrap/>
            <w:vAlign w:val="center"/>
          </w:tcPr>
          <w:p w14:paraId="03BAD707">
            <w:pPr>
              <w:jc w:val="center"/>
              <w:rPr>
                <w:rFonts w:ascii="Times New Roman" w:hAnsi="Times New Roman" w:eastAsia="宋体"/>
                <w:color w:val="auto"/>
                <w:sz w:val="15"/>
                <w:szCs w:val="18"/>
                <w:highlight w:val="none"/>
                <w14:ligatures w14:val="standardContextual"/>
              </w:rPr>
            </w:pPr>
            <w:r>
              <w:rPr>
                <w:rFonts w:ascii="Times New Roman" w:hAnsi="Times New Roman" w:eastAsia="宋体"/>
                <w:color w:val="auto"/>
                <w:sz w:val="15"/>
                <w:szCs w:val="18"/>
                <w:highlight w:val="none"/>
                <w14:ligatures w14:val="standardContextual"/>
              </w:rPr>
              <w:t>SWAT-</w:t>
            </w:r>
            <w:r>
              <w:rPr>
                <w:rFonts w:hint="eastAsia" w:ascii="Times New Roman" w:hAnsi="Times New Roman" w:eastAsia="宋体"/>
                <w:color w:val="auto"/>
                <w:sz w:val="15"/>
                <w:szCs w:val="18"/>
                <w:highlight w:val="none"/>
                <w14:ligatures w14:val="standardContextual"/>
              </w:rPr>
              <w:t>LSTM</w:t>
            </w:r>
          </w:p>
        </w:tc>
        <w:tc>
          <w:tcPr>
            <w:tcW w:w="1045" w:type="dxa"/>
            <w:noWrap/>
            <w:vAlign w:val="center"/>
          </w:tcPr>
          <w:p w14:paraId="31D7E73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0.90</w:t>
            </w:r>
          </w:p>
        </w:tc>
        <w:tc>
          <w:tcPr>
            <w:tcW w:w="1045" w:type="dxa"/>
            <w:noWrap/>
            <w:vAlign w:val="center"/>
          </w:tcPr>
          <w:p w14:paraId="42CEC26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0.90</w:t>
            </w:r>
          </w:p>
        </w:tc>
        <w:tc>
          <w:tcPr>
            <w:tcW w:w="1045" w:type="dxa"/>
            <w:noWrap/>
            <w:vAlign w:val="center"/>
          </w:tcPr>
          <w:p w14:paraId="1104BD4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2.8</w:t>
            </w:r>
            <w:r>
              <w:rPr>
                <w:rFonts w:ascii="Times New Roman" w:hAnsi="Times New Roman" w:eastAsia="宋体"/>
                <w:color w:val="auto"/>
                <w:sz w:val="15"/>
                <w:szCs w:val="18"/>
                <w:highlight w:val="none"/>
                <w14:ligatures w14:val="standardContextual"/>
              </w:rPr>
              <w:t>6</w:t>
            </w:r>
          </w:p>
        </w:tc>
        <w:tc>
          <w:tcPr>
            <w:tcW w:w="1045" w:type="dxa"/>
            <w:noWrap/>
            <w:vAlign w:val="center"/>
          </w:tcPr>
          <w:p w14:paraId="7DDF06E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0.90</w:t>
            </w:r>
          </w:p>
        </w:tc>
        <w:tc>
          <w:tcPr>
            <w:tcW w:w="1045" w:type="dxa"/>
            <w:noWrap/>
            <w:vAlign w:val="center"/>
          </w:tcPr>
          <w:p w14:paraId="7018437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0.91</w:t>
            </w:r>
          </w:p>
        </w:tc>
        <w:tc>
          <w:tcPr>
            <w:tcW w:w="1045" w:type="dxa"/>
            <w:noWrap/>
            <w:vAlign w:val="center"/>
          </w:tcPr>
          <w:p w14:paraId="6DE07EE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-1.5</w:t>
            </w:r>
            <w:r>
              <w:rPr>
                <w:rFonts w:ascii="Times New Roman" w:hAnsi="Times New Roman" w:eastAsia="宋体"/>
                <w:color w:val="auto"/>
                <w:sz w:val="15"/>
                <w:szCs w:val="18"/>
                <w:highlight w:val="none"/>
                <w14:ligatures w14:val="standardContextual"/>
              </w:rPr>
              <w:t>6</w:t>
            </w:r>
          </w:p>
        </w:tc>
      </w:tr>
      <w:tr w14:paraId="7566A4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825" w:type="dxa"/>
            <w:noWrap/>
            <w:vAlign w:val="center"/>
          </w:tcPr>
          <w:p w14:paraId="063C4833">
            <w:pPr>
              <w:jc w:val="center"/>
              <w:rPr>
                <w:rFonts w:ascii="Times New Roman" w:hAnsi="Times New Roman" w:eastAsia="宋体"/>
                <w:color w:val="auto"/>
                <w:sz w:val="15"/>
                <w:szCs w:val="18"/>
                <w:highlight w:val="none"/>
                <w14:ligatures w14:val="standardContextual"/>
              </w:rPr>
            </w:pPr>
            <w:r>
              <w:rPr>
                <w:rFonts w:ascii="Times New Roman" w:hAnsi="Times New Roman" w:eastAsia="宋体"/>
                <w:color w:val="auto"/>
                <w:sz w:val="15"/>
                <w:szCs w:val="18"/>
                <w:highlight w:val="none"/>
                <w14:ligatures w14:val="standardContextual"/>
              </w:rPr>
              <w:t>SWAT-</w:t>
            </w:r>
            <w:r>
              <w:rPr>
                <w:rFonts w:hint="eastAsia" w:ascii="Times New Roman" w:hAnsi="Times New Roman" w:eastAsia="宋体"/>
                <w:color w:val="auto"/>
                <w:sz w:val="15"/>
                <w:szCs w:val="18"/>
                <w:highlight w:val="none"/>
                <w14:ligatures w14:val="standardContextual"/>
              </w:rPr>
              <w:t>RF</w:t>
            </w:r>
          </w:p>
        </w:tc>
        <w:tc>
          <w:tcPr>
            <w:tcW w:w="1045" w:type="dxa"/>
            <w:noWrap/>
            <w:vAlign w:val="center"/>
          </w:tcPr>
          <w:p w14:paraId="51AA85E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0.95</w:t>
            </w:r>
          </w:p>
        </w:tc>
        <w:tc>
          <w:tcPr>
            <w:tcW w:w="1045" w:type="dxa"/>
            <w:noWrap/>
            <w:vAlign w:val="center"/>
          </w:tcPr>
          <w:p w14:paraId="15E08DD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0.95</w:t>
            </w:r>
          </w:p>
        </w:tc>
        <w:tc>
          <w:tcPr>
            <w:tcW w:w="1045" w:type="dxa"/>
            <w:noWrap/>
            <w:vAlign w:val="center"/>
          </w:tcPr>
          <w:p w14:paraId="62AD780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4.8</w:t>
            </w:r>
            <w:r>
              <w:rPr>
                <w:rFonts w:ascii="Times New Roman" w:hAnsi="Times New Roman" w:eastAsia="宋体"/>
                <w:color w:val="auto"/>
                <w:sz w:val="15"/>
                <w:szCs w:val="18"/>
                <w:highlight w:val="none"/>
                <w14:ligatures w14:val="standardContextual"/>
              </w:rPr>
              <w:t>9</w:t>
            </w:r>
          </w:p>
        </w:tc>
        <w:tc>
          <w:tcPr>
            <w:tcW w:w="1045" w:type="dxa"/>
            <w:noWrap/>
            <w:vAlign w:val="center"/>
          </w:tcPr>
          <w:p w14:paraId="33E243A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0.91</w:t>
            </w:r>
          </w:p>
        </w:tc>
        <w:tc>
          <w:tcPr>
            <w:tcW w:w="1045" w:type="dxa"/>
            <w:noWrap/>
            <w:vAlign w:val="center"/>
          </w:tcPr>
          <w:p w14:paraId="0A49ACA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0.92</w:t>
            </w:r>
          </w:p>
        </w:tc>
        <w:tc>
          <w:tcPr>
            <w:tcW w:w="1045" w:type="dxa"/>
            <w:noWrap/>
            <w:vAlign w:val="center"/>
          </w:tcPr>
          <w:p w14:paraId="4771D78A">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-1.03</w:t>
            </w:r>
          </w:p>
        </w:tc>
      </w:tr>
      <w:tr w14:paraId="5E0AA1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jc w:val="center"/>
        </w:trPr>
        <w:tc>
          <w:tcPr>
            <w:tcW w:w="1825" w:type="dxa"/>
            <w:tcBorders>
              <w:bottom w:val="single" w:color="auto" w:sz="12" w:space="0"/>
            </w:tcBorders>
            <w:noWrap/>
            <w:vAlign w:val="center"/>
          </w:tcPr>
          <w:p w14:paraId="7DC35969">
            <w:pPr>
              <w:jc w:val="center"/>
              <w:rPr>
                <w:rFonts w:ascii="Times New Roman" w:hAnsi="Times New Roman" w:eastAsia="宋体"/>
                <w:color w:val="auto"/>
                <w:sz w:val="15"/>
                <w:szCs w:val="18"/>
                <w:highlight w:val="none"/>
                <w14:ligatures w14:val="standardContextual"/>
              </w:rPr>
            </w:pPr>
            <w:r>
              <w:rPr>
                <w:rFonts w:ascii="Times New Roman" w:hAnsi="Times New Roman" w:eastAsia="宋体"/>
                <w:color w:val="auto"/>
                <w:sz w:val="15"/>
                <w:szCs w:val="18"/>
                <w:highlight w:val="none"/>
                <w14:ligatures w14:val="standardContextual"/>
              </w:rPr>
              <w:t>SWAT-</w:t>
            </w:r>
            <w:r>
              <w:rPr>
                <w:rFonts w:hint="eastAsia" w:ascii="Times New Roman" w:hAnsi="Times New Roman" w:eastAsia="宋体"/>
                <w:color w:val="auto"/>
                <w:sz w:val="15"/>
                <w:szCs w:val="18"/>
                <w:highlight w:val="none"/>
                <w14:ligatures w14:val="standardContextual"/>
              </w:rPr>
              <w:t>Informer</w:t>
            </w:r>
          </w:p>
        </w:tc>
        <w:tc>
          <w:tcPr>
            <w:tcW w:w="1045" w:type="dxa"/>
            <w:tcBorders>
              <w:bottom w:val="single" w:color="auto" w:sz="12" w:space="0"/>
            </w:tcBorders>
            <w:noWrap/>
            <w:vAlign w:val="center"/>
          </w:tcPr>
          <w:p w14:paraId="4A4A072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0.92</w:t>
            </w:r>
          </w:p>
        </w:tc>
        <w:tc>
          <w:tcPr>
            <w:tcW w:w="1045" w:type="dxa"/>
            <w:tcBorders>
              <w:bottom w:val="single" w:color="auto" w:sz="12" w:space="0"/>
            </w:tcBorders>
            <w:noWrap/>
            <w:vAlign w:val="center"/>
          </w:tcPr>
          <w:p w14:paraId="150166A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0.93</w:t>
            </w:r>
          </w:p>
        </w:tc>
        <w:tc>
          <w:tcPr>
            <w:tcW w:w="1045" w:type="dxa"/>
            <w:tcBorders>
              <w:bottom w:val="single" w:color="auto" w:sz="12" w:space="0"/>
            </w:tcBorders>
            <w:noWrap/>
            <w:vAlign w:val="center"/>
          </w:tcPr>
          <w:p w14:paraId="71CC7F7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0.44</w:t>
            </w:r>
          </w:p>
        </w:tc>
        <w:tc>
          <w:tcPr>
            <w:tcW w:w="1045" w:type="dxa"/>
            <w:tcBorders>
              <w:bottom w:val="single" w:color="auto" w:sz="12" w:space="0"/>
            </w:tcBorders>
            <w:noWrap/>
            <w:vAlign w:val="center"/>
          </w:tcPr>
          <w:p w14:paraId="4D43E8A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0.95</w:t>
            </w:r>
          </w:p>
        </w:tc>
        <w:tc>
          <w:tcPr>
            <w:tcW w:w="1045" w:type="dxa"/>
            <w:tcBorders>
              <w:bottom w:val="single" w:color="auto" w:sz="12" w:space="0"/>
            </w:tcBorders>
            <w:noWrap/>
            <w:vAlign w:val="center"/>
          </w:tcPr>
          <w:p w14:paraId="41412D7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0.95</w:t>
            </w:r>
          </w:p>
        </w:tc>
        <w:tc>
          <w:tcPr>
            <w:tcW w:w="1045" w:type="dxa"/>
            <w:tcBorders>
              <w:bottom w:val="single" w:color="auto" w:sz="12" w:space="0"/>
            </w:tcBorders>
            <w:noWrap/>
            <w:vAlign w:val="center"/>
          </w:tcPr>
          <w:p w14:paraId="7C798C5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2.67</w:t>
            </w:r>
          </w:p>
        </w:tc>
      </w:tr>
    </w:tbl>
    <w:p w14:paraId="58EB4398">
      <w:pPr>
        <w:ind w:firstLine="420" w:firstLineChars="200"/>
        <w:rPr>
          <w:rFonts w:ascii="Times New Roman" w:hAnsi="Times New Roman" w:eastAsia="宋体"/>
          <w:color w:val="auto"/>
          <w:highlight w:val="none"/>
          <w14:ligatures w14:val="standardContextual"/>
        </w:rPr>
      </w:pPr>
      <w:bookmarkStart w:id="35" w:name="_Hlk234962760"/>
      <w:r>
        <w:rPr>
          <w:rFonts w:hint="eastAsia" w:ascii="Times New Roman" w:hAnsi="Times New Roman" w:eastAsia="宋体"/>
          <w:color w:val="auto"/>
          <w:highlight w:val="none"/>
          <w14:ligatures w14:val="standardContextual"/>
        </w:rPr>
        <w:t>为进一步提高月尺度径流重建能力，在</w:t>
      </w:r>
      <w:r>
        <w:rPr>
          <w:rFonts w:ascii="Times New Roman" w:hAnsi="Times New Roman" w:eastAsia="宋体"/>
          <w:color w:val="auto"/>
          <w:highlight w:val="none"/>
          <w14:ligatures w14:val="standardContextual"/>
        </w:rPr>
        <w:t>SWAT模型基础上分别引入RF、LSTM和Informer开展残差后处理，构建SWAT-RF、SWAT-LSTM和SWAT-Informer混合模型。</w:t>
      </w:r>
      <w:r>
        <w:rPr>
          <w:rFonts w:hint="eastAsia" w:ascii="Times New Roman" w:hAnsi="Times New Roman" w:eastAsia="宋体"/>
          <w:color w:val="auto"/>
          <w:highlight w:val="none"/>
          <w14:ligatures w14:val="standardContextual"/>
        </w:rPr>
        <w:t>如</w:t>
      </w:r>
      <w:r>
        <w:rPr>
          <w:rFonts w:ascii="Times New Roman" w:hAnsi="Times New Roman" w:eastAsia="宋体"/>
          <w:color w:val="auto"/>
          <w:highlight w:val="none"/>
          <w14:ligatures w14:val="standardContextual"/>
        </w:rPr>
        <w:t>表2</w:t>
      </w:r>
      <w:r>
        <w:rPr>
          <w:rFonts w:hint="eastAsia" w:ascii="Times New Roman" w:hAnsi="Times New Roman" w:eastAsia="宋体"/>
          <w:color w:val="auto"/>
          <w:highlight w:val="none"/>
          <w14:ligatures w14:val="standardContextual"/>
        </w:rPr>
        <w:t>所列</w:t>
      </w:r>
      <w:r>
        <w:rPr>
          <w:rFonts w:ascii="Times New Roman" w:hAnsi="Times New Roman" w:eastAsia="宋体"/>
          <w:color w:val="auto"/>
          <w:highlight w:val="none"/>
          <w14:ligatures w14:val="standardContextual"/>
        </w:rPr>
        <w:t>，3种混合模型在率定期和验证期的</w:t>
      </w:r>
      <w:r>
        <w:rPr>
          <w:rFonts w:ascii="Times New Roman" w:hAnsi="Times New Roman" w:eastAsia="宋体"/>
          <w:i/>
          <w:iCs/>
          <w:color w:val="auto"/>
          <w:highlight w:val="none"/>
          <w14:ligatures w14:val="standardContextual"/>
        </w:rPr>
        <w:t>NS</w:t>
      </w:r>
      <w:r>
        <w:rPr>
          <w:rFonts w:ascii="Times New Roman" w:hAnsi="Times New Roman" w:eastAsia="宋体"/>
          <w:color w:val="auto"/>
          <w:highlight w:val="none"/>
          <w14:ligatures w14:val="standardContextual"/>
        </w:rPr>
        <w:t>、</w:t>
      </w:r>
      <w:r>
        <w:rPr>
          <w:rFonts w:ascii="Times New Roman" w:hAnsi="Times New Roman" w:eastAsia="宋体"/>
          <w:i/>
          <w:iCs/>
          <w:color w:val="auto"/>
          <w:highlight w:val="none"/>
          <w14:ligatures w14:val="standardContextual"/>
        </w:rPr>
        <w:t>R²</w:t>
      </w:r>
      <w:r>
        <w:rPr>
          <w:rFonts w:ascii="Times New Roman" w:hAnsi="Times New Roman" w:eastAsia="宋体"/>
          <w:color w:val="auto"/>
          <w:highlight w:val="none"/>
          <w14:ligatures w14:val="standardContextual"/>
        </w:rPr>
        <w:t>和</w:t>
      </w:r>
      <w:r>
        <w:rPr>
          <w:rFonts w:ascii="Times New Roman" w:hAnsi="Times New Roman" w:eastAsia="宋体"/>
          <w:i/>
          <w:iCs/>
          <w:color w:val="auto"/>
          <w:highlight w:val="none"/>
          <w14:ligatures w14:val="standardContextual"/>
        </w:rPr>
        <w:t>PBIAS</w:t>
      </w:r>
      <w:r>
        <w:rPr>
          <w:rFonts w:ascii="Times New Roman" w:hAnsi="Times New Roman" w:eastAsia="宋体"/>
          <w:color w:val="auto"/>
          <w:highlight w:val="none"/>
          <w14:ligatures w14:val="standardContextual"/>
        </w:rPr>
        <w:t>整体上均优于SWAT模型，说明残差后处理能够有效补偿SWAT模拟误差，提升月径流模拟精度。进一步比较发现，不同混合模型的改进特征存在差异：SWAT-RF在率定期表现最好，</w:t>
      </w:r>
      <w:r>
        <w:rPr>
          <w:rFonts w:ascii="Times New Roman" w:hAnsi="Times New Roman" w:eastAsia="宋体"/>
          <w:i/>
          <w:iCs/>
          <w:color w:val="auto"/>
          <w:highlight w:val="none"/>
          <w14:ligatures w14:val="standardContextual"/>
        </w:rPr>
        <w:t>NS</w:t>
      </w:r>
      <w:r>
        <w:rPr>
          <w:rFonts w:ascii="Times New Roman" w:hAnsi="Times New Roman" w:eastAsia="宋体"/>
          <w:color w:val="auto"/>
          <w:highlight w:val="none"/>
          <w14:ligatures w14:val="standardContextual"/>
        </w:rPr>
        <w:t>和</w:t>
      </w:r>
      <w:r>
        <w:rPr>
          <w:rFonts w:ascii="Times New Roman" w:hAnsi="Times New Roman" w:eastAsia="宋体"/>
          <w:i/>
          <w:iCs/>
          <w:color w:val="auto"/>
          <w:highlight w:val="none"/>
          <w14:ligatures w14:val="standardContextual"/>
        </w:rPr>
        <w:t>R²</w:t>
      </w:r>
      <w:r>
        <w:rPr>
          <w:rFonts w:ascii="Times New Roman" w:hAnsi="Times New Roman" w:eastAsia="宋体"/>
          <w:color w:val="auto"/>
          <w:highlight w:val="none"/>
          <w14:ligatures w14:val="standardContextual"/>
        </w:rPr>
        <w:t>均达到0.95，但其验证期提升幅度相对有限；SWAT-LSTM对SWAT模拟结果也有</w:t>
      </w:r>
      <w:r>
        <w:rPr>
          <w:rFonts w:hint="eastAsia" w:ascii="Times New Roman" w:hAnsi="Times New Roman" w:eastAsia="宋体"/>
          <w:color w:val="auto"/>
          <w:highlight w:val="none"/>
          <w14:ligatures w14:val="standardContextual"/>
        </w:rPr>
        <w:t>明显改善，但综合表现略弱于</w:t>
      </w:r>
      <w:r>
        <w:rPr>
          <w:rFonts w:ascii="Times New Roman" w:hAnsi="Times New Roman" w:eastAsia="宋体"/>
          <w:color w:val="auto"/>
          <w:highlight w:val="none"/>
          <w14:ligatures w14:val="standardContextual"/>
        </w:rPr>
        <w:t>SWAT-RF和SWAT-Informer；SWAT-Informer则在验证期表现最优，</w:t>
      </w:r>
      <w:r>
        <w:rPr>
          <w:rFonts w:ascii="Times New Roman" w:hAnsi="Times New Roman" w:eastAsia="宋体"/>
          <w:i/>
          <w:iCs/>
          <w:color w:val="auto"/>
          <w:highlight w:val="none"/>
          <w14:ligatures w14:val="standardContextual"/>
        </w:rPr>
        <w:t>NS</w:t>
      </w:r>
      <w:r>
        <w:rPr>
          <w:rFonts w:ascii="Times New Roman" w:hAnsi="Times New Roman" w:eastAsia="宋体"/>
          <w:color w:val="auto"/>
          <w:highlight w:val="none"/>
          <w14:ligatures w14:val="standardContextual"/>
        </w:rPr>
        <w:t>和</w:t>
      </w:r>
      <w:r>
        <w:rPr>
          <w:rFonts w:ascii="Times New Roman" w:hAnsi="Times New Roman" w:eastAsia="宋体"/>
          <w:i/>
          <w:iCs/>
          <w:color w:val="auto"/>
          <w:highlight w:val="none"/>
          <w14:ligatures w14:val="standardContextual"/>
        </w:rPr>
        <w:t>R²</w:t>
      </w:r>
      <w:r>
        <w:rPr>
          <w:rFonts w:ascii="Times New Roman" w:hAnsi="Times New Roman" w:eastAsia="宋体"/>
          <w:color w:val="auto"/>
          <w:highlight w:val="none"/>
          <w14:ligatures w14:val="standardContextual"/>
        </w:rPr>
        <w:t>均达到0.95，</w:t>
      </w:r>
      <w:r>
        <w:rPr>
          <w:rFonts w:ascii="Times New Roman" w:hAnsi="Times New Roman" w:eastAsia="宋体"/>
          <w:i/>
          <w:iCs/>
          <w:color w:val="auto"/>
          <w:highlight w:val="none"/>
          <w14:ligatures w14:val="standardContextual"/>
        </w:rPr>
        <w:t>PBIAS</w:t>
      </w:r>
      <w:r>
        <w:rPr>
          <w:rFonts w:ascii="Times New Roman" w:hAnsi="Times New Roman" w:eastAsia="宋体"/>
          <w:color w:val="auto"/>
          <w:highlight w:val="none"/>
          <w14:ligatures w14:val="standardContextual"/>
        </w:rPr>
        <w:t>为2.67%，表明其在模型稳定性和泛化能力方面更具优势。</w:t>
      </w:r>
    </w:p>
    <w:p w14:paraId="548D150E">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如图</w:t>
      </w:r>
      <w:r>
        <w:rPr>
          <w:rFonts w:ascii="Times New Roman" w:hAnsi="Times New Roman" w:eastAsia="宋体"/>
          <w:color w:val="auto"/>
          <w:highlight w:val="none"/>
          <w14:ligatures w14:val="standardContextual"/>
        </w:rPr>
        <w:t>5</w:t>
      </w:r>
      <w:r>
        <w:rPr>
          <w:rFonts w:hint="eastAsia" w:ascii="Times New Roman" w:hAnsi="Times New Roman" w:eastAsia="宋体"/>
          <w:color w:val="auto"/>
          <w:highlight w:val="none"/>
          <w14:ligatures w14:val="standardContextual"/>
        </w:rPr>
        <w:t>（b）所示</w:t>
      </w:r>
      <w:r>
        <w:rPr>
          <w:rFonts w:ascii="Times New Roman" w:hAnsi="Times New Roman" w:eastAsia="宋体"/>
          <w:color w:val="auto"/>
          <w:highlight w:val="none"/>
          <w14:ligatures w14:val="standardContextual"/>
        </w:rPr>
        <w:t>，混合模型对SWAT单模型在峰值和枯水段的偏差均有不同程度修正，其中SWAT-Informer模拟过程线与实测序列吻合最好，在多个洪峰月份能够更准确地再现峰值大小和变化过程，且在低流量阶段的波动幅度更接近实测。</w:t>
      </w:r>
      <w:r>
        <w:rPr>
          <w:rFonts w:hint="eastAsia" w:ascii="Times New Roman" w:hAnsi="Times New Roman" w:eastAsia="宋体"/>
          <w:color w:val="auto"/>
          <w:highlight w:val="none"/>
          <w14:ligatures w14:val="standardContextual"/>
        </w:rPr>
        <w:t>如</w:t>
      </w:r>
      <w:r>
        <w:rPr>
          <w:rFonts w:ascii="Times New Roman" w:hAnsi="Times New Roman" w:eastAsia="宋体"/>
          <w:color w:val="auto"/>
          <w:highlight w:val="none"/>
          <w14:ligatures w14:val="standardContextual"/>
        </w:rPr>
        <w:t>图6</w:t>
      </w:r>
      <w:r>
        <w:rPr>
          <w:rFonts w:hint="eastAsia" w:ascii="Times New Roman" w:hAnsi="Times New Roman" w:eastAsia="宋体"/>
          <w:color w:val="auto"/>
          <w:highlight w:val="none"/>
          <w14:ligatures w14:val="standardContextual"/>
        </w:rPr>
        <w:t>所示</w:t>
      </w:r>
      <w:r>
        <w:rPr>
          <w:rFonts w:ascii="Times New Roman" w:hAnsi="Times New Roman" w:eastAsia="宋体"/>
          <w:color w:val="auto"/>
          <w:highlight w:val="none"/>
          <w14:ligatures w14:val="standardContextual"/>
        </w:rPr>
        <w:t>，SWAT-Informer散点最接近1:1线，高值区系统偏离最小，低值区离散程度也明显降低，且拟合置信带相对更窄，说明其在整体拟合精度、偏差控制和模拟稳定性方面均优于其余模型。因此，本文最终选取SWAT-Informer模型用于后续天然情景重建与径流归因分析。</w:t>
      </w:r>
    </w:p>
    <w:bookmarkEnd w:id="35"/>
    <w:p w14:paraId="436D9712">
      <w:pPr>
        <w:spacing w:after="160" w:line="360" w:lineRule="auto"/>
        <w:jc w:val="center"/>
        <w:rPr>
          <w:rFonts w:ascii="Times New Roman" w:hAnsi="Times New Roman" w:eastAsia="宋体"/>
          <w:color w:val="auto"/>
          <w:highlight w:val="none"/>
          <w14:ligatures w14:val="standardContextual"/>
        </w:rPr>
      </w:pPr>
      <w:r>
        <w:rPr>
          <w:rFonts w:ascii="Times New Roman" w:hAnsi="Times New Roman" w:eastAsia="宋体"/>
          <w:color w:val="auto"/>
          <w:highlight w:val="none"/>
        </w:rPr>
        <w:drawing>
          <wp:inline distT="0" distB="0" distL="0" distR="0">
            <wp:extent cx="5039995" cy="3165475"/>
            <wp:effectExtent l="0" t="0" r="825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4"/>
                    <a:stretch>
                      <a:fillRect/>
                    </a:stretch>
                  </pic:blipFill>
                  <pic:spPr>
                    <a:xfrm>
                      <a:off x="0" y="0"/>
                      <a:ext cx="5040000" cy="3165625"/>
                    </a:xfrm>
                    <a:prstGeom prst="rect">
                      <a:avLst/>
                    </a:prstGeom>
                  </pic:spPr>
                </pic:pic>
              </a:graphicData>
            </a:graphic>
          </wp:inline>
        </w:drawing>
      </w:r>
    </w:p>
    <w:p w14:paraId="5E497756">
      <w:pPr>
        <w:pStyle w:val="59"/>
        <w:spacing w:beforeLines="0" w:afterLines="0" w:line="240" w:lineRule="auto"/>
        <w:rPr>
          <w:b w:val="0"/>
          <w:bCs/>
          <w:color w:val="auto"/>
          <w:szCs w:val="21"/>
          <w:highlight w:val="none"/>
        </w:rPr>
      </w:pPr>
      <w:bookmarkStart w:id="36" w:name="OLE_LINK15"/>
      <w:r>
        <w:rPr>
          <w:rFonts w:hint="eastAsia"/>
          <w:b w:val="0"/>
          <w:bCs/>
          <w:color w:val="auto"/>
          <w:szCs w:val="21"/>
          <w:highlight w:val="none"/>
        </w:rPr>
        <w:t>图</w:t>
      </w:r>
      <w:bookmarkStart w:id="37" w:name="OLE_LINK4"/>
      <w:r>
        <w:rPr>
          <w:b w:val="0"/>
          <w:bCs/>
          <w:color w:val="auto"/>
          <w:szCs w:val="21"/>
          <w:highlight w:val="none"/>
        </w:rPr>
        <w:t>5  基于</w:t>
      </w:r>
      <w:r>
        <w:rPr>
          <w:rFonts w:hint="eastAsia"/>
          <w:b w:val="0"/>
          <w:bCs/>
          <w:color w:val="auto"/>
          <w:szCs w:val="21"/>
          <w:highlight w:val="none"/>
        </w:rPr>
        <w:t>S</w:t>
      </w:r>
      <w:r>
        <w:rPr>
          <w:b w:val="0"/>
          <w:bCs/>
          <w:color w:val="auto"/>
          <w:szCs w:val="21"/>
          <w:highlight w:val="none"/>
        </w:rPr>
        <w:t>WAT</w:t>
      </w:r>
      <w:r>
        <w:rPr>
          <w:rFonts w:hint="eastAsia"/>
          <w:b w:val="0"/>
          <w:bCs/>
          <w:color w:val="auto"/>
          <w:szCs w:val="21"/>
          <w:highlight w:val="none"/>
        </w:rPr>
        <w:t>和混合</w:t>
      </w:r>
      <w:r>
        <w:rPr>
          <w:b w:val="0"/>
          <w:bCs/>
          <w:color w:val="auto"/>
          <w:szCs w:val="21"/>
          <w:highlight w:val="none"/>
        </w:rPr>
        <w:t>模型的老哈河流域实测与模拟月径流序列</w:t>
      </w:r>
      <w:bookmarkEnd w:id="37"/>
    </w:p>
    <w:bookmarkEnd w:id="36"/>
    <w:p w14:paraId="43740A5D">
      <w:pPr>
        <w:pStyle w:val="59"/>
        <w:spacing w:beforeLines="0" w:afterLines="0" w:line="240" w:lineRule="auto"/>
        <w:rPr>
          <w:b w:val="0"/>
          <w:bCs/>
          <w:color w:val="auto"/>
          <w:szCs w:val="21"/>
          <w:highlight w:val="none"/>
        </w:rPr>
      </w:pPr>
      <w:r>
        <w:rPr>
          <w:rFonts w:hint="eastAsia"/>
          <w:b w:val="0"/>
          <w:bCs/>
          <w:color w:val="auto"/>
          <w:szCs w:val="21"/>
          <w:highlight w:val="none"/>
        </w:rPr>
        <w:t>F</w:t>
      </w:r>
      <w:r>
        <w:rPr>
          <w:b w:val="0"/>
          <w:bCs/>
          <w:color w:val="auto"/>
          <w:szCs w:val="21"/>
          <w:highlight w:val="none"/>
        </w:rPr>
        <w:t xml:space="preserve">ig.5  </w:t>
      </w:r>
      <w:r>
        <w:rPr>
          <w:rFonts w:hint="eastAsia"/>
          <w:b w:val="0"/>
          <w:bCs/>
          <w:color w:val="auto"/>
          <w:szCs w:val="21"/>
          <w:highlight w:val="none"/>
        </w:rPr>
        <w:t>O</w:t>
      </w:r>
      <w:r>
        <w:rPr>
          <w:b w:val="0"/>
          <w:bCs/>
          <w:color w:val="auto"/>
          <w:szCs w:val="21"/>
          <w:highlight w:val="none"/>
        </w:rPr>
        <w:t xml:space="preserve">bserved and simulated monthly runoff </w:t>
      </w:r>
      <w:r>
        <w:rPr>
          <w:rFonts w:hint="eastAsia"/>
          <w:b w:val="0"/>
          <w:bCs/>
          <w:color w:val="auto"/>
          <w:szCs w:val="21"/>
          <w:highlight w:val="none"/>
        </w:rPr>
        <w:t>series</w:t>
      </w:r>
      <w:r>
        <w:rPr>
          <w:b w:val="0"/>
          <w:bCs/>
          <w:color w:val="auto"/>
          <w:szCs w:val="21"/>
          <w:highlight w:val="none"/>
        </w:rPr>
        <w:t xml:space="preserve"> in Laoha River Basin based on SWAT and hybrid models</w:t>
      </w:r>
    </w:p>
    <w:p w14:paraId="55BE6FBF">
      <w:pPr>
        <w:spacing w:after="160" w:line="360" w:lineRule="auto"/>
        <w:jc w:val="center"/>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drawing>
          <wp:inline distT="0" distB="0" distL="0" distR="0">
            <wp:extent cx="4679950" cy="4407535"/>
            <wp:effectExtent l="0" t="0" r="635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5">
                      <a:extLst>
                        <a:ext uri="{28A0092B-C50C-407E-A947-70E740481C1C}">
                          <a14:useLocalDpi xmlns:a14="http://schemas.microsoft.com/office/drawing/2010/main" val="0"/>
                        </a:ext>
                      </a:extLst>
                    </a:blip>
                    <a:srcRect l="3308" t="4768" r="11580" b="2825"/>
                    <a:stretch>
                      <a:fillRect/>
                    </a:stretch>
                  </pic:blipFill>
                  <pic:spPr>
                    <a:xfrm>
                      <a:off x="0" y="0"/>
                      <a:ext cx="4680000" cy="4408044"/>
                    </a:xfrm>
                    <a:prstGeom prst="rect">
                      <a:avLst/>
                    </a:prstGeom>
                    <a:noFill/>
                    <a:ln>
                      <a:noFill/>
                    </a:ln>
                  </pic:spPr>
                </pic:pic>
              </a:graphicData>
            </a:graphic>
          </wp:inline>
        </w:drawing>
      </w:r>
    </w:p>
    <w:p w14:paraId="05D1C3B0">
      <w:pPr>
        <w:pStyle w:val="59"/>
        <w:spacing w:beforeLines="0" w:afterLines="0" w:line="240" w:lineRule="auto"/>
        <w:rPr>
          <w:b w:val="0"/>
          <w:bCs/>
          <w:color w:val="auto"/>
          <w:szCs w:val="21"/>
          <w:highlight w:val="none"/>
        </w:rPr>
      </w:pPr>
      <w:r>
        <w:rPr>
          <w:rFonts w:hint="eastAsia"/>
          <w:b w:val="0"/>
          <w:bCs/>
          <w:color w:val="auto"/>
          <w:szCs w:val="21"/>
          <w:highlight w:val="none"/>
        </w:rPr>
        <w:t>图</w:t>
      </w:r>
      <w:r>
        <w:rPr>
          <w:b w:val="0"/>
          <w:bCs/>
          <w:color w:val="auto"/>
          <w:szCs w:val="21"/>
          <w:highlight w:val="none"/>
        </w:rPr>
        <w:t xml:space="preserve">6 </w:t>
      </w:r>
      <w:bookmarkStart w:id="38" w:name="OLE_LINK6"/>
      <w:r>
        <w:rPr>
          <w:b w:val="0"/>
          <w:bCs/>
          <w:color w:val="auto"/>
          <w:szCs w:val="21"/>
          <w:highlight w:val="none"/>
        </w:rPr>
        <w:t xml:space="preserve"> </w:t>
      </w:r>
      <w:r>
        <w:rPr>
          <w:rFonts w:hint="eastAsia"/>
          <w:b w:val="0"/>
          <w:bCs/>
          <w:color w:val="auto"/>
          <w:szCs w:val="21"/>
          <w:highlight w:val="none"/>
        </w:rPr>
        <w:t>实测与四种模型模拟月径流之间的散点图</w:t>
      </w:r>
      <w:bookmarkEnd w:id="38"/>
    </w:p>
    <w:p w14:paraId="5B4CED7C">
      <w:pPr>
        <w:pStyle w:val="59"/>
        <w:spacing w:beforeLines="0" w:afterLines="0" w:line="240" w:lineRule="auto"/>
        <w:rPr>
          <w:b w:val="0"/>
          <w:bCs/>
          <w:color w:val="auto"/>
          <w:szCs w:val="21"/>
          <w:highlight w:val="none"/>
        </w:rPr>
      </w:pPr>
      <w:r>
        <w:rPr>
          <w:rFonts w:hint="eastAsia"/>
          <w:b w:val="0"/>
          <w:bCs/>
          <w:color w:val="auto"/>
          <w:szCs w:val="21"/>
          <w:highlight w:val="none"/>
        </w:rPr>
        <w:t>F</w:t>
      </w:r>
      <w:r>
        <w:rPr>
          <w:b w:val="0"/>
          <w:bCs/>
          <w:color w:val="auto"/>
          <w:szCs w:val="21"/>
          <w:highlight w:val="none"/>
        </w:rPr>
        <w:t xml:space="preserve">ig.6  Scatter plots of observed </w:t>
      </w:r>
      <w:r>
        <w:rPr>
          <w:rFonts w:hint="eastAsia"/>
          <w:b w:val="0"/>
          <w:bCs/>
          <w:color w:val="auto"/>
          <w:szCs w:val="21"/>
          <w:highlight w:val="none"/>
        </w:rPr>
        <w:t>and</w:t>
      </w:r>
      <w:r>
        <w:rPr>
          <w:b w:val="0"/>
          <w:bCs/>
          <w:color w:val="auto"/>
          <w:szCs w:val="21"/>
          <w:highlight w:val="none"/>
        </w:rPr>
        <w:t xml:space="preserve"> simulated monthly runoff from four models</w:t>
      </w:r>
    </w:p>
    <w:p w14:paraId="313F90E1">
      <w:pPr>
        <w:pStyle w:val="3"/>
        <w:numPr>
          <w:ilvl w:val="0"/>
          <w:numId w:val="0"/>
        </w:numPr>
        <w:spacing w:before="0" w:after="0" w:line="240" w:lineRule="auto"/>
        <w:rPr>
          <w:rFonts w:eastAsia="黑体" w:cs="Times New Roman"/>
          <w:b w:val="0"/>
          <w:color w:val="auto"/>
          <w:sz w:val="21"/>
          <w:szCs w:val="22"/>
          <w:highlight w:val="none"/>
          <w14:ligatures w14:val="none"/>
        </w:rPr>
      </w:pPr>
      <w:r>
        <w:rPr>
          <w:rFonts w:hint="eastAsia" w:eastAsia="黑体" w:cs="Times New Roman"/>
          <w:b w:val="0"/>
          <w:color w:val="auto"/>
          <w:sz w:val="21"/>
          <w:szCs w:val="22"/>
          <w:highlight w:val="none"/>
          <w14:ligatures w14:val="none"/>
        </w:rPr>
        <w:t>3</w:t>
      </w:r>
      <w:r>
        <w:rPr>
          <w:rFonts w:eastAsia="黑体" w:cs="Times New Roman"/>
          <w:b w:val="0"/>
          <w:color w:val="auto"/>
          <w:sz w:val="21"/>
          <w:szCs w:val="22"/>
          <w:highlight w:val="none"/>
          <w14:ligatures w14:val="none"/>
        </w:rPr>
        <w:t>.3 基于SWAT-Informer</w:t>
      </w:r>
      <w:r>
        <w:rPr>
          <w:rFonts w:hint="eastAsia" w:eastAsia="黑体" w:cs="Times New Roman"/>
          <w:b w:val="0"/>
          <w:color w:val="auto"/>
          <w:sz w:val="21"/>
          <w:szCs w:val="22"/>
          <w:highlight w:val="none"/>
          <w14:ligatures w14:val="none"/>
        </w:rPr>
        <w:t>混合模型</w:t>
      </w:r>
      <w:r>
        <w:rPr>
          <w:rFonts w:eastAsia="黑体" w:cs="Times New Roman"/>
          <w:b w:val="0"/>
          <w:color w:val="auto"/>
          <w:sz w:val="21"/>
          <w:szCs w:val="22"/>
          <w:highlight w:val="none"/>
          <w14:ligatures w14:val="none"/>
        </w:rPr>
        <w:t>的径流归因及验证</w:t>
      </w:r>
    </w:p>
    <w:p w14:paraId="6EA5D19D">
      <w:pPr>
        <w:ind w:firstLine="420" w:firstLineChars="200"/>
        <w:rPr>
          <w:rFonts w:ascii="Times New Roman" w:hAnsi="Times New Roman" w:eastAsia="宋体"/>
          <w:color w:val="auto"/>
          <w:highlight w:val="none"/>
          <w14:ligatures w14:val="standardContextual"/>
        </w:rPr>
      </w:pPr>
      <w:bookmarkStart w:id="39" w:name="OLE_LINK36"/>
      <w:r>
        <w:rPr>
          <w:rFonts w:hint="eastAsia" w:ascii="Times New Roman" w:hAnsi="Times New Roman" w:eastAsia="宋体"/>
          <w:color w:val="auto"/>
          <w:highlight w:val="none"/>
          <w14:ligatures w14:val="standardContextual"/>
        </w:rPr>
        <w:t>由</w:t>
      </w:r>
      <w:r>
        <w:rPr>
          <w:rFonts w:ascii="Times New Roman" w:hAnsi="Times New Roman" w:eastAsia="宋体"/>
          <w:color w:val="auto"/>
          <w:highlight w:val="none"/>
          <w14:ligatures w14:val="standardContextual"/>
        </w:rPr>
        <w:t>3.2节</w:t>
      </w:r>
      <w:r>
        <w:rPr>
          <w:rFonts w:hint="eastAsia" w:ascii="Times New Roman" w:hAnsi="Times New Roman" w:eastAsia="宋体"/>
          <w:color w:val="auto"/>
          <w:highlight w:val="none"/>
          <w14:ligatures w14:val="standardContextual"/>
        </w:rPr>
        <w:t>已知</w:t>
      </w:r>
      <w:r>
        <w:rPr>
          <w:rFonts w:ascii="Times New Roman" w:hAnsi="Times New Roman" w:eastAsia="宋体"/>
          <w:color w:val="auto"/>
          <w:highlight w:val="none"/>
          <w14:ligatures w14:val="standardContextual"/>
        </w:rPr>
        <w:t>SWAT-Informer模型</w:t>
      </w:r>
      <w:r>
        <w:rPr>
          <w:rFonts w:hint="eastAsia" w:ascii="Times New Roman" w:hAnsi="Times New Roman" w:eastAsia="宋体"/>
          <w:color w:val="auto"/>
          <w:highlight w:val="none"/>
          <w14:ligatures w14:val="standardContextual"/>
        </w:rPr>
        <w:t>为最优混合模型，故变化期天然情景重建采用训练期优选得到的</w:t>
      </w:r>
      <w:r>
        <w:rPr>
          <w:rFonts w:ascii="Times New Roman" w:hAnsi="Times New Roman" w:eastAsia="宋体"/>
          <w:color w:val="auto"/>
          <w:highlight w:val="none"/>
          <w14:ligatures w14:val="standardContextual"/>
        </w:rPr>
        <w:t>Informer模型结构、超参数组合、特征处理方式和模型权重</w:t>
      </w:r>
      <w:r>
        <w:rPr>
          <w:rFonts w:hint="eastAsia" w:ascii="Times New Roman" w:hAnsi="Times New Roman" w:eastAsia="宋体"/>
          <w:color w:val="auto"/>
          <w:highlight w:val="none"/>
          <w14:ligatures w14:val="standardContextual"/>
        </w:rPr>
        <w:t>，即</w:t>
      </w:r>
      <w:r>
        <w:rPr>
          <w:rFonts w:ascii="Times New Roman" w:hAnsi="Times New Roman" w:eastAsia="宋体"/>
          <w:color w:val="auto"/>
          <w:highlight w:val="none"/>
          <w14:ligatures w14:val="standardContextual"/>
        </w:rPr>
        <w:t>以17个气象、水文及时间序列特征为输入，最优模型的输入序列长度为12个月、预测步长为1个月，模型维度为32、注意力头数为4，编码器和解码器均设置为2层，Dropout率为0.25</w:t>
      </w:r>
      <w:r>
        <w:rPr>
          <w:rFonts w:hint="eastAsia" w:ascii="Times New Roman" w:hAnsi="Times New Roman" w:eastAsia="宋体"/>
          <w:color w:val="auto"/>
          <w:highlight w:val="none"/>
          <w14:ligatures w14:val="standardContextual"/>
        </w:rPr>
        <w:t>。基于</w:t>
      </w:r>
      <w:r>
        <w:rPr>
          <w:rFonts w:ascii="Times New Roman" w:hAnsi="Times New Roman" w:eastAsia="宋体"/>
          <w:color w:val="auto"/>
          <w:highlight w:val="none"/>
          <w14:ligatures w14:val="standardContextual"/>
        </w:rPr>
        <w:t>SWAT-Informer混合模型得到的径流归因结果</w:t>
      </w:r>
      <w:r>
        <w:rPr>
          <w:rFonts w:hint="eastAsia" w:ascii="Times New Roman" w:hAnsi="Times New Roman" w:eastAsia="宋体"/>
          <w:color w:val="auto"/>
          <w:highlight w:val="none"/>
          <w:lang w:val="en-US" w:eastAsia="zh-CN"/>
          <w14:ligatures w14:val="standardContextual"/>
        </w:rPr>
        <w:t>如</w:t>
      </w:r>
      <w:r>
        <w:rPr>
          <w:rFonts w:ascii="Times New Roman" w:hAnsi="Times New Roman" w:eastAsia="宋体"/>
          <w:color w:val="auto"/>
          <w:highlight w:val="none"/>
          <w14:ligatures w14:val="standardContextual"/>
        </w:rPr>
        <w:t>表3</w:t>
      </w:r>
      <w:r>
        <w:rPr>
          <w:rFonts w:hint="eastAsia" w:ascii="Times New Roman" w:hAnsi="Times New Roman" w:eastAsia="宋体"/>
          <w:color w:val="auto"/>
          <w:highlight w:val="none"/>
          <w:lang w:val="en-US" w:eastAsia="zh-CN"/>
          <w14:ligatures w14:val="standardContextual"/>
        </w:rPr>
        <w:t>所列</w:t>
      </w:r>
      <w:r>
        <w:rPr>
          <w:rFonts w:ascii="Times New Roman" w:hAnsi="Times New Roman" w:eastAsia="宋体"/>
          <w:color w:val="auto"/>
          <w:highlight w:val="none"/>
          <w14:ligatures w14:val="standardContextual"/>
        </w:rPr>
        <w:t>。</w:t>
      </w:r>
      <w:r>
        <w:rPr>
          <w:rFonts w:hint="eastAsia" w:ascii="Times New Roman" w:hAnsi="Times New Roman" w:eastAsia="宋体"/>
          <w:color w:val="auto"/>
          <w:highlight w:val="none"/>
          <w14:ligatures w14:val="standardContextual"/>
        </w:rPr>
        <w:t>兴隆坡站基准期实测多年平均径流为</w:t>
      </w:r>
      <w:r>
        <w:rPr>
          <w:rFonts w:ascii="Times New Roman" w:hAnsi="Times New Roman" w:eastAsia="宋体"/>
          <w:color w:val="auto"/>
          <w:highlight w:val="none"/>
          <w14:ligatures w14:val="standardContextual"/>
        </w:rPr>
        <w:t>20.91 m³/s</w:t>
      </w:r>
      <w:r>
        <w:rPr>
          <w:rFonts w:hint="eastAsia" w:ascii="Times New Roman" w:hAnsi="Times New Roman" w:eastAsia="宋体"/>
          <w:color w:val="auto"/>
          <w:highlight w:val="none"/>
          <w14:ligatures w14:val="standardContextual"/>
        </w:rPr>
        <w:t>；变化期实测多年平均径流为</w:t>
      </w:r>
      <w:r>
        <w:rPr>
          <w:rFonts w:ascii="Times New Roman" w:hAnsi="Times New Roman" w:eastAsia="宋体"/>
          <w:color w:val="auto"/>
          <w:highlight w:val="none"/>
          <w14:ligatures w14:val="standardContextual"/>
        </w:rPr>
        <w:t>9.62 m³/s，</w:t>
      </w:r>
      <w:r>
        <w:rPr>
          <w:rFonts w:hint="eastAsia" w:ascii="Times New Roman" w:hAnsi="Times New Roman" w:eastAsia="宋体"/>
          <w:color w:val="auto"/>
          <w:highlight w:val="none"/>
          <w14:ligatures w14:val="standardContextual"/>
        </w:rPr>
        <w:t>较基准期减少了1</w:t>
      </w:r>
      <w:r>
        <w:rPr>
          <w:rFonts w:ascii="Times New Roman" w:hAnsi="Times New Roman" w:eastAsia="宋体"/>
          <w:color w:val="auto"/>
          <w:highlight w:val="none"/>
          <w14:ligatures w14:val="standardContextual"/>
        </w:rPr>
        <w:t>1.29 m³/s</w:t>
      </w:r>
      <w:r>
        <w:rPr>
          <w:rFonts w:hint="eastAsia" w:ascii="Times New Roman" w:hAnsi="Times New Roman" w:eastAsia="宋体"/>
          <w:color w:val="auto"/>
          <w:highlight w:val="none"/>
          <w14:ligatures w14:val="standardContextual"/>
        </w:rPr>
        <w:t>，表明研究期内流域径流发生显著衰减。变化期天然情景下，经</w:t>
      </w:r>
      <w:r>
        <w:rPr>
          <w:rFonts w:ascii="Times New Roman" w:hAnsi="Times New Roman" w:eastAsia="宋体"/>
          <w:color w:val="auto"/>
          <w:highlight w:val="none"/>
          <w14:ligatures w14:val="standardContextual"/>
        </w:rPr>
        <w:t>Informer残差订正后的多年平均天然径流为18.87 m³/s，较基准期参照径流仅减少2.04 m³/s，说明在维持基准期下垫面和人类活动水平的条件下，变化期气候变化对径流下降的影响相对有限。</w:t>
      </w:r>
      <w:r>
        <w:rPr>
          <w:rFonts w:hint="eastAsia" w:ascii="Times New Roman" w:hAnsi="Times New Roman" w:eastAsia="宋体"/>
          <w:color w:val="auto"/>
          <w:highlight w:val="none"/>
          <w14:ligatures w14:val="standardContextual"/>
        </w:rPr>
        <w:t>变化期实际径流与天然径流之间的差值为</w:t>
      </w:r>
      <w:r>
        <w:rPr>
          <w:rFonts w:ascii="Times New Roman" w:hAnsi="Times New Roman" w:eastAsia="宋体"/>
          <w:color w:val="auto"/>
          <w:highlight w:val="none"/>
          <w14:ligatures w14:val="standardContextual"/>
        </w:rPr>
        <w:t>-9.25 m³/s，表明人类活动导致的径流减少量明显大于气候变化造成的径流减少量。气候变化和人类活动对径流衰减的贡献率分别为18.07%和81.93%。因此，1980年以来老哈河流域径流显著下降主要由人类活动驱动，灌溉取水、地下水开采、水利工程拦蓄以及土地利用变化等导致的下垫面和水资源开发利用方式改变，是造成实际径流明显低于天然径流的重要原因。</w:t>
      </w:r>
    </w:p>
    <w:p w14:paraId="6A6777FB">
      <w:pPr>
        <w:jc w:val="center"/>
        <w:rPr>
          <w:rFonts w:ascii="Times New Roman" w:hAnsi="Times New Roman" w:eastAsia="黑体" w:cs="Times New Roman"/>
          <w:color w:val="auto"/>
          <w:sz w:val="18"/>
          <w:szCs w:val="18"/>
          <w:highlight w:val="none"/>
        </w:rPr>
      </w:pPr>
      <w:r>
        <w:rPr>
          <w:rFonts w:hint="eastAsia" w:ascii="Times New Roman" w:hAnsi="Times New Roman" w:eastAsia="黑体" w:cs="Times New Roman"/>
          <w:color w:val="auto"/>
          <w:sz w:val="18"/>
          <w:szCs w:val="18"/>
          <w:highlight w:val="none"/>
        </w:rPr>
        <w:t>表</w:t>
      </w:r>
      <w:r>
        <w:rPr>
          <w:rFonts w:ascii="Times New Roman" w:hAnsi="Times New Roman" w:eastAsia="黑体" w:cs="Times New Roman"/>
          <w:color w:val="auto"/>
          <w:sz w:val="18"/>
          <w:szCs w:val="18"/>
          <w:highlight w:val="none"/>
        </w:rPr>
        <w:t xml:space="preserve">3 </w:t>
      </w:r>
      <w:bookmarkStart w:id="40" w:name="OLE_LINK7"/>
      <w:r>
        <w:rPr>
          <w:rFonts w:ascii="Times New Roman" w:hAnsi="Times New Roman" w:eastAsia="黑体" w:cs="Times New Roman"/>
          <w:color w:val="auto"/>
          <w:sz w:val="18"/>
          <w:szCs w:val="18"/>
          <w:highlight w:val="none"/>
        </w:rPr>
        <w:t xml:space="preserve"> 基于SWAT-Informer混合模型的</w:t>
      </w:r>
      <w:r>
        <w:rPr>
          <w:rFonts w:hint="eastAsia" w:ascii="Times New Roman" w:hAnsi="Times New Roman" w:eastAsia="黑体" w:cs="Times New Roman"/>
          <w:color w:val="auto"/>
          <w:sz w:val="18"/>
          <w:szCs w:val="18"/>
          <w:highlight w:val="none"/>
        </w:rPr>
        <w:t>径流演变归因结果</w:t>
      </w:r>
      <w:bookmarkEnd w:id="40"/>
    </w:p>
    <w:p w14:paraId="1E72D371">
      <w:pPr>
        <w:jc w:val="center"/>
        <w:rPr>
          <w:rFonts w:ascii="Times New Roman" w:hAnsi="Times New Roman" w:eastAsia="黑体" w:cs="Times New Roman"/>
          <w:color w:val="auto"/>
          <w:sz w:val="18"/>
          <w:szCs w:val="18"/>
          <w:highlight w:val="none"/>
        </w:rPr>
      </w:pPr>
      <w:r>
        <w:rPr>
          <w:rFonts w:ascii="Times New Roman" w:hAnsi="Times New Roman" w:eastAsia="黑体" w:cs="Times New Roman"/>
          <w:color w:val="auto"/>
          <w:sz w:val="18"/>
          <w:szCs w:val="18"/>
          <w:highlight w:val="none"/>
        </w:rPr>
        <w:t>Table</w:t>
      </w:r>
      <w:r>
        <w:rPr>
          <w:rFonts w:hint="eastAsia" w:ascii="Times New Roman" w:hAnsi="Times New Roman" w:eastAsia="黑体" w:cs="Times New Roman"/>
          <w:color w:val="auto"/>
          <w:sz w:val="18"/>
          <w:szCs w:val="18"/>
          <w:highlight w:val="none"/>
        </w:rPr>
        <w:t xml:space="preserve"> </w:t>
      </w:r>
      <w:r>
        <w:rPr>
          <w:rFonts w:ascii="Times New Roman" w:hAnsi="Times New Roman" w:eastAsia="黑体" w:cs="Times New Roman"/>
          <w:color w:val="auto"/>
          <w:sz w:val="18"/>
          <w:szCs w:val="18"/>
          <w:highlight w:val="none"/>
        </w:rPr>
        <w:t>3</w:t>
      </w:r>
      <w:r>
        <w:rPr>
          <w:rFonts w:hint="eastAsia" w:ascii="Times New Roman" w:hAnsi="Times New Roman" w:eastAsia="黑体" w:cs="Times New Roman"/>
          <w:color w:val="auto"/>
          <w:sz w:val="18"/>
          <w:szCs w:val="18"/>
          <w:highlight w:val="none"/>
        </w:rPr>
        <w:t xml:space="preserve"> </w:t>
      </w:r>
      <w:r>
        <w:rPr>
          <w:rFonts w:ascii="Times New Roman" w:hAnsi="Times New Roman" w:eastAsia="黑体" w:cs="Times New Roman"/>
          <w:color w:val="auto"/>
          <w:sz w:val="18"/>
          <w:szCs w:val="18"/>
          <w:highlight w:val="none"/>
        </w:rPr>
        <w:t xml:space="preserve"> Attribution results of runoff evolution</w:t>
      </w:r>
      <w:r>
        <w:rPr>
          <w:rFonts w:hint="eastAsia" w:ascii="Times New Roman" w:hAnsi="Times New Roman" w:eastAsia="黑体" w:cs="Times New Roman"/>
          <w:color w:val="auto"/>
          <w:sz w:val="18"/>
          <w:szCs w:val="18"/>
          <w:highlight w:val="none"/>
        </w:rPr>
        <w:t xml:space="preserve"> </w:t>
      </w:r>
      <w:r>
        <w:rPr>
          <w:rFonts w:ascii="Times New Roman" w:hAnsi="Times New Roman" w:eastAsia="黑体" w:cs="Times New Roman"/>
          <w:color w:val="auto"/>
          <w:sz w:val="18"/>
          <w:szCs w:val="18"/>
          <w:highlight w:val="none"/>
        </w:rPr>
        <w:t>based on SWAT-Informer hybrid model</w:t>
      </w:r>
    </w:p>
    <w:tbl>
      <w:tblPr>
        <w:tblStyle w:val="17"/>
        <w:tblW w:w="81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56"/>
        <w:gridCol w:w="824"/>
        <w:gridCol w:w="967"/>
        <w:gridCol w:w="753"/>
        <w:gridCol w:w="725"/>
        <w:gridCol w:w="690"/>
        <w:gridCol w:w="806"/>
        <w:gridCol w:w="1110"/>
      </w:tblGrid>
      <w:tr w14:paraId="70897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6" w:type="dxa"/>
            <w:vMerge w:val="restart"/>
            <w:tcBorders>
              <w:top w:val="single" w:color="auto" w:sz="12" w:space="0"/>
            </w:tcBorders>
            <w:noWrap/>
            <w:vAlign w:val="center"/>
          </w:tcPr>
          <w:p w14:paraId="3626682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时期</w:t>
            </w:r>
          </w:p>
        </w:tc>
        <w:tc>
          <w:tcPr>
            <w:tcW w:w="1791" w:type="dxa"/>
            <w:gridSpan w:val="2"/>
            <w:tcBorders>
              <w:top w:val="single" w:color="auto" w:sz="12" w:space="0"/>
              <w:bottom w:val="single" w:color="auto" w:sz="4" w:space="0"/>
            </w:tcBorders>
            <w:noWrap/>
            <w:vAlign w:val="center"/>
          </w:tcPr>
          <w:p w14:paraId="7A773CD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多年平均径流/</w:t>
            </w:r>
            <w:bookmarkStart w:id="41" w:name="OLE_LINK11"/>
            <w:r>
              <w:rPr>
                <w:rFonts w:hint="eastAsia" w:ascii="Times New Roman" w:hAnsi="Times New Roman" w:eastAsia="宋体"/>
                <w:color w:val="auto"/>
                <w:sz w:val="15"/>
                <w:szCs w:val="18"/>
                <w:highlight w:val="none"/>
                <w14:ligatures w14:val="standardContextual"/>
              </w:rPr>
              <w:t>m³·s</w:t>
            </w:r>
            <w:bookmarkEnd w:id="41"/>
            <w:r>
              <w:rPr>
                <w:rFonts w:ascii="Times New Roman" w:hAnsi="Times New Roman" w:eastAsia="宋体"/>
                <w:color w:val="auto"/>
                <w:sz w:val="15"/>
                <w:szCs w:val="18"/>
                <w:highlight w:val="none"/>
                <w:vertAlign w:val="superscript"/>
                <w14:ligatures w14:val="standardContextual"/>
              </w:rPr>
              <w:t>-1</w:t>
            </w:r>
          </w:p>
        </w:tc>
        <w:tc>
          <w:tcPr>
            <w:tcW w:w="2168" w:type="dxa"/>
            <w:gridSpan w:val="3"/>
            <w:tcBorders>
              <w:top w:val="single" w:color="auto" w:sz="12" w:space="0"/>
              <w:bottom w:val="single" w:color="auto" w:sz="4" w:space="0"/>
            </w:tcBorders>
            <w:noWrap/>
            <w:vAlign w:val="center"/>
          </w:tcPr>
          <w:p w14:paraId="4B65202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多年平均流量变化/m³·s</w:t>
            </w:r>
            <w:r>
              <w:rPr>
                <w:rFonts w:ascii="Times New Roman" w:hAnsi="Times New Roman" w:eastAsia="宋体"/>
                <w:color w:val="auto"/>
                <w:sz w:val="15"/>
                <w:szCs w:val="18"/>
                <w:highlight w:val="none"/>
                <w:vertAlign w:val="superscript"/>
                <w14:ligatures w14:val="standardContextual"/>
              </w:rPr>
              <w:t>-1</w:t>
            </w:r>
          </w:p>
        </w:tc>
        <w:tc>
          <w:tcPr>
            <w:tcW w:w="1916" w:type="dxa"/>
            <w:gridSpan w:val="2"/>
            <w:tcBorders>
              <w:top w:val="single" w:color="auto" w:sz="12" w:space="0"/>
              <w:bottom w:val="single" w:color="auto" w:sz="4" w:space="0"/>
            </w:tcBorders>
            <w:noWrap/>
            <w:vAlign w:val="center"/>
          </w:tcPr>
          <w:p w14:paraId="018F4653">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贡献率/%</w:t>
            </w:r>
          </w:p>
        </w:tc>
      </w:tr>
      <w:tr w14:paraId="1E1C4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6" w:type="dxa"/>
            <w:vMerge w:val="continue"/>
            <w:tcBorders>
              <w:bottom w:val="single" w:color="auto" w:sz="6" w:space="0"/>
            </w:tcBorders>
            <w:vAlign w:val="center"/>
          </w:tcPr>
          <w:p w14:paraId="657CE380">
            <w:pPr>
              <w:jc w:val="center"/>
              <w:rPr>
                <w:rFonts w:ascii="Times New Roman" w:hAnsi="Times New Roman" w:eastAsia="宋体"/>
                <w:color w:val="auto"/>
                <w:sz w:val="15"/>
                <w:szCs w:val="18"/>
                <w:highlight w:val="none"/>
                <w14:ligatures w14:val="standardContextual"/>
              </w:rPr>
            </w:pPr>
          </w:p>
        </w:tc>
        <w:tc>
          <w:tcPr>
            <w:tcW w:w="824" w:type="dxa"/>
            <w:tcBorders>
              <w:top w:val="single" w:color="auto" w:sz="4" w:space="0"/>
              <w:bottom w:val="single" w:color="auto" w:sz="4" w:space="0"/>
            </w:tcBorders>
            <w:noWrap/>
            <w:vAlign w:val="center"/>
          </w:tcPr>
          <w:p w14:paraId="033091A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实测值</w:t>
            </w:r>
          </w:p>
        </w:tc>
        <w:tc>
          <w:tcPr>
            <w:tcW w:w="967" w:type="dxa"/>
            <w:tcBorders>
              <w:top w:val="single" w:color="auto" w:sz="4" w:space="0"/>
              <w:bottom w:val="single" w:color="auto" w:sz="4" w:space="0"/>
            </w:tcBorders>
            <w:noWrap/>
            <w:vAlign w:val="center"/>
          </w:tcPr>
          <w:p w14:paraId="794F5EB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模拟值</w:t>
            </w:r>
          </w:p>
        </w:tc>
        <w:tc>
          <w:tcPr>
            <w:tcW w:w="753" w:type="dxa"/>
            <w:tcBorders>
              <w:top w:val="single" w:color="auto" w:sz="4" w:space="0"/>
              <w:bottom w:val="single" w:color="auto" w:sz="4" w:space="0"/>
            </w:tcBorders>
            <w:noWrap/>
            <w:vAlign w:val="center"/>
          </w:tcPr>
          <w:p w14:paraId="74F1B081">
            <w:pPr>
              <w:rPr>
                <w:rFonts w:ascii="Times New Roman" w:hAnsi="Times New Roman" w:eastAsia="宋体"/>
                <w:color w:val="auto"/>
                <w:sz w:val="15"/>
                <w:szCs w:val="18"/>
                <w:highlight w:val="none"/>
                <w14:ligatures w14:val="standardContextual"/>
              </w:rPr>
            </w:pPr>
            <m:oMathPara>
              <m:oMath>
                <m:r>
                  <m:rPr/>
                  <w:rPr>
                    <w:rFonts w:ascii="Cambria Math" w:hAnsi="Cambria Math" w:eastAsia="宋体"/>
                    <w:color w:val="auto"/>
                    <w:sz w:val="15"/>
                    <w:szCs w:val="18"/>
                    <w:highlight w:val="none"/>
                    <w14:ligatures w14:val="standardContextual"/>
                  </w:rPr>
                  <m:t>∆R</m:t>
                </m:r>
              </m:oMath>
            </m:oMathPara>
          </w:p>
        </w:tc>
        <w:tc>
          <w:tcPr>
            <w:tcW w:w="725" w:type="dxa"/>
            <w:tcBorders>
              <w:top w:val="single" w:color="auto" w:sz="4" w:space="0"/>
              <w:bottom w:val="single" w:color="auto" w:sz="4" w:space="0"/>
            </w:tcBorders>
            <w:noWrap/>
            <w:vAlign w:val="center"/>
          </w:tcPr>
          <w:p w14:paraId="770D38C6">
            <w:pPr>
              <w:jc w:val="center"/>
              <w:rPr>
                <w:rFonts w:ascii="Times New Roman" w:hAnsi="Times New Roman" w:eastAsia="宋体"/>
                <w:color w:val="auto"/>
                <w:sz w:val="15"/>
                <w:szCs w:val="18"/>
                <w:highlight w:val="none"/>
                <w14:ligatures w14:val="standardContextual"/>
              </w:rPr>
            </w:pPr>
            <m:oMathPara>
              <m:oMath>
                <m:r>
                  <m:rPr/>
                  <w:rPr>
                    <w:rFonts w:ascii="Cambria Math" w:hAnsi="Cambria Math" w:eastAsia="宋体"/>
                    <w:color w:val="auto"/>
                    <w:sz w:val="15"/>
                    <w:szCs w:val="18"/>
                    <w:highlight w:val="none"/>
                    <w14:ligatures w14:val="standardContextual"/>
                  </w:rPr>
                  <m:t>∆</m:t>
                </m:r>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R</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CC</m:t>
                    </m:r>
                    <m:ctrlPr>
                      <w:rPr>
                        <w:rFonts w:ascii="Cambria Math" w:hAnsi="Cambria Math" w:eastAsia="宋体"/>
                        <w:i/>
                        <w:color w:val="auto"/>
                        <w:sz w:val="15"/>
                        <w:szCs w:val="18"/>
                        <w:highlight w:val="none"/>
                        <w14:ligatures w14:val="standardContextual"/>
                      </w:rPr>
                    </m:ctrlPr>
                  </m:sub>
                </m:sSub>
              </m:oMath>
            </m:oMathPara>
          </w:p>
        </w:tc>
        <w:tc>
          <w:tcPr>
            <w:tcW w:w="690" w:type="dxa"/>
            <w:tcBorders>
              <w:top w:val="single" w:color="auto" w:sz="4" w:space="0"/>
              <w:bottom w:val="single" w:color="auto" w:sz="4" w:space="0"/>
            </w:tcBorders>
            <w:noWrap/>
            <w:vAlign w:val="center"/>
          </w:tcPr>
          <w:p w14:paraId="51480422">
            <w:pPr>
              <w:jc w:val="center"/>
              <w:rPr>
                <w:rFonts w:ascii="Times New Roman" w:hAnsi="Times New Roman" w:eastAsia="宋体"/>
                <w:color w:val="auto"/>
                <w:sz w:val="15"/>
                <w:szCs w:val="18"/>
                <w:highlight w:val="none"/>
                <w14:ligatures w14:val="standardContextual"/>
              </w:rPr>
            </w:pPr>
            <m:oMathPara>
              <m:oMath>
                <m:r>
                  <m:rPr/>
                  <w:rPr>
                    <w:rFonts w:ascii="Cambria Math" w:hAnsi="Cambria Math" w:eastAsia="宋体"/>
                    <w:color w:val="auto"/>
                    <w:sz w:val="15"/>
                    <w:szCs w:val="18"/>
                    <w:highlight w:val="none"/>
                    <w14:ligatures w14:val="standardContextual"/>
                  </w:rPr>
                  <m:t>∆</m:t>
                </m:r>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R</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USC</m:t>
                    </m:r>
                    <m:ctrlPr>
                      <w:rPr>
                        <w:rFonts w:ascii="Cambria Math" w:hAnsi="Cambria Math" w:eastAsia="宋体"/>
                        <w:i/>
                        <w:color w:val="auto"/>
                        <w:sz w:val="15"/>
                        <w:szCs w:val="18"/>
                        <w:highlight w:val="none"/>
                        <w14:ligatures w14:val="standardContextual"/>
                      </w:rPr>
                    </m:ctrlPr>
                  </m:sub>
                </m:sSub>
              </m:oMath>
            </m:oMathPara>
          </w:p>
        </w:tc>
        <w:tc>
          <w:tcPr>
            <w:tcW w:w="806" w:type="dxa"/>
            <w:tcBorders>
              <w:top w:val="single" w:color="auto" w:sz="4" w:space="0"/>
              <w:bottom w:val="single" w:color="auto" w:sz="4" w:space="0"/>
            </w:tcBorders>
            <w:noWrap/>
            <w:vAlign w:val="center"/>
          </w:tcPr>
          <w:p w14:paraId="52D35E19">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C</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CC</m:t>
                    </m:r>
                    <m:ctrlPr>
                      <w:rPr>
                        <w:rFonts w:ascii="Cambria Math" w:hAnsi="Cambria Math" w:eastAsia="宋体"/>
                        <w:i/>
                        <w:color w:val="auto"/>
                        <w:sz w:val="15"/>
                        <w:szCs w:val="18"/>
                        <w:highlight w:val="none"/>
                        <w14:ligatures w14:val="standardContextual"/>
                      </w:rPr>
                    </m:ctrlPr>
                  </m:sub>
                </m:sSub>
              </m:oMath>
            </m:oMathPara>
          </w:p>
        </w:tc>
        <w:tc>
          <w:tcPr>
            <w:tcW w:w="1110" w:type="dxa"/>
            <w:tcBorders>
              <w:top w:val="single" w:color="auto" w:sz="4" w:space="0"/>
              <w:bottom w:val="single" w:color="auto" w:sz="4" w:space="0"/>
            </w:tcBorders>
            <w:noWrap/>
            <w:vAlign w:val="center"/>
          </w:tcPr>
          <w:p w14:paraId="11CDC571">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C</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USC</m:t>
                    </m:r>
                    <m:ctrlPr>
                      <w:rPr>
                        <w:rFonts w:ascii="Cambria Math" w:hAnsi="Cambria Math" w:eastAsia="宋体"/>
                        <w:i/>
                        <w:color w:val="auto"/>
                        <w:sz w:val="15"/>
                        <w:szCs w:val="18"/>
                        <w:highlight w:val="none"/>
                        <w14:ligatures w14:val="standardContextual"/>
                      </w:rPr>
                    </m:ctrlPr>
                  </m:sub>
                </m:sSub>
              </m:oMath>
            </m:oMathPara>
          </w:p>
        </w:tc>
      </w:tr>
      <w:tr w14:paraId="69A06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6" w:type="dxa"/>
            <w:tcBorders>
              <w:top w:val="single" w:color="auto" w:sz="6" w:space="0"/>
            </w:tcBorders>
            <w:noWrap/>
            <w:vAlign w:val="center"/>
          </w:tcPr>
          <w:p w14:paraId="3E55ACA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基准期（1964</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1979年）</w:t>
            </w:r>
          </w:p>
        </w:tc>
        <w:tc>
          <w:tcPr>
            <w:tcW w:w="824" w:type="dxa"/>
            <w:tcBorders>
              <w:top w:val="single" w:color="auto" w:sz="4" w:space="0"/>
            </w:tcBorders>
            <w:noWrap/>
            <w:vAlign w:val="center"/>
          </w:tcPr>
          <w:p w14:paraId="77CD97D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20.91</w:t>
            </w:r>
          </w:p>
        </w:tc>
        <w:tc>
          <w:tcPr>
            <w:tcW w:w="967" w:type="dxa"/>
            <w:tcBorders>
              <w:top w:val="single" w:color="auto" w:sz="4" w:space="0"/>
            </w:tcBorders>
            <w:noWrap/>
            <w:vAlign w:val="center"/>
          </w:tcPr>
          <w:p w14:paraId="2547527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20.05</w:t>
            </w:r>
          </w:p>
        </w:tc>
        <w:tc>
          <w:tcPr>
            <w:tcW w:w="753" w:type="dxa"/>
            <w:tcBorders>
              <w:top w:val="single" w:color="auto" w:sz="4" w:space="0"/>
            </w:tcBorders>
            <w:noWrap/>
            <w:vAlign w:val="center"/>
          </w:tcPr>
          <w:p w14:paraId="3C33C280">
            <w:pPr>
              <w:jc w:val="center"/>
              <w:rPr>
                <w:rFonts w:ascii="Times New Roman" w:hAnsi="Times New Roman" w:eastAsia="宋体"/>
                <w:color w:val="auto"/>
                <w:sz w:val="15"/>
                <w:szCs w:val="18"/>
                <w:highlight w:val="none"/>
                <w14:ligatures w14:val="standardContextual"/>
              </w:rPr>
            </w:pPr>
            <w:r>
              <w:rPr>
                <w:rFonts w:hint="eastAsia" w:ascii="Times New Roman" w:hAnsi="Times New Roman" w:cs="Times New Roman"/>
                <w:color w:val="auto"/>
                <w:sz w:val="15"/>
                <w:szCs w:val="21"/>
                <w:highlight w:val="none"/>
              </w:rPr>
              <w:t>—</w:t>
            </w:r>
          </w:p>
        </w:tc>
        <w:tc>
          <w:tcPr>
            <w:tcW w:w="725" w:type="dxa"/>
            <w:tcBorders>
              <w:top w:val="single" w:color="auto" w:sz="4" w:space="0"/>
            </w:tcBorders>
            <w:noWrap/>
            <w:vAlign w:val="center"/>
          </w:tcPr>
          <w:p w14:paraId="28B97A79">
            <w:pPr>
              <w:jc w:val="center"/>
              <w:rPr>
                <w:rFonts w:ascii="Times New Roman" w:hAnsi="Times New Roman" w:eastAsia="宋体"/>
                <w:color w:val="auto"/>
                <w:sz w:val="15"/>
                <w:szCs w:val="18"/>
                <w:highlight w:val="none"/>
                <w14:ligatures w14:val="standardContextual"/>
              </w:rPr>
            </w:pPr>
            <w:r>
              <w:rPr>
                <w:rFonts w:hint="eastAsia" w:ascii="Times New Roman" w:hAnsi="Times New Roman" w:cs="Times New Roman"/>
                <w:color w:val="auto"/>
                <w:sz w:val="15"/>
                <w:szCs w:val="21"/>
                <w:highlight w:val="none"/>
              </w:rPr>
              <w:t>—</w:t>
            </w:r>
          </w:p>
        </w:tc>
        <w:tc>
          <w:tcPr>
            <w:tcW w:w="690" w:type="dxa"/>
            <w:tcBorders>
              <w:top w:val="single" w:color="auto" w:sz="4" w:space="0"/>
            </w:tcBorders>
            <w:noWrap/>
            <w:vAlign w:val="center"/>
          </w:tcPr>
          <w:p w14:paraId="6E9C42DB">
            <w:pPr>
              <w:jc w:val="center"/>
              <w:rPr>
                <w:rFonts w:ascii="Times New Roman" w:hAnsi="Times New Roman" w:eastAsia="宋体"/>
                <w:color w:val="auto"/>
                <w:sz w:val="15"/>
                <w:szCs w:val="18"/>
                <w:highlight w:val="none"/>
                <w14:ligatures w14:val="standardContextual"/>
              </w:rPr>
            </w:pPr>
            <w:r>
              <w:rPr>
                <w:rFonts w:hint="eastAsia" w:ascii="Times New Roman" w:hAnsi="Times New Roman" w:cs="Times New Roman"/>
                <w:color w:val="auto"/>
                <w:sz w:val="15"/>
                <w:szCs w:val="21"/>
                <w:highlight w:val="none"/>
              </w:rPr>
              <w:t>—</w:t>
            </w:r>
          </w:p>
        </w:tc>
        <w:tc>
          <w:tcPr>
            <w:tcW w:w="806" w:type="dxa"/>
            <w:tcBorders>
              <w:top w:val="single" w:color="auto" w:sz="4" w:space="0"/>
            </w:tcBorders>
            <w:noWrap/>
            <w:vAlign w:val="center"/>
          </w:tcPr>
          <w:p w14:paraId="7BBDAFA9">
            <w:pPr>
              <w:jc w:val="center"/>
              <w:rPr>
                <w:rFonts w:ascii="Times New Roman" w:hAnsi="Times New Roman" w:eastAsia="宋体"/>
                <w:color w:val="auto"/>
                <w:sz w:val="15"/>
                <w:szCs w:val="18"/>
                <w:highlight w:val="none"/>
                <w14:ligatures w14:val="standardContextual"/>
              </w:rPr>
            </w:pPr>
            <w:r>
              <w:rPr>
                <w:rFonts w:hint="eastAsia" w:ascii="Times New Roman" w:hAnsi="Times New Roman" w:cs="Times New Roman"/>
                <w:color w:val="auto"/>
                <w:sz w:val="15"/>
                <w:szCs w:val="21"/>
                <w:highlight w:val="none"/>
              </w:rPr>
              <w:t>—</w:t>
            </w:r>
          </w:p>
        </w:tc>
        <w:tc>
          <w:tcPr>
            <w:tcW w:w="1110" w:type="dxa"/>
            <w:tcBorders>
              <w:top w:val="single" w:color="auto" w:sz="4" w:space="0"/>
            </w:tcBorders>
            <w:noWrap/>
            <w:vAlign w:val="center"/>
          </w:tcPr>
          <w:p w14:paraId="3708DA02">
            <w:pPr>
              <w:jc w:val="center"/>
              <w:rPr>
                <w:rFonts w:ascii="Times New Roman" w:hAnsi="Times New Roman" w:eastAsia="宋体"/>
                <w:color w:val="auto"/>
                <w:sz w:val="15"/>
                <w:szCs w:val="18"/>
                <w:highlight w:val="none"/>
                <w14:ligatures w14:val="standardContextual"/>
              </w:rPr>
            </w:pPr>
            <w:r>
              <w:rPr>
                <w:rFonts w:hint="eastAsia" w:ascii="Times New Roman" w:hAnsi="Times New Roman" w:cs="Times New Roman"/>
                <w:color w:val="auto"/>
                <w:sz w:val="15"/>
                <w:szCs w:val="21"/>
                <w:highlight w:val="none"/>
              </w:rPr>
              <w:t>—</w:t>
            </w:r>
          </w:p>
        </w:tc>
      </w:tr>
      <w:tr w14:paraId="20399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2256" w:type="dxa"/>
            <w:tcBorders>
              <w:bottom w:val="single" w:color="auto" w:sz="12" w:space="0"/>
            </w:tcBorders>
            <w:noWrap/>
            <w:vAlign w:val="center"/>
          </w:tcPr>
          <w:p w14:paraId="4904F23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变化期（1980</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2022年）</w:t>
            </w:r>
          </w:p>
        </w:tc>
        <w:tc>
          <w:tcPr>
            <w:tcW w:w="824" w:type="dxa"/>
            <w:tcBorders>
              <w:bottom w:val="single" w:color="auto" w:sz="12" w:space="0"/>
            </w:tcBorders>
            <w:noWrap/>
            <w:vAlign w:val="center"/>
          </w:tcPr>
          <w:p w14:paraId="5DCE0C6A">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9.62</w:t>
            </w:r>
          </w:p>
        </w:tc>
        <w:tc>
          <w:tcPr>
            <w:tcW w:w="967" w:type="dxa"/>
            <w:tcBorders>
              <w:bottom w:val="single" w:color="auto" w:sz="12" w:space="0"/>
            </w:tcBorders>
            <w:noWrap/>
            <w:vAlign w:val="center"/>
          </w:tcPr>
          <w:p w14:paraId="44BF1AD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18.87</w:t>
            </w:r>
          </w:p>
        </w:tc>
        <w:tc>
          <w:tcPr>
            <w:tcW w:w="753" w:type="dxa"/>
            <w:tcBorders>
              <w:bottom w:val="single" w:color="auto" w:sz="12" w:space="0"/>
            </w:tcBorders>
            <w:noWrap/>
            <w:vAlign w:val="center"/>
          </w:tcPr>
          <w:p w14:paraId="7274BBB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-11.29</w:t>
            </w:r>
          </w:p>
        </w:tc>
        <w:tc>
          <w:tcPr>
            <w:tcW w:w="725" w:type="dxa"/>
            <w:tcBorders>
              <w:bottom w:val="single" w:color="auto" w:sz="12" w:space="0"/>
            </w:tcBorders>
            <w:noWrap/>
            <w:vAlign w:val="center"/>
          </w:tcPr>
          <w:p w14:paraId="0353062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w:t>
            </w:r>
            <w:r>
              <w:rPr>
                <w:rFonts w:ascii="Times New Roman" w:hAnsi="Times New Roman" w:eastAsia="宋体"/>
                <w:color w:val="auto"/>
                <w:sz w:val="15"/>
                <w:szCs w:val="18"/>
                <w:highlight w:val="none"/>
                <w14:ligatures w14:val="standardContextual"/>
              </w:rPr>
              <w:t>4</w:t>
            </w:r>
          </w:p>
        </w:tc>
        <w:tc>
          <w:tcPr>
            <w:tcW w:w="690" w:type="dxa"/>
            <w:tcBorders>
              <w:bottom w:val="single" w:color="auto" w:sz="12" w:space="0"/>
            </w:tcBorders>
            <w:noWrap/>
            <w:vAlign w:val="center"/>
          </w:tcPr>
          <w:p w14:paraId="231F942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-9.2</w:t>
            </w:r>
            <w:r>
              <w:rPr>
                <w:rFonts w:ascii="Times New Roman" w:hAnsi="Times New Roman" w:eastAsia="宋体"/>
                <w:color w:val="auto"/>
                <w:sz w:val="15"/>
                <w:szCs w:val="18"/>
                <w:highlight w:val="none"/>
                <w14:ligatures w14:val="standardContextual"/>
              </w:rPr>
              <w:t>5</w:t>
            </w:r>
          </w:p>
        </w:tc>
        <w:tc>
          <w:tcPr>
            <w:tcW w:w="806" w:type="dxa"/>
            <w:tcBorders>
              <w:bottom w:val="single" w:color="auto" w:sz="12" w:space="0"/>
            </w:tcBorders>
            <w:noWrap/>
            <w:vAlign w:val="center"/>
          </w:tcPr>
          <w:p w14:paraId="0D84814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18.0</w:t>
            </w:r>
            <w:r>
              <w:rPr>
                <w:rFonts w:ascii="Times New Roman" w:hAnsi="Times New Roman" w:eastAsia="宋体"/>
                <w:color w:val="auto"/>
                <w:sz w:val="15"/>
                <w:szCs w:val="18"/>
                <w:highlight w:val="none"/>
                <w14:ligatures w14:val="standardContextual"/>
              </w:rPr>
              <w:t>7</w:t>
            </w:r>
            <w:r>
              <w:rPr>
                <w:rFonts w:hint="eastAsia" w:ascii="Times New Roman" w:hAnsi="Times New Roman" w:eastAsia="宋体"/>
                <w:color w:val="auto"/>
                <w:sz w:val="15"/>
                <w:szCs w:val="18"/>
                <w:highlight w:val="none"/>
                <w14:ligatures w14:val="standardContextual"/>
              </w:rPr>
              <w:t>%</w:t>
            </w:r>
          </w:p>
        </w:tc>
        <w:tc>
          <w:tcPr>
            <w:tcW w:w="1110" w:type="dxa"/>
            <w:tcBorders>
              <w:bottom w:val="single" w:color="auto" w:sz="12" w:space="0"/>
            </w:tcBorders>
            <w:noWrap/>
            <w:vAlign w:val="center"/>
          </w:tcPr>
          <w:p w14:paraId="2F60661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81.9</w:t>
            </w:r>
            <w:r>
              <w:rPr>
                <w:rFonts w:ascii="Times New Roman" w:hAnsi="Times New Roman" w:eastAsia="宋体"/>
                <w:color w:val="auto"/>
                <w:sz w:val="15"/>
                <w:szCs w:val="18"/>
                <w:highlight w:val="none"/>
                <w14:ligatures w14:val="standardContextual"/>
              </w:rPr>
              <w:t>3</w:t>
            </w:r>
            <w:r>
              <w:rPr>
                <w:rFonts w:hint="eastAsia" w:ascii="Times New Roman" w:hAnsi="Times New Roman" w:eastAsia="宋体"/>
                <w:color w:val="auto"/>
                <w:sz w:val="15"/>
                <w:szCs w:val="18"/>
                <w:highlight w:val="none"/>
                <w14:ligatures w14:val="standardContextual"/>
              </w:rPr>
              <w:t>%</w:t>
            </w:r>
          </w:p>
        </w:tc>
      </w:tr>
    </w:tbl>
    <w:p w14:paraId="5C589957">
      <w:pPr>
        <w:ind w:firstLine="420" w:firstLineChars="200"/>
        <w:rPr>
          <w:rFonts w:ascii="Times New Roman" w:hAnsi="Times New Roman" w:eastAsia="宋体"/>
          <w:color w:val="auto"/>
          <w:highlight w:val="none"/>
          <w14:ligatures w14:val="standardContextual"/>
        </w:rPr>
      </w:pPr>
      <w:bookmarkStart w:id="42" w:name="OLE_LINK20"/>
      <w:r>
        <w:rPr>
          <w:rFonts w:hint="eastAsia" w:ascii="Times New Roman" w:hAnsi="Times New Roman" w:eastAsia="宋体"/>
          <w:color w:val="auto"/>
          <w:highlight w:val="none"/>
          <w14:ligatures w14:val="standardContextual"/>
        </w:rPr>
        <w:t>为从多年平均水热平衡角度对</w:t>
      </w:r>
      <w:r>
        <w:rPr>
          <w:rFonts w:ascii="Times New Roman" w:hAnsi="Times New Roman" w:eastAsia="宋体"/>
          <w:color w:val="auto"/>
          <w:highlight w:val="none"/>
          <w14:ligatures w14:val="standardContextual"/>
        </w:rPr>
        <w:t>SWAT-Informer归因结果进行</w:t>
      </w:r>
      <w:r>
        <w:rPr>
          <w:rFonts w:hint="eastAsia" w:ascii="Times New Roman" w:hAnsi="Times New Roman" w:eastAsia="宋体"/>
          <w:color w:val="auto"/>
          <w:highlight w:val="none"/>
          <w14:ligatures w14:val="standardContextual"/>
        </w:rPr>
        <w:t>交叉</w:t>
      </w:r>
      <w:r>
        <w:rPr>
          <w:rFonts w:ascii="Times New Roman" w:hAnsi="Times New Roman" w:eastAsia="宋体"/>
          <w:color w:val="auto"/>
          <w:highlight w:val="none"/>
          <w14:ligatures w14:val="standardContextual"/>
        </w:rPr>
        <w:t>验证，采用Budyko假设中点弹性法对兴隆坡站径流变化进行归因分析，相关水文气象变量特征见表4，归因结果</w:t>
      </w:r>
      <w:r>
        <w:rPr>
          <w:rFonts w:hint="eastAsia" w:ascii="Times New Roman" w:hAnsi="Times New Roman" w:eastAsia="宋体"/>
          <w:color w:val="auto"/>
          <w:highlight w:val="none"/>
          <w:lang w:val="en-US" w:eastAsia="zh-CN"/>
          <w14:ligatures w14:val="standardContextual"/>
        </w:rPr>
        <w:t>如</w:t>
      </w:r>
      <w:r>
        <w:rPr>
          <w:rFonts w:ascii="Times New Roman" w:hAnsi="Times New Roman" w:eastAsia="宋体"/>
          <w:color w:val="auto"/>
          <w:highlight w:val="none"/>
          <w14:ligatures w14:val="standardContextual"/>
        </w:rPr>
        <w:t>表5</w:t>
      </w:r>
      <w:r>
        <w:rPr>
          <w:rFonts w:hint="eastAsia" w:ascii="Times New Roman" w:hAnsi="Times New Roman" w:eastAsia="宋体"/>
          <w:color w:val="auto"/>
          <w:highlight w:val="none"/>
          <w:lang w:val="en-US" w:eastAsia="zh-CN"/>
          <w14:ligatures w14:val="standardContextual"/>
        </w:rPr>
        <w:t>所列</w:t>
      </w:r>
      <w:r>
        <w:rPr>
          <w:rFonts w:ascii="Times New Roman" w:hAnsi="Times New Roman" w:eastAsia="宋体"/>
          <w:color w:val="auto"/>
          <w:highlight w:val="none"/>
          <w14:ligatures w14:val="standardContextual"/>
        </w:rPr>
        <w:t>。</w:t>
      </w:r>
      <w:r>
        <w:rPr>
          <w:rFonts w:hint="eastAsia" w:ascii="Times New Roman" w:hAnsi="Times New Roman" w:eastAsia="宋体"/>
          <w:color w:val="auto"/>
          <w:highlight w:val="none"/>
          <w14:ligatures w14:val="standardContextual"/>
        </w:rPr>
        <w:t>如</w:t>
      </w:r>
      <w:r>
        <w:rPr>
          <w:rFonts w:ascii="Times New Roman" w:hAnsi="Times New Roman" w:eastAsia="宋体"/>
          <w:color w:val="auto"/>
          <w:highlight w:val="none"/>
          <w14:ligatures w14:val="standardContextual"/>
        </w:rPr>
        <w:t>表4</w:t>
      </w:r>
      <w:r>
        <w:rPr>
          <w:rFonts w:hint="eastAsia" w:ascii="Times New Roman" w:hAnsi="Times New Roman" w:eastAsia="宋体"/>
          <w:color w:val="auto"/>
          <w:highlight w:val="none"/>
          <w14:ligatures w14:val="standardContextual"/>
        </w:rPr>
        <w:t>所列</w:t>
      </w:r>
      <w:r>
        <w:rPr>
          <w:rFonts w:ascii="Times New Roman" w:hAnsi="Times New Roman" w:eastAsia="宋体"/>
          <w:color w:val="auto"/>
          <w:highlight w:val="none"/>
          <w14:ligatures w14:val="standardContextual"/>
        </w:rPr>
        <w:t>，变化期多年平均降水量由460.37 mm变化为457.36 mm，变化幅度较小，而潜在蒸散发由895.29 mm增至912.85 mm，</w:t>
      </w:r>
      <w:r>
        <w:rPr>
          <w:rFonts w:hint="eastAsia" w:ascii="Times New Roman" w:hAnsi="Times New Roman" w:eastAsia="宋体"/>
          <w:color w:val="auto"/>
          <w:highlight w:val="none"/>
          <w14:ligatures w14:val="standardContextual"/>
        </w:rPr>
        <w:t>B</w:t>
      </w:r>
      <w:r>
        <w:rPr>
          <w:rFonts w:ascii="Times New Roman" w:hAnsi="Times New Roman" w:eastAsia="宋体"/>
          <w:color w:val="auto"/>
          <w:highlight w:val="none"/>
          <w14:ligatures w14:val="standardContextual"/>
        </w:rPr>
        <w:t>udyko参数</w:t>
      </w:r>
      <w:r>
        <w:rPr>
          <w:rFonts w:ascii="Times New Roman" w:hAnsi="Times New Roman" w:eastAsia="宋体"/>
          <w:i/>
          <w:iCs/>
          <w:color w:val="auto"/>
          <w:highlight w:val="none"/>
          <w14:ligatures w14:val="standardContextual"/>
        </w:rPr>
        <w:t>n</w:t>
      </w:r>
      <w:r>
        <w:rPr>
          <w:rFonts w:ascii="Times New Roman" w:hAnsi="Times New Roman" w:eastAsia="宋体"/>
          <w:color w:val="auto"/>
          <w:highlight w:val="none"/>
          <w14:ligatures w14:val="standardContextual"/>
        </w:rPr>
        <w:t>由2.37增至3.10，径流系数</w:t>
      </w:r>
      <w:r>
        <w:rPr>
          <w:rFonts w:ascii="Times New Roman" w:hAnsi="Times New Roman" w:eastAsia="宋体"/>
          <w:i/>
          <w:iCs/>
          <w:color w:val="auto"/>
          <w:highlight w:val="none"/>
          <w14:ligatures w14:val="standardContextual"/>
        </w:rPr>
        <w:t>R/P</w:t>
      </w:r>
      <w:r>
        <w:rPr>
          <w:rFonts w:ascii="Times New Roman" w:hAnsi="Times New Roman" w:eastAsia="宋体"/>
          <w:color w:val="auto"/>
          <w:highlight w:val="none"/>
          <w14:ligatures w14:val="standardContextual"/>
        </w:rPr>
        <w:t>则由0.08下降至0.04，表明流域在降水输入变化有限的情况下，产流效率明显下降，水分消耗增强，流域下垫面条件及人为干扰对径流</w:t>
      </w:r>
      <w:r>
        <w:rPr>
          <w:rFonts w:hint="eastAsia" w:ascii="Times New Roman" w:hAnsi="Times New Roman" w:eastAsia="宋体"/>
          <w:color w:val="auto"/>
          <w:highlight w:val="none"/>
          <w14:ligatures w14:val="standardContextual"/>
        </w:rPr>
        <w:t>形成过程的影响加大。</w:t>
      </w:r>
    </w:p>
    <w:p w14:paraId="4DFF7FC9">
      <w:pPr>
        <w:jc w:val="center"/>
        <w:rPr>
          <w:rFonts w:ascii="Times New Roman" w:hAnsi="Times New Roman" w:eastAsia="黑体" w:cs="Times New Roman"/>
          <w:color w:val="auto"/>
          <w:sz w:val="18"/>
          <w:szCs w:val="18"/>
          <w:highlight w:val="none"/>
        </w:rPr>
      </w:pPr>
      <w:bookmarkStart w:id="43" w:name="OLE_LINK8"/>
      <w:r>
        <w:rPr>
          <w:rFonts w:hint="eastAsia" w:ascii="Times New Roman" w:hAnsi="Times New Roman" w:eastAsia="黑体" w:cs="Times New Roman"/>
          <w:color w:val="auto"/>
          <w:sz w:val="18"/>
          <w:szCs w:val="18"/>
          <w:highlight w:val="none"/>
        </w:rPr>
        <w:t>表</w:t>
      </w:r>
      <w:r>
        <w:rPr>
          <w:rFonts w:ascii="Times New Roman" w:hAnsi="Times New Roman" w:eastAsia="黑体" w:cs="Times New Roman"/>
          <w:color w:val="auto"/>
          <w:sz w:val="18"/>
          <w:szCs w:val="18"/>
          <w:highlight w:val="none"/>
        </w:rPr>
        <w:t>4  基于Budyko假设的</w:t>
      </w:r>
      <w:r>
        <w:rPr>
          <w:rFonts w:hint="eastAsia" w:ascii="Times New Roman" w:hAnsi="Times New Roman" w:eastAsia="黑体" w:cs="Times New Roman"/>
          <w:color w:val="auto"/>
          <w:sz w:val="18"/>
          <w:szCs w:val="18"/>
          <w:highlight w:val="none"/>
        </w:rPr>
        <w:t>老哈河流域水文气象要素弹性系数计算结果</w:t>
      </w:r>
    </w:p>
    <w:bookmarkEnd w:id="43"/>
    <w:p w14:paraId="5DD63269">
      <w:pPr>
        <w:jc w:val="center"/>
        <w:rPr>
          <w:rFonts w:ascii="Times New Roman" w:hAnsi="Times New Roman" w:eastAsia="黑体" w:cs="Times New Roman"/>
          <w:color w:val="auto"/>
          <w:sz w:val="18"/>
          <w:szCs w:val="18"/>
          <w:highlight w:val="none"/>
        </w:rPr>
      </w:pPr>
      <w:r>
        <w:rPr>
          <w:rFonts w:ascii="Times New Roman" w:hAnsi="Times New Roman" w:eastAsia="黑体" w:cs="Times New Roman"/>
          <w:color w:val="auto"/>
          <w:sz w:val="18"/>
          <w:szCs w:val="18"/>
          <w:highlight w:val="none"/>
        </w:rPr>
        <w:t>Table</w:t>
      </w:r>
      <w:r>
        <w:rPr>
          <w:rFonts w:hint="eastAsia" w:ascii="Times New Roman" w:hAnsi="Times New Roman" w:eastAsia="黑体" w:cs="Times New Roman"/>
          <w:color w:val="auto"/>
          <w:sz w:val="18"/>
          <w:szCs w:val="18"/>
          <w:highlight w:val="none"/>
        </w:rPr>
        <w:t xml:space="preserve"> </w:t>
      </w:r>
      <w:r>
        <w:rPr>
          <w:rFonts w:ascii="Times New Roman" w:hAnsi="Times New Roman" w:eastAsia="黑体" w:cs="Times New Roman"/>
          <w:color w:val="auto"/>
          <w:sz w:val="18"/>
          <w:szCs w:val="18"/>
          <w:highlight w:val="none"/>
        </w:rPr>
        <w:t xml:space="preserve">4  </w:t>
      </w:r>
      <w:r>
        <w:rPr>
          <w:rFonts w:hint="eastAsia" w:ascii="Times New Roman" w:hAnsi="Times New Roman" w:eastAsia="黑体" w:cs="Times New Roman"/>
          <w:color w:val="auto"/>
          <w:sz w:val="18"/>
          <w:szCs w:val="18"/>
          <w:highlight w:val="none"/>
        </w:rPr>
        <w:tab/>
      </w:r>
      <w:r>
        <w:rPr>
          <w:rFonts w:hint="eastAsia" w:ascii="Times New Roman" w:hAnsi="Times New Roman" w:eastAsia="黑体" w:cs="Times New Roman"/>
          <w:color w:val="auto"/>
          <w:sz w:val="18"/>
          <w:szCs w:val="18"/>
          <w:highlight w:val="none"/>
        </w:rPr>
        <w:t>Calculation results of e</w:t>
      </w:r>
      <w:r>
        <w:rPr>
          <w:rFonts w:ascii="Times New Roman" w:hAnsi="Times New Roman" w:eastAsia="黑体" w:cs="Times New Roman"/>
          <w:color w:val="auto"/>
          <w:sz w:val="18"/>
          <w:szCs w:val="18"/>
          <w:highlight w:val="none"/>
        </w:rPr>
        <w:t>lasticity coefficients of hydrometeorological variables based on Budyko hypothesis in Laoha River Basin</w:t>
      </w:r>
    </w:p>
    <w:tbl>
      <w:tblPr>
        <w:tblStyle w:val="16"/>
        <w:tblW w:w="0" w:type="auto"/>
        <w:jc w:val="center"/>
        <w:tblLayout w:type="fixed"/>
        <w:tblCellMar>
          <w:top w:w="0" w:type="dxa"/>
          <w:left w:w="0" w:type="dxa"/>
          <w:bottom w:w="0" w:type="dxa"/>
          <w:right w:w="0" w:type="dxa"/>
        </w:tblCellMar>
      </w:tblPr>
      <w:tblGrid>
        <w:gridCol w:w="1135"/>
        <w:gridCol w:w="851"/>
        <w:gridCol w:w="851"/>
        <w:gridCol w:w="851"/>
        <w:gridCol w:w="851"/>
        <w:gridCol w:w="851"/>
        <w:gridCol w:w="851"/>
        <w:gridCol w:w="685"/>
        <w:gridCol w:w="655"/>
        <w:gridCol w:w="655"/>
      </w:tblGrid>
      <w:tr w14:paraId="53417A81">
        <w:tblPrEx>
          <w:tblCellMar>
            <w:top w:w="0" w:type="dxa"/>
            <w:left w:w="0" w:type="dxa"/>
            <w:bottom w:w="0" w:type="dxa"/>
            <w:right w:w="0" w:type="dxa"/>
          </w:tblCellMar>
        </w:tblPrEx>
        <w:trPr>
          <w:trHeight w:val="276" w:hRule="atLeast"/>
          <w:jc w:val="center"/>
        </w:trPr>
        <w:tc>
          <w:tcPr>
            <w:tcW w:w="1135" w:type="dxa"/>
            <w:vMerge w:val="restart"/>
            <w:tcBorders>
              <w:top w:val="single" w:color="auto" w:sz="12" w:space="0"/>
              <w:bottom w:val="single" w:color="auto" w:sz="4" w:space="0"/>
            </w:tcBorders>
            <w:noWrap/>
            <w:vAlign w:val="center"/>
          </w:tcPr>
          <w:p w14:paraId="7D58D1AA">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时段</w:t>
            </w:r>
          </w:p>
        </w:tc>
        <w:tc>
          <w:tcPr>
            <w:tcW w:w="851" w:type="dxa"/>
            <w:vMerge w:val="restart"/>
            <w:tcBorders>
              <w:top w:val="single" w:color="auto" w:sz="12" w:space="0"/>
              <w:bottom w:val="single" w:color="auto" w:sz="4" w:space="0"/>
            </w:tcBorders>
            <w:noWrap/>
            <w:vAlign w:val="center"/>
          </w:tcPr>
          <w:p w14:paraId="537059B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R</w:t>
            </w:r>
            <w:r>
              <w:rPr>
                <w:rFonts w:hint="eastAsia" w:ascii="Times New Roman" w:hAnsi="Times New Roman" w:eastAsia="宋体"/>
                <w:color w:val="auto"/>
                <w:sz w:val="15"/>
                <w:szCs w:val="18"/>
                <w:highlight w:val="none"/>
                <w14:ligatures w14:val="standardContextual"/>
              </w:rPr>
              <w:t>/mm</w:t>
            </w:r>
          </w:p>
        </w:tc>
        <w:tc>
          <w:tcPr>
            <w:tcW w:w="851" w:type="dxa"/>
            <w:vMerge w:val="restart"/>
            <w:tcBorders>
              <w:top w:val="single" w:color="auto" w:sz="12" w:space="0"/>
              <w:bottom w:val="single" w:color="auto" w:sz="4" w:space="0"/>
            </w:tcBorders>
            <w:noWrap/>
            <w:vAlign w:val="center"/>
          </w:tcPr>
          <w:p w14:paraId="182DF41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P</w:t>
            </w:r>
            <w:r>
              <w:rPr>
                <w:rFonts w:hint="eastAsia" w:ascii="Times New Roman" w:hAnsi="Times New Roman" w:eastAsia="宋体"/>
                <w:color w:val="auto"/>
                <w:sz w:val="15"/>
                <w:szCs w:val="18"/>
                <w:highlight w:val="none"/>
                <w14:ligatures w14:val="standardContextual"/>
              </w:rPr>
              <w:t>/mm</w:t>
            </w:r>
          </w:p>
        </w:tc>
        <w:tc>
          <w:tcPr>
            <w:tcW w:w="851" w:type="dxa"/>
            <w:vMerge w:val="restart"/>
            <w:tcBorders>
              <w:top w:val="single" w:color="auto" w:sz="12" w:space="0"/>
              <w:bottom w:val="single" w:color="auto" w:sz="4" w:space="0"/>
            </w:tcBorders>
            <w:noWrap/>
            <w:vAlign w:val="center"/>
          </w:tcPr>
          <w:p w14:paraId="35F98B1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ET</w:t>
            </w:r>
            <w:r>
              <w:rPr>
                <w:rFonts w:hint="eastAsia" w:ascii="Times New Roman" w:hAnsi="Times New Roman" w:eastAsia="宋体"/>
                <w:i/>
                <w:iCs/>
                <w:color w:val="auto"/>
                <w:sz w:val="15"/>
                <w:szCs w:val="18"/>
                <w:highlight w:val="none"/>
                <w:vertAlign w:val="subscript"/>
                <w14:ligatures w14:val="standardContextual"/>
              </w:rPr>
              <w:t>0</w:t>
            </w:r>
            <w:r>
              <w:rPr>
                <w:rFonts w:hint="eastAsia" w:ascii="Times New Roman" w:hAnsi="Times New Roman" w:eastAsia="宋体"/>
                <w:color w:val="auto"/>
                <w:sz w:val="15"/>
                <w:szCs w:val="18"/>
                <w:highlight w:val="none"/>
                <w14:ligatures w14:val="standardContextual"/>
              </w:rPr>
              <w:t>/mm</w:t>
            </w:r>
          </w:p>
        </w:tc>
        <w:tc>
          <w:tcPr>
            <w:tcW w:w="851" w:type="dxa"/>
            <w:vMerge w:val="restart"/>
            <w:tcBorders>
              <w:top w:val="single" w:color="auto" w:sz="12" w:space="0"/>
              <w:bottom w:val="single" w:color="auto" w:sz="4" w:space="0"/>
            </w:tcBorders>
            <w:noWrap/>
            <w:vAlign w:val="center"/>
          </w:tcPr>
          <w:p w14:paraId="415ACE4C">
            <w:pPr>
              <w:jc w:val="center"/>
              <w:rPr>
                <w:rFonts w:ascii="Times New Roman" w:hAnsi="Times New Roman" w:eastAsia="宋体"/>
                <w:i/>
                <w:iCs/>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n</w:t>
            </w:r>
          </w:p>
        </w:tc>
        <w:tc>
          <w:tcPr>
            <w:tcW w:w="851" w:type="dxa"/>
            <w:vMerge w:val="restart"/>
            <w:tcBorders>
              <w:top w:val="single" w:color="auto" w:sz="12" w:space="0"/>
              <w:bottom w:val="single" w:color="auto" w:sz="4" w:space="0"/>
            </w:tcBorders>
            <w:noWrap/>
            <w:vAlign w:val="center"/>
          </w:tcPr>
          <w:p w14:paraId="53A90FA0">
            <w:pPr>
              <w:jc w:val="center"/>
              <w:rPr>
                <w:rFonts w:ascii="Times New Roman" w:hAnsi="Times New Roman" w:eastAsia="宋体"/>
                <w:i/>
                <w:iCs/>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R/P</w:t>
            </w:r>
          </w:p>
        </w:tc>
        <w:tc>
          <w:tcPr>
            <w:tcW w:w="851" w:type="dxa"/>
            <w:vMerge w:val="restart"/>
            <w:tcBorders>
              <w:top w:val="single" w:color="auto" w:sz="12" w:space="0"/>
              <w:bottom w:val="single" w:color="auto" w:sz="4" w:space="0"/>
            </w:tcBorders>
            <w:noWrap/>
            <w:vAlign w:val="center"/>
          </w:tcPr>
          <w:p w14:paraId="17C95B0C">
            <w:pPr>
              <w:jc w:val="center"/>
              <w:rPr>
                <w:rFonts w:ascii="Times New Roman" w:hAnsi="Times New Roman" w:eastAsia="宋体"/>
                <w:i/>
                <w:iCs/>
                <w:color w:val="auto"/>
                <w:sz w:val="15"/>
                <w:szCs w:val="18"/>
                <w:highlight w:val="none"/>
                <w14:ligatures w14:val="standardContextual"/>
              </w:rPr>
            </w:pPr>
            <w:r>
              <w:rPr>
                <w:rFonts w:hint="eastAsia" w:ascii="Times New Roman" w:hAnsi="Times New Roman" w:eastAsia="宋体"/>
                <w:i/>
                <w:iCs/>
                <w:color w:val="auto"/>
                <w:sz w:val="15"/>
                <w:szCs w:val="18"/>
                <w:highlight w:val="none"/>
                <w14:ligatures w14:val="standardContextual"/>
              </w:rPr>
              <w:t>ET</w:t>
            </w:r>
            <w:r>
              <w:rPr>
                <w:rFonts w:hint="eastAsia" w:ascii="Times New Roman" w:hAnsi="Times New Roman" w:eastAsia="宋体"/>
                <w:i/>
                <w:iCs/>
                <w:color w:val="auto"/>
                <w:sz w:val="15"/>
                <w:szCs w:val="18"/>
                <w:highlight w:val="none"/>
                <w:vertAlign w:val="subscript"/>
                <w14:ligatures w14:val="standardContextual"/>
              </w:rPr>
              <w:t>0</w:t>
            </w:r>
            <w:r>
              <w:rPr>
                <w:rFonts w:hint="eastAsia" w:ascii="Times New Roman" w:hAnsi="Times New Roman" w:eastAsia="宋体"/>
                <w:i/>
                <w:iCs/>
                <w:color w:val="auto"/>
                <w:sz w:val="15"/>
                <w:szCs w:val="18"/>
                <w:highlight w:val="none"/>
                <w14:ligatures w14:val="standardContextual"/>
              </w:rPr>
              <w:t>/P</w:t>
            </w:r>
          </w:p>
        </w:tc>
        <w:tc>
          <w:tcPr>
            <w:tcW w:w="1995" w:type="dxa"/>
            <w:gridSpan w:val="3"/>
            <w:tcBorders>
              <w:top w:val="single" w:color="auto" w:sz="12" w:space="0"/>
              <w:bottom w:val="single" w:color="auto" w:sz="4" w:space="0"/>
            </w:tcBorders>
            <w:noWrap/>
            <w:vAlign w:val="center"/>
          </w:tcPr>
          <w:p w14:paraId="22B6A0B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弹性系数</w:t>
            </w:r>
          </w:p>
        </w:tc>
      </w:tr>
      <w:tr w14:paraId="4971E486">
        <w:tblPrEx>
          <w:tblCellMar>
            <w:top w:w="0" w:type="dxa"/>
            <w:left w:w="0" w:type="dxa"/>
            <w:bottom w:w="0" w:type="dxa"/>
            <w:right w:w="0" w:type="dxa"/>
          </w:tblCellMar>
        </w:tblPrEx>
        <w:trPr>
          <w:trHeight w:val="276" w:hRule="atLeast"/>
          <w:jc w:val="center"/>
        </w:trPr>
        <w:tc>
          <w:tcPr>
            <w:tcW w:w="1135" w:type="dxa"/>
            <w:vMerge w:val="continue"/>
            <w:tcBorders>
              <w:top w:val="single" w:color="auto" w:sz="4" w:space="0"/>
              <w:bottom w:val="single" w:color="auto" w:sz="6" w:space="0"/>
            </w:tcBorders>
            <w:vAlign w:val="center"/>
          </w:tcPr>
          <w:p w14:paraId="12058CC5">
            <w:pPr>
              <w:jc w:val="center"/>
              <w:rPr>
                <w:rFonts w:ascii="Times New Roman" w:hAnsi="Times New Roman" w:eastAsia="宋体"/>
                <w:color w:val="auto"/>
                <w:sz w:val="15"/>
                <w:szCs w:val="18"/>
                <w:highlight w:val="none"/>
                <w14:ligatures w14:val="standardContextual"/>
              </w:rPr>
            </w:pPr>
          </w:p>
        </w:tc>
        <w:tc>
          <w:tcPr>
            <w:tcW w:w="851" w:type="dxa"/>
            <w:vMerge w:val="continue"/>
            <w:tcBorders>
              <w:top w:val="single" w:color="auto" w:sz="4" w:space="0"/>
              <w:bottom w:val="single" w:color="auto" w:sz="6" w:space="0"/>
            </w:tcBorders>
            <w:vAlign w:val="center"/>
          </w:tcPr>
          <w:p w14:paraId="79F6163D">
            <w:pPr>
              <w:jc w:val="center"/>
              <w:rPr>
                <w:rFonts w:ascii="Times New Roman" w:hAnsi="Times New Roman" w:eastAsia="宋体"/>
                <w:color w:val="auto"/>
                <w:sz w:val="15"/>
                <w:szCs w:val="18"/>
                <w:highlight w:val="none"/>
                <w14:ligatures w14:val="standardContextual"/>
              </w:rPr>
            </w:pPr>
          </w:p>
        </w:tc>
        <w:tc>
          <w:tcPr>
            <w:tcW w:w="851" w:type="dxa"/>
            <w:vMerge w:val="continue"/>
            <w:tcBorders>
              <w:top w:val="single" w:color="auto" w:sz="4" w:space="0"/>
              <w:bottom w:val="single" w:color="auto" w:sz="6" w:space="0"/>
            </w:tcBorders>
            <w:vAlign w:val="center"/>
          </w:tcPr>
          <w:p w14:paraId="70C01699">
            <w:pPr>
              <w:jc w:val="center"/>
              <w:rPr>
                <w:rFonts w:ascii="Times New Roman" w:hAnsi="Times New Roman" w:eastAsia="宋体"/>
                <w:color w:val="auto"/>
                <w:sz w:val="15"/>
                <w:szCs w:val="18"/>
                <w:highlight w:val="none"/>
                <w14:ligatures w14:val="standardContextual"/>
              </w:rPr>
            </w:pPr>
          </w:p>
        </w:tc>
        <w:tc>
          <w:tcPr>
            <w:tcW w:w="851" w:type="dxa"/>
            <w:vMerge w:val="continue"/>
            <w:tcBorders>
              <w:top w:val="single" w:color="auto" w:sz="4" w:space="0"/>
              <w:bottom w:val="single" w:color="auto" w:sz="6" w:space="0"/>
            </w:tcBorders>
            <w:vAlign w:val="center"/>
          </w:tcPr>
          <w:p w14:paraId="142FCFEA">
            <w:pPr>
              <w:jc w:val="center"/>
              <w:rPr>
                <w:rFonts w:ascii="Times New Roman" w:hAnsi="Times New Roman" w:eastAsia="宋体"/>
                <w:color w:val="auto"/>
                <w:sz w:val="15"/>
                <w:szCs w:val="18"/>
                <w:highlight w:val="none"/>
                <w14:ligatures w14:val="standardContextual"/>
              </w:rPr>
            </w:pPr>
          </w:p>
        </w:tc>
        <w:tc>
          <w:tcPr>
            <w:tcW w:w="851" w:type="dxa"/>
            <w:vMerge w:val="continue"/>
            <w:tcBorders>
              <w:top w:val="single" w:color="auto" w:sz="4" w:space="0"/>
              <w:bottom w:val="single" w:color="auto" w:sz="6" w:space="0"/>
            </w:tcBorders>
            <w:vAlign w:val="center"/>
          </w:tcPr>
          <w:p w14:paraId="0947FFE1">
            <w:pPr>
              <w:jc w:val="center"/>
              <w:rPr>
                <w:rFonts w:ascii="Times New Roman" w:hAnsi="Times New Roman" w:eastAsia="宋体"/>
                <w:color w:val="auto"/>
                <w:sz w:val="15"/>
                <w:szCs w:val="18"/>
                <w:highlight w:val="none"/>
                <w14:ligatures w14:val="standardContextual"/>
              </w:rPr>
            </w:pPr>
          </w:p>
        </w:tc>
        <w:tc>
          <w:tcPr>
            <w:tcW w:w="851" w:type="dxa"/>
            <w:vMerge w:val="continue"/>
            <w:tcBorders>
              <w:top w:val="single" w:color="auto" w:sz="4" w:space="0"/>
              <w:bottom w:val="single" w:color="auto" w:sz="6" w:space="0"/>
            </w:tcBorders>
            <w:vAlign w:val="center"/>
          </w:tcPr>
          <w:p w14:paraId="2A30133C">
            <w:pPr>
              <w:jc w:val="center"/>
              <w:rPr>
                <w:rFonts w:ascii="Times New Roman" w:hAnsi="Times New Roman" w:eastAsia="宋体"/>
                <w:color w:val="auto"/>
                <w:sz w:val="15"/>
                <w:szCs w:val="18"/>
                <w:highlight w:val="none"/>
                <w14:ligatures w14:val="standardContextual"/>
              </w:rPr>
            </w:pPr>
          </w:p>
        </w:tc>
        <w:tc>
          <w:tcPr>
            <w:tcW w:w="851" w:type="dxa"/>
            <w:vMerge w:val="continue"/>
            <w:tcBorders>
              <w:top w:val="single" w:color="auto" w:sz="4" w:space="0"/>
              <w:bottom w:val="single" w:color="auto" w:sz="6" w:space="0"/>
            </w:tcBorders>
            <w:vAlign w:val="center"/>
          </w:tcPr>
          <w:p w14:paraId="115EBCFE">
            <w:pPr>
              <w:jc w:val="center"/>
              <w:rPr>
                <w:rFonts w:ascii="Times New Roman" w:hAnsi="Times New Roman" w:eastAsia="宋体"/>
                <w:color w:val="auto"/>
                <w:sz w:val="15"/>
                <w:szCs w:val="18"/>
                <w:highlight w:val="none"/>
                <w14:ligatures w14:val="standardContextual"/>
              </w:rPr>
            </w:pPr>
          </w:p>
        </w:tc>
        <w:tc>
          <w:tcPr>
            <w:tcW w:w="685" w:type="dxa"/>
            <w:tcBorders>
              <w:top w:val="single" w:color="auto" w:sz="4" w:space="0"/>
              <w:bottom w:val="single" w:color="auto" w:sz="6" w:space="0"/>
            </w:tcBorders>
            <w:noWrap/>
            <w:vAlign w:val="center"/>
          </w:tcPr>
          <w:p w14:paraId="7A8507BB">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highlight w:val="none"/>
                        <w14:ligatures w14:val="standardContextual"/>
                      </w:rPr>
                    </m:ctrlPr>
                  </m:sSubPr>
                  <m:e>
                    <m:r>
                      <m:rPr/>
                      <w:rPr>
                        <w:rFonts w:ascii="Cambria Math" w:hAnsi="Cambria Math" w:eastAsia="宋体"/>
                        <w:color w:val="auto"/>
                        <w:sz w:val="15"/>
                        <w:highlight w:val="none"/>
                        <w14:ligatures w14:val="standardContextual"/>
                      </w:rPr>
                      <m:t>ε</m:t>
                    </m:r>
                    <m:ctrlPr>
                      <w:rPr>
                        <w:rFonts w:ascii="Cambria Math" w:hAnsi="Cambria Math" w:eastAsia="宋体"/>
                        <w:i/>
                        <w:color w:val="auto"/>
                        <w:sz w:val="15"/>
                        <w:highlight w:val="none"/>
                        <w14:ligatures w14:val="standardContextual"/>
                      </w:rPr>
                    </m:ctrlPr>
                  </m:e>
                  <m:sub>
                    <m:r>
                      <m:rPr/>
                      <w:rPr>
                        <w:rFonts w:ascii="Cambria Math" w:hAnsi="Cambria Math" w:eastAsia="宋体"/>
                        <w:color w:val="auto"/>
                        <w:sz w:val="15"/>
                        <w:highlight w:val="none"/>
                        <w14:ligatures w14:val="standardContextual"/>
                      </w:rPr>
                      <m:t>P</m:t>
                    </m:r>
                    <m:ctrlPr>
                      <w:rPr>
                        <w:rFonts w:ascii="Cambria Math" w:hAnsi="Cambria Math" w:eastAsia="宋体"/>
                        <w:i/>
                        <w:color w:val="auto"/>
                        <w:sz w:val="15"/>
                        <w:highlight w:val="none"/>
                        <w14:ligatures w14:val="standardContextual"/>
                      </w:rPr>
                    </m:ctrlPr>
                  </m:sub>
                </m:sSub>
              </m:oMath>
            </m:oMathPara>
          </w:p>
        </w:tc>
        <w:tc>
          <w:tcPr>
            <w:tcW w:w="655" w:type="dxa"/>
            <w:tcBorders>
              <w:top w:val="single" w:color="auto" w:sz="4" w:space="0"/>
              <w:bottom w:val="single" w:color="auto" w:sz="6" w:space="0"/>
            </w:tcBorders>
            <w:noWrap/>
            <w:vAlign w:val="center"/>
          </w:tcPr>
          <w:p w14:paraId="5C867842">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highlight w:val="none"/>
                        <w14:ligatures w14:val="standardContextual"/>
                      </w:rPr>
                    </m:ctrlPr>
                  </m:sSubPr>
                  <m:e>
                    <m:r>
                      <m:rPr/>
                      <w:rPr>
                        <w:rFonts w:ascii="Cambria Math" w:hAnsi="Cambria Math" w:eastAsia="宋体"/>
                        <w:color w:val="auto"/>
                        <w:sz w:val="15"/>
                        <w:highlight w:val="none"/>
                        <w14:ligatures w14:val="standardContextual"/>
                      </w:rPr>
                      <m:t>ε</m:t>
                    </m:r>
                    <m:ctrlPr>
                      <w:rPr>
                        <w:rFonts w:ascii="Cambria Math" w:hAnsi="Cambria Math" w:eastAsia="宋体"/>
                        <w:i/>
                        <w:color w:val="auto"/>
                        <w:sz w:val="15"/>
                        <w:highlight w:val="none"/>
                        <w14:ligatures w14:val="standardContextual"/>
                      </w:rPr>
                    </m:ctrlPr>
                  </m:e>
                  <m:sub>
                    <m:sSub>
                      <m:sSubPr>
                        <m:ctrlPr>
                          <w:rPr>
                            <w:rFonts w:ascii="Cambria Math" w:hAnsi="Cambria Math" w:eastAsia="宋体"/>
                            <w:i/>
                            <w:color w:val="auto"/>
                            <w:sz w:val="15"/>
                            <w:highlight w:val="none"/>
                            <w14:ligatures w14:val="standardContextual"/>
                          </w:rPr>
                        </m:ctrlPr>
                      </m:sSubPr>
                      <m:e>
                        <m:r>
                          <m:rPr/>
                          <w:rPr>
                            <w:rFonts w:ascii="Cambria Math" w:hAnsi="Cambria Math" w:eastAsia="宋体"/>
                            <w:color w:val="auto"/>
                            <w:sz w:val="15"/>
                            <w:highlight w:val="none"/>
                            <w14:ligatures w14:val="standardContextual"/>
                          </w:rPr>
                          <m:t>ET</m:t>
                        </m:r>
                        <m:ctrlPr>
                          <w:rPr>
                            <w:rFonts w:ascii="Cambria Math" w:hAnsi="Cambria Math" w:eastAsia="宋体"/>
                            <w:i/>
                            <w:color w:val="auto"/>
                            <w:sz w:val="15"/>
                            <w:highlight w:val="none"/>
                            <w14:ligatures w14:val="standardContextual"/>
                          </w:rPr>
                        </m:ctrlPr>
                      </m:e>
                      <m:sub>
                        <m:r>
                          <m:rPr/>
                          <w:rPr>
                            <w:rFonts w:ascii="Cambria Math" w:hAnsi="Cambria Math" w:eastAsia="宋体"/>
                            <w:color w:val="auto"/>
                            <w:sz w:val="15"/>
                            <w:highlight w:val="none"/>
                            <w14:ligatures w14:val="standardContextual"/>
                          </w:rPr>
                          <m:t>0</m:t>
                        </m:r>
                        <m:ctrlPr>
                          <w:rPr>
                            <w:rFonts w:ascii="Cambria Math" w:hAnsi="Cambria Math" w:eastAsia="宋体"/>
                            <w:i/>
                            <w:color w:val="auto"/>
                            <w:sz w:val="15"/>
                            <w:highlight w:val="none"/>
                            <w14:ligatures w14:val="standardContextual"/>
                          </w:rPr>
                        </m:ctrlPr>
                      </m:sub>
                    </m:sSub>
                    <m:ctrlPr>
                      <w:rPr>
                        <w:rFonts w:ascii="Cambria Math" w:hAnsi="Cambria Math" w:eastAsia="宋体"/>
                        <w:i/>
                        <w:color w:val="auto"/>
                        <w:sz w:val="15"/>
                        <w:highlight w:val="none"/>
                        <w14:ligatures w14:val="standardContextual"/>
                      </w:rPr>
                    </m:ctrlPr>
                  </m:sub>
                </m:sSub>
              </m:oMath>
            </m:oMathPara>
          </w:p>
        </w:tc>
        <w:tc>
          <w:tcPr>
            <w:tcW w:w="655" w:type="dxa"/>
            <w:tcBorders>
              <w:top w:val="single" w:color="auto" w:sz="4" w:space="0"/>
              <w:bottom w:val="single" w:color="auto" w:sz="6" w:space="0"/>
            </w:tcBorders>
            <w:noWrap/>
            <w:vAlign w:val="center"/>
          </w:tcPr>
          <w:p w14:paraId="2DC06866">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highlight w:val="none"/>
                        <w14:ligatures w14:val="standardContextual"/>
                      </w:rPr>
                    </m:ctrlPr>
                  </m:sSubPr>
                  <m:e>
                    <m:r>
                      <m:rPr/>
                      <w:rPr>
                        <w:rFonts w:ascii="Cambria Math" w:hAnsi="Cambria Math" w:eastAsia="宋体"/>
                        <w:color w:val="auto"/>
                        <w:sz w:val="15"/>
                        <w:highlight w:val="none"/>
                        <w14:ligatures w14:val="standardContextual"/>
                      </w:rPr>
                      <m:t>ε</m:t>
                    </m:r>
                    <m:ctrlPr>
                      <w:rPr>
                        <w:rFonts w:ascii="Cambria Math" w:hAnsi="Cambria Math" w:eastAsia="宋体"/>
                        <w:i/>
                        <w:color w:val="auto"/>
                        <w:sz w:val="15"/>
                        <w:highlight w:val="none"/>
                        <w14:ligatures w14:val="standardContextual"/>
                      </w:rPr>
                    </m:ctrlPr>
                  </m:e>
                  <m:sub>
                    <m:r>
                      <m:rPr/>
                      <w:rPr>
                        <w:rFonts w:ascii="Cambria Math" w:hAnsi="Cambria Math" w:eastAsia="宋体"/>
                        <w:color w:val="auto"/>
                        <w:sz w:val="15"/>
                        <w:highlight w:val="none"/>
                        <w14:ligatures w14:val="standardContextual"/>
                      </w:rPr>
                      <m:t>n</m:t>
                    </m:r>
                    <m:ctrlPr>
                      <w:rPr>
                        <w:rFonts w:ascii="Cambria Math" w:hAnsi="Cambria Math" w:eastAsia="宋体"/>
                        <w:i/>
                        <w:color w:val="auto"/>
                        <w:sz w:val="15"/>
                        <w:highlight w:val="none"/>
                        <w14:ligatures w14:val="standardContextual"/>
                      </w:rPr>
                    </m:ctrlPr>
                  </m:sub>
                </m:sSub>
              </m:oMath>
            </m:oMathPara>
          </w:p>
        </w:tc>
      </w:tr>
      <w:tr w14:paraId="00FD71D6">
        <w:tblPrEx>
          <w:tblCellMar>
            <w:top w:w="0" w:type="dxa"/>
            <w:left w:w="0" w:type="dxa"/>
            <w:bottom w:w="0" w:type="dxa"/>
            <w:right w:w="0" w:type="dxa"/>
          </w:tblCellMar>
        </w:tblPrEx>
        <w:trPr>
          <w:trHeight w:val="454" w:hRule="atLeast"/>
          <w:jc w:val="center"/>
        </w:trPr>
        <w:tc>
          <w:tcPr>
            <w:tcW w:w="1135" w:type="dxa"/>
            <w:tcBorders>
              <w:top w:val="single" w:color="auto" w:sz="6" w:space="0"/>
            </w:tcBorders>
            <w:noWrap/>
            <w:vAlign w:val="center"/>
          </w:tcPr>
          <w:p w14:paraId="3158CFD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1964</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2022年</w:t>
            </w:r>
          </w:p>
        </w:tc>
        <w:tc>
          <w:tcPr>
            <w:tcW w:w="851" w:type="dxa"/>
            <w:tcBorders>
              <w:top w:val="single" w:color="auto" w:sz="6" w:space="0"/>
            </w:tcBorders>
            <w:noWrap/>
            <w:vAlign w:val="center"/>
          </w:tcPr>
          <w:p w14:paraId="372AE2F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21.27</w:t>
            </w:r>
          </w:p>
        </w:tc>
        <w:tc>
          <w:tcPr>
            <w:tcW w:w="851" w:type="dxa"/>
            <w:tcBorders>
              <w:top w:val="single" w:color="auto" w:sz="6" w:space="0"/>
            </w:tcBorders>
            <w:noWrap/>
            <w:vAlign w:val="center"/>
          </w:tcPr>
          <w:p w14:paraId="035218D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458.18</w:t>
            </w:r>
          </w:p>
        </w:tc>
        <w:tc>
          <w:tcPr>
            <w:tcW w:w="851" w:type="dxa"/>
            <w:tcBorders>
              <w:top w:val="single" w:color="auto" w:sz="6" w:space="0"/>
            </w:tcBorders>
            <w:noWrap/>
            <w:vAlign w:val="center"/>
          </w:tcPr>
          <w:p w14:paraId="7F8FB44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908.0</w:t>
            </w:r>
            <w:r>
              <w:rPr>
                <w:rFonts w:ascii="Times New Roman" w:hAnsi="Times New Roman" w:eastAsia="宋体"/>
                <w:color w:val="auto"/>
                <w:sz w:val="15"/>
                <w:szCs w:val="18"/>
                <w:highlight w:val="none"/>
                <w14:ligatures w14:val="standardContextual"/>
              </w:rPr>
              <w:t>9</w:t>
            </w:r>
          </w:p>
        </w:tc>
        <w:tc>
          <w:tcPr>
            <w:tcW w:w="851" w:type="dxa"/>
            <w:tcBorders>
              <w:top w:val="single" w:color="auto" w:sz="6" w:space="0"/>
            </w:tcBorders>
            <w:noWrap/>
            <w:vAlign w:val="center"/>
          </w:tcPr>
          <w:p w14:paraId="47045FF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2.83</w:t>
            </w:r>
          </w:p>
        </w:tc>
        <w:tc>
          <w:tcPr>
            <w:tcW w:w="851" w:type="dxa"/>
            <w:tcBorders>
              <w:top w:val="single" w:color="auto" w:sz="6" w:space="0"/>
            </w:tcBorders>
            <w:noWrap/>
            <w:vAlign w:val="center"/>
          </w:tcPr>
          <w:p w14:paraId="0DE2527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w:t>
            </w:r>
            <w:r>
              <w:rPr>
                <w:rFonts w:ascii="Times New Roman" w:hAnsi="Times New Roman" w:eastAsia="宋体"/>
                <w:color w:val="auto"/>
                <w:sz w:val="15"/>
                <w:szCs w:val="18"/>
                <w:highlight w:val="none"/>
                <w14:ligatures w14:val="standardContextual"/>
              </w:rPr>
              <w:t>5</w:t>
            </w:r>
          </w:p>
        </w:tc>
        <w:tc>
          <w:tcPr>
            <w:tcW w:w="851" w:type="dxa"/>
            <w:tcBorders>
              <w:top w:val="single" w:color="auto" w:sz="6" w:space="0"/>
            </w:tcBorders>
            <w:noWrap/>
            <w:vAlign w:val="center"/>
          </w:tcPr>
          <w:p w14:paraId="3E832B0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1.98</w:t>
            </w:r>
          </w:p>
        </w:tc>
        <w:tc>
          <w:tcPr>
            <w:tcW w:w="685" w:type="dxa"/>
            <w:tcBorders>
              <w:top w:val="single" w:color="auto" w:sz="6" w:space="0"/>
            </w:tcBorders>
            <w:noWrap/>
            <w:vAlign w:val="center"/>
          </w:tcPr>
          <w:p w14:paraId="4916661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3.5</w:t>
            </w:r>
            <w:r>
              <w:rPr>
                <w:rFonts w:ascii="Times New Roman" w:hAnsi="Times New Roman" w:eastAsia="宋体"/>
                <w:color w:val="auto"/>
                <w:sz w:val="15"/>
                <w:szCs w:val="18"/>
                <w:highlight w:val="none"/>
                <w14:ligatures w14:val="standardContextual"/>
              </w:rPr>
              <w:t>9</w:t>
            </w:r>
          </w:p>
        </w:tc>
        <w:tc>
          <w:tcPr>
            <w:tcW w:w="655" w:type="dxa"/>
            <w:tcBorders>
              <w:top w:val="single" w:color="auto" w:sz="6" w:space="0"/>
            </w:tcBorders>
            <w:noWrap/>
            <w:vAlign w:val="center"/>
          </w:tcPr>
          <w:p w14:paraId="7B56485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-2.5</w:t>
            </w:r>
            <w:r>
              <w:rPr>
                <w:rFonts w:ascii="Times New Roman" w:hAnsi="Times New Roman" w:eastAsia="宋体"/>
                <w:color w:val="auto"/>
                <w:sz w:val="15"/>
                <w:szCs w:val="18"/>
                <w:highlight w:val="none"/>
                <w14:ligatures w14:val="standardContextual"/>
              </w:rPr>
              <w:t>9</w:t>
            </w:r>
          </w:p>
        </w:tc>
        <w:tc>
          <w:tcPr>
            <w:tcW w:w="655" w:type="dxa"/>
            <w:tcBorders>
              <w:top w:val="single" w:color="auto" w:sz="6" w:space="0"/>
            </w:tcBorders>
            <w:noWrap/>
            <w:vAlign w:val="center"/>
          </w:tcPr>
          <w:p w14:paraId="3821BA8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-2.7</w:t>
            </w:r>
            <w:r>
              <w:rPr>
                <w:rFonts w:ascii="Times New Roman" w:hAnsi="Times New Roman" w:eastAsia="宋体"/>
                <w:color w:val="auto"/>
                <w:sz w:val="15"/>
                <w:szCs w:val="18"/>
                <w:highlight w:val="none"/>
                <w14:ligatures w14:val="standardContextual"/>
              </w:rPr>
              <w:t>5</w:t>
            </w:r>
          </w:p>
        </w:tc>
      </w:tr>
      <w:tr w14:paraId="70325A8B">
        <w:tblPrEx>
          <w:tblCellMar>
            <w:top w:w="0" w:type="dxa"/>
            <w:left w:w="0" w:type="dxa"/>
            <w:bottom w:w="0" w:type="dxa"/>
            <w:right w:w="0" w:type="dxa"/>
          </w:tblCellMar>
        </w:tblPrEx>
        <w:trPr>
          <w:trHeight w:val="454" w:hRule="atLeast"/>
          <w:jc w:val="center"/>
        </w:trPr>
        <w:tc>
          <w:tcPr>
            <w:tcW w:w="1135" w:type="dxa"/>
            <w:noWrap/>
            <w:vAlign w:val="center"/>
          </w:tcPr>
          <w:p w14:paraId="1604D95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1964</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1979年</w:t>
            </w:r>
          </w:p>
        </w:tc>
        <w:tc>
          <w:tcPr>
            <w:tcW w:w="851" w:type="dxa"/>
            <w:noWrap/>
            <w:vAlign w:val="center"/>
          </w:tcPr>
          <w:p w14:paraId="531293BB">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35.0</w:t>
            </w:r>
            <w:r>
              <w:rPr>
                <w:rFonts w:ascii="Times New Roman" w:hAnsi="Times New Roman" w:eastAsia="宋体"/>
                <w:color w:val="auto"/>
                <w:sz w:val="15"/>
                <w:szCs w:val="18"/>
                <w:highlight w:val="none"/>
                <w14:ligatures w14:val="standardContextual"/>
              </w:rPr>
              <w:t>9</w:t>
            </w:r>
          </w:p>
        </w:tc>
        <w:tc>
          <w:tcPr>
            <w:tcW w:w="851" w:type="dxa"/>
            <w:noWrap/>
            <w:vAlign w:val="center"/>
          </w:tcPr>
          <w:p w14:paraId="0ABA49F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460.3</w:t>
            </w:r>
            <w:r>
              <w:rPr>
                <w:rFonts w:ascii="Times New Roman" w:hAnsi="Times New Roman" w:eastAsia="宋体"/>
                <w:color w:val="auto"/>
                <w:sz w:val="15"/>
                <w:szCs w:val="18"/>
                <w:highlight w:val="none"/>
                <w14:ligatures w14:val="standardContextual"/>
              </w:rPr>
              <w:t>7</w:t>
            </w:r>
          </w:p>
        </w:tc>
        <w:tc>
          <w:tcPr>
            <w:tcW w:w="851" w:type="dxa"/>
            <w:noWrap/>
            <w:vAlign w:val="center"/>
          </w:tcPr>
          <w:p w14:paraId="27B4161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895.2</w:t>
            </w:r>
            <w:r>
              <w:rPr>
                <w:rFonts w:ascii="Times New Roman" w:hAnsi="Times New Roman" w:eastAsia="宋体"/>
                <w:color w:val="auto"/>
                <w:sz w:val="15"/>
                <w:szCs w:val="18"/>
                <w:highlight w:val="none"/>
                <w14:ligatures w14:val="standardContextual"/>
              </w:rPr>
              <w:t>9</w:t>
            </w:r>
          </w:p>
        </w:tc>
        <w:tc>
          <w:tcPr>
            <w:tcW w:w="851" w:type="dxa"/>
            <w:noWrap/>
            <w:vAlign w:val="center"/>
          </w:tcPr>
          <w:p w14:paraId="42BF70C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2.37</w:t>
            </w:r>
          </w:p>
        </w:tc>
        <w:tc>
          <w:tcPr>
            <w:tcW w:w="851" w:type="dxa"/>
            <w:noWrap/>
            <w:vAlign w:val="center"/>
          </w:tcPr>
          <w:p w14:paraId="45556924">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w:t>
            </w:r>
            <w:r>
              <w:rPr>
                <w:rFonts w:ascii="Times New Roman" w:hAnsi="Times New Roman" w:eastAsia="宋体"/>
                <w:color w:val="auto"/>
                <w:sz w:val="15"/>
                <w:szCs w:val="18"/>
                <w:highlight w:val="none"/>
                <w14:ligatures w14:val="standardContextual"/>
              </w:rPr>
              <w:t>8</w:t>
            </w:r>
          </w:p>
        </w:tc>
        <w:tc>
          <w:tcPr>
            <w:tcW w:w="851" w:type="dxa"/>
            <w:noWrap/>
            <w:vAlign w:val="center"/>
          </w:tcPr>
          <w:p w14:paraId="78AF596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1.94</w:t>
            </w:r>
          </w:p>
        </w:tc>
        <w:tc>
          <w:tcPr>
            <w:tcW w:w="685" w:type="dxa"/>
            <w:noWrap/>
            <w:vAlign w:val="center"/>
          </w:tcPr>
          <w:p w14:paraId="7A06922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3.0</w:t>
            </w:r>
            <w:r>
              <w:rPr>
                <w:rFonts w:ascii="Times New Roman" w:hAnsi="Times New Roman" w:eastAsia="宋体"/>
                <w:color w:val="auto"/>
                <w:sz w:val="15"/>
                <w:szCs w:val="18"/>
                <w:highlight w:val="none"/>
                <w14:ligatures w14:val="standardContextual"/>
              </w:rPr>
              <w:t>8</w:t>
            </w:r>
          </w:p>
        </w:tc>
        <w:tc>
          <w:tcPr>
            <w:tcW w:w="655" w:type="dxa"/>
            <w:noWrap/>
            <w:vAlign w:val="center"/>
          </w:tcPr>
          <w:p w14:paraId="692196D7">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-2.0</w:t>
            </w:r>
            <w:r>
              <w:rPr>
                <w:rFonts w:ascii="Times New Roman" w:hAnsi="Times New Roman" w:eastAsia="宋体"/>
                <w:color w:val="auto"/>
                <w:sz w:val="15"/>
                <w:szCs w:val="18"/>
                <w:highlight w:val="none"/>
                <w14:ligatures w14:val="standardContextual"/>
              </w:rPr>
              <w:t>8</w:t>
            </w:r>
          </w:p>
        </w:tc>
        <w:tc>
          <w:tcPr>
            <w:tcW w:w="655" w:type="dxa"/>
            <w:noWrap/>
            <w:vAlign w:val="center"/>
          </w:tcPr>
          <w:p w14:paraId="48A4AA9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-2.34</w:t>
            </w:r>
          </w:p>
        </w:tc>
      </w:tr>
      <w:tr w14:paraId="661576D2">
        <w:tblPrEx>
          <w:tblCellMar>
            <w:top w:w="0" w:type="dxa"/>
            <w:left w:w="0" w:type="dxa"/>
            <w:bottom w:w="0" w:type="dxa"/>
            <w:right w:w="0" w:type="dxa"/>
          </w:tblCellMar>
        </w:tblPrEx>
        <w:trPr>
          <w:trHeight w:val="454" w:hRule="atLeast"/>
          <w:jc w:val="center"/>
        </w:trPr>
        <w:tc>
          <w:tcPr>
            <w:tcW w:w="1135" w:type="dxa"/>
            <w:tcBorders>
              <w:bottom w:val="single" w:color="auto" w:sz="12" w:space="0"/>
            </w:tcBorders>
            <w:noWrap/>
            <w:vAlign w:val="center"/>
          </w:tcPr>
          <w:p w14:paraId="56C87CF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1980</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2022年</w:t>
            </w:r>
          </w:p>
        </w:tc>
        <w:tc>
          <w:tcPr>
            <w:tcW w:w="851" w:type="dxa"/>
            <w:tcBorders>
              <w:bottom w:val="single" w:color="auto" w:sz="12" w:space="0"/>
            </w:tcBorders>
            <w:noWrap/>
            <w:vAlign w:val="center"/>
          </w:tcPr>
          <w:p w14:paraId="646EA396">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16.13</w:t>
            </w:r>
          </w:p>
        </w:tc>
        <w:tc>
          <w:tcPr>
            <w:tcW w:w="851" w:type="dxa"/>
            <w:tcBorders>
              <w:bottom w:val="single" w:color="auto" w:sz="12" w:space="0"/>
            </w:tcBorders>
            <w:noWrap/>
            <w:vAlign w:val="center"/>
          </w:tcPr>
          <w:p w14:paraId="0386908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457.36</w:t>
            </w:r>
          </w:p>
        </w:tc>
        <w:tc>
          <w:tcPr>
            <w:tcW w:w="851" w:type="dxa"/>
            <w:tcBorders>
              <w:bottom w:val="single" w:color="auto" w:sz="12" w:space="0"/>
            </w:tcBorders>
            <w:noWrap/>
            <w:vAlign w:val="center"/>
          </w:tcPr>
          <w:p w14:paraId="5C6264A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912.8</w:t>
            </w:r>
            <w:r>
              <w:rPr>
                <w:rFonts w:ascii="Times New Roman" w:hAnsi="Times New Roman" w:eastAsia="宋体"/>
                <w:color w:val="auto"/>
                <w:sz w:val="15"/>
                <w:szCs w:val="18"/>
                <w:highlight w:val="none"/>
                <w14:ligatures w14:val="standardContextual"/>
              </w:rPr>
              <w:t>5</w:t>
            </w:r>
          </w:p>
        </w:tc>
        <w:tc>
          <w:tcPr>
            <w:tcW w:w="851" w:type="dxa"/>
            <w:tcBorders>
              <w:bottom w:val="single" w:color="auto" w:sz="12" w:space="0"/>
            </w:tcBorders>
            <w:noWrap/>
            <w:vAlign w:val="center"/>
          </w:tcPr>
          <w:p w14:paraId="45BB3E1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3.</w:t>
            </w:r>
            <w:r>
              <w:rPr>
                <w:rFonts w:ascii="Times New Roman" w:hAnsi="Times New Roman" w:eastAsia="宋体"/>
                <w:color w:val="auto"/>
                <w:sz w:val="15"/>
                <w:szCs w:val="18"/>
                <w:highlight w:val="none"/>
                <w14:ligatures w14:val="standardContextual"/>
              </w:rPr>
              <w:t>10</w:t>
            </w:r>
          </w:p>
        </w:tc>
        <w:tc>
          <w:tcPr>
            <w:tcW w:w="851" w:type="dxa"/>
            <w:tcBorders>
              <w:bottom w:val="single" w:color="auto" w:sz="12" w:space="0"/>
            </w:tcBorders>
            <w:noWrap/>
            <w:vAlign w:val="center"/>
          </w:tcPr>
          <w:p w14:paraId="3B48FA40">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0.0</w:t>
            </w:r>
            <w:r>
              <w:rPr>
                <w:rFonts w:ascii="Times New Roman" w:hAnsi="Times New Roman" w:eastAsia="宋体"/>
                <w:color w:val="auto"/>
                <w:sz w:val="15"/>
                <w:szCs w:val="18"/>
                <w:highlight w:val="none"/>
                <w14:ligatures w14:val="standardContextual"/>
              </w:rPr>
              <w:t>4</w:t>
            </w:r>
          </w:p>
        </w:tc>
        <w:tc>
          <w:tcPr>
            <w:tcW w:w="851" w:type="dxa"/>
            <w:tcBorders>
              <w:bottom w:val="single" w:color="auto" w:sz="12" w:space="0"/>
            </w:tcBorders>
            <w:noWrap/>
            <w:vAlign w:val="center"/>
          </w:tcPr>
          <w:p w14:paraId="79B54E8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1.99</w:t>
            </w:r>
          </w:p>
        </w:tc>
        <w:tc>
          <w:tcPr>
            <w:tcW w:w="685" w:type="dxa"/>
            <w:tcBorders>
              <w:bottom w:val="single" w:color="auto" w:sz="12" w:space="0"/>
            </w:tcBorders>
            <w:noWrap/>
            <w:vAlign w:val="center"/>
          </w:tcPr>
          <w:p w14:paraId="3B93673E">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3.8</w:t>
            </w:r>
            <w:r>
              <w:rPr>
                <w:rFonts w:ascii="Times New Roman" w:hAnsi="Times New Roman" w:eastAsia="宋体"/>
                <w:color w:val="auto"/>
                <w:sz w:val="15"/>
                <w:szCs w:val="18"/>
                <w:highlight w:val="none"/>
                <w14:ligatures w14:val="standardContextual"/>
              </w:rPr>
              <w:t>8</w:t>
            </w:r>
          </w:p>
        </w:tc>
        <w:tc>
          <w:tcPr>
            <w:tcW w:w="655" w:type="dxa"/>
            <w:tcBorders>
              <w:bottom w:val="single" w:color="auto" w:sz="12" w:space="0"/>
            </w:tcBorders>
            <w:noWrap/>
            <w:vAlign w:val="center"/>
          </w:tcPr>
          <w:p w14:paraId="20EC7E4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-2.8</w:t>
            </w:r>
            <w:r>
              <w:rPr>
                <w:rFonts w:ascii="Times New Roman" w:hAnsi="Times New Roman" w:eastAsia="宋体"/>
                <w:color w:val="auto"/>
                <w:sz w:val="15"/>
                <w:szCs w:val="18"/>
                <w:highlight w:val="none"/>
                <w14:ligatures w14:val="standardContextual"/>
              </w:rPr>
              <w:t>8</w:t>
            </w:r>
          </w:p>
        </w:tc>
        <w:tc>
          <w:tcPr>
            <w:tcW w:w="655" w:type="dxa"/>
            <w:tcBorders>
              <w:bottom w:val="single" w:color="auto" w:sz="12" w:space="0"/>
            </w:tcBorders>
            <w:noWrap/>
            <w:vAlign w:val="center"/>
          </w:tcPr>
          <w:p w14:paraId="2BB551F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-2.97</w:t>
            </w:r>
          </w:p>
        </w:tc>
      </w:tr>
    </w:tbl>
    <w:p w14:paraId="607C422F">
      <w:pPr>
        <w:ind w:firstLine="420" w:firstLineChars="200"/>
        <w:rPr>
          <w:rFonts w:ascii="Times New Roman" w:hAnsi="Times New Roman" w:eastAsia="宋体"/>
          <w:color w:val="auto"/>
          <w:highlight w:val="none"/>
          <w14:ligatures w14:val="standardContextual"/>
        </w:rPr>
      </w:pPr>
      <w:bookmarkStart w:id="44" w:name="OLE_LINK9"/>
      <w:r>
        <w:rPr>
          <w:rFonts w:hint="eastAsia" w:ascii="Times New Roman" w:hAnsi="Times New Roman" w:eastAsia="宋体"/>
          <w:color w:val="auto"/>
          <w:highlight w:val="none"/>
          <w14:ligatures w14:val="standardContextual"/>
        </w:rPr>
        <w:t>如表5所列</w:t>
      </w:r>
      <w:r>
        <w:rPr>
          <w:rFonts w:ascii="Times New Roman" w:hAnsi="Times New Roman" w:eastAsia="宋体"/>
          <w:color w:val="auto"/>
          <w:highlight w:val="none"/>
          <w14:ligatures w14:val="standardContextual"/>
        </w:rPr>
        <w:t>，基于Budyko假设</w:t>
      </w:r>
      <w:r>
        <w:rPr>
          <w:rFonts w:hint="eastAsia" w:ascii="Times New Roman" w:hAnsi="Times New Roman" w:eastAsia="宋体"/>
          <w:color w:val="auto"/>
          <w:highlight w:val="none"/>
          <w14:ligatures w14:val="standardContextual"/>
        </w:rPr>
        <w:t>计算可得，</w:t>
      </w:r>
      <w:r>
        <w:rPr>
          <w:rFonts w:ascii="Times New Roman" w:hAnsi="Times New Roman" w:eastAsia="宋体"/>
          <w:color w:val="auto"/>
          <w:highlight w:val="none"/>
          <w14:ligatures w14:val="standardContextual"/>
        </w:rPr>
        <w:t>基准期至变化期间</w:t>
      </w:r>
      <w:r>
        <w:rPr>
          <w:rFonts w:hint="eastAsia" w:ascii="Times New Roman" w:hAnsi="Times New Roman" w:eastAsia="宋体"/>
          <w:color w:val="auto"/>
          <w:highlight w:val="none"/>
          <w14:ligatures w14:val="standardContextual"/>
        </w:rPr>
        <w:t>径流总变化量为</w:t>
      </w:r>
      <w:r>
        <w:rPr>
          <w:rFonts w:ascii="Times New Roman" w:hAnsi="Times New Roman" w:eastAsia="宋体"/>
          <w:color w:val="auto"/>
          <w:highlight w:val="none"/>
          <w14:ligatures w14:val="standardContextual"/>
        </w:rPr>
        <w:t>-18.46 mm，与实际径流变化的相对误差为2.59%，可知Budyko中点弹性法对老哈河流域径流变化具有较好的适用性，分解结果具有较高可靠性。降水</w:t>
      </w:r>
      <w:r>
        <w:rPr>
          <w:rFonts w:hint="eastAsia" w:ascii="Times New Roman" w:hAnsi="Times New Roman" w:eastAsia="宋体"/>
          <w:color w:val="auto"/>
          <w:highlight w:val="none"/>
          <w14:ligatures w14:val="standardContextual"/>
        </w:rPr>
        <w:t>和</w:t>
      </w:r>
      <w:r>
        <w:rPr>
          <w:rFonts w:ascii="Times New Roman" w:hAnsi="Times New Roman" w:eastAsia="宋体"/>
          <w:color w:val="auto"/>
          <w:highlight w:val="none"/>
          <w14:ligatures w14:val="standardContextual"/>
        </w:rPr>
        <w:t>潜在蒸散发分别导致径流变化-0.54 mm</w:t>
      </w:r>
      <w:r>
        <w:rPr>
          <w:rFonts w:hint="eastAsia" w:ascii="Times New Roman" w:hAnsi="Times New Roman" w:eastAsia="宋体"/>
          <w:color w:val="auto"/>
          <w:highlight w:val="none"/>
          <w14:ligatures w14:val="standardContextual"/>
        </w:rPr>
        <w:t>和</w:t>
      </w:r>
      <w:r>
        <w:rPr>
          <w:rFonts w:ascii="Times New Roman" w:hAnsi="Times New Roman" w:eastAsia="宋体"/>
          <w:color w:val="auto"/>
          <w:highlight w:val="none"/>
          <w14:ligatures w14:val="standardContextual"/>
        </w:rPr>
        <w:t>-1.14 mm</w:t>
      </w:r>
      <w:r>
        <w:rPr>
          <w:rFonts w:hint="eastAsia" w:ascii="Times New Roman" w:hAnsi="Times New Roman" w:eastAsia="宋体"/>
          <w:color w:val="auto"/>
          <w:highlight w:val="none"/>
          <w14:ligatures w14:val="standardContextual"/>
        </w:rPr>
        <w:t>，气候变化引起的径流变化量合计为-</w:t>
      </w:r>
      <w:r>
        <w:rPr>
          <w:rFonts w:ascii="Times New Roman" w:hAnsi="Times New Roman" w:eastAsia="宋体"/>
          <w:color w:val="auto"/>
          <w:highlight w:val="none"/>
          <w14:ligatures w14:val="standardContextual"/>
        </w:rPr>
        <w:t>1.68 mm</w:t>
      </w:r>
      <w:r>
        <w:rPr>
          <w:rFonts w:hint="eastAsia" w:ascii="Times New Roman" w:hAnsi="Times New Roman" w:eastAsia="宋体"/>
          <w:color w:val="auto"/>
          <w:highlight w:val="none"/>
          <w14:ligatures w14:val="standardContextual"/>
        </w:rPr>
        <w:t>；从而人类活动引起的径流变化量可由Budyko分解估计的总变化量减去气候变化引起的变化量得到，为−16.78 mm。</w:t>
      </w:r>
    </w:p>
    <w:p w14:paraId="1A03F47F">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进一步计算可知，降水变化和潜在蒸散发变化对径流衰减的贡献率分别为</w:t>
      </w:r>
      <w:r>
        <w:rPr>
          <w:rFonts w:ascii="Times New Roman" w:hAnsi="Times New Roman" w:eastAsia="宋体"/>
          <w:color w:val="auto"/>
          <w:highlight w:val="none"/>
          <w14:ligatures w14:val="standardContextual"/>
        </w:rPr>
        <w:t>2.93%和6.18%，二者合计为9.11%，即气候变化对径流衰减的贡献率为9.11%</w:t>
      </w:r>
      <w:r>
        <w:rPr>
          <w:rFonts w:hint="eastAsia" w:ascii="Times New Roman" w:hAnsi="Times New Roman" w:eastAsia="宋体"/>
          <w:color w:val="auto"/>
          <w:highlight w:val="none"/>
          <w14:ligatures w14:val="standardContextual"/>
        </w:rPr>
        <w:t>，人类活动</w:t>
      </w:r>
      <w:r>
        <w:rPr>
          <w:rFonts w:ascii="Times New Roman" w:hAnsi="Times New Roman" w:eastAsia="宋体"/>
          <w:color w:val="auto"/>
          <w:highlight w:val="none"/>
          <w14:ligatures w14:val="standardContextual"/>
        </w:rPr>
        <w:t>变化的贡献率为90.89%。Budyko归因结果表明，变化期老哈河流域径流衰减主要受人类活动变化驱动，气候变化的影响相对较小。</w:t>
      </w:r>
    </w:p>
    <w:p w14:paraId="24C76370">
      <w:pPr>
        <w:jc w:val="center"/>
        <w:rPr>
          <w:rFonts w:ascii="Times New Roman" w:hAnsi="Times New Roman" w:eastAsia="黑体" w:cs="Times New Roman"/>
          <w:color w:val="auto"/>
          <w:sz w:val="18"/>
          <w:szCs w:val="18"/>
          <w:highlight w:val="none"/>
        </w:rPr>
      </w:pPr>
      <w:r>
        <w:rPr>
          <w:rFonts w:hint="eastAsia" w:ascii="Times New Roman" w:hAnsi="Times New Roman" w:eastAsia="黑体" w:cs="Times New Roman"/>
          <w:color w:val="auto"/>
          <w:sz w:val="18"/>
          <w:szCs w:val="18"/>
          <w:highlight w:val="none"/>
        </w:rPr>
        <w:t>表</w:t>
      </w:r>
      <w:r>
        <w:rPr>
          <w:rFonts w:ascii="Times New Roman" w:hAnsi="Times New Roman" w:eastAsia="黑体" w:cs="Times New Roman"/>
          <w:color w:val="auto"/>
          <w:sz w:val="18"/>
          <w:szCs w:val="18"/>
          <w:highlight w:val="none"/>
        </w:rPr>
        <w:t xml:space="preserve">5  </w:t>
      </w:r>
      <w:bookmarkStart w:id="45" w:name="OLE_LINK34"/>
      <w:r>
        <w:rPr>
          <w:rFonts w:ascii="Times New Roman" w:hAnsi="Times New Roman" w:eastAsia="黑体" w:cs="Times New Roman"/>
          <w:color w:val="auto"/>
          <w:sz w:val="18"/>
          <w:szCs w:val="18"/>
          <w:highlight w:val="none"/>
        </w:rPr>
        <w:t>基于Budyko假设</w:t>
      </w:r>
      <w:bookmarkEnd w:id="45"/>
      <w:r>
        <w:rPr>
          <w:rFonts w:ascii="Times New Roman" w:hAnsi="Times New Roman" w:eastAsia="黑体" w:cs="Times New Roman"/>
          <w:color w:val="auto"/>
          <w:sz w:val="18"/>
          <w:szCs w:val="18"/>
          <w:highlight w:val="none"/>
        </w:rPr>
        <w:t>的</w:t>
      </w:r>
      <w:r>
        <w:rPr>
          <w:rFonts w:hint="eastAsia" w:ascii="Times New Roman" w:hAnsi="Times New Roman" w:eastAsia="黑体" w:cs="Times New Roman"/>
          <w:color w:val="auto"/>
          <w:sz w:val="18"/>
          <w:szCs w:val="18"/>
          <w:highlight w:val="none"/>
        </w:rPr>
        <w:t>径流演变归因结果</w:t>
      </w:r>
    </w:p>
    <w:bookmarkEnd w:id="44"/>
    <w:p w14:paraId="103E751D">
      <w:pPr>
        <w:jc w:val="center"/>
        <w:rPr>
          <w:rFonts w:ascii="Times New Roman" w:hAnsi="Times New Roman" w:eastAsia="黑体" w:cs="Times New Roman"/>
          <w:color w:val="auto"/>
          <w:sz w:val="18"/>
          <w:szCs w:val="18"/>
          <w:highlight w:val="none"/>
        </w:rPr>
      </w:pPr>
      <w:r>
        <w:rPr>
          <w:rFonts w:ascii="Times New Roman" w:hAnsi="Times New Roman" w:eastAsia="黑体" w:cs="Times New Roman"/>
          <w:color w:val="auto"/>
          <w:sz w:val="18"/>
          <w:szCs w:val="18"/>
          <w:highlight w:val="none"/>
        </w:rPr>
        <w:t>Table</w:t>
      </w:r>
      <w:r>
        <w:rPr>
          <w:rFonts w:hint="eastAsia" w:ascii="Times New Roman" w:hAnsi="Times New Roman" w:eastAsia="黑体" w:cs="Times New Roman"/>
          <w:color w:val="auto"/>
          <w:sz w:val="18"/>
          <w:szCs w:val="18"/>
          <w:highlight w:val="none"/>
        </w:rPr>
        <w:t xml:space="preserve"> </w:t>
      </w:r>
      <w:r>
        <w:rPr>
          <w:rFonts w:ascii="Times New Roman" w:hAnsi="Times New Roman" w:eastAsia="黑体" w:cs="Times New Roman"/>
          <w:color w:val="auto"/>
          <w:sz w:val="18"/>
          <w:szCs w:val="18"/>
          <w:highlight w:val="none"/>
        </w:rPr>
        <w:t>5  Attribution results of runoff evolution</w:t>
      </w:r>
      <w:r>
        <w:rPr>
          <w:rFonts w:hint="eastAsia" w:ascii="Times New Roman" w:hAnsi="Times New Roman" w:eastAsia="黑体" w:cs="Times New Roman"/>
          <w:color w:val="auto"/>
          <w:sz w:val="18"/>
          <w:szCs w:val="18"/>
          <w:highlight w:val="none"/>
        </w:rPr>
        <w:t xml:space="preserve"> </w:t>
      </w:r>
      <w:r>
        <w:rPr>
          <w:rFonts w:ascii="Times New Roman" w:hAnsi="Times New Roman" w:eastAsia="黑体" w:cs="Times New Roman"/>
          <w:color w:val="auto"/>
          <w:sz w:val="18"/>
          <w:szCs w:val="18"/>
          <w:highlight w:val="none"/>
        </w:rPr>
        <w:t>based on Budyko hypothesis</w:t>
      </w:r>
    </w:p>
    <w:tbl>
      <w:tblPr>
        <w:tblStyle w:val="16"/>
        <w:tblW w:w="8443" w:type="dxa"/>
        <w:jc w:val="center"/>
        <w:tblLayout w:type="fixed"/>
        <w:tblCellMar>
          <w:top w:w="0" w:type="dxa"/>
          <w:left w:w="0" w:type="dxa"/>
          <w:bottom w:w="0" w:type="dxa"/>
          <w:right w:w="0" w:type="dxa"/>
        </w:tblCellMar>
      </w:tblPr>
      <w:tblGrid>
        <w:gridCol w:w="1276"/>
        <w:gridCol w:w="1276"/>
        <w:gridCol w:w="567"/>
        <w:gridCol w:w="567"/>
        <w:gridCol w:w="567"/>
        <w:gridCol w:w="567"/>
        <w:gridCol w:w="709"/>
        <w:gridCol w:w="709"/>
        <w:gridCol w:w="567"/>
        <w:gridCol w:w="567"/>
        <w:gridCol w:w="567"/>
        <w:gridCol w:w="504"/>
      </w:tblGrid>
      <w:tr w14:paraId="633125DA">
        <w:tblPrEx>
          <w:tblCellMar>
            <w:top w:w="0" w:type="dxa"/>
            <w:left w:w="0" w:type="dxa"/>
            <w:bottom w:w="0" w:type="dxa"/>
            <w:right w:w="0" w:type="dxa"/>
          </w:tblCellMar>
        </w:tblPrEx>
        <w:trPr>
          <w:trHeight w:val="276" w:hRule="atLeast"/>
          <w:jc w:val="center"/>
        </w:trPr>
        <w:tc>
          <w:tcPr>
            <w:tcW w:w="1276" w:type="dxa"/>
            <w:vMerge w:val="restart"/>
            <w:tcBorders>
              <w:top w:val="single" w:color="auto" w:sz="12" w:space="0"/>
            </w:tcBorders>
            <w:noWrap/>
            <w:vAlign w:val="center"/>
          </w:tcPr>
          <w:p w14:paraId="471FA091">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基准期</w:t>
            </w:r>
          </w:p>
        </w:tc>
        <w:tc>
          <w:tcPr>
            <w:tcW w:w="1276" w:type="dxa"/>
            <w:vMerge w:val="restart"/>
            <w:tcBorders>
              <w:top w:val="single" w:color="auto" w:sz="12" w:space="0"/>
            </w:tcBorders>
            <w:noWrap/>
            <w:vAlign w:val="center"/>
          </w:tcPr>
          <w:p w14:paraId="235FBC0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变化期</w:t>
            </w:r>
          </w:p>
        </w:tc>
        <w:tc>
          <w:tcPr>
            <w:tcW w:w="2268" w:type="dxa"/>
            <w:gridSpan w:val="4"/>
            <w:tcBorders>
              <w:top w:val="single" w:color="auto" w:sz="12" w:space="0"/>
              <w:bottom w:val="single" w:color="auto" w:sz="4" w:space="0"/>
            </w:tcBorders>
            <w:noWrap/>
            <w:vAlign w:val="center"/>
          </w:tcPr>
          <w:p w14:paraId="2ABC70B2">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各因子导致的径流变化/mm</w:t>
            </w:r>
          </w:p>
        </w:tc>
        <w:tc>
          <w:tcPr>
            <w:tcW w:w="709" w:type="dxa"/>
            <w:vMerge w:val="restart"/>
            <w:tcBorders>
              <w:top w:val="single" w:color="auto" w:sz="12" w:space="0"/>
            </w:tcBorders>
            <w:noWrap/>
            <w:vAlign w:val="center"/>
          </w:tcPr>
          <w:p w14:paraId="1A3C1995">
            <w:pPr>
              <w:jc w:val="center"/>
              <w:rPr>
                <w:rFonts w:ascii="Times New Roman" w:hAnsi="Times New Roman" w:eastAsia="宋体"/>
                <w:color w:val="auto"/>
                <w:sz w:val="15"/>
                <w:szCs w:val="18"/>
                <w:highlight w:val="none"/>
                <w14:ligatures w14:val="standardContextual"/>
              </w:rPr>
            </w:pPr>
            <m:oMath>
              <m:r>
                <m:rPr/>
                <w:rPr>
                  <w:rFonts w:ascii="Cambria Math" w:hAnsi="Cambria Math" w:eastAsia="宋体"/>
                  <w:color w:val="auto"/>
                  <w:sz w:val="15"/>
                  <w:szCs w:val="18"/>
                  <w:highlight w:val="none"/>
                  <w14:ligatures w14:val="standardContextual"/>
                </w:rPr>
                <m:t>∆R</m:t>
              </m:r>
            </m:oMath>
            <w:r>
              <w:rPr>
                <w:rFonts w:hint="eastAsia" w:ascii="Times New Roman" w:hAnsi="Times New Roman" w:eastAsia="宋体"/>
                <w:color w:val="auto"/>
                <w:sz w:val="15"/>
                <w:szCs w:val="18"/>
                <w:highlight w:val="none"/>
                <w14:ligatures w14:val="standardContextual"/>
              </w:rPr>
              <w:t>/mm</w:t>
            </w:r>
          </w:p>
        </w:tc>
        <w:tc>
          <w:tcPr>
            <w:tcW w:w="709" w:type="dxa"/>
            <w:vMerge w:val="restart"/>
            <w:tcBorders>
              <w:top w:val="single" w:color="auto" w:sz="12" w:space="0"/>
            </w:tcBorders>
            <w:noWrap/>
            <w:vAlign w:val="center"/>
          </w:tcPr>
          <w:p w14:paraId="0EAE367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相对误差/%</w:t>
            </w:r>
          </w:p>
        </w:tc>
        <w:tc>
          <w:tcPr>
            <w:tcW w:w="2205" w:type="dxa"/>
            <w:gridSpan w:val="4"/>
            <w:tcBorders>
              <w:top w:val="single" w:color="auto" w:sz="12" w:space="0"/>
              <w:bottom w:val="single" w:color="auto" w:sz="4" w:space="0"/>
            </w:tcBorders>
            <w:noWrap/>
            <w:vAlign w:val="center"/>
          </w:tcPr>
          <w:p w14:paraId="4C6BEB5D">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各因子贡献率/%</w:t>
            </w:r>
          </w:p>
        </w:tc>
      </w:tr>
      <w:tr w14:paraId="29698F8B">
        <w:tblPrEx>
          <w:tblCellMar>
            <w:top w:w="0" w:type="dxa"/>
            <w:left w:w="0" w:type="dxa"/>
            <w:bottom w:w="0" w:type="dxa"/>
            <w:right w:w="0" w:type="dxa"/>
          </w:tblCellMar>
        </w:tblPrEx>
        <w:trPr>
          <w:trHeight w:val="276" w:hRule="atLeast"/>
          <w:jc w:val="center"/>
        </w:trPr>
        <w:tc>
          <w:tcPr>
            <w:tcW w:w="1276" w:type="dxa"/>
            <w:vMerge w:val="continue"/>
            <w:tcBorders>
              <w:bottom w:val="single" w:color="auto" w:sz="6" w:space="0"/>
            </w:tcBorders>
            <w:vAlign w:val="center"/>
          </w:tcPr>
          <w:p w14:paraId="6F85F894">
            <w:pPr>
              <w:jc w:val="center"/>
              <w:rPr>
                <w:rFonts w:ascii="Times New Roman" w:hAnsi="Times New Roman" w:eastAsia="宋体"/>
                <w:color w:val="auto"/>
                <w:sz w:val="15"/>
                <w:szCs w:val="18"/>
                <w:highlight w:val="none"/>
                <w14:ligatures w14:val="standardContextual"/>
              </w:rPr>
            </w:pPr>
          </w:p>
        </w:tc>
        <w:tc>
          <w:tcPr>
            <w:tcW w:w="1276" w:type="dxa"/>
            <w:vMerge w:val="continue"/>
            <w:tcBorders>
              <w:bottom w:val="single" w:color="auto" w:sz="6" w:space="0"/>
            </w:tcBorders>
            <w:vAlign w:val="center"/>
          </w:tcPr>
          <w:p w14:paraId="019E448C">
            <w:pPr>
              <w:jc w:val="center"/>
              <w:rPr>
                <w:rFonts w:ascii="Times New Roman" w:hAnsi="Times New Roman" w:eastAsia="宋体"/>
                <w:color w:val="auto"/>
                <w:sz w:val="15"/>
                <w:szCs w:val="18"/>
                <w:highlight w:val="none"/>
                <w14:ligatures w14:val="standardContextual"/>
              </w:rPr>
            </w:pPr>
          </w:p>
        </w:tc>
        <w:tc>
          <w:tcPr>
            <w:tcW w:w="567" w:type="dxa"/>
            <w:tcBorders>
              <w:top w:val="single" w:color="auto" w:sz="4" w:space="0"/>
              <w:bottom w:val="single" w:color="auto" w:sz="6" w:space="0"/>
            </w:tcBorders>
            <w:noWrap/>
            <w:vAlign w:val="center"/>
          </w:tcPr>
          <w:p w14:paraId="2FB86F39">
            <w:pPr>
              <w:jc w:val="center"/>
              <w:rPr>
                <w:rFonts w:ascii="Times New Roman" w:hAnsi="Times New Roman" w:eastAsia="宋体"/>
                <w:color w:val="auto"/>
                <w:sz w:val="15"/>
                <w:szCs w:val="18"/>
                <w:highlight w:val="none"/>
                <w14:ligatures w14:val="standardContextual"/>
              </w:rPr>
            </w:pPr>
            <m:oMathPara>
              <m:oMath>
                <m:r>
                  <m:rPr/>
                  <w:rPr>
                    <w:rFonts w:ascii="Cambria Math" w:hAnsi="Cambria Math" w:eastAsia="宋体"/>
                    <w:color w:val="auto"/>
                    <w:sz w:val="15"/>
                    <w:szCs w:val="18"/>
                    <w:highlight w:val="none"/>
                    <w14:ligatures w14:val="standardContextual"/>
                  </w:rPr>
                  <m:t>∆</m:t>
                </m:r>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R</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P</m:t>
                    </m:r>
                    <m:ctrlPr>
                      <w:rPr>
                        <w:rFonts w:ascii="Cambria Math" w:hAnsi="Cambria Math" w:eastAsia="宋体"/>
                        <w:i/>
                        <w:color w:val="auto"/>
                        <w:sz w:val="15"/>
                        <w:szCs w:val="18"/>
                        <w:highlight w:val="none"/>
                        <w14:ligatures w14:val="standardContextual"/>
                      </w:rPr>
                    </m:ctrlPr>
                  </m:sub>
                </m:sSub>
              </m:oMath>
            </m:oMathPara>
          </w:p>
        </w:tc>
        <w:tc>
          <w:tcPr>
            <w:tcW w:w="567" w:type="dxa"/>
            <w:tcBorders>
              <w:top w:val="single" w:color="auto" w:sz="4" w:space="0"/>
              <w:bottom w:val="single" w:color="auto" w:sz="6" w:space="0"/>
            </w:tcBorders>
            <w:noWrap/>
            <w:vAlign w:val="center"/>
          </w:tcPr>
          <w:p w14:paraId="518FB8AC">
            <w:pPr>
              <w:jc w:val="center"/>
              <w:rPr>
                <w:rFonts w:ascii="Times New Roman" w:hAnsi="Times New Roman" w:eastAsia="宋体"/>
                <w:color w:val="auto"/>
                <w:sz w:val="15"/>
                <w:szCs w:val="18"/>
                <w:highlight w:val="none"/>
                <w14:ligatures w14:val="standardContextual"/>
              </w:rPr>
            </w:pPr>
            <m:oMathPara>
              <m:oMath>
                <m:r>
                  <m:rPr/>
                  <w:rPr>
                    <w:rFonts w:ascii="Cambria Math" w:hAnsi="Cambria Math" w:eastAsia="宋体"/>
                    <w:color w:val="auto"/>
                    <w:sz w:val="15"/>
                    <w:szCs w:val="18"/>
                    <w:highlight w:val="none"/>
                    <w14:ligatures w14:val="standardContextual"/>
                  </w:rPr>
                  <m:t>∆</m:t>
                </m:r>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R</m:t>
                    </m:r>
                    <m:ctrlPr>
                      <w:rPr>
                        <w:rFonts w:ascii="Cambria Math" w:hAnsi="Cambria Math" w:eastAsia="宋体"/>
                        <w:i/>
                        <w:color w:val="auto"/>
                        <w:sz w:val="15"/>
                        <w:szCs w:val="18"/>
                        <w:highlight w:val="none"/>
                        <w14:ligatures w14:val="standardContextual"/>
                      </w:rPr>
                    </m:ctrlPr>
                  </m:e>
                  <m:sub>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ET</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0</m:t>
                        </m:r>
                        <m:ctrlPr>
                          <w:rPr>
                            <w:rFonts w:ascii="Cambria Math" w:hAnsi="Cambria Math" w:eastAsia="宋体"/>
                            <w:i/>
                            <w:color w:val="auto"/>
                            <w:sz w:val="15"/>
                            <w:szCs w:val="18"/>
                            <w:highlight w:val="none"/>
                            <w14:ligatures w14:val="standardContextual"/>
                          </w:rPr>
                        </m:ctrlPr>
                      </m:sub>
                    </m:sSub>
                    <m:ctrlPr>
                      <w:rPr>
                        <w:rFonts w:ascii="Cambria Math" w:hAnsi="Cambria Math" w:eastAsia="宋体"/>
                        <w:i/>
                        <w:color w:val="auto"/>
                        <w:sz w:val="15"/>
                        <w:szCs w:val="18"/>
                        <w:highlight w:val="none"/>
                        <w14:ligatures w14:val="standardContextual"/>
                      </w:rPr>
                    </m:ctrlPr>
                  </m:sub>
                </m:sSub>
              </m:oMath>
            </m:oMathPara>
          </w:p>
        </w:tc>
        <w:tc>
          <w:tcPr>
            <w:tcW w:w="567" w:type="dxa"/>
            <w:tcBorders>
              <w:top w:val="single" w:color="auto" w:sz="4" w:space="0"/>
              <w:bottom w:val="single" w:color="auto" w:sz="6" w:space="0"/>
            </w:tcBorders>
            <w:noWrap/>
            <w:vAlign w:val="center"/>
          </w:tcPr>
          <w:p w14:paraId="11AC7119">
            <w:pPr>
              <w:jc w:val="center"/>
              <w:rPr>
                <w:rFonts w:ascii="Times New Roman" w:hAnsi="Times New Roman" w:eastAsia="宋体"/>
                <w:color w:val="auto"/>
                <w:sz w:val="15"/>
                <w:szCs w:val="18"/>
                <w:highlight w:val="none"/>
                <w14:ligatures w14:val="standardContextual"/>
              </w:rPr>
            </w:pPr>
            <m:oMathPara>
              <m:oMath>
                <w:bookmarkStart w:id="46" w:name="OLE_LINK12"/>
                <m:r>
                  <m:rPr/>
                  <w:rPr>
                    <w:rFonts w:ascii="Cambria Math" w:hAnsi="Cambria Math" w:eastAsia="宋体"/>
                    <w:color w:val="auto"/>
                    <w:sz w:val="15"/>
                    <w:szCs w:val="18"/>
                    <w:highlight w:val="none"/>
                    <w14:ligatures w14:val="standardContextual"/>
                  </w:rPr>
                  <m:t>∆</m:t>
                </m:r>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R</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n</m:t>
                    </m:r>
                    <w:bookmarkEnd w:id="46"/>
                    <m:ctrlPr>
                      <w:rPr>
                        <w:rFonts w:ascii="Cambria Math" w:hAnsi="Cambria Math" w:eastAsia="宋体"/>
                        <w:i/>
                        <w:color w:val="auto"/>
                        <w:sz w:val="15"/>
                        <w:szCs w:val="18"/>
                        <w:highlight w:val="none"/>
                        <w14:ligatures w14:val="standardContextual"/>
                      </w:rPr>
                    </m:ctrlPr>
                  </m:sub>
                </m:sSub>
              </m:oMath>
            </m:oMathPara>
          </w:p>
        </w:tc>
        <w:tc>
          <w:tcPr>
            <w:tcW w:w="567" w:type="dxa"/>
            <w:tcBorders>
              <w:top w:val="single" w:color="auto" w:sz="4" w:space="0"/>
              <w:bottom w:val="single" w:color="auto" w:sz="6" w:space="0"/>
            </w:tcBorders>
            <w:noWrap/>
            <w:vAlign w:val="center"/>
          </w:tcPr>
          <w:p w14:paraId="1F7B7658">
            <w:pPr>
              <w:jc w:val="center"/>
              <w:rPr>
                <w:rFonts w:ascii="Times New Roman" w:hAnsi="Times New Roman" w:eastAsia="宋体"/>
                <w:color w:val="auto"/>
                <w:sz w:val="15"/>
                <w:szCs w:val="18"/>
                <w:highlight w:val="none"/>
                <w14:ligatures w14:val="standardContextual"/>
              </w:rPr>
            </w:pPr>
            <m:oMathPara>
              <m:oMath>
                <m:r>
                  <m:rPr/>
                  <w:rPr>
                    <w:rFonts w:ascii="Cambria Math" w:hAnsi="Cambria Math" w:eastAsia="宋体"/>
                    <w:color w:val="auto"/>
                    <w:sz w:val="15"/>
                    <w:szCs w:val="18"/>
                    <w:highlight w:val="none"/>
                    <w14:ligatures w14:val="standardContextual"/>
                  </w:rPr>
                  <m:t>∆</m:t>
                </m:r>
                <m:sSup>
                  <m:sSupPr>
                    <m:ctrlPr>
                      <w:rPr>
                        <w:rFonts w:ascii="Cambria Math" w:hAnsi="Cambria Math" w:eastAsia="宋体"/>
                        <w:i/>
                        <w:color w:val="auto"/>
                        <w:sz w:val="15"/>
                        <w:szCs w:val="18"/>
                        <w:highlight w:val="none"/>
                        <w14:ligatures w14:val="standardContextual"/>
                      </w:rPr>
                    </m:ctrlPr>
                  </m:sSupPr>
                  <m:e>
                    <m:r>
                      <m:rPr/>
                      <w:rPr>
                        <w:rFonts w:ascii="Cambria Math" w:hAnsi="Cambria Math" w:eastAsia="宋体"/>
                        <w:color w:val="auto"/>
                        <w:sz w:val="15"/>
                        <w:szCs w:val="18"/>
                        <w:highlight w:val="none"/>
                        <w14:ligatures w14:val="standardContextual"/>
                      </w:rPr>
                      <m:t>R</m:t>
                    </m:r>
                    <m:ctrlPr>
                      <w:rPr>
                        <w:rFonts w:ascii="Cambria Math" w:hAnsi="Cambria Math" w:eastAsia="宋体"/>
                        <w:i/>
                        <w:color w:val="auto"/>
                        <w:sz w:val="15"/>
                        <w:szCs w:val="18"/>
                        <w:highlight w:val="none"/>
                        <w14:ligatures w14:val="standardContextual"/>
                      </w:rPr>
                    </m:ctrlPr>
                  </m:e>
                  <m:sup>
                    <m:r>
                      <m:rPr/>
                      <w:rPr>
                        <w:rFonts w:ascii="Cambria Math" w:hAnsi="Cambria Math" w:eastAsia="宋体"/>
                        <w:color w:val="auto"/>
                        <w:sz w:val="15"/>
                        <w:szCs w:val="18"/>
                        <w:highlight w:val="none"/>
                        <w14:ligatures w14:val="standardContextual"/>
                      </w:rPr>
                      <m:t>'</m:t>
                    </m:r>
                    <m:ctrlPr>
                      <w:rPr>
                        <w:rFonts w:ascii="Cambria Math" w:hAnsi="Cambria Math" w:eastAsia="宋体"/>
                        <w:i/>
                        <w:color w:val="auto"/>
                        <w:sz w:val="15"/>
                        <w:szCs w:val="18"/>
                        <w:highlight w:val="none"/>
                        <w14:ligatures w14:val="standardContextual"/>
                      </w:rPr>
                    </m:ctrlPr>
                  </m:sup>
                </m:sSup>
              </m:oMath>
            </m:oMathPara>
          </w:p>
        </w:tc>
        <w:tc>
          <w:tcPr>
            <w:tcW w:w="709" w:type="dxa"/>
            <w:vMerge w:val="continue"/>
            <w:tcBorders>
              <w:bottom w:val="single" w:color="auto" w:sz="6" w:space="0"/>
            </w:tcBorders>
            <w:vAlign w:val="center"/>
          </w:tcPr>
          <w:p w14:paraId="5E77D287">
            <w:pPr>
              <w:jc w:val="center"/>
              <w:rPr>
                <w:rFonts w:ascii="Times New Roman" w:hAnsi="Times New Roman" w:eastAsia="宋体"/>
                <w:color w:val="auto"/>
                <w:sz w:val="15"/>
                <w:szCs w:val="18"/>
                <w:highlight w:val="none"/>
                <w14:ligatures w14:val="standardContextual"/>
              </w:rPr>
            </w:pPr>
          </w:p>
        </w:tc>
        <w:tc>
          <w:tcPr>
            <w:tcW w:w="709" w:type="dxa"/>
            <w:vMerge w:val="continue"/>
            <w:tcBorders>
              <w:bottom w:val="single" w:color="auto" w:sz="6" w:space="0"/>
            </w:tcBorders>
            <w:vAlign w:val="center"/>
          </w:tcPr>
          <w:p w14:paraId="35D4669A">
            <w:pPr>
              <w:jc w:val="center"/>
              <w:rPr>
                <w:rFonts w:ascii="Times New Roman" w:hAnsi="Times New Roman" w:eastAsia="宋体"/>
                <w:color w:val="auto"/>
                <w:sz w:val="15"/>
                <w:szCs w:val="18"/>
                <w:highlight w:val="none"/>
                <w14:ligatures w14:val="standardContextual"/>
              </w:rPr>
            </w:pPr>
          </w:p>
        </w:tc>
        <w:tc>
          <w:tcPr>
            <w:tcW w:w="567" w:type="dxa"/>
            <w:tcBorders>
              <w:top w:val="single" w:color="auto" w:sz="4" w:space="0"/>
              <w:bottom w:val="single" w:color="auto" w:sz="6" w:space="0"/>
            </w:tcBorders>
            <w:noWrap/>
            <w:vAlign w:val="center"/>
          </w:tcPr>
          <w:p w14:paraId="3070E874">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C</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P</m:t>
                    </m:r>
                    <m:ctrlPr>
                      <w:rPr>
                        <w:rFonts w:ascii="Cambria Math" w:hAnsi="Cambria Math" w:eastAsia="宋体"/>
                        <w:i/>
                        <w:color w:val="auto"/>
                        <w:sz w:val="15"/>
                        <w:szCs w:val="18"/>
                        <w:highlight w:val="none"/>
                        <w14:ligatures w14:val="standardContextual"/>
                      </w:rPr>
                    </m:ctrlPr>
                  </m:sub>
                </m:sSub>
              </m:oMath>
            </m:oMathPara>
          </w:p>
        </w:tc>
        <w:tc>
          <w:tcPr>
            <w:tcW w:w="567" w:type="dxa"/>
            <w:tcBorders>
              <w:top w:val="single" w:color="auto" w:sz="4" w:space="0"/>
              <w:bottom w:val="single" w:color="auto" w:sz="6" w:space="0"/>
            </w:tcBorders>
            <w:noWrap/>
            <w:vAlign w:val="center"/>
          </w:tcPr>
          <w:p w14:paraId="7692810E">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C</m:t>
                    </m:r>
                    <m:ctrlPr>
                      <w:rPr>
                        <w:rFonts w:ascii="Cambria Math" w:hAnsi="Cambria Math" w:eastAsia="宋体"/>
                        <w:i/>
                        <w:color w:val="auto"/>
                        <w:sz w:val="15"/>
                        <w:szCs w:val="18"/>
                        <w:highlight w:val="none"/>
                        <w14:ligatures w14:val="standardContextual"/>
                      </w:rPr>
                    </m:ctrlPr>
                  </m:e>
                  <m:sub>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ET</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0</m:t>
                        </m:r>
                        <m:ctrlPr>
                          <w:rPr>
                            <w:rFonts w:ascii="Cambria Math" w:hAnsi="Cambria Math" w:eastAsia="宋体"/>
                            <w:i/>
                            <w:color w:val="auto"/>
                            <w:sz w:val="15"/>
                            <w:szCs w:val="18"/>
                            <w:highlight w:val="none"/>
                            <w14:ligatures w14:val="standardContextual"/>
                          </w:rPr>
                        </m:ctrlPr>
                      </m:sub>
                    </m:sSub>
                    <m:ctrlPr>
                      <w:rPr>
                        <w:rFonts w:ascii="Cambria Math" w:hAnsi="Cambria Math" w:eastAsia="宋体"/>
                        <w:i/>
                        <w:color w:val="auto"/>
                        <w:sz w:val="15"/>
                        <w:szCs w:val="18"/>
                        <w:highlight w:val="none"/>
                        <w14:ligatures w14:val="standardContextual"/>
                      </w:rPr>
                    </m:ctrlPr>
                  </m:sub>
                </m:sSub>
              </m:oMath>
            </m:oMathPara>
          </w:p>
        </w:tc>
        <w:tc>
          <w:tcPr>
            <w:tcW w:w="567" w:type="dxa"/>
            <w:tcBorders>
              <w:top w:val="single" w:color="auto" w:sz="4" w:space="0"/>
              <w:bottom w:val="single" w:color="auto" w:sz="6" w:space="0"/>
            </w:tcBorders>
            <w:noWrap/>
            <w:vAlign w:val="center"/>
          </w:tcPr>
          <w:p w14:paraId="6D6DEAE6">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C</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n</m:t>
                    </m:r>
                    <m:ctrlPr>
                      <w:rPr>
                        <w:rFonts w:ascii="Cambria Math" w:hAnsi="Cambria Math" w:eastAsia="宋体"/>
                        <w:i/>
                        <w:color w:val="auto"/>
                        <w:sz w:val="15"/>
                        <w:szCs w:val="18"/>
                        <w:highlight w:val="none"/>
                        <w14:ligatures w14:val="standardContextual"/>
                      </w:rPr>
                    </m:ctrlPr>
                  </m:sub>
                </m:sSub>
              </m:oMath>
            </m:oMathPara>
          </w:p>
        </w:tc>
        <w:tc>
          <w:tcPr>
            <w:tcW w:w="504" w:type="dxa"/>
            <w:tcBorders>
              <w:top w:val="single" w:color="auto" w:sz="4" w:space="0"/>
              <w:bottom w:val="single" w:color="auto" w:sz="6" w:space="0"/>
            </w:tcBorders>
            <w:noWrap/>
            <w:vAlign w:val="center"/>
          </w:tcPr>
          <w:p w14:paraId="2CD95A4A">
            <w:pPr>
              <w:jc w:val="center"/>
              <w:rPr>
                <w:rFonts w:ascii="Times New Roman" w:hAnsi="Times New Roman" w:eastAsia="宋体"/>
                <w:color w:val="auto"/>
                <w:sz w:val="15"/>
                <w:szCs w:val="18"/>
                <w:highlight w:val="none"/>
                <w14:ligatures w14:val="standardContextual"/>
              </w:rPr>
            </w:pPr>
            <m:oMathPara>
              <m:oMath>
                <m:sSub>
                  <m:sSubPr>
                    <m:ctrlPr>
                      <w:rPr>
                        <w:rFonts w:ascii="Cambria Math" w:hAnsi="Cambria Math" w:eastAsia="宋体"/>
                        <w:i/>
                        <w:color w:val="auto"/>
                        <w:sz w:val="15"/>
                        <w:szCs w:val="18"/>
                        <w:highlight w:val="none"/>
                        <w14:ligatures w14:val="standardContextual"/>
                      </w:rPr>
                    </m:ctrlPr>
                  </m:sSubPr>
                  <m:e>
                    <m:r>
                      <m:rPr/>
                      <w:rPr>
                        <w:rFonts w:ascii="Cambria Math" w:hAnsi="Cambria Math" w:eastAsia="宋体"/>
                        <w:color w:val="auto"/>
                        <w:sz w:val="15"/>
                        <w:szCs w:val="18"/>
                        <w:highlight w:val="none"/>
                        <w14:ligatures w14:val="standardContextual"/>
                      </w:rPr>
                      <m:t>C</m:t>
                    </m:r>
                    <m:ctrlPr>
                      <w:rPr>
                        <w:rFonts w:ascii="Cambria Math" w:hAnsi="Cambria Math" w:eastAsia="宋体"/>
                        <w:i/>
                        <w:color w:val="auto"/>
                        <w:sz w:val="15"/>
                        <w:szCs w:val="18"/>
                        <w:highlight w:val="none"/>
                        <w14:ligatures w14:val="standardContextual"/>
                      </w:rPr>
                    </m:ctrlPr>
                  </m:e>
                  <m:sub>
                    <m:r>
                      <m:rPr/>
                      <w:rPr>
                        <w:rFonts w:ascii="Cambria Math" w:hAnsi="Cambria Math" w:eastAsia="宋体"/>
                        <w:color w:val="auto"/>
                        <w:sz w:val="15"/>
                        <w:szCs w:val="18"/>
                        <w:highlight w:val="none"/>
                        <w14:ligatures w14:val="standardContextual"/>
                      </w:rPr>
                      <m:t>CC</m:t>
                    </m:r>
                    <m:ctrlPr>
                      <w:rPr>
                        <w:rFonts w:ascii="Cambria Math" w:hAnsi="Cambria Math" w:eastAsia="宋体"/>
                        <w:i/>
                        <w:color w:val="auto"/>
                        <w:sz w:val="15"/>
                        <w:szCs w:val="18"/>
                        <w:highlight w:val="none"/>
                        <w14:ligatures w14:val="standardContextual"/>
                      </w:rPr>
                    </m:ctrlPr>
                  </m:sub>
                </m:sSub>
              </m:oMath>
            </m:oMathPara>
          </w:p>
        </w:tc>
      </w:tr>
      <w:tr w14:paraId="3F73C6EE">
        <w:tblPrEx>
          <w:tblCellMar>
            <w:top w:w="0" w:type="dxa"/>
            <w:left w:w="0" w:type="dxa"/>
            <w:bottom w:w="0" w:type="dxa"/>
            <w:right w:w="0" w:type="dxa"/>
          </w:tblCellMar>
        </w:tblPrEx>
        <w:trPr>
          <w:trHeight w:val="567" w:hRule="atLeast"/>
          <w:jc w:val="center"/>
        </w:trPr>
        <w:tc>
          <w:tcPr>
            <w:tcW w:w="1276" w:type="dxa"/>
            <w:tcBorders>
              <w:bottom w:val="single" w:color="auto" w:sz="12" w:space="0"/>
            </w:tcBorders>
            <w:noWrap/>
            <w:vAlign w:val="center"/>
          </w:tcPr>
          <w:p w14:paraId="51B485FC">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1964</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1979年</w:t>
            </w:r>
          </w:p>
        </w:tc>
        <w:tc>
          <w:tcPr>
            <w:tcW w:w="1276" w:type="dxa"/>
            <w:tcBorders>
              <w:bottom w:val="single" w:color="auto" w:sz="12" w:space="0"/>
            </w:tcBorders>
            <w:noWrap/>
            <w:vAlign w:val="center"/>
          </w:tcPr>
          <w:p w14:paraId="1585011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1980</w:t>
            </w:r>
            <w:r>
              <w:rPr>
                <w:rFonts w:ascii="Times New Roman" w:hAnsi="Times New Roman" w:eastAsia="宋体"/>
                <w:color w:val="auto"/>
                <w:sz w:val="15"/>
                <w:szCs w:val="18"/>
                <w:highlight w:val="none"/>
                <w14:ligatures w14:val="standardContextual"/>
              </w:rPr>
              <w:t>—</w:t>
            </w:r>
            <w:r>
              <w:rPr>
                <w:rFonts w:hint="eastAsia" w:ascii="Times New Roman" w:hAnsi="Times New Roman" w:eastAsia="宋体"/>
                <w:color w:val="auto"/>
                <w:sz w:val="15"/>
                <w:szCs w:val="18"/>
                <w:highlight w:val="none"/>
                <w14:ligatures w14:val="standardContextual"/>
              </w:rPr>
              <w:t>2022年</w:t>
            </w:r>
          </w:p>
        </w:tc>
        <w:tc>
          <w:tcPr>
            <w:tcW w:w="567" w:type="dxa"/>
            <w:tcBorders>
              <w:bottom w:val="single" w:color="auto" w:sz="12" w:space="0"/>
            </w:tcBorders>
            <w:noWrap/>
            <w:vAlign w:val="center"/>
          </w:tcPr>
          <w:p w14:paraId="2A88BD4F">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-0.54</w:t>
            </w:r>
          </w:p>
        </w:tc>
        <w:tc>
          <w:tcPr>
            <w:tcW w:w="567" w:type="dxa"/>
            <w:tcBorders>
              <w:bottom w:val="single" w:color="auto" w:sz="12" w:space="0"/>
            </w:tcBorders>
            <w:noWrap/>
            <w:vAlign w:val="center"/>
          </w:tcPr>
          <w:p w14:paraId="5AD3384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-1.14</w:t>
            </w:r>
          </w:p>
        </w:tc>
        <w:tc>
          <w:tcPr>
            <w:tcW w:w="567" w:type="dxa"/>
            <w:tcBorders>
              <w:bottom w:val="single" w:color="auto" w:sz="12" w:space="0"/>
            </w:tcBorders>
            <w:noWrap/>
            <w:vAlign w:val="center"/>
          </w:tcPr>
          <w:p w14:paraId="74228E3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-16.78</w:t>
            </w:r>
          </w:p>
        </w:tc>
        <w:tc>
          <w:tcPr>
            <w:tcW w:w="567" w:type="dxa"/>
            <w:tcBorders>
              <w:bottom w:val="single" w:color="auto" w:sz="12" w:space="0"/>
            </w:tcBorders>
            <w:noWrap/>
            <w:vAlign w:val="center"/>
          </w:tcPr>
          <w:p w14:paraId="6CB714C5">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-18.4</w:t>
            </w:r>
            <w:r>
              <w:rPr>
                <w:rFonts w:ascii="Times New Roman" w:hAnsi="Times New Roman" w:eastAsia="宋体"/>
                <w:color w:val="auto"/>
                <w:sz w:val="15"/>
                <w:szCs w:val="18"/>
                <w:highlight w:val="none"/>
                <w14:ligatures w14:val="standardContextual"/>
              </w:rPr>
              <w:t>6</w:t>
            </w:r>
          </w:p>
        </w:tc>
        <w:tc>
          <w:tcPr>
            <w:tcW w:w="709" w:type="dxa"/>
            <w:tcBorders>
              <w:bottom w:val="single" w:color="auto" w:sz="12" w:space="0"/>
            </w:tcBorders>
            <w:noWrap/>
            <w:vAlign w:val="center"/>
          </w:tcPr>
          <w:p w14:paraId="46A4B158">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-18.95</w:t>
            </w:r>
          </w:p>
        </w:tc>
        <w:tc>
          <w:tcPr>
            <w:tcW w:w="709" w:type="dxa"/>
            <w:tcBorders>
              <w:bottom w:val="single" w:color="auto" w:sz="12" w:space="0"/>
            </w:tcBorders>
            <w:noWrap/>
            <w:vAlign w:val="center"/>
          </w:tcPr>
          <w:p w14:paraId="37344679">
            <w:pPr>
              <w:jc w:val="center"/>
              <w:rPr>
                <w:rFonts w:ascii="Times New Roman" w:hAnsi="Times New Roman" w:eastAsia="宋体"/>
                <w:color w:val="auto"/>
                <w:sz w:val="15"/>
                <w:szCs w:val="18"/>
                <w:highlight w:val="none"/>
                <w14:ligatures w14:val="standardContextual"/>
              </w:rPr>
            </w:pPr>
            <w:r>
              <w:rPr>
                <w:rFonts w:hint="eastAsia" w:ascii="Times New Roman" w:hAnsi="Times New Roman" w:eastAsia="宋体"/>
                <w:color w:val="auto"/>
                <w:sz w:val="15"/>
                <w:szCs w:val="18"/>
                <w:highlight w:val="none"/>
                <w14:ligatures w14:val="standardContextual"/>
              </w:rPr>
              <w:t>2.5</w:t>
            </w:r>
            <w:r>
              <w:rPr>
                <w:rFonts w:ascii="Times New Roman" w:hAnsi="Times New Roman" w:eastAsia="宋体"/>
                <w:color w:val="auto"/>
                <w:sz w:val="15"/>
                <w:szCs w:val="18"/>
                <w:highlight w:val="none"/>
                <w14:ligatures w14:val="standardContextual"/>
              </w:rPr>
              <w:t>9</w:t>
            </w:r>
          </w:p>
        </w:tc>
        <w:tc>
          <w:tcPr>
            <w:tcW w:w="567" w:type="dxa"/>
            <w:tcBorders>
              <w:bottom w:val="single" w:color="auto" w:sz="12" w:space="0"/>
            </w:tcBorders>
            <w:noWrap/>
            <w:vAlign w:val="center"/>
          </w:tcPr>
          <w:p w14:paraId="6B807110">
            <w:pPr>
              <w:jc w:val="center"/>
              <w:rPr>
                <w:rFonts w:ascii="Times New Roman" w:hAnsi="Times New Roman" w:eastAsia="宋体"/>
                <w:color w:val="auto"/>
                <w:sz w:val="15"/>
                <w:szCs w:val="18"/>
                <w:highlight w:val="none"/>
                <w14:ligatures w14:val="standardContextual"/>
              </w:rPr>
            </w:pPr>
            <w:r>
              <w:rPr>
                <w:rFonts w:ascii="Times New Roman" w:hAnsi="Times New Roman" w:eastAsia="宋体"/>
                <w:color w:val="auto"/>
                <w:sz w:val="15"/>
                <w:szCs w:val="18"/>
                <w:highlight w:val="none"/>
                <w14:ligatures w14:val="standardContextual"/>
              </w:rPr>
              <w:t>2.93</w:t>
            </w:r>
          </w:p>
        </w:tc>
        <w:tc>
          <w:tcPr>
            <w:tcW w:w="567" w:type="dxa"/>
            <w:tcBorders>
              <w:bottom w:val="single" w:color="auto" w:sz="12" w:space="0"/>
            </w:tcBorders>
            <w:noWrap/>
            <w:vAlign w:val="center"/>
          </w:tcPr>
          <w:p w14:paraId="397E5C3D">
            <w:pPr>
              <w:jc w:val="center"/>
              <w:rPr>
                <w:rFonts w:ascii="Times New Roman" w:hAnsi="Times New Roman" w:eastAsia="宋体"/>
                <w:color w:val="auto"/>
                <w:sz w:val="15"/>
                <w:szCs w:val="18"/>
                <w:highlight w:val="none"/>
                <w14:ligatures w14:val="standardContextual"/>
              </w:rPr>
            </w:pPr>
            <w:r>
              <w:rPr>
                <w:rFonts w:ascii="Times New Roman" w:hAnsi="Times New Roman" w:eastAsia="宋体"/>
                <w:color w:val="auto"/>
                <w:sz w:val="15"/>
                <w:szCs w:val="18"/>
                <w:highlight w:val="none"/>
                <w14:ligatures w14:val="standardContextual"/>
              </w:rPr>
              <w:t>6.18</w:t>
            </w:r>
          </w:p>
        </w:tc>
        <w:tc>
          <w:tcPr>
            <w:tcW w:w="567" w:type="dxa"/>
            <w:tcBorders>
              <w:bottom w:val="single" w:color="auto" w:sz="12" w:space="0"/>
            </w:tcBorders>
            <w:noWrap/>
            <w:vAlign w:val="center"/>
          </w:tcPr>
          <w:p w14:paraId="3FA55984">
            <w:pPr>
              <w:jc w:val="center"/>
              <w:rPr>
                <w:rFonts w:ascii="Times New Roman" w:hAnsi="Times New Roman" w:eastAsia="宋体"/>
                <w:color w:val="auto"/>
                <w:sz w:val="15"/>
                <w:szCs w:val="18"/>
                <w:highlight w:val="none"/>
                <w14:ligatures w14:val="standardContextual"/>
              </w:rPr>
            </w:pPr>
            <w:r>
              <w:rPr>
                <w:rFonts w:ascii="Times New Roman" w:hAnsi="Times New Roman" w:eastAsia="宋体"/>
                <w:color w:val="auto"/>
                <w:sz w:val="15"/>
                <w:szCs w:val="18"/>
                <w:highlight w:val="none"/>
                <w14:ligatures w14:val="standardContextual"/>
              </w:rPr>
              <w:t>90.89</w:t>
            </w:r>
          </w:p>
        </w:tc>
        <w:tc>
          <w:tcPr>
            <w:tcW w:w="504" w:type="dxa"/>
            <w:tcBorders>
              <w:bottom w:val="single" w:color="auto" w:sz="12" w:space="0"/>
            </w:tcBorders>
            <w:noWrap/>
            <w:vAlign w:val="center"/>
          </w:tcPr>
          <w:p w14:paraId="4567F020">
            <w:pPr>
              <w:jc w:val="center"/>
              <w:rPr>
                <w:rFonts w:ascii="Times New Roman" w:hAnsi="Times New Roman" w:eastAsia="宋体"/>
                <w:color w:val="auto"/>
                <w:sz w:val="15"/>
                <w:szCs w:val="18"/>
                <w:highlight w:val="none"/>
                <w14:ligatures w14:val="standardContextual"/>
              </w:rPr>
            </w:pPr>
            <w:r>
              <w:rPr>
                <w:rFonts w:ascii="Times New Roman" w:hAnsi="Times New Roman" w:eastAsia="宋体"/>
                <w:color w:val="auto"/>
                <w:sz w:val="15"/>
                <w:szCs w:val="18"/>
                <w:highlight w:val="none"/>
                <w14:ligatures w14:val="standardContextual"/>
              </w:rPr>
              <w:t>9.11</w:t>
            </w:r>
          </w:p>
        </w:tc>
      </w:tr>
    </w:tbl>
    <w:p w14:paraId="57A360FE">
      <w:pPr>
        <w:ind w:firstLine="420" w:firstLineChars="200"/>
        <w:rPr>
          <w:color w:val="auto"/>
          <w:highlight w:val="none"/>
        </w:rPr>
      </w:pPr>
      <w:r>
        <w:rPr>
          <w:rFonts w:hint="eastAsia" w:ascii="Times New Roman" w:hAnsi="Times New Roman" w:eastAsia="宋体"/>
          <w:color w:val="auto"/>
          <w:highlight w:val="none"/>
          <w14:ligatures w14:val="standardContextual"/>
        </w:rPr>
        <w:t>将</w:t>
      </w:r>
      <w:r>
        <w:rPr>
          <w:rFonts w:ascii="Times New Roman" w:hAnsi="Times New Roman" w:eastAsia="宋体"/>
          <w:color w:val="auto"/>
          <w:highlight w:val="none"/>
          <w14:ligatures w14:val="standardContextual"/>
        </w:rPr>
        <w:t>Budyko结果与SWAT-Informer情景归因结果对比可知，尽管两种方法在贡献率数值上存在一定差异，但在主导因子识别上具有较好一致性。其原因在于，SWAT-Informer方法基于天然情景重建，强调过程模拟与残差修正</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而Budyko方法基于多年平均水热平衡关系，侧重长期尺度的弹性响应，两者在理论基础和参数表达上存在差异，因此贡献率数值不完全一致是合理的。总体而言，两类方法均表明1979年以后老哈河流域径流减少主要受人类活动驱动，且其贡献明显高于气候变化，说明本文基于SWAT-Informer模型得到</w:t>
      </w:r>
      <w:r>
        <w:rPr>
          <w:rFonts w:hint="eastAsia" w:ascii="Times New Roman" w:hAnsi="Times New Roman" w:eastAsia="宋体"/>
          <w:color w:val="auto"/>
          <w:highlight w:val="none"/>
          <w14:ligatures w14:val="standardContextual"/>
        </w:rPr>
        <w:t>的归因结论具有较好的稳健性和可信性。该结果也与已有研究结论一致，即</w:t>
      </w:r>
      <w:r>
        <w:rPr>
          <w:rFonts w:ascii="Times New Roman" w:hAnsi="Times New Roman" w:eastAsia="宋体"/>
          <w:color w:val="auto"/>
          <w:highlight w:val="none"/>
          <w14:ligatures w14:val="standardContextual"/>
        </w:rPr>
        <w:t>1979年以后老哈河流域径流衰减以人类活动影响为主，气候变化作用相对次要</w:t>
      </w:r>
      <w:r>
        <w:rPr>
          <w:rFonts w:ascii="Times New Roman" w:hAnsi="Times New Roman" w:eastAsia="宋体"/>
          <w:color w:val="auto"/>
          <w:highlight w:val="none"/>
          <w:vertAlign w:val="superscript"/>
          <w14:ligatures w14:val="standardContextual"/>
        </w:rPr>
        <w:t>[38]</w:t>
      </w:r>
      <w:r>
        <w:rPr>
          <w:rFonts w:ascii="Times New Roman" w:hAnsi="Times New Roman" w:eastAsia="宋体"/>
          <w:color w:val="auto"/>
          <w:highlight w:val="none"/>
          <w14:ligatures w14:val="standardContextual"/>
        </w:rPr>
        <w:t>。</w:t>
      </w:r>
      <w:bookmarkEnd w:id="39"/>
    </w:p>
    <w:bookmarkEnd w:id="42"/>
    <w:p w14:paraId="31CCC385">
      <w:pPr>
        <w:pStyle w:val="2"/>
        <w:spacing w:before="0" w:after="0" w:line="240" w:lineRule="auto"/>
        <w:ind w:left="720" w:hanging="720"/>
        <w:rPr>
          <w:rFonts w:cs="Times New Roman"/>
          <w:b w:val="0"/>
          <w:color w:val="auto"/>
          <w:szCs w:val="28"/>
          <w:highlight w:val="none"/>
          <w14:ligatures w14:val="none"/>
        </w:rPr>
      </w:pPr>
      <w:bookmarkStart w:id="47" w:name="_Hlk233971673"/>
      <w:r>
        <w:rPr>
          <w:rFonts w:hint="eastAsia" w:cs="Times New Roman"/>
          <w:b w:val="0"/>
          <w:color w:val="auto"/>
          <w:szCs w:val="28"/>
          <w:highlight w:val="none"/>
          <w14:ligatures w14:val="none"/>
        </w:rPr>
        <w:t>4</w:t>
      </w:r>
      <w:r>
        <w:rPr>
          <w:rFonts w:cs="Times New Roman"/>
          <w:b w:val="0"/>
          <w:color w:val="auto"/>
          <w:szCs w:val="28"/>
          <w:highlight w:val="none"/>
          <w14:ligatures w14:val="none"/>
        </w:rPr>
        <w:t xml:space="preserve"> </w:t>
      </w:r>
      <w:r>
        <w:rPr>
          <w:rFonts w:hint="eastAsia" w:cs="Times New Roman"/>
          <w:b w:val="0"/>
          <w:color w:val="auto"/>
          <w:szCs w:val="28"/>
          <w:highlight w:val="none"/>
          <w14:ligatures w14:val="none"/>
        </w:rPr>
        <w:t>讨论</w:t>
      </w:r>
    </w:p>
    <w:p w14:paraId="17759797">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本文将机器学习方法用于</w:t>
      </w:r>
      <w:r>
        <w:rPr>
          <w:rFonts w:ascii="Times New Roman" w:hAnsi="Times New Roman" w:eastAsia="宋体"/>
          <w:color w:val="auto"/>
          <w:highlight w:val="none"/>
          <w14:ligatures w14:val="standardContextual"/>
        </w:rPr>
        <w:t>SWAT模拟</w:t>
      </w:r>
      <w:r>
        <w:rPr>
          <w:rFonts w:hint="eastAsia" w:ascii="Times New Roman" w:hAnsi="Times New Roman" w:eastAsia="宋体"/>
          <w:color w:val="auto"/>
          <w:highlight w:val="none"/>
          <w14:ligatures w14:val="standardContextual"/>
        </w:rPr>
        <w:t>残差</w:t>
      </w:r>
      <w:r>
        <w:rPr>
          <w:rFonts w:ascii="Times New Roman" w:hAnsi="Times New Roman" w:eastAsia="宋体"/>
          <w:color w:val="auto"/>
          <w:highlight w:val="none"/>
          <w14:ligatures w14:val="standardContextual"/>
        </w:rPr>
        <w:t>后处理，</w:t>
      </w:r>
      <w:r>
        <w:rPr>
          <w:rFonts w:hint="eastAsia" w:ascii="Times New Roman" w:hAnsi="Times New Roman" w:eastAsia="宋体"/>
          <w:color w:val="auto"/>
          <w:highlight w:val="none"/>
          <w14:ligatures w14:val="standardContextual"/>
        </w:rPr>
        <w:t>旨在保留流域水文过程约束并提高天然径流重建精度</w:t>
      </w:r>
      <w:r>
        <w:rPr>
          <w:rFonts w:ascii="Times New Roman" w:hAnsi="Times New Roman" w:eastAsia="宋体"/>
          <w:color w:val="auto"/>
          <w:highlight w:val="none"/>
          <w14:ligatures w14:val="standardContextual"/>
        </w:rPr>
        <w:t>。结果表明，SWAT-RF、SWAT-LSTM和SWAT-Informer均较SWAT模型取得了更好的模拟效果，其中SWAT-Informer在月尺度径流模拟和过程拟合方面表现最优。半干旱区水文过程受气候波动</w:t>
      </w:r>
      <w:r>
        <w:rPr>
          <w:rFonts w:hint="eastAsia" w:ascii="Times New Roman" w:hAnsi="Times New Roman" w:eastAsia="宋体"/>
          <w:color w:val="auto"/>
          <w:highlight w:val="none"/>
          <w14:ligatures w14:val="standardContextual"/>
        </w:rPr>
        <w:t>和</w:t>
      </w:r>
      <w:r>
        <w:rPr>
          <w:rFonts w:ascii="Times New Roman" w:hAnsi="Times New Roman" w:eastAsia="宋体"/>
          <w:color w:val="auto"/>
          <w:highlight w:val="none"/>
          <w14:ligatures w14:val="standardContextual"/>
        </w:rPr>
        <w:t>人为扰动共同影响，灌溉取水、地下水开采及小型拦蓄工程等过程难以在SWAT参数体系中充分表征，使模型</w:t>
      </w:r>
      <w:r>
        <w:rPr>
          <w:rFonts w:hint="eastAsia" w:ascii="Times New Roman" w:hAnsi="Times New Roman" w:eastAsia="宋体"/>
          <w:color w:val="auto"/>
          <w:highlight w:val="none"/>
          <w14:ligatures w14:val="standardContextual"/>
        </w:rPr>
        <w:t>误差</w:t>
      </w:r>
      <w:r>
        <w:rPr>
          <w:rFonts w:ascii="Times New Roman" w:hAnsi="Times New Roman" w:eastAsia="宋体"/>
          <w:color w:val="auto"/>
          <w:highlight w:val="none"/>
          <w14:ligatures w14:val="standardContextual"/>
        </w:rPr>
        <w:t>呈现明显的非线性和时序依赖特征</w:t>
      </w:r>
      <w:r>
        <w:rPr>
          <w:rFonts w:ascii="Times New Roman" w:hAnsi="Times New Roman" w:eastAsia="宋体"/>
          <w:color w:val="auto"/>
          <w:highlight w:val="none"/>
          <w:vertAlign w:val="superscript"/>
          <w14:ligatures w14:val="standardContextual"/>
        </w:rPr>
        <w:t>[39]</w:t>
      </w:r>
      <w:r>
        <w:rPr>
          <w:rFonts w:ascii="Times New Roman" w:hAnsi="Times New Roman" w:eastAsia="宋体"/>
          <w:color w:val="auto"/>
          <w:highlight w:val="none"/>
          <w14:ligatures w14:val="standardContextual"/>
        </w:rPr>
        <w:t>。相比RF和LSTM，Informer对长序列依赖信息的提取能力更强，因而在峰值修正、低流量刻画和系统偏差控制方面更具优势。由于径流归因高度依赖变化期天然径流的可靠重建，混合模型模拟能力的提升为气候变化</w:t>
      </w:r>
      <w:r>
        <w:rPr>
          <w:rFonts w:hint="eastAsia" w:ascii="Times New Roman" w:hAnsi="Times New Roman" w:eastAsia="宋体"/>
          <w:color w:val="auto"/>
          <w:highlight w:val="none"/>
          <w14:ligatures w14:val="standardContextual"/>
        </w:rPr>
        <w:t>和</w:t>
      </w:r>
      <w:r>
        <w:rPr>
          <w:rFonts w:ascii="Times New Roman" w:hAnsi="Times New Roman" w:eastAsia="宋体"/>
          <w:color w:val="auto"/>
          <w:highlight w:val="none"/>
          <w14:ligatures w14:val="standardContextual"/>
        </w:rPr>
        <w:t>人类活动贡献的定量划分提供了更稳健的基础。本文基于SWAT-Informer重建的天然径流整体高于变化期实测径流，且与Budyko方法在主导因子识别上保持一致，说明引入</w:t>
      </w:r>
      <w:r>
        <w:rPr>
          <w:rFonts w:hint="eastAsia" w:ascii="Times New Roman" w:hAnsi="Times New Roman" w:eastAsia="宋体"/>
          <w:color w:val="auto"/>
          <w:highlight w:val="none"/>
          <w14:ligatures w14:val="standardContextual"/>
        </w:rPr>
        <w:t>残差</w:t>
      </w:r>
      <w:r>
        <w:rPr>
          <w:rFonts w:ascii="Times New Roman" w:hAnsi="Times New Roman" w:eastAsia="宋体"/>
          <w:color w:val="auto"/>
          <w:highlight w:val="none"/>
          <w14:ligatures w14:val="standardContextual"/>
        </w:rPr>
        <w:t>后处理能够提升归因结果的可信度。</w:t>
      </w:r>
    </w:p>
    <w:p w14:paraId="15454045">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归因结果表明，老哈河流域</w:t>
      </w:r>
      <w:r>
        <w:rPr>
          <w:rFonts w:ascii="Times New Roman" w:hAnsi="Times New Roman" w:eastAsia="宋体"/>
          <w:color w:val="auto"/>
          <w:highlight w:val="none"/>
          <w14:ligatures w14:val="standardContextual"/>
        </w:rPr>
        <w:t>1979年以后径流衰减主要受人类活动驱动，气候变化贡献相对较小。</w:t>
      </w:r>
      <w:bookmarkStart w:id="48" w:name="OLE_LINK10"/>
      <w:r>
        <w:rPr>
          <w:rFonts w:hint="eastAsia" w:ascii="Times New Roman" w:hAnsi="Times New Roman" w:eastAsia="宋体"/>
          <w:color w:val="auto"/>
          <w:highlight w:val="none"/>
          <w14:ligatures w14:val="standardContextual"/>
        </w:rPr>
        <w:t>据《水资源年鉴》统计，</w:t>
      </w:r>
      <w:r>
        <w:rPr>
          <w:rFonts w:ascii="Times New Roman" w:hAnsi="Times New Roman" w:eastAsia="宋体"/>
          <w:color w:val="auto"/>
          <w:highlight w:val="none"/>
          <w14:ligatures w14:val="standardContextual"/>
        </w:rPr>
        <w:t>1998</w:t>
      </w:r>
      <w:r>
        <w:rPr>
          <w:rFonts w:ascii="Times New Roman" w:hAnsi="Times New Roman" w:cs="Times New Roman"/>
          <w:color w:val="auto"/>
          <w:szCs w:val="21"/>
          <w:highlight w:val="none"/>
        </w:rPr>
        <w:t>—</w:t>
      </w:r>
      <w:r>
        <w:rPr>
          <w:rFonts w:ascii="Times New Roman" w:hAnsi="Times New Roman" w:eastAsia="宋体"/>
          <w:color w:val="auto"/>
          <w:highlight w:val="none"/>
          <w14:ligatures w14:val="standardContextual"/>
        </w:rPr>
        <w:t>2022年西辽河流域水资源开发利用率多年持续高于80%，明显超过生态警戒线，表明区域水资源开发强度较大；同时，农业用水在用水结构中长期占据主导地位，说明生产生活用水尤其是农业灌溉对天然径流过程产生了持续干扰。</w:t>
      </w:r>
      <w:bookmarkEnd w:id="48"/>
      <w:bookmarkStart w:id="49" w:name="OLE_LINK24"/>
      <w:r>
        <w:rPr>
          <w:rFonts w:ascii="Times New Roman" w:hAnsi="Times New Roman" w:eastAsia="宋体"/>
          <w:color w:val="auto"/>
          <w:highlight w:val="none"/>
          <w14:ligatures w14:val="standardContextual"/>
        </w:rPr>
        <w:t>在半干旱区，高强度农业灌溉不仅直接减少地表来水，还可能通过持续消耗地下水削弱河道基流补给，从而加剧径流衰减</w:t>
      </w:r>
      <w:bookmarkEnd w:id="49"/>
      <w:r>
        <w:rPr>
          <w:rFonts w:ascii="Times New Roman" w:hAnsi="Times New Roman" w:eastAsia="宋体"/>
          <w:color w:val="auto"/>
          <w:highlight w:val="none"/>
          <w:vertAlign w:val="superscript"/>
          <w14:ligatures w14:val="standardContextual"/>
        </w:rPr>
        <w:t>[40]</w:t>
      </w:r>
      <w:r>
        <w:rPr>
          <w:rFonts w:ascii="Times New Roman" w:hAnsi="Times New Roman" w:eastAsia="宋体"/>
          <w:color w:val="auto"/>
          <w:highlight w:val="none"/>
          <w14:ligatures w14:val="standardContextual"/>
        </w:rPr>
        <w:t>。</w:t>
      </w:r>
      <w:bookmarkStart w:id="50" w:name="OLE_LINK25"/>
      <w:r>
        <w:rPr>
          <w:rFonts w:ascii="Times New Roman" w:hAnsi="Times New Roman" w:eastAsia="宋体"/>
          <w:color w:val="auto"/>
          <w:highlight w:val="none"/>
          <w14:ligatures w14:val="standardContextual"/>
        </w:rPr>
        <w:t>此外，地下水开采、工程拦蓄以及土地利用和植被变化，也会通过改变蒸散发、基流补给和径流系数等过程影响流域产汇流条件</w:t>
      </w:r>
      <w:r>
        <w:rPr>
          <w:rFonts w:ascii="Times New Roman" w:hAnsi="Times New Roman" w:eastAsia="宋体"/>
          <w:color w:val="auto"/>
          <w:highlight w:val="none"/>
          <w:vertAlign w:val="superscript"/>
          <w14:ligatures w14:val="standardContextual"/>
        </w:rPr>
        <w:t>[41-42]</w:t>
      </w:r>
      <w:r>
        <w:rPr>
          <w:rFonts w:ascii="Times New Roman" w:hAnsi="Times New Roman" w:eastAsia="宋体"/>
          <w:color w:val="auto"/>
          <w:highlight w:val="none"/>
          <w14:ligatures w14:val="standardContextual"/>
        </w:rPr>
        <w:t>。</w:t>
      </w:r>
      <w:bookmarkEnd w:id="50"/>
      <w:r>
        <w:rPr>
          <w:rFonts w:ascii="Times New Roman" w:hAnsi="Times New Roman" w:eastAsia="宋体"/>
          <w:color w:val="auto"/>
          <w:highlight w:val="none"/>
          <w14:ligatures w14:val="standardContextual"/>
        </w:rPr>
        <w:t>Budyko分析中参数</w:t>
      </w:r>
      <w:r>
        <w:rPr>
          <w:rFonts w:ascii="Times New Roman" w:hAnsi="Times New Roman" w:eastAsia="宋体"/>
          <w:i/>
          <w:iCs/>
          <w:color w:val="auto"/>
          <w:highlight w:val="none"/>
          <w14:ligatures w14:val="standardContextual"/>
        </w:rPr>
        <w:t>n</w:t>
      </w:r>
      <w:r>
        <w:rPr>
          <w:rFonts w:ascii="Times New Roman" w:hAnsi="Times New Roman" w:eastAsia="宋体"/>
          <w:color w:val="auto"/>
          <w:highlight w:val="none"/>
          <w14:ligatures w14:val="standardContextual"/>
        </w:rPr>
        <w:t>增大、径流系数</w:t>
      </w:r>
      <w:r>
        <w:rPr>
          <w:rFonts w:hint="eastAsia" w:ascii="Times New Roman" w:hAnsi="Times New Roman" w:eastAsia="宋体"/>
          <w:color w:val="auto"/>
          <w:highlight w:val="none"/>
          <w14:ligatures w14:val="standardContextual"/>
        </w:rPr>
        <w:t>下降，进一步表明流域下垫面和产流能力已发生变化。由此可见，老哈河流域径流减少是多种人类活动共同作用的结果，其中农业灌溉及其引发的水资源再分配效应可能是关键驱动因素。</w:t>
      </w:r>
    </w:p>
    <w:p w14:paraId="1CBF4453">
      <w:pPr>
        <w:ind w:firstLine="420" w:firstLineChars="200"/>
        <w:rPr>
          <w:rFonts w:ascii="Times New Roman" w:hAnsi="Times New Roman" w:eastAsia="宋体"/>
          <w:color w:val="auto"/>
          <w:highlight w:val="none"/>
          <w14:ligatures w14:val="standardContextual"/>
        </w:rPr>
      </w:pPr>
      <w:r>
        <w:rPr>
          <w:rFonts w:hint="eastAsia" w:ascii="Times New Roman" w:hAnsi="Times New Roman" w:eastAsia="宋体"/>
          <w:color w:val="auto"/>
          <w:highlight w:val="none"/>
          <w14:ligatures w14:val="standardContextual"/>
        </w:rPr>
        <w:t>需要指出的是，本文结论仍存在一定不确定性。</w:t>
      </w:r>
      <w:r>
        <w:rPr>
          <w:rFonts w:ascii="Times New Roman" w:hAnsi="Times New Roman" w:eastAsia="宋体"/>
          <w:color w:val="auto"/>
          <w:highlight w:val="none"/>
          <w14:ligatures w14:val="standardContextual"/>
        </w:rPr>
        <w:t>Budyko方法适用于流域尺度宏观归因，难以区分不同人为过程的具体贡献；SWAT及其后处理结果也受输入数据质量、模型结构和参数率定的影响，对复杂人类扰动的显式表达仍有限。尽管不同方法在贡献率数值上存在差异，但均一致识别人类活动为径流衰减的主导因素，表明主控因子判断具有较好稳健性。本文选取SWAT-Informer作为后续分析基础，主要基于其在径流模拟精度和过程拟合能力上的综合优势。未来仍需结合灌溉取水、地下水开采、土地利</w:t>
      </w:r>
      <w:r>
        <w:rPr>
          <w:rFonts w:hint="eastAsia" w:ascii="Times New Roman" w:hAnsi="Times New Roman" w:eastAsia="宋体"/>
          <w:color w:val="auto"/>
          <w:highlight w:val="none"/>
          <w14:ligatures w14:val="standardContextual"/>
        </w:rPr>
        <w:t>用动态变化及工程调控等资料，进一步提高对人为驱动机制的刻画能力，以增强流域径流变化归因的定量可靠性。</w:t>
      </w:r>
    </w:p>
    <w:bookmarkEnd w:id="47"/>
    <w:p w14:paraId="70ACF2E6">
      <w:pPr>
        <w:pStyle w:val="2"/>
        <w:spacing w:before="0" w:after="0" w:line="240" w:lineRule="auto"/>
        <w:ind w:left="720" w:hanging="720"/>
        <w:rPr>
          <w:rFonts w:cs="Times New Roman"/>
          <w:b w:val="0"/>
          <w:color w:val="auto"/>
          <w:szCs w:val="28"/>
          <w:highlight w:val="none"/>
          <w14:ligatures w14:val="none"/>
        </w:rPr>
      </w:pPr>
      <w:r>
        <w:rPr>
          <w:rFonts w:hint="eastAsia" w:cs="Times New Roman"/>
          <w:b w:val="0"/>
          <w:color w:val="auto"/>
          <w:szCs w:val="28"/>
          <w:highlight w:val="none"/>
          <w14:ligatures w14:val="none"/>
        </w:rPr>
        <w:t>5</w:t>
      </w:r>
      <w:r>
        <w:rPr>
          <w:rFonts w:cs="Times New Roman"/>
          <w:b w:val="0"/>
          <w:color w:val="auto"/>
          <w:szCs w:val="28"/>
          <w:highlight w:val="none"/>
          <w14:ligatures w14:val="none"/>
        </w:rPr>
        <w:t xml:space="preserve"> </w:t>
      </w:r>
      <w:r>
        <w:rPr>
          <w:rFonts w:hint="eastAsia" w:cs="Times New Roman"/>
          <w:b w:val="0"/>
          <w:color w:val="auto"/>
          <w:szCs w:val="28"/>
          <w:highlight w:val="none"/>
          <w14:ligatures w14:val="none"/>
        </w:rPr>
        <w:t>结论</w:t>
      </w:r>
    </w:p>
    <w:p w14:paraId="35EF5E16">
      <w:pPr>
        <w:ind w:firstLine="420" w:firstLineChars="200"/>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t>（1）1964</w:t>
      </w:r>
      <w:r>
        <w:rPr>
          <w:rFonts w:ascii="Times New Roman" w:hAnsi="Times New Roman" w:cs="Times New Roman"/>
          <w:color w:val="auto"/>
          <w:szCs w:val="21"/>
          <w:highlight w:val="none"/>
        </w:rPr>
        <w:t>—2</w:t>
      </w:r>
      <w:r>
        <w:rPr>
          <w:rFonts w:ascii="Times New Roman" w:hAnsi="Times New Roman" w:eastAsia="宋体"/>
          <w:color w:val="auto"/>
          <w:highlight w:val="none"/>
          <w14:ligatures w14:val="standardContextual"/>
        </w:rPr>
        <w:t>022年老哈河流域降水总体变化趋势不显著，气温和潜在蒸散发呈上升趋势，径流呈显著下降趋势。综合Pettitt检验、累计距平分析和降水</w:t>
      </w:r>
      <w:r>
        <w:rPr>
          <w:rFonts w:hint="eastAsia" w:ascii="Times New Roman" w:hAnsi="Times New Roman" w:eastAsia="宋体"/>
          <w:color w:val="auto"/>
          <w:highlight w:val="none"/>
          <w14:ligatures w14:val="standardContextual"/>
        </w:rPr>
        <w:t>-</w:t>
      </w:r>
      <w:r>
        <w:rPr>
          <w:rFonts w:ascii="Times New Roman" w:hAnsi="Times New Roman" w:eastAsia="宋体"/>
          <w:color w:val="auto"/>
          <w:highlight w:val="none"/>
          <w14:ligatures w14:val="standardContextual"/>
        </w:rPr>
        <w:t>径流双累积曲线识别结果，1979年为流域径流序列的主要突变年份。据此将1964</w:t>
      </w:r>
      <w:r>
        <w:rPr>
          <w:rFonts w:ascii="Times New Roman" w:hAnsi="Times New Roman" w:cs="Times New Roman"/>
          <w:color w:val="auto"/>
          <w:szCs w:val="21"/>
          <w:highlight w:val="none"/>
        </w:rPr>
        <w:t>—</w:t>
      </w:r>
      <w:r>
        <w:rPr>
          <w:rFonts w:ascii="Times New Roman" w:hAnsi="Times New Roman" w:eastAsia="宋体"/>
          <w:color w:val="auto"/>
          <w:highlight w:val="none"/>
          <w14:ligatures w14:val="standardContextual"/>
        </w:rPr>
        <w:t>1979年划分为基准期，1980</w:t>
      </w:r>
      <w:r>
        <w:rPr>
          <w:rFonts w:ascii="Times New Roman" w:hAnsi="Times New Roman" w:cs="Times New Roman"/>
          <w:color w:val="auto"/>
          <w:szCs w:val="21"/>
          <w:highlight w:val="none"/>
        </w:rPr>
        <w:t>—</w:t>
      </w:r>
      <w:r>
        <w:rPr>
          <w:rFonts w:ascii="Times New Roman" w:hAnsi="Times New Roman" w:eastAsia="宋体"/>
          <w:color w:val="auto"/>
          <w:highlight w:val="none"/>
          <w14:ligatures w14:val="standardContextual"/>
        </w:rPr>
        <w:t>2022年划分为变化期</w:t>
      </w:r>
      <w:r>
        <w:rPr>
          <w:rFonts w:hint="eastAsia" w:ascii="Times New Roman" w:hAnsi="Times New Roman" w:eastAsia="宋体"/>
          <w:color w:val="auto"/>
          <w:highlight w:val="none"/>
          <w14:ligatures w14:val="standardContextual"/>
        </w:rPr>
        <w:t>，为天然径流重建与归因分析提供了时段依据</w:t>
      </w:r>
      <w:r>
        <w:rPr>
          <w:rFonts w:ascii="Times New Roman" w:hAnsi="Times New Roman" w:eastAsia="宋体"/>
          <w:color w:val="auto"/>
          <w:highlight w:val="none"/>
          <w14:ligatures w14:val="standardContextual"/>
        </w:rPr>
        <w:t>。</w:t>
      </w:r>
    </w:p>
    <w:p w14:paraId="3AF947A3">
      <w:pPr>
        <w:ind w:firstLine="420" w:firstLineChars="200"/>
        <w:rPr>
          <w:rFonts w:ascii="Times New Roman" w:hAnsi="Times New Roman" w:eastAsia="宋体"/>
          <w:color w:val="auto"/>
          <w:highlight w:val="none"/>
          <w14:ligatures w14:val="standardContextual"/>
        </w:rPr>
      </w:pPr>
      <w:r>
        <w:rPr>
          <w:rFonts w:ascii="Times New Roman" w:hAnsi="Times New Roman" w:eastAsia="宋体"/>
          <w:color w:val="auto"/>
          <w:highlight w:val="none"/>
          <w14:ligatures w14:val="standardContextual"/>
        </w:rPr>
        <w:t>（2）</w:t>
      </w:r>
      <w:r>
        <w:rPr>
          <w:rFonts w:hint="eastAsia" w:ascii="Times New Roman" w:hAnsi="Times New Roman" w:eastAsia="宋体"/>
          <w:color w:val="auto"/>
          <w:highlight w:val="none"/>
          <w14:ligatures w14:val="standardContextual"/>
        </w:rPr>
        <w:t>在</w:t>
      </w:r>
      <w:r>
        <w:rPr>
          <w:rFonts w:ascii="Times New Roman" w:hAnsi="Times New Roman" w:eastAsia="宋体"/>
          <w:color w:val="auto"/>
          <w:highlight w:val="none"/>
          <w14:ligatures w14:val="standardContextual"/>
        </w:rPr>
        <w:t>SWAT模型物理机制约束基础上，采用机器学习和深度学习方法对模拟残差进行后处理，能够有效提高月尺度径流模拟精度。与SWAT单模型相比，SWAT-RF、SWAT-LSTM和SWAT-Informer均提高了径流过程拟合能力，其中SWAT-Informer整体表现最优，表明其在刻画半干旱区月尺度径流序列非线性特征和时序依赖方面具有较强优势。</w:t>
      </w:r>
    </w:p>
    <w:p w14:paraId="083E034C">
      <w:pPr>
        <w:ind w:firstLine="420" w:firstLineChars="200"/>
        <w:rPr>
          <w:rFonts w:ascii="Times New Roman" w:hAnsi="Times New Roman" w:eastAsia="宋体"/>
          <w:color w:val="auto"/>
          <w:highlight w:val="none"/>
        </w:rPr>
      </w:pPr>
      <w:r>
        <w:rPr>
          <w:rFonts w:ascii="Times New Roman" w:hAnsi="Times New Roman" w:eastAsia="宋体"/>
          <w:color w:val="auto"/>
          <w:highlight w:val="none"/>
          <w14:ligatures w14:val="standardContextual"/>
        </w:rPr>
        <w:t>（3）SWAT-Informer归因结果显示，兴隆坡站人类活动对径流减少的贡献率为81.93%，明显高于气候变化的18.07%；Budyko方法得到的人类活动贡献率为90.89%，亦显著高于气候变化的9.11%。尽管两种方法的贡献率数值存在一定差异，但在主导因子识别上具有一致性，均表明1980年以来老哈河流域径流衰减主要受人类活动驱动。两类方法的相互</w:t>
      </w:r>
      <w:r>
        <w:rPr>
          <w:rFonts w:hint="eastAsia" w:ascii="Times New Roman" w:hAnsi="Times New Roman" w:eastAsia="宋体"/>
          <w:color w:val="auto"/>
          <w:highlight w:val="none"/>
          <w14:ligatures w14:val="standardContextual"/>
        </w:rPr>
        <w:t>验证</w:t>
      </w:r>
      <w:r>
        <w:rPr>
          <w:rFonts w:ascii="Times New Roman" w:hAnsi="Times New Roman" w:eastAsia="宋体"/>
          <w:color w:val="auto"/>
          <w:highlight w:val="none"/>
          <w14:ligatures w14:val="standardContextual"/>
        </w:rPr>
        <w:t>，</w:t>
      </w:r>
      <w:r>
        <w:rPr>
          <w:rFonts w:hint="eastAsia" w:ascii="Times New Roman" w:hAnsi="Times New Roman" w:eastAsia="宋体"/>
          <w:color w:val="auto"/>
          <w:highlight w:val="none"/>
          <w14:ligatures w14:val="standardContextual"/>
        </w:rPr>
        <w:t>说明</w:t>
      </w:r>
      <w:r>
        <w:rPr>
          <w:rFonts w:ascii="Times New Roman" w:hAnsi="Times New Roman" w:eastAsia="宋体"/>
          <w:color w:val="auto"/>
          <w:highlight w:val="none"/>
          <w14:ligatures w14:val="standardContextual"/>
        </w:rPr>
        <w:t>本文构建的SWAT-Informer径流归因框架具有较好的稳健性和可信性。</w:t>
      </w:r>
      <w:r>
        <w:rPr>
          <w:rFonts w:ascii="Times New Roman" w:hAnsi="Times New Roman" w:eastAsia="宋体"/>
          <w:color w:val="auto"/>
          <w:highlight w:val="none"/>
        </w:rPr>
        <w:fldChar w:fldCharType="begin"/>
      </w:r>
      <w:r>
        <w:rPr>
          <w:rFonts w:ascii="Times New Roman" w:hAnsi="Times New Roman" w:eastAsia="宋体"/>
          <w:color w:val="auto"/>
          <w:highlight w:val="none"/>
        </w:rPr>
        <w:instrText xml:space="preserve"> ADDIN </w:instrText>
      </w:r>
      <w:r>
        <w:rPr>
          <w:rFonts w:ascii="Times New Roman" w:hAnsi="Times New Roman" w:eastAsia="宋体"/>
          <w:color w:val="auto"/>
          <w:highlight w:val="none"/>
        </w:rPr>
        <w:fldChar w:fldCharType="end"/>
      </w:r>
    </w:p>
    <w:p w14:paraId="4E112E3C">
      <w:pPr>
        <w:pStyle w:val="2"/>
        <w:spacing w:before="0" w:after="0" w:line="240" w:lineRule="auto"/>
        <w:ind w:left="720" w:hanging="720"/>
        <w:rPr>
          <w:b w:val="0"/>
          <w:bCs/>
          <w:color w:val="auto"/>
          <w:szCs w:val="28"/>
          <w:highlight w:val="none"/>
        </w:rPr>
      </w:pPr>
      <w:r>
        <w:rPr>
          <w:rFonts w:hint="eastAsia"/>
          <w:b w:val="0"/>
          <w:bCs/>
          <w:color w:val="auto"/>
          <w:szCs w:val="28"/>
          <w:highlight w:val="none"/>
        </w:rPr>
        <w:t>6</w:t>
      </w:r>
      <w:r>
        <w:rPr>
          <w:b w:val="0"/>
          <w:bCs/>
          <w:color w:val="auto"/>
          <w:szCs w:val="28"/>
          <w:highlight w:val="none"/>
        </w:rPr>
        <w:t xml:space="preserve"> 参考文献（References）：</w:t>
      </w:r>
    </w:p>
    <w:p w14:paraId="04279369">
      <w:pPr>
        <w:pStyle w:val="28"/>
        <w:ind w:left="300" w:hanging="300" w:hangingChars="200"/>
        <w:rPr>
          <w:rFonts w:ascii="Times New Roman" w:hAnsi="Times New Roman" w:eastAsia="宋体"/>
          <w:color w:val="auto"/>
          <w:sz w:val="15"/>
          <w:highlight w:val="none"/>
        </w:rPr>
      </w:pPr>
      <w:r>
        <w:rPr>
          <w:rFonts w:ascii="Times New Roman" w:hAnsi="Times New Roman" w:eastAsia="宋体"/>
          <w:color w:val="auto"/>
          <w:sz w:val="15"/>
          <w:highlight w:val="none"/>
        </w:rPr>
        <w:t xml:space="preserve">[1] BEST J. Anthropogenic stresses on the world's big rivers [J]. Nature Geoscience, 2019, 12(1): 7–21. </w:t>
      </w:r>
    </w:p>
    <w:p w14:paraId="7D4ECDED">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[2] LI M Q, WANG H, DU W, et al. Responses of runoff to changes in climate and human activities in the Liuhe River Basin, China[J]. Journal of Arid Land, 2024, 16(8): 1023-1043. </w:t>
      </w:r>
    </w:p>
    <w:p w14:paraId="533EF26F">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[3] GAO C N, HONTI M, CHENG J H, et al. Impact of land use and climate change on streamflow: An assessment using a semi-empirical model in the Guishui watershed of North China[J]. Land, 2024, 13(6): 725. </w:t>
      </w:r>
    </w:p>
    <w:p w14:paraId="30E7778C">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[4] 沈嘉聚, 杨汉波, 刘志武, 等. 长江上游径流对气象要素变化的敏感性分析[J]. 水资源保护, 2023, 39(1): 119-126.</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SHEN J J, YANG H B, LIU Z W, et al. Sensitivity analysis of annual runoff to annual variation of meteorological elements in upper reaches of the Yangtze River[J]. Water Resources Protection, 2023, 39(1): 119-126. </w:t>
      </w:r>
    </w:p>
    <w:p w14:paraId="3AE20CED">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[5] 王宣宣, 刘欢, 胡鹏, 等. 基于水量平衡原理和Budyko假设的强人类活动干扰下西辽河流域径流衰减归因分析[J]. 水资源保护, 2024, 40(6): 165-172.</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WANG X X, LIU H, HU P, et al. Attribution analysis of runoff attenuation in the Xiliao River Basin under significant human interference based on water balance principle and Budyko hypothesis[J]. Water Resources Protection, 2024, 40(6): 165-172. </w:t>
      </w:r>
    </w:p>
    <w:p w14:paraId="0D16BC7D">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[6] 何玉芬, 杨汉波, 唐莉华, 等. 北大沙河流域径流变化归因分析[J]. 水资源保护, 2022, 38(4): 95-101.</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HE Y F, YANG H B, TANG L H, et al. Attribution analysis of runoff change in the Beidasha River Basin[J]. Water Resources Protection, 2022, 38(4): 95-101. </w:t>
      </w:r>
    </w:p>
    <w:p w14:paraId="3C49B976">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[7] 郭巧玲, 韩振英, 丁斌, 等. 窟野河流域径流变化及其影响因素研究[J]. 水资源保护, 2017, 33(5): 75-80.</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GUO Q L, HAN Z Y, DING B, et al. Study of runoff variation characteristics and influence factors in Kuye River[J]. Water Resources Protection, 2017, 33(5): 75-80. </w:t>
      </w:r>
    </w:p>
    <w:p w14:paraId="735CCA97">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[8] GÜÇLÜ Y S. Improved visualization for trend analysis by comparing with classical Mann-Kendall test and ITA[J]. Journal of Hydrology, 2020, 584: 124674. </w:t>
      </w:r>
    </w:p>
    <w:p w14:paraId="49D5042E">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[9] FU J Y, LIU B J, WANG W G, et al. Evaluating main drivers of runoff changes across China from 1956 to 2000 by using different Budyko-based elasticity methods[J]. Journal of Environmental Management, 2023, 329: 117070. </w:t>
      </w:r>
    </w:p>
    <w:p w14:paraId="0C0E4656">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[10]</w:t>
      </w:r>
      <w:r>
        <w:rPr>
          <w:color w:val="auto"/>
          <w:highlight w:val="none"/>
        </w:rPr>
        <w:t xml:space="preserve"> </w:t>
      </w:r>
      <w:r>
        <w:rPr>
          <w:rFonts w:ascii="Times New Roman" w:hAnsi="Times New Roman" w:eastAsia="宋体"/>
          <w:color w:val="auto"/>
          <w:sz w:val="15"/>
          <w:highlight w:val="none"/>
        </w:rPr>
        <w:t>YANG L S, FENG Q, NING T T, et al. Attributing the streamflow variation by incorporating glacier mass balance and frozen ground into the Budyko framework in alpine rivers[J]. Journal of Hydrology, 2024, 628: 130438.</w:t>
      </w:r>
    </w:p>
    <w:p w14:paraId="23500F91">
      <w:pPr>
        <w:pStyle w:val="28"/>
        <w:ind w:left="300" w:hanging="300" w:hangingChars="200"/>
        <w:rPr>
          <w:rFonts w:hint="eastAsia" w:ascii="Times New Roman" w:hAnsi="Times New Roman" w:eastAsia="宋体"/>
          <w:color w:val="auto"/>
          <w:sz w:val="15"/>
          <w:highlight w:val="none"/>
        </w:rPr>
      </w:pPr>
      <w:r>
        <w:rPr>
          <w:rFonts w:hint="eastAsia" w:ascii="Times New Roman" w:hAnsi="Times New Roman" w:eastAsia="宋体"/>
          <w:color w:val="auto"/>
          <w:sz w:val="15"/>
          <w:highlight w:val="none"/>
        </w:rPr>
        <w:t>[11] MIAO P, DAGULA, LI X, et al. Runoff decline is dominated by human activities[J]. Water, 2023, 15(22): 4010.</w:t>
      </w:r>
    </w:p>
    <w:p w14:paraId="791C89B6">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[12] ZAERPOUR M, HATAMI S, BALLARIN A S, et al. Impacts of agriculture and snow dynamics on catchment water balance in the U.S. and Great Britain[J]. Communications Earth &amp; Environment, 2024, 5: 733. </w:t>
      </w:r>
    </w:p>
    <w:p w14:paraId="56DC15E2">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[13] ARNOLD J G, MORIASI D N, GASSMAN P W, et al. SWAT: Model use, calibration, and validation[J]. Transactions of the ASABE, 2012, 55(4): 1491-1508. </w:t>
      </w:r>
    </w:p>
    <w:p w14:paraId="5440683A">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[14] MAHMOOD S, KHAN A U, BABUR M, et al. Divergent path: Isolating land use and climate change impact on river runoff[J]. Frontiers in Environmental Science, 2024, 12: 1338512. </w:t>
      </w:r>
    </w:p>
    <w:p w14:paraId="45EB4CD7">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[15] MUKAMA E B, YIMER E A, MBUNGU W B, et al. Unravelling the hydrologic impact of climate change in the Great Ruaha River Basin, Tanzania[J]. Environmental Research Communications, 2025, 7(11): 115023. </w:t>
      </w:r>
    </w:p>
    <w:p w14:paraId="6EEFB0CA">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[16] LIAN Y X, SUN M, WANG J C, et al. Quantitative impacts of climate change and human activities on the runoff evolution process in the Yanhe River Basin[J]. Physics and Chemistry of the Earth, Parts A/B/C, 2021, 122: 102998. </w:t>
      </w:r>
    </w:p>
    <w:p w14:paraId="055820A2">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[17] LYU</w:t>
      </w:r>
      <w:r>
        <w:rPr>
          <w:rFonts w:ascii="Times New Roman" w:hAnsi="Times New Roman" w:eastAsia="宋体"/>
          <w:color w:val="auto"/>
          <w:sz w:val="15"/>
          <w:highlight w:val="none"/>
        </w:rPr>
        <w:t xml:space="preserve"> H, WANG Y, YAN D M, et al. Quantifying the impacts of climate change and human activities on hydrological regime in Jinsha River, China[J]. Journal of Hydrology, 2025, 662: 134008.</w:t>
      </w:r>
    </w:p>
    <w:p w14:paraId="437181BA">
      <w:pPr>
        <w:pStyle w:val="28"/>
        <w:ind w:left="300" w:hanging="300" w:hangingChars="200"/>
        <w:rPr>
          <w:rFonts w:ascii="Times New Roman" w:hAnsi="Times New Roman" w:eastAsia="宋体"/>
          <w:color w:val="auto"/>
          <w:sz w:val="15"/>
          <w:highlight w:val="none"/>
        </w:rPr>
      </w:pPr>
      <w:r>
        <w:rPr>
          <w:rFonts w:ascii="Times New Roman" w:hAnsi="Times New Roman" w:eastAsia="宋体"/>
          <w:color w:val="auto"/>
          <w:sz w:val="15"/>
          <w:highlight w:val="none"/>
        </w:rPr>
        <w:t xml:space="preserve">[18] ZHANG Y Q, LIU H P, QI J Y, et al. </w:t>
      </w:r>
      <w:bookmarkStart w:id="51" w:name="OLE_LINK42"/>
      <w:r>
        <w:rPr>
          <w:rFonts w:ascii="Times New Roman" w:hAnsi="Times New Roman" w:eastAsia="宋体"/>
          <w:color w:val="auto"/>
          <w:sz w:val="15"/>
          <w:highlight w:val="none"/>
        </w:rPr>
        <w:t>Assessing impacts of global climate change on water and food security in the black soil region of Northeast China using an improved SWAT</w:t>
      </w:r>
      <w:r>
        <w:rPr>
          <w:rFonts w:hint="eastAsia" w:ascii="Times New Roman" w:hAnsi="Times New Roman" w:eastAsia="宋体"/>
          <w:color w:val="auto"/>
          <w:sz w:val="15"/>
          <w:highlight w:val="none"/>
        </w:rPr>
        <w:t>-</w:t>
      </w:r>
      <w:r>
        <w:rPr>
          <w:rFonts w:ascii="Times New Roman" w:hAnsi="Times New Roman" w:eastAsia="宋体"/>
          <w:color w:val="auto"/>
          <w:sz w:val="15"/>
          <w:highlight w:val="none"/>
        </w:rPr>
        <w:t>CO2 model</w:t>
      </w:r>
      <w:bookmarkEnd w:id="51"/>
      <w:r>
        <w:rPr>
          <w:rFonts w:ascii="Times New Roman" w:hAnsi="Times New Roman" w:eastAsia="宋体"/>
          <w:color w:val="auto"/>
          <w:sz w:val="15"/>
          <w:highlight w:val="none"/>
        </w:rPr>
        <w:t>[J]. Science of the Total Environment, 2023, 857: 159482.</w:t>
      </w:r>
    </w:p>
    <w:p w14:paraId="748A991B">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[19] HUANG C, YANG Z Z, YANG X Y, et al. Attribution analysis of runoff change in a changing environment: A case study of the Dawen River Basin[J]. Water, 2025, 17(10): 1538. </w:t>
      </w:r>
    </w:p>
    <w:p w14:paraId="0420872A">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[20] SHI W Z, HE Y, SHAO Y T. Effects of climate change and human activities on runoff in the upper reach of Jialing River, China[J]. Remote Sensing, 2024, 16(13): 2481. </w:t>
      </w:r>
    </w:p>
    <w:p w14:paraId="6EEE0E87">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[21] HUANG T T, LIU Y, JIA Z F, et al. Applicability of attribution methods for identifying runoff changes in changing environments[J]. Scientific Reports, 2024, 14: 26100. </w:t>
      </w:r>
    </w:p>
    <w:p w14:paraId="2CC876A3">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[22] 杨凯杰, 吕昌河. SWAT模型应用与不确定性综述[J]. 水土保持学报, 2018, 32(1): 17-24.</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YANG K J, LYU C H. Reviews on application and uncertainty of SWAT model[J]. Journal of Soil and Water Conservation, 2018, 32(1): 17-24. </w:t>
      </w:r>
    </w:p>
    <w:p w14:paraId="217C18FE">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[23] WAQAS M, NAWAZ M. Machine learning and deep learning in river-basin modeling: A comprehensive review[J]. Applied Soft Computing, 2026, 199: 115295. </w:t>
      </w:r>
    </w:p>
    <w:p w14:paraId="30D79095">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[24] HE M, XU X, WU S F, et al. Multi-step ahead forecasting of daily streamflow based on the transform-based deep learning model under different scenarios[J]. Scientific Reports, 2025, 15: 5451. </w:t>
      </w:r>
    </w:p>
    <w:p w14:paraId="455B3BAA">
      <w:pPr>
        <w:pStyle w:val="28"/>
        <w:ind w:left="300" w:hanging="300" w:hangingChars="200"/>
        <w:rPr>
          <w:rFonts w:ascii="Times New Roman" w:hAnsi="Times New Roman" w:eastAsia="宋体"/>
          <w:color w:val="auto"/>
          <w:sz w:val="15"/>
          <w:highlight w:val="none"/>
        </w:rPr>
      </w:pPr>
      <w:r>
        <w:rPr>
          <w:rFonts w:ascii="Times New Roman" w:hAnsi="Times New Roman" w:eastAsia="宋体"/>
          <w:color w:val="auto"/>
          <w:sz w:val="15"/>
          <w:highlight w:val="none"/>
        </w:rPr>
        <w:t xml:space="preserve">[25] MANGUKIYA N K, SHARMA A. </w:t>
      </w:r>
      <w:bookmarkStart w:id="52" w:name="OLE_LINK45"/>
      <w:r>
        <w:rPr>
          <w:rFonts w:ascii="Times New Roman" w:hAnsi="Times New Roman" w:eastAsia="宋体"/>
          <w:color w:val="auto"/>
          <w:sz w:val="15"/>
          <w:highlight w:val="none"/>
        </w:rPr>
        <w:t>Deep learning-based approach for enhancing streamflow prediction in watersheds with aggregated and intermittent observations</w:t>
      </w:r>
      <w:bookmarkEnd w:id="52"/>
      <w:r>
        <w:rPr>
          <w:rFonts w:ascii="Times New Roman" w:hAnsi="Times New Roman" w:eastAsia="宋体"/>
          <w:color w:val="auto"/>
          <w:sz w:val="15"/>
          <w:highlight w:val="none"/>
        </w:rPr>
        <w:t>[J]. Water Resources Research, 2024, 61(1):</w:t>
      </w:r>
      <w:r>
        <w:rPr>
          <w:rFonts w:hint="eastAsia" w:ascii="Times New Roman" w:hAnsi="Times New Roman" w:eastAsia="宋体"/>
          <w:color w:val="auto"/>
          <w:sz w:val="15"/>
          <w:highlight w:val="none"/>
        </w:rPr>
        <w:t>e2024WR037331</w:t>
      </w:r>
      <w:r>
        <w:rPr>
          <w:rFonts w:ascii="Times New Roman" w:hAnsi="Times New Roman" w:eastAsia="宋体"/>
          <w:color w:val="auto"/>
          <w:sz w:val="15"/>
          <w:highlight w:val="none"/>
        </w:rPr>
        <w:t>.</w:t>
      </w:r>
    </w:p>
    <w:p w14:paraId="580CBC14">
      <w:pPr>
        <w:pStyle w:val="28"/>
        <w:ind w:left="300" w:hanging="300" w:hangingChars="200"/>
        <w:rPr>
          <w:rFonts w:ascii="Times New Roman" w:hAnsi="Times New Roman" w:eastAsia="宋体"/>
          <w:color w:val="auto"/>
          <w:sz w:val="15"/>
          <w:highlight w:val="none"/>
        </w:rPr>
      </w:pPr>
      <w:r>
        <w:rPr>
          <w:rFonts w:ascii="Times New Roman" w:hAnsi="Times New Roman" w:eastAsia="宋体"/>
          <w:color w:val="auto"/>
          <w:sz w:val="15"/>
          <w:highlight w:val="none"/>
        </w:rPr>
        <w:t xml:space="preserve">[26] TABAS S S, SAMADI V, WILSON C, et al. </w:t>
      </w:r>
      <w:bookmarkStart w:id="53" w:name="OLE_LINK46"/>
      <w:r>
        <w:rPr>
          <w:rFonts w:ascii="Times New Roman" w:hAnsi="Times New Roman" w:eastAsia="宋体"/>
          <w:color w:val="auto"/>
          <w:sz w:val="15"/>
          <w:highlight w:val="none"/>
        </w:rPr>
        <w:t>Probabilistic physics-guided deep neural networks with recurrence and attention mechanisms for interpretable daily streamflow simulation</w:t>
      </w:r>
      <w:bookmarkEnd w:id="53"/>
      <w:r>
        <w:rPr>
          <w:rFonts w:ascii="Times New Roman" w:hAnsi="Times New Roman" w:eastAsia="宋体"/>
          <w:color w:val="auto"/>
          <w:sz w:val="15"/>
          <w:highlight w:val="none"/>
        </w:rPr>
        <w:t xml:space="preserve">[J]. Water Resources Research, 2025, 61(9): </w:t>
      </w:r>
      <w:r>
        <w:rPr>
          <w:rFonts w:hint="eastAsia" w:ascii="Times New Roman" w:hAnsi="Times New Roman" w:eastAsia="宋体"/>
          <w:color w:val="auto"/>
          <w:sz w:val="15"/>
          <w:highlight w:val="none"/>
        </w:rPr>
        <w:t>e2025WR040173</w:t>
      </w:r>
      <w:r>
        <w:rPr>
          <w:rFonts w:ascii="Times New Roman" w:hAnsi="Times New Roman" w:eastAsia="宋体"/>
          <w:color w:val="auto"/>
          <w:sz w:val="15"/>
          <w:highlight w:val="none"/>
        </w:rPr>
        <w:t>.</w:t>
      </w:r>
    </w:p>
    <w:p w14:paraId="7B982480">
      <w:pPr>
        <w:pStyle w:val="28"/>
        <w:ind w:left="300" w:hanging="300" w:hangingChars="200"/>
        <w:rPr>
          <w:rFonts w:ascii="Times New Roman" w:hAnsi="Times New Roman" w:eastAsia="宋体"/>
          <w:color w:val="auto"/>
          <w:sz w:val="15"/>
          <w:highlight w:val="none"/>
        </w:rPr>
      </w:pPr>
      <w:r>
        <w:rPr>
          <w:rFonts w:ascii="Times New Roman" w:hAnsi="Times New Roman" w:eastAsia="宋体"/>
          <w:color w:val="auto"/>
          <w:sz w:val="15"/>
          <w:highlight w:val="none"/>
        </w:rPr>
        <w:t xml:space="preserve">[27] LIU J T, SHEN C P, O'DONNCHA F, et al. </w:t>
      </w:r>
      <w:bookmarkStart w:id="54" w:name="OLE_LINK47"/>
      <w:r>
        <w:rPr>
          <w:rFonts w:ascii="Times New Roman" w:hAnsi="Times New Roman" w:eastAsia="宋体"/>
          <w:color w:val="auto"/>
          <w:sz w:val="15"/>
          <w:highlight w:val="none"/>
        </w:rPr>
        <w:t>From RNNs to Transformers: benchmarking deep learning architectures for hydrologic prediction</w:t>
      </w:r>
      <w:bookmarkEnd w:id="54"/>
      <w:r>
        <w:rPr>
          <w:rFonts w:ascii="Times New Roman" w:hAnsi="Times New Roman" w:eastAsia="宋体"/>
          <w:color w:val="auto"/>
          <w:sz w:val="15"/>
          <w:highlight w:val="none"/>
        </w:rPr>
        <w:t>[J]. Hydrology and Earth System Sciences, 2025, 29(23): 6811</w:t>
      </w:r>
      <w:r>
        <w:rPr>
          <w:rFonts w:hint="eastAsia" w:ascii="Times New Roman" w:hAnsi="Times New Roman" w:eastAsia="宋体"/>
          <w:color w:val="auto"/>
          <w:sz w:val="15"/>
          <w:highlight w:val="none"/>
        </w:rPr>
        <w:t>-</w:t>
      </w:r>
      <w:r>
        <w:rPr>
          <w:rFonts w:ascii="Times New Roman" w:hAnsi="Times New Roman" w:eastAsia="宋体"/>
          <w:color w:val="auto"/>
          <w:sz w:val="15"/>
          <w:highlight w:val="none"/>
        </w:rPr>
        <w:t>6828.</w:t>
      </w:r>
    </w:p>
    <w:p w14:paraId="19287B36">
      <w:pPr>
        <w:pStyle w:val="28"/>
        <w:ind w:left="300" w:hanging="300" w:hangingChars="200"/>
        <w:rPr>
          <w:rFonts w:ascii="Times New Roman" w:hAnsi="Times New Roman" w:eastAsia="宋体"/>
          <w:color w:val="auto"/>
          <w:sz w:val="15"/>
          <w:highlight w:val="none"/>
        </w:rPr>
      </w:pPr>
      <w:r>
        <w:rPr>
          <w:rFonts w:ascii="Times New Roman" w:hAnsi="Times New Roman" w:eastAsia="宋体"/>
          <w:color w:val="auto"/>
          <w:sz w:val="15"/>
          <w:highlight w:val="none"/>
        </w:rPr>
        <w:t>[28] 廖胜利, 王在能, 程春田, 等. 耦合气象信息和可解释深度学习方法的日径流预报[J]. 水利学报, 2025, 56(7):831</w:t>
      </w:r>
      <w:r>
        <w:rPr>
          <w:rFonts w:hint="eastAsia" w:ascii="Times New Roman" w:hAnsi="Times New Roman" w:eastAsia="宋体"/>
          <w:color w:val="auto"/>
          <w:sz w:val="15"/>
          <w:highlight w:val="none"/>
        </w:rPr>
        <w:t>-</w:t>
      </w:r>
      <w:r>
        <w:rPr>
          <w:rFonts w:ascii="Times New Roman" w:hAnsi="Times New Roman" w:eastAsia="宋体"/>
          <w:color w:val="auto"/>
          <w:sz w:val="15"/>
          <w:highlight w:val="none"/>
        </w:rPr>
        <w:t>843.</w:t>
      </w:r>
      <w:r>
        <w:rPr>
          <w:rFonts w:ascii="Times New Roman" w:hAnsi="Times New Roman" w:eastAsia="宋体"/>
          <w:color w:val="auto"/>
          <w:sz w:val="15"/>
          <w:highlight w:val="none"/>
        </w:rPr>
        <w:br w:type="textWrapping"/>
      </w:r>
      <w:r>
        <w:rPr>
          <w:rFonts w:ascii="Times New Roman" w:hAnsi="Times New Roman" w:eastAsia="宋体"/>
          <w:color w:val="auto"/>
          <w:sz w:val="15"/>
          <w:highlight w:val="none"/>
        </w:rPr>
        <w:t>LIAO S L, WANG Z N, CHENG C T, et al. Coupling meteorological information and interpretable deep learning methods for daily runoff forecasting[J]. Journal of Hydraulic Engineering, 2025, 56(7): 831</w:t>
      </w:r>
      <w:r>
        <w:rPr>
          <w:rFonts w:hint="eastAsia" w:ascii="Times New Roman" w:hAnsi="Times New Roman" w:eastAsia="宋体"/>
          <w:color w:val="auto"/>
          <w:sz w:val="15"/>
          <w:highlight w:val="none"/>
        </w:rPr>
        <w:t>-</w:t>
      </w:r>
      <w:r>
        <w:rPr>
          <w:rFonts w:ascii="Times New Roman" w:hAnsi="Times New Roman" w:eastAsia="宋体"/>
          <w:color w:val="auto"/>
          <w:sz w:val="15"/>
          <w:highlight w:val="none"/>
        </w:rPr>
        <w:t>843.</w:t>
      </w:r>
    </w:p>
    <w:p w14:paraId="4F472DBF">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[29] SHEN C P.</w:t>
      </w:r>
      <w:bookmarkStart w:id="55" w:name="OLE_LINK44"/>
      <w:r>
        <w:rPr>
          <w:rFonts w:hint="eastAsia" w:ascii="Times New Roman" w:hAnsi="Times New Roman" w:eastAsia="宋体"/>
          <w:color w:val="auto"/>
          <w:sz w:val="15"/>
          <w:highlight w:val="none"/>
        </w:rPr>
        <w:t xml:space="preserve"> A transdisciplinary review of deep learning research and its relevance for water resources scientists</w:t>
      </w:r>
      <w:bookmarkEnd w:id="55"/>
      <w:r>
        <w:rPr>
          <w:rFonts w:hint="eastAsia" w:ascii="Times New Roman" w:hAnsi="Times New Roman" w:eastAsia="宋体"/>
          <w:color w:val="auto"/>
          <w:sz w:val="15"/>
          <w:highlight w:val="none"/>
        </w:rPr>
        <w:t xml:space="preserve">[J]. Water Resources Research, 2018, 54(11): 8558-8593. </w:t>
      </w:r>
    </w:p>
    <w:p w14:paraId="78B2C8EE">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[30] 江善虎, 王孟浩, 崔豪, 等. 人类活动对水文干旱影响的量化评估方法[J]. 黑龙江大学工程学报, 2022, 13(4): 1-10.</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JIANG S H, WANG M H, CUI H, et al. A framework for quantifying the human influence on hydrological drought[J]. Journal of Engineering of Heilongjiang University, 2022, 13(4): 1-10. </w:t>
      </w:r>
    </w:p>
    <w:p w14:paraId="7DD35CC6">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[31] 王中根, 刘昌明, 黄友波. SWAT模型的原理、结构及应用研究[J]. 地理科学进展, 2003, 22(1): 79-86.</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WANG Z G, LIU C M, HUANG Y B. The theory of SWAT model and its application in Heihe Basin[J]. Progress in Geography, 2003, 22(1): 79-86. </w:t>
      </w:r>
    </w:p>
    <w:p w14:paraId="309B241F">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[32] QIAO Z X, MA L, XU Y, et al. Runoff change and attribution analysis in a semiarid mountainous basin[J]. Ecological Engineering, 2023, 195: 107075. </w:t>
      </w:r>
    </w:p>
    <w:p w14:paraId="4AC58D68">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[33] TANG X P, FU G B, ZHANG S L, et al. Attribution of climate change and human activities to streamflow variations with a posterior distribution of hydrological simulations[J]. Hydrology and Earth System Sciences, 2022, 26(20): 5315-5339. </w:t>
      </w:r>
    </w:p>
    <w:p w14:paraId="17CEA7F3">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[34] WANG D B, HEJAZI M. Quantifying the relative contribution of the climate and direct human impacts on mean annual streamflow in the contiguous United States[J]. Water Resources Research, 2011, 47(10): 2010WR010283. </w:t>
      </w:r>
    </w:p>
    <w:p w14:paraId="6E0DCE98">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[35] YANG H B, YANG D W, LEI Z D, et al. New analytical derivation of the mean annual water-energy balance equation[J]. Water Resources Research, 2008, 44(3): 2007WR006135. </w:t>
      </w:r>
    </w:p>
    <w:p w14:paraId="22BB9BB3">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[36] RODERICK M L, FARQUHAR G D. A simple framework for relating variations in runoff to variations in climatic conditions and catchment properties[J]. Water Resources Research, 2011, 47(12): 2010WR009826. </w:t>
      </w:r>
    </w:p>
    <w:p w14:paraId="1250ECE2">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[37] CUNHA A C, ALMEIDA GABRIEL FILHO L R, TANAKA A A, et al. Influence of the estimated global solar radiation on the reference evapotranspiration obtained through the penman-monteith FAO 56 method[J]. Agricultural Water Management, 2021, 243: 106491. </w:t>
      </w:r>
    </w:p>
    <w:p w14:paraId="459C5F2F">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[38] 江善虎, 周乐, 任立良, 等. 基于生态流量阈值的河流水文健康演变定量归因[J]. 水科学进展, 2021, 32(3): 356-365.</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JIANG S H, ZHOU L, REN L L, et al. Quantifying attribution of the river hydrological health variation based on ecological-flow threshold method[J]. Advances in Water Science, 2021, 32(3): 356-365. </w:t>
      </w:r>
    </w:p>
    <w:p w14:paraId="1AFC7A0C">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[39] 张济昱, 孙宇昊, 杨哲, 等. 基于SWAT-TGRU耦合模型的伊洛河流域径流模拟研究[J]. 水利水电技术(中英文), 2025, 56(12): 87-100.</w:t>
      </w:r>
      <w:r>
        <w:rPr>
          <w:rFonts w:hint="eastAsia" w:ascii="Times New Roman" w:hAnsi="Times New Roman" w:eastAsia="宋体"/>
          <w:color w:val="auto"/>
          <w:sz w:val="15"/>
          <w:highlight w:val="none"/>
        </w:rPr>
        <w:br w:type="textWrapping"/>
      </w:r>
      <w:r>
        <w:rPr>
          <w:rFonts w:hint="eastAsia" w:ascii="Times New Roman" w:hAnsi="Times New Roman" w:eastAsia="宋体"/>
          <w:color w:val="auto"/>
          <w:sz w:val="15"/>
          <w:highlight w:val="none"/>
        </w:rPr>
        <w:t xml:space="preserve">ZHANG J Y, SUN Y H, YANG Z, et al. Runoff simulation in Yiluo River Basin based on SWAT-TGRU coupled model[J]. Water Resources and Hydropower Engineering, 2025, 56(12): 87-100. </w:t>
      </w:r>
    </w:p>
    <w:p w14:paraId="62E2EE62">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[40] GLEESON T, WADA Y, BIERKENS M F P, et al. Water balance of global aquifers revealed by groundwater footprint[J]. Nature, 2012, 488(7410): 197-200. </w:t>
      </w:r>
    </w:p>
    <w:p w14:paraId="36DFFF24">
      <w:pPr>
        <w:pStyle w:val="28"/>
        <w:ind w:left="300" w:hanging="300" w:hangingChars="200"/>
        <w:rPr>
          <w:rFonts w:ascii="Times New Roman" w:hAnsi="Times New Roman" w:eastAsia="宋体"/>
          <w:color w:val="auto"/>
          <w:sz w:val="15"/>
          <w:highlight w:val="none"/>
        </w:rPr>
      </w:pPr>
      <w:r>
        <w:rPr>
          <w:rFonts w:hint="eastAsia" w:ascii="Times New Roman" w:hAnsi="Times New Roman" w:eastAsia="宋体"/>
          <w:color w:val="auto"/>
          <w:sz w:val="15"/>
          <w:highlight w:val="none"/>
        </w:rPr>
        <w:t xml:space="preserve">[41] VÖRÖSMARTY C J, MCINTYRE P B, GESSNER M O, et al. Global threats to human water security and river biodiversity[J]. Nature, 2010, 467(7315): 555-561. </w:t>
      </w:r>
    </w:p>
    <w:p w14:paraId="5C7FE208">
      <w:pPr>
        <w:pStyle w:val="28"/>
        <w:ind w:left="300" w:hanging="300" w:hangingChars="200"/>
        <w:rPr>
          <w:rFonts w:hint="eastAsia" w:ascii="Times New Roman" w:hAnsi="Times New Roman" w:eastAsia="宋体" w:cs="Times New Roman"/>
          <w:color w:val="auto"/>
          <w:sz w:val="15"/>
          <w:szCs w:val="15"/>
          <w:highlight w:val="none"/>
        </w:rPr>
      </w:pPr>
      <w:r>
        <w:rPr>
          <w:rFonts w:hint="eastAsia" w:ascii="Times New Roman" w:hAnsi="Times New Roman" w:eastAsia="宋体" w:cs="Times New Roman"/>
          <w:color w:val="auto"/>
          <w:sz w:val="15"/>
          <w:szCs w:val="15"/>
          <w:highlight w:val="none"/>
        </w:rPr>
        <w:t xml:space="preserve">[42] ZHANG L, DAWES W R, WALKER G R. Response of mean annual evapotranspiration to vegetation changes at catchment scale[J]. Water Resources Research, 2001, 37(3): 701-708. </w:t>
      </w:r>
    </w:p>
    <w:p w14:paraId="57E69121">
      <w:pPr>
        <w:pStyle w:val="28"/>
        <w:ind w:left="300" w:hanging="300" w:hangingChars="200"/>
        <w:rPr>
          <w:rFonts w:hint="eastAsia" w:ascii="Times New Roman" w:hAnsi="Times New Roman" w:eastAsia="宋体" w:cs="Times New Roman"/>
          <w:color w:val="auto"/>
          <w:sz w:val="15"/>
          <w:szCs w:val="15"/>
          <w:highlight w:val="none"/>
          <w:lang w:eastAsia="zh-CN"/>
        </w:rPr>
      </w:pPr>
    </w:p>
    <w:sectPr>
      <w:headerReference r:id="rId6" w:type="first"/>
      <w:footerReference r:id="rId8" w:type="first"/>
      <w:headerReference r:id="rId5" w:type="default"/>
      <w:footerReference r:id="rId7" w:type="default"/>
      <w:pgSz w:w="11906" w:h="16838"/>
      <w:pgMar w:top="1440" w:right="1800" w:bottom="1440" w:left="1800" w:header="851" w:footer="992"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6075037"/>
    </w:sdtPr>
    <w:sdtEndPr>
      <w:rPr>
        <w:rFonts w:ascii="Times New Roman" w:hAnsi="Times New Roman" w:cs="Times New Roman"/>
        <w:sz w:val="24"/>
        <w:szCs w:val="24"/>
      </w:rPr>
    </w:sdtEndPr>
    <w:sdtContent>
      <w:sdt>
        <w:sdtPr>
          <w:id w:val="1728636285"/>
        </w:sdtPr>
        <w:sdtEndPr>
          <w:rPr>
            <w:rFonts w:ascii="Times New Roman" w:hAnsi="Times New Roman" w:cs="Times New Roman"/>
            <w:sz w:val="24"/>
            <w:szCs w:val="24"/>
          </w:rPr>
        </w:sdtEndPr>
        <w:sdtContent>
          <w:p w14:paraId="4F8865FC">
            <w:pPr>
              <w:pStyle w:val="10"/>
              <w:jc w:val="center"/>
              <w:rPr>
                <w:rFonts w:ascii="Times New Roman" w:hAnsi="Times New Roman" w:cs="Times New Roman"/>
                <w:sz w:val="24"/>
                <w:szCs w:val="24"/>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PAGE</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4</w:t>
            </w:r>
            <w:r>
              <w:rPr>
                <w:rFonts w:ascii="Times New Roman" w:hAnsi="Times New Roman" w:cs="Times New Roman"/>
                <w:b/>
                <w:bCs/>
                <w:sz w:val="24"/>
                <w:szCs w:val="24"/>
              </w:rPr>
              <w:fldChar w:fldCharType="end"/>
            </w:r>
            <w:r>
              <w:rPr>
                <w:rFonts w:ascii="Times New Roman" w:hAnsi="Times New Roman" w:cs="Times New Roman"/>
                <w:sz w:val="24"/>
                <w:szCs w:val="24"/>
                <w:lang w:val="zh-CN"/>
              </w:rPr>
              <w:t>/</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NUMPAGES</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18</w:t>
            </w:r>
            <w:r>
              <w:rPr>
                <w:rFonts w:ascii="Times New Roman" w:hAnsi="Times New Roman" w:cs="Times New Roman"/>
                <w:b/>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4A2F7">
    <w:pPr>
      <w:pStyle w:val="12"/>
      <w:snapToGrid/>
      <w:jc w:val="both"/>
      <w:rPr>
        <w:rFonts w:ascii="Times New Roman" w:hAnsi="Times New Roman" w:eastAsia="黑体" w:cs="Times New Roman"/>
        <w:b/>
        <w:bCs/>
        <w:kern w:val="0"/>
        <w:szCs w:val="18"/>
        <w:u w:val="single"/>
      </w:rPr>
    </w:pPr>
    <w:r>
      <w:rPr>
        <w:rFonts w:ascii="Times New Roman" w:hAnsi="Times New Roman" w:eastAsia="黑体" w:cs="Times New Roman"/>
        <w:b/>
        <w:bCs/>
        <w:szCs w:val="18"/>
        <w:u w:val="single"/>
      </w:rPr>
      <w:t xml:space="preserve">                                      </w:t>
    </w:r>
  </w:p>
  <w:p w14:paraId="2C4CB566">
    <w:pPr>
      <w:pStyle w:val="12"/>
      <w:snapToGrid/>
      <w:jc w:val="both"/>
      <w:rPr>
        <w:rFonts w:ascii="Times New Roman" w:hAnsi="Times New Roman" w:eastAsia="黑体" w:cs="Times New Roman"/>
        <w:b/>
        <w:bCs/>
        <w:spacing w:val="-2"/>
        <w:szCs w:val="18"/>
      </w:rPr>
    </w:pPr>
    <w:r>
      <w:rPr>
        <w:rFonts w:ascii="Times New Roman" w:hAnsi="Times New Roman" w:eastAsia="黑体" w:cs="Times New Roman"/>
        <w:b/>
        <w:bCs/>
        <w:szCs w:val="18"/>
      </w:rPr>
      <w:t>收稿日期：</w:t>
    </w:r>
    <w:r>
      <w:rPr>
        <w:rFonts w:ascii="Times New Roman" w:hAnsi="Times New Roman" w:cs="Times New Roman"/>
        <w:szCs w:val="18"/>
      </w:rPr>
      <w:t>202</w:t>
    </w:r>
    <w:r>
      <w:rPr>
        <w:rFonts w:hint="eastAsia" w:ascii="Times New Roman" w:hAnsi="Times New Roman" w:cs="Times New Roman"/>
        <w:szCs w:val="18"/>
      </w:rPr>
      <w:t>6</w:t>
    </w:r>
    <w:r>
      <w:rPr>
        <w:rFonts w:ascii="Times New Roman" w:hAnsi="Times New Roman" w:cs="Times New Roman"/>
        <w:szCs w:val="18"/>
      </w:rPr>
      <w:t>-0</w:t>
    </w:r>
    <w:r>
      <w:rPr>
        <w:rFonts w:hint="eastAsia" w:ascii="Times New Roman" w:hAnsi="Times New Roman" w:cs="Times New Roman"/>
        <w:szCs w:val="18"/>
      </w:rPr>
      <w:t>7</w:t>
    </w:r>
    <w:r>
      <w:rPr>
        <w:rFonts w:ascii="Times New Roman" w:hAnsi="Times New Roman" w:cs="Times New Roman"/>
        <w:szCs w:val="18"/>
      </w:rPr>
      <w:t>-</w:t>
    </w:r>
    <w:r>
      <w:rPr>
        <w:rFonts w:hint="eastAsia" w:ascii="Times New Roman" w:hAnsi="Times New Roman" w:cs="Times New Roman"/>
        <w:szCs w:val="18"/>
      </w:rPr>
      <w:t>2</w:t>
    </w:r>
    <w:r>
      <w:rPr>
        <w:rFonts w:ascii="Times New Roman" w:hAnsi="Times New Roman" w:cs="Times New Roman"/>
        <w:szCs w:val="18"/>
      </w:rPr>
      <w:t>1；</w:t>
    </w:r>
    <w:r>
      <w:rPr>
        <w:rFonts w:ascii="Times New Roman" w:hAnsi="Times New Roman" w:eastAsia="黑体" w:cs="Times New Roman"/>
        <w:b/>
        <w:bCs/>
        <w:szCs w:val="18"/>
      </w:rPr>
      <w:t>修回日期：</w:t>
    </w:r>
    <w:r>
      <w:rPr>
        <w:rFonts w:ascii="Times New Roman" w:hAnsi="Times New Roman" w:cs="Times New Roman"/>
        <w:szCs w:val="18"/>
      </w:rPr>
      <w:t>202</w:t>
    </w:r>
    <w:r>
      <w:rPr>
        <w:rFonts w:hint="eastAsia" w:ascii="Times New Roman" w:hAnsi="Times New Roman" w:cs="Times New Roman"/>
        <w:szCs w:val="18"/>
      </w:rPr>
      <w:t>6</w:t>
    </w:r>
    <w:r>
      <w:rPr>
        <w:rFonts w:ascii="Times New Roman" w:hAnsi="Times New Roman" w:cs="Times New Roman"/>
        <w:szCs w:val="18"/>
      </w:rPr>
      <w:t>-0</w:t>
    </w:r>
    <w:r>
      <w:rPr>
        <w:rFonts w:hint="eastAsia" w:ascii="Times New Roman" w:hAnsi="Times New Roman" w:cs="Times New Roman"/>
        <w:szCs w:val="18"/>
      </w:rPr>
      <w:t>9</w:t>
    </w:r>
    <w:r>
      <w:rPr>
        <w:rFonts w:ascii="Times New Roman" w:hAnsi="Times New Roman" w:cs="Times New Roman"/>
        <w:szCs w:val="18"/>
      </w:rPr>
      <w:t>-</w:t>
    </w:r>
    <w:r>
      <w:rPr>
        <w:rFonts w:hint="eastAsia" w:ascii="Times New Roman" w:hAnsi="Times New Roman" w:cs="Times New Roman"/>
        <w:szCs w:val="18"/>
      </w:rPr>
      <w:t>1</w:t>
    </w:r>
    <w:r>
      <w:rPr>
        <w:rFonts w:ascii="Times New Roman" w:hAnsi="Times New Roman" w:cs="Times New Roman"/>
        <w:szCs w:val="18"/>
      </w:rPr>
      <w:t>1；</w:t>
    </w:r>
    <w:r>
      <w:rPr>
        <w:rFonts w:ascii="Times New Roman" w:hAnsi="Times New Roman" w:eastAsia="黑体" w:cs="Times New Roman"/>
        <w:b/>
        <w:bCs/>
        <w:szCs w:val="18"/>
      </w:rPr>
      <w:t>录用日期：</w:t>
    </w:r>
    <w:r>
      <w:rPr>
        <w:rFonts w:ascii="Times New Roman" w:hAnsi="Times New Roman" w:cs="Times New Roman"/>
        <w:szCs w:val="18"/>
      </w:rPr>
      <w:t>202</w:t>
    </w:r>
    <w:r>
      <w:rPr>
        <w:rFonts w:hint="eastAsia" w:ascii="Times New Roman" w:hAnsi="Times New Roman" w:cs="Times New Roman"/>
        <w:szCs w:val="18"/>
      </w:rPr>
      <w:t>6</w:t>
    </w:r>
    <w:r>
      <w:rPr>
        <w:rFonts w:ascii="Times New Roman" w:hAnsi="Times New Roman" w:cs="Times New Roman"/>
        <w:szCs w:val="18"/>
      </w:rPr>
      <w:t>-0</w:t>
    </w:r>
    <w:r>
      <w:rPr>
        <w:rFonts w:hint="eastAsia" w:ascii="Times New Roman" w:hAnsi="Times New Roman" w:cs="Times New Roman"/>
        <w:szCs w:val="18"/>
      </w:rPr>
      <w:t>9</w:t>
    </w:r>
    <w:r>
      <w:rPr>
        <w:rFonts w:ascii="Times New Roman" w:hAnsi="Times New Roman" w:cs="Times New Roman"/>
        <w:szCs w:val="18"/>
      </w:rPr>
      <w:t>-</w:t>
    </w:r>
    <w:r>
      <w:rPr>
        <w:rFonts w:hint="eastAsia" w:ascii="Times New Roman" w:hAnsi="Times New Roman" w:cs="Times New Roman"/>
        <w:szCs w:val="18"/>
      </w:rPr>
      <w:t>21</w:t>
    </w:r>
    <w:r>
      <w:rPr>
        <w:rFonts w:ascii="Times New Roman" w:hAnsi="Times New Roman" w:cs="Times New Roman"/>
        <w:szCs w:val="18"/>
      </w:rPr>
      <w:t>；</w:t>
    </w:r>
    <w:r>
      <w:rPr>
        <w:rFonts w:ascii="Times New Roman" w:hAnsi="Times New Roman" w:eastAsia="黑体" w:cs="Times New Roman"/>
        <w:b/>
        <w:bCs/>
        <w:szCs w:val="18"/>
      </w:rPr>
      <w:t>网络出版日期：</w:t>
    </w:r>
  </w:p>
  <w:p w14:paraId="15D7D177">
    <w:pPr>
      <w:pStyle w:val="12"/>
      <w:jc w:val="both"/>
      <w:rPr>
        <w:rFonts w:ascii="Times New Roman" w:hAnsi="Times New Roman" w:cs="Times New Roman"/>
        <w:szCs w:val="18"/>
      </w:rPr>
    </w:pPr>
    <w:r>
      <w:rPr>
        <w:rFonts w:ascii="Times New Roman" w:hAnsi="Times New Roman" w:eastAsia="黑体" w:cs="Times New Roman"/>
        <w:b/>
        <w:bCs/>
        <w:spacing w:val="-2"/>
        <w:szCs w:val="18"/>
      </w:rPr>
      <w:t>基金项目：</w:t>
    </w:r>
    <w:r>
      <w:rPr>
        <w:rFonts w:hint="eastAsia" w:ascii="Times New Roman" w:hAnsi="Times New Roman" w:cs="Times New Roman"/>
        <w:szCs w:val="18"/>
      </w:rPr>
      <w:t>国家重点研发计划项目（</w:t>
    </w:r>
    <w:r>
      <w:rPr>
        <w:rFonts w:ascii="Times New Roman" w:hAnsi="Times New Roman" w:cs="Times New Roman"/>
        <w:szCs w:val="18"/>
      </w:rPr>
      <w:t>2024YFC3212300）</w:t>
    </w:r>
    <w:r>
      <w:rPr>
        <w:rFonts w:hint="eastAsia" w:ascii="Times New Roman" w:hAnsi="Times New Roman" w:cs="Times New Roman"/>
        <w:szCs w:val="18"/>
      </w:rPr>
      <w:t>；</w:t>
    </w:r>
    <w:r>
      <w:rPr>
        <w:rFonts w:ascii="Times New Roman" w:hAnsi="Times New Roman" w:cs="Times New Roman"/>
        <w:szCs w:val="18"/>
      </w:rPr>
      <w:t>国家自然科学基金项目（</w:t>
    </w:r>
    <w:bookmarkStart w:id="56" w:name="OLE_LINK22"/>
    <w:r>
      <w:rPr>
        <w:rFonts w:ascii="Times New Roman" w:hAnsi="Times New Roman" w:cs="Times New Roman"/>
        <w:szCs w:val="18"/>
      </w:rPr>
      <w:t>52479009</w:t>
    </w:r>
    <w:bookmarkEnd w:id="56"/>
    <w:r>
      <w:rPr>
        <w:rFonts w:ascii="Times New Roman" w:hAnsi="Times New Roman" w:cs="Times New Roman"/>
        <w:szCs w:val="18"/>
      </w:rPr>
      <w:t>）</w:t>
    </w:r>
  </w:p>
  <w:p w14:paraId="138B79AE">
    <w:pPr>
      <w:rPr>
        <w:rFonts w:ascii="Times New Roman" w:hAnsi="Times New Roman" w:eastAsia="宋体" w:cs="Times New Roman"/>
        <w:sz w:val="18"/>
        <w:szCs w:val="18"/>
      </w:rPr>
    </w:pPr>
    <w:r>
      <w:rPr>
        <w:rFonts w:ascii="Times New Roman" w:hAnsi="Times New Roman" w:eastAsia="黑体" w:cs="Times New Roman"/>
        <w:b/>
        <w:bCs/>
        <w:spacing w:val="-2"/>
        <w:sz w:val="18"/>
        <w:szCs w:val="18"/>
      </w:rPr>
      <w:t>作者简介：</w:t>
    </w:r>
    <w:r>
      <w:rPr>
        <w:rFonts w:hint="eastAsia" w:ascii="Times New Roman" w:hAnsi="Times New Roman" w:eastAsia="宋体" w:cs="Times New Roman"/>
        <w:sz w:val="18"/>
        <w:szCs w:val="18"/>
      </w:rPr>
      <w:t>张家彬</w:t>
    </w:r>
    <w:r>
      <w:rPr>
        <w:rFonts w:ascii="Times New Roman" w:hAnsi="Times New Roman" w:eastAsia="宋体" w:cs="Times New Roman"/>
        <w:sz w:val="18"/>
        <w:szCs w:val="18"/>
      </w:rPr>
      <w:t>（</w:t>
    </w:r>
    <w:r>
      <w:rPr>
        <w:rFonts w:hint="eastAsia" w:ascii="Times New Roman" w:hAnsi="Times New Roman" w:eastAsia="宋体" w:cs="Times New Roman"/>
        <w:sz w:val="18"/>
        <w:szCs w:val="18"/>
      </w:rPr>
      <w:t>2</w:t>
    </w:r>
    <w:r>
      <w:rPr>
        <w:rFonts w:ascii="Times New Roman" w:hAnsi="Times New Roman" w:eastAsia="宋体" w:cs="Times New Roman"/>
        <w:sz w:val="18"/>
        <w:szCs w:val="18"/>
      </w:rPr>
      <w:t>002—），</w:t>
    </w:r>
    <w:r>
      <w:rPr>
        <w:rFonts w:hint="eastAsia" w:ascii="Times New Roman" w:hAnsi="Times New Roman" w:eastAsia="宋体" w:cs="Times New Roman"/>
        <w:sz w:val="18"/>
        <w:szCs w:val="18"/>
      </w:rPr>
      <w:t>女</w:t>
    </w:r>
    <w:r>
      <w:rPr>
        <w:rFonts w:ascii="Times New Roman" w:hAnsi="Times New Roman" w:eastAsia="宋体" w:cs="Times New Roman"/>
        <w:sz w:val="18"/>
        <w:szCs w:val="18"/>
      </w:rPr>
      <w:t>，硕士研究生，主要从事</w:t>
    </w:r>
    <w:r>
      <w:rPr>
        <w:rFonts w:hint="eastAsia" w:ascii="Times New Roman" w:hAnsi="Times New Roman" w:eastAsia="宋体" w:cs="Times New Roman"/>
        <w:sz w:val="18"/>
        <w:szCs w:val="18"/>
      </w:rPr>
      <w:t>水文物理规律模拟及水文预报</w:t>
    </w:r>
    <w:r>
      <w:rPr>
        <w:rFonts w:ascii="Times New Roman" w:hAnsi="Times New Roman" w:eastAsia="宋体" w:cs="Times New Roman"/>
        <w:sz w:val="18"/>
        <w:szCs w:val="18"/>
      </w:rPr>
      <w:t>研究。E-mail：zhangjiabin0222@163.com</w:t>
    </w:r>
  </w:p>
  <w:p w14:paraId="68C7CB92">
    <w:pPr>
      <w:rPr>
        <w:rFonts w:ascii="Times New Roman" w:hAnsi="Times New Roman" w:eastAsia="宋体" w:cs="Times New Roman"/>
        <w:sz w:val="18"/>
        <w:szCs w:val="18"/>
      </w:rPr>
    </w:pPr>
    <w:r>
      <w:rPr>
        <w:rFonts w:ascii="Times New Roman" w:hAnsi="Times New Roman" w:eastAsia="黑体" w:cs="Times New Roman"/>
        <w:b/>
        <w:bCs/>
        <w:spacing w:val="-2"/>
        <w:sz w:val="18"/>
        <w:szCs w:val="18"/>
      </w:rPr>
      <w:t>通信作者：</w:t>
    </w:r>
    <w:r>
      <w:rPr>
        <w:rFonts w:hint="eastAsia" w:ascii="Times New Roman" w:hAnsi="Times New Roman" w:eastAsia="宋体" w:cs="Times New Roman"/>
        <w:sz w:val="18"/>
        <w:szCs w:val="18"/>
      </w:rPr>
      <w:t>江善虎</w:t>
    </w:r>
    <w:r>
      <w:rPr>
        <w:rFonts w:ascii="Times New Roman" w:hAnsi="Times New Roman" w:eastAsia="宋体" w:cs="Times New Roman"/>
        <w:sz w:val="18"/>
        <w:szCs w:val="18"/>
      </w:rPr>
      <w:t>（</w:t>
    </w:r>
    <w:r>
      <w:rPr>
        <w:rFonts w:hint="eastAsia" w:ascii="Times New Roman" w:hAnsi="Times New Roman" w:eastAsia="宋体" w:cs="Times New Roman"/>
        <w:sz w:val="18"/>
        <w:szCs w:val="18"/>
      </w:rPr>
      <w:t>1</w:t>
    </w:r>
    <w:r>
      <w:rPr>
        <w:rFonts w:ascii="Times New Roman" w:hAnsi="Times New Roman" w:eastAsia="宋体" w:cs="Times New Roman"/>
        <w:sz w:val="18"/>
        <w:szCs w:val="18"/>
      </w:rPr>
      <w:t>983—），</w:t>
    </w:r>
    <w:r>
      <w:rPr>
        <w:rFonts w:hint="eastAsia" w:ascii="Times New Roman" w:hAnsi="Times New Roman" w:eastAsia="宋体" w:cs="Times New Roman"/>
        <w:sz w:val="18"/>
        <w:szCs w:val="18"/>
      </w:rPr>
      <w:t>男</w:t>
    </w:r>
    <w:r>
      <w:rPr>
        <w:rFonts w:ascii="Times New Roman" w:hAnsi="Times New Roman" w:eastAsia="宋体" w:cs="Times New Roman"/>
        <w:sz w:val="18"/>
        <w:szCs w:val="18"/>
      </w:rPr>
      <w:t>，</w:t>
    </w:r>
    <w:r>
      <w:rPr>
        <w:rFonts w:hint="eastAsia" w:ascii="Times New Roman" w:hAnsi="Times New Roman" w:eastAsia="宋体" w:cs="Times New Roman"/>
        <w:sz w:val="18"/>
        <w:szCs w:val="18"/>
      </w:rPr>
      <w:t>教授，博士研究生导师，博士</w:t>
    </w:r>
    <w:r>
      <w:rPr>
        <w:rFonts w:ascii="Times New Roman" w:hAnsi="Times New Roman" w:eastAsia="宋体" w:cs="Times New Roman"/>
        <w:sz w:val="18"/>
        <w:szCs w:val="18"/>
      </w:rPr>
      <w:t>，主要从事</w:t>
    </w:r>
    <w:r>
      <w:rPr>
        <w:rFonts w:hint="eastAsia" w:ascii="Times New Roman" w:hAnsi="Times New Roman" w:eastAsia="宋体" w:cs="Times New Roman"/>
        <w:sz w:val="18"/>
        <w:szCs w:val="18"/>
      </w:rPr>
      <w:t>变化环境下水文响应机理</w:t>
    </w:r>
    <w:r>
      <w:rPr>
        <w:rFonts w:ascii="Times New Roman" w:hAnsi="Times New Roman" w:eastAsia="宋体" w:cs="Times New Roman"/>
        <w:sz w:val="18"/>
        <w:szCs w:val="18"/>
      </w:rPr>
      <w:t>研究。E-mail：</w:t>
    </w:r>
    <w:bookmarkStart w:id="57" w:name="OLE_LINK32"/>
    <w:r>
      <w:rPr>
        <w:rFonts w:ascii="Times New Roman" w:hAnsi="Times New Roman" w:eastAsia="宋体" w:cs="Times New Roman"/>
        <w:sz w:val="18"/>
        <w:szCs w:val="18"/>
      </w:rPr>
      <w:t>hik0216@hhu.edu.cn</w:t>
    </w:r>
    <w:bookmarkEnd w:id="57"/>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51F6">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96332">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903C66"/>
    <w:multiLevelType w:val="multilevel"/>
    <w:tmpl w:val="37903C66"/>
    <w:lvl w:ilvl="0" w:tentative="0">
      <w:start w:val="1"/>
      <w:numFmt w:val="decimal"/>
      <w:lvlText w:val="%1."/>
      <w:lvlJc w:val="left"/>
      <w:pPr>
        <w:tabs>
          <w:tab w:val="left" w:pos="720"/>
        </w:tabs>
        <w:ind w:left="720" w:hanging="720"/>
      </w:pPr>
    </w:lvl>
    <w:lvl w:ilvl="1" w:tentative="0">
      <w:start w:val="1"/>
      <w:numFmt w:val="decimal"/>
      <w:pStyle w:val="3"/>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 副本&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vfssadwppfexev9dmxvvv99xzsw02xw2p2&quot;&gt;My EndNote Library&lt;record-ids&gt;&lt;item&gt;295&lt;/item&gt;&lt;/record-ids&gt;&lt;/item&gt;&lt;/Libraries&gt;"/>
  </w:docVars>
  <w:rsids>
    <w:rsidRoot w:val="00234076"/>
    <w:rsid w:val="0000366D"/>
    <w:rsid w:val="0000395D"/>
    <w:rsid w:val="00003A3E"/>
    <w:rsid w:val="0000711E"/>
    <w:rsid w:val="00011A27"/>
    <w:rsid w:val="00013B1F"/>
    <w:rsid w:val="000170B6"/>
    <w:rsid w:val="00017EAA"/>
    <w:rsid w:val="00020681"/>
    <w:rsid w:val="000213A0"/>
    <w:rsid w:val="000245DF"/>
    <w:rsid w:val="0002513B"/>
    <w:rsid w:val="0002711D"/>
    <w:rsid w:val="00027624"/>
    <w:rsid w:val="00030223"/>
    <w:rsid w:val="00030335"/>
    <w:rsid w:val="00031BF6"/>
    <w:rsid w:val="00031EB2"/>
    <w:rsid w:val="000335F1"/>
    <w:rsid w:val="00034A00"/>
    <w:rsid w:val="00035E1E"/>
    <w:rsid w:val="00040771"/>
    <w:rsid w:val="00050D01"/>
    <w:rsid w:val="00050D7A"/>
    <w:rsid w:val="00051EBB"/>
    <w:rsid w:val="000524CC"/>
    <w:rsid w:val="000558E0"/>
    <w:rsid w:val="000677D8"/>
    <w:rsid w:val="000700C8"/>
    <w:rsid w:val="00070CDC"/>
    <w:rsid w:val="0007227D"/>
    <w:rsid w:val="00072A45"/>
    <w:rsid w:val="00072F08"/>
    <w:rsid w:val="000746C3"/>
    <w:rsid w:val="00077906"/>
    <w:rsid w:val="00080BC5"/>
    <w:rsid w:val="00081DBE"/>
    <w:rsid w:val="00086062"/>
    <w:rsid w:val="00090FD3"/>
    <w:rsid w:val="00091D6B"/>
    <w:rsid w:val="00093ACA"/>
    <w:rsid w:val="00095C58"/>
    <w:rsid w:val="0009664E"/>
    <w:rsid w:val="000A017A"/>
    <w:rsid w:val="000A038A"/>
    <w:rsid w:val="000A0486"/>
    <w:rsid w:val="000A2CA1"/>
    <w:rsid w:val="000A2F23"/>
    <w:rsid w:val="000A684E"/>
    <w:rsid w:val="000A7A6F"/>
    <w:rsid w:val="000B0D46"/>
    <w:rsid w:val="000B219A"/>
    <w:rsid w:val="000B28B5"/>
    <w:rsid w:val="000B2B99"/>
    <w:rsid w:val="000B5DCC"/>
    <w:rsid w:val="000B6CFA"/>
    <w:rsid w:val="000B6F7E"/>
    <w:rsid w:val="000C00E9"/>
    <w:rsid w:val="000C0BDE"/>
    <w:rsid w:val="000C2A7C"/>
    <w:rsid w:val="000C66A4"/>
    <w:rsid w:val="000C69F3"/>
    <w:rsid w:val="000D07B6"/>
    <w:rsid w:val="000D2CFC"/>
    <w:rsid w:val="000E0B34"/>
    <w:rsid w:val="000E0FE8"/>
    <w:rsid w:val="000E1CB0"/>
    <w:rsid w:val="000E3C33"/>
    <w:rsid w:val="000E64B3"/>
    <w:rsid w:val="000E7400"/>
    <w:rsid w:val="000F0680"/>
    <w:rsid w:val="000F1B0F"/>
    <w:rsid w:val="000F3040"/>
    <w:rsid w:val="000F4652"/>
    <w:rsid w:val="000F7AF1"/>
    <w:rsid w:val="00102B2A"/>
    <w:rsid w:val="00103515"/>
    <w:rsid w:val="00104580"/>
    <w:rsid w:val="001105B4"/>
    <w:rsid w:val="0011088A"/>
    <w:rsid w:val="001165D2"/>
    <w:rsid w:val="0011664F"/>
    <w:rsid w:val="00126DB0"/>
    <w:rsid w:val="001307A1"/>
    <w:rsid w:val="00133522"/>
    <w:rsid w:val="0014697C"/>
    <w:rsid w:val="0015014F"/>
    <w:rsid w:val="00151A71"/>
    <w:rsid w:val="00152901"/>
    <w:rsid w:val="00157815"/>
    <w:rsid w:val="00157FBF"/>
    <w:rsid w:val="00160AD0"/>
    <w:rsid w:val="001637FC"/>
    <w:rsid w:val="00171278"/>
    <w:rsid w:val="00172A99"/>
    <w:rsid w:val="0017666F"/>
    <w:rsid w:val="001810E9"/>
    <w:rsid w:val="0018315C"/>
    <w:rsid w:val="0018452E"/>
    <w:rsid w:val="00187EB5"/>
    <w:rsid w:val="001A1BEE"/>
    <w:rsid w:val="001A40D4"/>
    <w:rsid w:val="001A5521"/>
    <w:rsid w:val="001B038C"/>
    <w:rsid w:val="001B1949"/>
    <w:rsid w:val="001B52E8"/>
    <w:rsid w:val="001C1409"/>
    <w:rsid w:val="001C1CDF"/>
    <w:rsid w:val="001C3C95"/>
    <w:rsid w:val="001C441B"/>
    <w:rsid w:val="001D0157"/>
    <w:rsid w:val="001D1ADC"/>
    <w:rsid w:val="001D43B2"/>
    <w:rsid w:val="001D5F35"/>
    <w:rsid w:val="001E26F8"/>
    <w:rsid w:val="001E4597"/>
    <w:rsid w:val="001E4D18"/>
    <w:rsid w:val="001F0654"/>
    <w:rsid w:val="001F0A54"/>
    <w:rsid w:val="001F0B91"/>
    <w:rsid w:val="001F25BB"/>
    <w:rsid w:val="001F39C0"/>
    <w:rsid w:val="00204EC7"/>
    <w:rsid w:val="00206221"/>
    <w:rsid w:val="00211397"/>
    <w:rsid w:val="002138AC"/>
    <w:rsid w:val="0021399C"/>
    <w:rsid w:val="00214248"/>
    <w:rsid w:val="002148D7"/>
    <w:rsid w:val="002179EF"/>
    <w:rsid w:val="002233DC"/>
    <w:rsid w:val="002279B4"/>
    <w:rsid w:val="00232463"/>
    <w:rsid w:val="00232ED4"/>
    <w:rsid w:val="00234076"/>
    <w:rsid w:val="002365D7"/>
    <w:rsid w:val="00240E1C"/>
    <w:rsid w:val="0024245F"/>
    <w:rsid w:val="00243A3B"/>
    <w:rsid w:val="00247F30"/>
    <w:rsid w:val="0025738D"/>
    <w:rsid w:val="00262258"/>
    <w:rsid w:val="002629E9"/>
    <w:rsid w:val="00267FEF"/>
    <w:rsid w:val="00272A0B"/>
    <w:rsid w:val="002755FC"/>
    <w:rsid w:val="002774CD"/>
    <w:rsid w:val="002849E6"/>
    <w:rsid w:val="00285E37"/>
    <w:rsid w:val="002879A4"/>
    <w:rsid w:val="002941EB"/>
    <w:rsid w:val="002942B3"/>
    <w:rsid w:val="00294740"/>
    <w:rsid w:val="00297557"/>
    <w:rsid w:val="00297FE1"/>
    <w:rsid w:val="002A01B3"/>
    <w:rsid w:val="002A68BA"/>
    <w:rsid w:val="002A711B"/>
    <w:rsid w:val="002B0F96"/>
    <w:rsid w:val="002B4ADB"/>
    <w:rsid w:val="002B5DED"/>
    <w:rsid w:val="002C0403"/>
    <w:rsid w:val="002C0BE4"/>
    <w:rsid w:val="002C2EC9"/>
    <w:rsid w:val="002C32C2"/>
    <w:rsid w:val="002C3529"/>
    <w:rsid w:val="002C5A50"/>
    <w:rsid w:val="002C685C"/>
    <w:rsid w:val="002D14A0"/>
    <w:rsid w:val="002D2278"/>
    <w:rsid w:val="002D2400"/>
    <w:rsid w:val="002D2F92"/>
    <w:rsid w:val="002D324A"/>
    <w:rsid w:val="002D7871"/>
    <w:rsid w:val="002E005B"/>
    <w:rsid w:val="002E417C"/>
    <w:rsid w:val="002E4947"/>
    <w:rsid w:val="002E602F"/>
    <w:rsid w:val="002F0965"/>
    <w:rsid w:val="002F1BE5"/>
    <w:rsid w:val="002F4909"/>
    <w:rsid w:val="002F5E78"/>
    <w:rsid w:val="002F7009"/>
    <w:rsid w:val="00301B42"/>
    <w:rsid w:val="0030205C"/>
    <w:rsid w:val="00312279"/>
    <w:rsid w:val="003126EA"/>
    <w:rsid w:val="00313E2F"/>
    <w:rsid w:val="00314FB7"/>
    <w:rsid w:val="0031770A"/>
    <w:rsid w:val="00321BDB"/>
    <w:rsid w:val="00323524"/>
    <w:rsid w:val="00323FC0"/>
    <w:rsid w:val="00332E82"/>
    <w:rsid w:val="00333341"/>
    <w:rsid w:val="00336A9F"/>
    <w:rsid w:val="0034296D"/>
    <w:rsid w:val="00344ADF"/>
    <w:rsid w:val="00353D90"/>
    <w:rsid w:val="00354942"/>
    <w:rsid w:val="00355D3B"/>
    <w:rsid w:val="003578FA"/>
    <w:rsid w:val="0036217F"/>
    <w:rsid w:val="00364E9B"/>
    <w:rsid w:val="0036505E"/>
    <w:rsid w:val="00370A80"/>
    <w:rsid w:val="00370FAB"/>
    <w:rsid w:val="003730FA"/>
    <w:rsid w:val="00381591"/>
    <w:rsid w:val="00382C3C"/>
    <w:rsid w:val="00382DDF"/>
    <w:rsid w:val="00387E78"/>
    <w:rsid w:val="00390C2F"/>
    <w:rsid w:val="0039244B"/>
    <w:rsid w:val="00392C92"/>
    <w:rsid w:val="0039316F"/>
    <w:rsid w:val="003931FA"/>
    <w:rsid w:val="0039434C"/>
    <w:rsid w:val="00394C9A"/>
    <w:rsid w:val="00395971"/>
    <w:rsid w:val="00397E6E"/>
    <w:rsid w:val="003A09E8"/>
    <w:rsid w:val="003A0D53"/>
    <w:rsid w:val="003A0F68"/>
    <w:rsid w:val="003A4F87"/>
    <w:rsid w:val="003B3234"/>
    <w:rsid w:val="003B3D0D"/>
    <w:rsid w:val="003B4A76"/>
    <w:rsid w:val="003B5FE3"/>
    <w:rsid w:val="003C093B"/>
    <w:rsid w:val="003C17CB"/>
    <w:rsid w:val="003C4026"/>
    <w:rsid w:val="003C4501"/>
    <w:rsid w:val="003C51E5"/>
    <w:rsid w:val="003D451C"/>
    <w:rsid w:val="003D6C55"/>
    <w:rsid w:val="003D7880"/>
    <w:rsid w:val="003E0256"/>
    <w:rsid w:val="003E4CF5"/>
    <w:rsid w:val="003E6D79"/>
    <w:rsid w:val="003F386C"/>
    <w:rsid w:val="003F40C1"/>
    <w:rsid w:val="003F4796"/>
    <w:rsid w:val="003F6C53"/>
    <w:rsid w:val="003F6FCF"/>
    <w:rsid w:val="003F7189"/>
    <w:rsid w:val="00405235"/>
    <w:rsid w:val="00407EB8"/>
    <w:rsid w:val="00411D70"/>
    <w:rsid w:val="00411F51"/>
    <w:rsid w:val="00411FA2"/>
    <w:rsid w:val="004136AC"/>
    <w:rsid w:val="00416B10"/>
    <w:rsid w:val="00424405"/>
    <w:rsid w:val="004256F6"/>
    <w:rsid w:val="004340FB"/>
    <w:rsid w:val="00437177"/>
    <w:rsid w:val="00443FA9"/>
    <w:rsid w:val="004443BE"/>
    <w:rsid w:val="00447E6F"/>
    <w:rsid w:val="00447F05"/>
    <w:rsid w:val="00451297"/>
    <w:rsid w:val="0045385F"/>
    <w:rsid w:val="00457410"/>
    <w:rsid w:val="00457B84"/>
    <w:rsid w:val="00462BAA"/>
    <w:rsid w:val="0046645B"/>
    <w:rsid w:val="00466641"/>
    <w:rsid w:val="0047728E"/>
    <w:rsid w:val="004800C1"/>
    <w:rsid w:val="0048122F"/>
    <w:rsid w:val="00482B5B"/>
    <w:rsid w:val="00485E58"/>
    <w:rsid w:val="00486CDE"/>
    <w:rsid w:val="0048736B"/>
    <w:rsid w:val="00487AAF"/>
    <w:rsid w:val="00490B74"/>
    <w:rsid w:val="00491D45"/>
    <w:rsid w:val="004950C6"/>
    <w:rsid w:val="0049659A"/>
    <w:rsid w:val="00497A16"/>
    <w:rsid w:val="004A02B3"/>
    <w:rsid w:val="004A4D92"/>
    <w:rsid w:val="004A5FBE"/>
    <w:rsid w:val="004B0146"/>
    <w:rsid w:val="004B1820"/>
    <w:rsid w:val="004B2CB2"/>
    <w:rsid w:val="004B5469"/>
    <w:rsid w:val="004B74AB"/>
    <w:rsid w:val="004C1774"/>
    <w:rsid w:val="004C7538"/>
    <w:rsid w:val="004D7662"/>
    <w:rsid w:val="004E193E"/>
    <w:rsid w:val="004E295D"/>
    <w:rsid w:val="004E42CB"/>
    <w:rsid w:val="004F166A"/>
    <w:rsid w:val="004F20BD"/>
    <w:rsid w:val="004F292D"/>
    <w:rsid w:val="004F3964"/>
    <w:rsid w:val="004F3BB9"/>
    <w:rsid w:val="004F6850"/>
    <w:rsid w:val="005000D0"/>
    <w:rsid w:val="005023D6"/>
    <w:rsid w:val="0050279E"/>
    <w:rsid w:val="005037E8"/>
    <w:rsid w:val="00504776"/>
    <w:rsid w:val="0051097D"/>
    <w:rsid w:val="00510D1A"/>
    <w:rsid w:val="005117BD"/>
    <w:rsid w:val="0051194E"/>
    <w:rsid w:val="00516622"/>
    <w:rsid w:val="005167EC"/>
    <w:rsid w:val="00523459"/>
    <w:rsid w:val="00524479"/>
    <w:rsid w:val="005254E7"/>
    <w:rsid w:val="005265EE"/>
    <w:rsid w:val="005338CA"/>
    <w:rsid w:val="00540DFF"/>
    <w:rsid w:val="00544EDE"/>
    <w:rsid w:val="00547BB5"/>
    <w:rsid w:val="00552A23"/>
    <w:rsid w:val="005558B1"/>
    <w:rsid w:val="00555B9C"/>
    <w:rsid w:val="00555E72"/>
    <w:rsid w:val="00561FCC"/>
    <w:rsid w:val="005656C5"/>
    <w:rsid w:val="005662F9"/>
    <w:rsid w:val="00570119"/>
    <w:rsid w:val="00577188"/>
    <w:rsid w:val="005776D6"/>
    <w:rsid w:val="00577CE0"/>
    <w:rsid w:val="005806FA"/>
    <w:rsid w:val="0058371E"/>
    <w:rsid w:val="00583926"/>
    <w:rsid w:val="005852FA"/>
    <w:rsid w:val="00585CCA"/>
    <w:rsid w:val="0058695B"/>
    <w:rsid w:val="005923D8"/>
    <w:rsid w:val="005929E6"/>
    <w:rsid w:val="00593304"/>
    <w:rsid w:val="005960FB"/>
    <w:rsid w:val="005A23AA"/>
    <w:rsid w:val="005A2864"/>
    <w:rsid w:val="005A49FF"/>
    <w:rsid w:val="005A4F0C"/>
    <w:rsid w:val="005A50EA"/>
    <w:rsid w:val="005A6C0F"/>
    <w:rsid w:val="005B1A64"/>
    <w:rsid w:val="005B40B5"/>
    <w:rsid w:val="005B470A"/>
    <w:rsid w:val="005C4134"/>
    <w:rsid w:val="005D0409"/>
    <w:rsid w:val="005D25B9"/>
    <w:rsid w:val="005D4A2A"/>
    <w:rsid w:val="005D7A53"/>
    <w:rsid w:val="005E0024"/>
    <w:rsid w:val="005E32F6"/>
    <w:rsid w:val="005E6651"/>
    <w:rsid w:val="005F1B2F"/>
    <w:rsid w:val="005F35A0"/>
    <w:rsid w:val="005F5DA3"/>
    <w:rsid w:val="005F745A"/>
    <w:rsid w:val="005F7E36"/>
    <w:rsid w:val="00600ABF"/>
    <w:rsid w:val="00600FC0"/>
    <w:rsid w:val="0060112D"/>
    <w:rsid w:val="00604668"/>
    <w:rsid w:val="00605C07"/>
    <w:rsid w:val="00605C56"/>
    <w:rsid w:val="0060714F"/>
    <w:rsid w:val="00610E1B"/>
    <w:rsid w:val="006144F0"/>
    <w:rsid w:val="00617DCE"/>
    <w:rsid w:val="00620576"/>
    <w:rsid w:val="00620955"/>
    <w:rsid w:val="0062556B"/>
    <w:rsid w:val="00632363"/>
    <w:rsid w:val="00632853"/>
    <w:rsid w:val="00633037"/>
    <w:rsid w:val="0063727B"/>
    <w:rsid w:val="0063736C"/>
    <w:rsid w:val="00637652"/>
    <w:rsid w:val="00641664"/>
    <w:rsid w:val="00643C6F"/>
    <w:rsid w:val="0064449A"/>
    <w:rsid w:val="00645840"/>
    <w:rsid w:val="006503A8"/>
    <w:rsid w:val="00650CB9"/>
    <w:rsid w:val="00656AB2"/>
    <w:rsid w:val="0065775A"/>
    <w:rsid w:val="00657E9F"/>
    <w:rsid w:val="00661820"/>
    <w:rsid w:val="00661DEE"/>
    <w:rsid w:val="006621E2"/>
    <w:rsid w:val="00666050"/>
    <w:rsid w:val="00666D74"/>
    <w:rsid w:val="00671FD8"/>
    <w:rsid w:val="00674E5A"/>
    <w:rsid w:val="006766CA"/>
    <w:rsid w:val="00680502"/>
    <w:rsid w:val="00682104"/>
    <w:rsid w:val="00683425"/>
    <w:rsid w:val="00685143"/>
    <w:rsid w:val="00685992"/>
    <w:rsid w:val="00685A21"/>
    <w:rsid w:val="006938F2"/>
    <w:rsid w:val="0069526A"/>
    <w:rsid w:val="00696326"/>
    <w:rsid w:val="0069657E"/>
    <w:rsid w:val="00697D4F"/>
    <w:rsid w:val="006A2D18"/>
    <w:rsid w:val="006A5498"/>
    <w:rsid w:val="006A554A"/>
    <w:rsid w:val="006B0D98"/>
    <w:rsid w:val="006B0ED1"/>
    <w:rsid w:val="006B208A"/>
    <w:rsid w:val="006B20BD"/>
    <w:rsid w:val="006B3C78"/>
    <w:rsid w:val="006B71A6"/>
    <w:rsid w:val="006B7C6B"/>
    <w:rsid w:val="006C780F"/>
    <w:rsid w:val="006D3424"/>
    <w:rsid w:val="006D53B1"/>
    <w:rsid w:val="006D59AE"/>
    <w:rsid w:val="006D6F3B"/>
    <w:rsid w:val="006E0336"/>
    <w:rsid w:val="006E313F"/>
    <w:rsid w:val="006E31F5"/>
    <w:rsid w:val="006E328F"/>
    <w:rsid w:val="006E4F2E"/>
    <w:rsid w:val="006E569C"/>
    <w:rsid w:val="006F4A89"/>
    <w:rsid w:val="006F5744"/>
    <w:rsid w:val="006F7686"/>
    <w:rsid w:val="00700C34"/>
    <w:rsid w:val="007010C4"/>
    <w:rsid w:val="00701174"/>
    <w:rsid w:val="00711ECF"/>
    <w:rsid w:val="0071285F"/>
    <w:rsid w:val="007147D6"/>
    <w:rsid w:val="00714A3A"/>
    <w:rsid w:val="0071638D"/>
    <w:rsid w:val="0072588B"/>
    <w:rsid w:val="00725ABC"/>
    <w:rsid w:val="0073031F"/>
    <w:rsid w:val="00730429"/>
    <w:rsid w:val="007334E3"/>
    <w:rsid w:val="007342DF"/>
    <w:rsid w:val="007363D3"/>
    <w:rsid w:val="0074362B"/>
    <w:rsid w:val="00757AFD"/>
    <w:rsid w:val="007601D0"/>
    <w:rsid w:val="0076283B"/>
    <w:rsid w:val="00763444"/>
    <w:rsid w:val="0076535A"/>
    <w:rsid w:val="00776A0F"/>
    <w:rsid w:val="00776ED0"/>
    <w:rsid w:val="0078112E"/>
    <w:rsid w:val="007814A1"/>
    <w:rsid w:val="00781A54"/>
    <w:rsid w:val="00792572"/>
    <w:rsid w:val="007969C6"/>
    <w:rsid w:val="007A01E9"/>
    <w:rsid w:val="007A1DCE"/>
    <w:rsid w:val="007A1F73"/>
    <w:rsid w:val="007A2A2B"/>
    <w:rsid w:val="007A3835"/>
    <w:rsid w:val="007A6860"/>
    <w:rsid w:val="007A689B"/>
    <w:rsid w:val="007B23F6"/>
    <w:rsid w:val="007B2EEF"/>
    <w:rsid w:val="007B3DD7"/>
    <w:rsid w:val="007B46EE"/>
    <w:rsid w:val="007C464D"/>
    <w:rsid w:val="007C6ABB"/>
    <w:rsid w:val="007C6F12"/>
    <w:rsid w:val="007C72C4"/>
    <w:rsid w:val="007C7B6D"/>
    <w:rsid w:val="007C7BF1"/>
    <w:rsid w:val="007D0C45"/>
    <w:rsid w:val="007D6E8A"/>
    <w:rsid w:val="007D744C"/>
    <w:rsid w:val="007E0FB0"/>
    <w:rsid w:val="007E49F8"/>
    <w:rsid w:val="007E4FDB"/>
    <w:rsid w:val="007E5282"/>
    <w:rsid w:val="007F35F9"/>
    <w:rsid w:val="007F4DB6"/>
    <w:rsid w:val="00800E63"/>
    <w:rsid w:val="00801056"/>
    <w:rsid w:val="00802C97"/>
    <w:rsid w:val="008039BB"/>
    <w:rsid w:val="0080690A"/>
    <w:rsid w:val="00807187"/>
    <w:rsid w:val="00807FC2"/>
    <w:rsid w:val="0081134A"/>
    <w:rsid w:val="008115D5"/>
    <w:rsid w:val="00811878"/>
    <w:rsid w:val="00817473"/>
    <w:rsid w:val="008257A1"/>
    <w:rsid w:val="00826A4D"/>
    <w:rsid w:val="0083133C"/>
    <w:rsid w:val="00831EF2"/>
    <w:rsid w:val="00833058"/>
    <w:rsid w:val="00833064"/>
    <w:rsid w:val="00833D46"/>
    <w:rsid w:val="00834886"/>
    <w:rsid w:val="00842B5E"/>
    <w:rsid w:val="0084507E"/>
    <w:rsid w:val="008510F6"/>
    <w:rsid w:val="00853970"/>
    <w:rsid w:val="0085673A"/>
    <w:rsid w:val="008574E6"/>
    <w:rsid w:val="0085776D"/>
    <w:rsid w:val="00862CD1"/>
    <w:rsid w:val="00863616"/>
    <w:rsid w:val="00864A05"/>
    <w:rsid w:val="00867EB7"/>
    <w:rsid w:val="00871853"/>
    <w:rsid w:val="008734DE"/>
    <w:rsid w:val="00874CB9"/>
    <w:rsid w:val="00874CF4"/>
    <w:rsid w:val="00874F3F"/>
    <w:rsid w:val="00875067"/>
    <w:rsid w:val="008752E5"/>
    <w:rsid w:val="00882870"/>
    <w:rsid w:val="008830ED"/>
    <w:rsid w:val="008853F8"/>
    <w:rsid w:val="0088690A"/>
    <w:rsid w:val="00886A64"/>
    <w:rsid w:val="00887D0F"/>
    <w:rsid w:val="00894E88"/>
    <w:rsid w:val="00895A5F"/>
    <w:rsid w:val="00896D26"/>
    <w:rsid w:val="008A140D"/>
    <w:rsid w:val="008A2563"/>
    <w:rsid w:val="008B03C5"/>
    <w:rsid w:val="008B1105"/>
    <w:rsid w:val="008B1D40"/>
    <w:rsid w:val="008B3AEA"/>
    <w:rsid w:val="008C399B"/>
    <w:rsid w:val="008C65F6"/>
    <w:rsid w:val="008D2765"/>
    <w:rsid w:val="008D417C"/>
    <w:rsid w:val="008E1C9A"/>
    <w:rsid w:val="008E2A16"/>
    <w:rsid w:val="008E45AB"/>
    <w:rsid w:val="008E53F9"/>
    <w:rsid w:val="008F1FE1"/>
    <w:rsid w:val="008F443A"/>
    <w:rsid w:val="008F4F3E"/>
    <w:rsid w:val="008F773B"/>
    <w:rsid w:val="00900A73"/>
    <w:rsid w:val="009033B1"/>
    <w:rsid w:val="0090606D"/>
    <w:rsid w:val="009073C3"/>
    <w:rsid w:val="00914CEA"/>
    <w:rsid w:val="009157EF"/>
    <w:rsid w:val="00917EBD"/>
    <w:rsid w:val="00922206"/>
    <w:rsid w:val="00926FAE"/>
    <w:rsid w:val="00927F67"/>
    <w:rsid w:val="009313E2"/>
    <w:rsid w:val="00931E10"/>
    <w:rsid w:val="00934B1F"/>
    <w:rsid w:val="00934EE7"/>
    <w:rsid w:val="00935735"/>
    <w:rsid w:val="00945560"/>
    <w:rsid w:val="0094699B"/>
    <w:rsid w:val="009474D5"/>
    <w:rsid w:val="00947674"/>
    <w:rsid w:val="00951952"/>
    <w:rsid w:val="00956AEC"/>
    <w:rsid w:val="0096421B"/>
    <w:rsid w:val="0096464D"/>
    <w:rsid w:val="00972039"/>
    <w:rsid w:val="00973B83"/>
    <w:rsid w:val="00974A8B"/>
    <w:rsid w:val="00976D00"/>
    <w:rsid w:val="0098156F"/>
    <w:rsid w:val="00984454"/>
    <w:rsid w:val="00990BBB"/>
    <w:rsid w:val="009929C1"/>
    <w:rsid w:val="0099439D"/>
    <w:rsid w:val="00997562"/>
    <w:rsid w:val="009A1125"/>
    <w:rsid w:val="009A3F56"/>
    <w:rsid w:val="009A54C7"/>
    <w:rsid w:val="009B00BE"/>
    <w:rsid w:val="009B1412"/>
    <w:rsid w:val="009B2FC2"/>
    <w:rsid w:val="009B5639"/>
    <w:rsid w:val="009B6984"/>
    <w:rsid w:val="009C1069"/>
    <w:rsid w:val="009C2311"/>
    <w:rsid w:val="009C2343"/>
    <w:rsid w:val="009D0EEA"/>
    <w:rsid w:val="009D30AB"/>
    <w:rsid w:val="009D63AE"/>
    <w:rsid w:val="009D751F"/>
    <w:rsid w:val="009E16AB"/>
    <w:rsid w:val="009E1F4B"/>
    <w:rsid w:val="009E2FEF"/>
    <w:rsid w:val="009E62EB"/>
    <w:rsid w:val="009F317A"/>
    <w:rsid w:val="00A06279"/>
    <w:rsid w:val="00A073D9"/>
    <w:rsid w:val="00A1007E"/>
    <w:rsid w:val="00A17485"/>
    <w:rsid w:val="00A17638"/>
    <w:rsid w:val="00A20555"/>
    <w:rsid w:val="00A23F0B"/>
    <w:rsid w:val="00A272A1"/>
    <w:rsid w:val="00A27A4D"/>
    <w:rsid w:val="00A3048C"/>
    <w:rsid w:val="00A30A53"/>
    <w:rsid w:val="00A30F6A"/>
    <w:rsid w:val="00A317F7"/>
    <w:rsid w:val="00A31B51"/>
    <w:rsid w:val="00A329A4"/>
    <w:rsid w:val="00A33316"/>
    <w:rsid w:val="00A35A02"/>
    <w:rsid w:val="00A37AF7"/>
    <w:rsid w:val="00A418B2"/>
    <w:rsid w:val="00A46B4C"/>
    <w:rsid w:val="00A5174D"/>
    <w:rsid w:val="00A52495"/>
    <w:rsid w:val="00A533D7"/>
    <w:rsid w:val="00A53A98"/>
    <w:rsid w:val="00A55BA9"/>
    <w:rsid w:val="00A57DE4"/>
    <w:rsid w:val="00A62380"/>
    <w:rsid w:val="00A6713E"/>
    <w:rsid w:val="00A67328"/>
    <w:rsid w:val="00A6737D"/>
    <w:rsid w:val="00A67E8E"/>
    <w:rsid w:val="00A704C0"/>
    <w:rsid w:val="00A726F6"/>
    <w:rsid w:val="00A80C90"/>
    <w:rsid w:val="00A83651"/>
    <w:rsid w:val="00A85807"/>
    <w:rsid w:val="00A85B38"/>
    <w:rsid w:val="00A860AA"/>
    <w:rsid w:val="00AA3493"/>
    <w:rsid w:val="00AB03C9"/>
    <w:rsid w:val="00AB5327"/>
    <w:rsid w:val="00AB6559"/>
    <w:rsid w:val="00AB766F"/>
    <w:rsid w:val="00AC0D59"/>
    <w:rsid w:val="00AC23CA"/>
    <w:rsid w:val="00AC7210"/>
    <w:rsid w:val="00AD1263"/>
    <w:rsid w:val="00AD2556"/>
    <w:rsid w:val="00AD6D39"/>
    <w:rsid w:val="00AD7694"/>
    <w:rsid w:val="00AE2AC5"/>
    <w:rsid w:val="00AE77E7"/>
    <w:rsid w:val="00AF1042"/>
    <w:rsid w:val="00AF1258"/>
    <w:rsid w:val="00AF1DFE"/>
    <w:rsid w:val="00AF652C"/>
    <w:rsid w:val="00B02978"/>
    <w:rsid w:val="00B03D0B"/>
    <w:rsid w:val="00B04CD8"/>
    <w:rsid w:val="00B0574F"/>
    <w:rsid w:val="00B07930"/>
    <w:rsid w:val="00B07F15"/>
    <w:rsid w:val="00B1316D"/>
    <w:rsid w:val="00B13AA3"/>
    <w:rsid w:val="00B16196"/>
    <w:rsid w:val="00B17558"/>
    <w:rsid w:val="00B211F0"/>
    <w:rsid w:val="00B2121E"/>
    <w:rsid w:val="00B22B48"/>
    <w:rsid w:val="00B24338"/>
    <w:rsid w:val="00B26711"/>
    <w:rsid w:val="00B27BA9"/>
    <w:rsid w:val="00B37E99"/>
    <w:rsid w:val="00B40B02"/>
    <w:rsid w:val="00B40BB2"/>
    <w:rsid w:val="00B4431E"/>
    <w:rsid w:val="00B44996"/>
    <w:rsid w:val="00B454E5"/>
    <w:rsid w:val="00B52DC2"/>
    <w:rsid w:val="00B53BD1"/>
    <w:rsid w:val="00B56E4D"/>
    <w:rsid w:val="00B61ACB"/>
    <w:rsid w:val="00B6279C"/>
    <w:rsid w:val="00B6401A"/>
    <w:rsid w:val="00B67C4B"/>
    <w:rsid w:val="00B720D7"/>
    <w:rsid w:val="00B73A95"/>
    <w:rsid w:val="00B73FBD"/>
    <w:rsid w:val="00B74ED1"/>
    <w:rsid w:val="00B802F6"/>
    <w:rsid w:val="00B80AA2"/>
    <w:rsid w:val="00B83F7C"/>
    <w:rsid w:val="00B84787"/>
    <w:rsid w:val="00B86139"/>
    <w:rsid w:val="00B86B69"/>
    <w:rsid w:val="00B90C21"/>
    <w:rsid w:val="00B91DCB"/>
    <w:rsid w:val="00B929D4"/>
    <w:rsid w:val="00B96883"/>
    <w:rsid w:val="00B973C3"/>
    <w:rsid w:val="00BA74D9"/>
    <w:rsid w:val="00BA7B31"/>
    <w:rsid w:val="00BB13AB"/>
    <w:rsid w:val="00BB49A9"/>
    <w:rsid w:val="00BC3119"/>
    <w:rsid w:val="00BC5731"/>
    <w:rsid w:val="00BC6596"/>
    <w:rsid w:val="00BC7A3D"/>
    <w:rsid w:val="00BD35BE"/>
    <w:rsid w:val="00BD666A"/>
    <w:rsid w:val="00BD70F5"/>
    <w:rsid w:val="00BE0536"/>
    <w:rsid w:val="00BE0737"/>
    <w:rsid w:val="00BE216D"/>
    <w:rsid w:val="00BE2D7D"/>
    <w:rsid w:val="00BE4907"/>
    <w:rsid w:val="00BF3920"/>
    <w:rsid w:val="00BF39CF"/>
    <w:rsid w:val="00BF4910"/>
    <w:rsid w:val="00BF6F6F"/>
    <w:rsid w:val="00C00F90"/>
    <w:rsid w:val="00C0641D"/>
    <w:rsid w:val="00C11CA2"/>
    <w:rsid w:val="00C20736"/>
    <w:rsid w:val="00C233AA"/>
    <w:rsid w:val="00C36065"/>
    <w:rsid w:val="00C412B9"/>
    <w:rsid w:val="00C4168F"/>
    <w:rsid w:val="00C41AD8"/>
    <w:rsid w:val="00C4498C"/>
    <w:rsid w:val="00C4754F"/>
    <w:rsid w:val="00C52878"/>
    <w:rsid w:val="00C5435D"/>
    <w:rsid w:val="00C61475"/>
    <w:rsid w:val="00C620C8"/>
    <w:rsid w:val="00C639DD"/>
    <w:rsid w:val="00C647F0"/>
    <w:rsid w:val="00C65C6C"/>
    <w:rsid w:val="00C6605E"/>
    <w:rsid w:val="00C70948"/>
    <w:rsid w:val="00C70CE4"/>
    <w:rsid w:val="00C71201"/>
    <w:rsid w:val="00C7445D"/>
    <w:rsid w:val="00C74607"/>
    <w:rsid w:val="00C76C0D"/>
    <w:rsid w:val="00C76E67"/>
    <w:rsid w:val="00C80075"/>
    <w:rsid w:val="00C81280"/>
    <w:rsid w:val="00C93505"/>
    <w:rsid w:val="00CA18CF"/>
    <w:rsid w:val="00CA2418"/>
    <w:rsid w:val="00CA478C"/>
    <w:rsid w:val="00CA73CE"/>
    <w:rsid w:val="00CA7439"/>
    <w:rsid w:val="00CB0218"/>
    <w:rsid w:val="00CB0911"/>
    <w:rsid w:val="00CB1657"/>
    <w:rsid w:val="00CB1A1C"/>
    <w:rsid w:val="00CB4B4D"/>
    <w:rsid w:val="00CB5C83"/>
    <w:rsid w:val="00CB681F"/>
    <w:rsid w:val="00CB6EF6"/>
    <w:rsid w:val="00CC168A"/>
    <w:rsid w:val="00CC18F0"/>
    <w:rsid w:val="00CC57D6"/>
    <w:rsid w:val="00CD01A2"/>
    <w:rsid w:val="00CD4AAA"/>
    <w:rsid w:val="00CD647E"/>
    <w:rsid w:val="00CE0B94"/>
    <w:rsid w:val="00CE540B"/>
    <w:rsid w:val="00CE73BE"/>
    <w:rsid w:val="00CF0237"/>
    <w:rsid w:val="00CF0440"/>
    <w:rsid w:val="00CF0856"/>
    <w:rsid w:val="00CF6FFA"/>
    <w:rsid w:val="00D02778"/>
    <w:rsid w:val="00D05D0A"/>
    <w:rsid w:val="00D06F94"/>
    <w:rsid w:val="00D1379A"/>
    <w:rsid w:val="00D15B53"/>
    <w:rsid w:val="00D178BB"/>
    <w:rsid w:val="00D17EA5"/>
    <w:rsid w:val="00D20315"/>
    <w:rsid w:val="00D20998"/>
    <w:rsid w:val="00D25A47"/>
    <w:rsid w:val="00D25D52"/>
    <w:rsid w:val="00D32120"/>
    <w:rsid w:val="00D34100"/>
    <w:rsid w:val="00D411BB"/>
    <w:rsid w:val="00D420D0"/>
    <w:rsid w:val="00D43AAE"/>
    <w:rsid w:val="00D46292"/>
    <w:rsid w:val="00D47CCA"/>
    <w:rsid w:val="00D53C58"/>
    <w:rsid w:val="00D55075"/>
    <w:rsid w:val="00D56098"/>
    <w:rsid w:val="00D564E4"/>
    <w:rsid w:val="00D5707F"/>
    <w:rsid w:val="00D574CC"/>
    <w:rsid w:val="00D61514"/>
    <w:rsid w:val="00D61BE3"/>
    <w:rsid w:val="00D62977"/>
    <w:rsid w:val="00D6521D"/>
    <w:rsid w:val="00D67025"/>
    <w:rsid w:val="00D765CD"/>
    <w:rsid w:val="00D76B88"/>
    <w:rsid w:val="00D8122F"/>
    <w:rsid w:val="00D835F7"/>
    <w:rsid w:val="00D8518B"/>
    <w:rsid w:val="00D87E64"/>
    <w:rsid w:val="00D92AE6"/>
    <w:rsid w:val="00D93450"/>
    <w:rsid w:val="00D93BAE"/>
    <w:rsid w:val="00D953DA"/>
    <w:rsid w:val="00D960A3"/>
    <w:rsid w:val="00D960A5"/>
    <w:rsid w:val="00D96FDB"/>
    <w:rsid w:val="00DA002A"/>
    <w:rsid w:val="00DA053E"/>
    <w:rsid w:val="00DA08CE"/>
    <w:rsid w:val="00DA28FA"/>
    <w:rsid w:val="00DA32D4"/>
    <w:rsid w:val="00DA6351"/>
    <w:rsid w:val="00DA74F2"/>
    <w:rsid w:val="00DB04AC"/>
    <w:rsid w:val="00DB2753"/>
    <w:rsid w:val="00DB4889"/>
    <w:rsid w:val="00DB6D53"/>
    <w:rsid w:val="00DC1486"/>
    <w:rsid w:val="00DC3179"/>
    <w:rsid w:val="00DC6D7A"/>
    <w:rsid w:val="00DD4D0F"/>
    <w:rsid w:val="00DD4D99"/>
    <w:rsid w:val="00DD52B8"/>
    <w:rsid w:val="00DD651B"/>
    <w:rsid w:val="00DE0194"/>
    <w:rsid w:val="00DE1713"/>
    <w:rsid w:val="00DE1E40"/>
    <w:rsid w:val="00DE3076"/>
    <w:rsid w:val="00DE30B0"/>
    <w:rsid w:val="00DE3F54"/>
    <w:rsid w:val="00DE48D9"/>
    <w:rsid w:val="00DE79E7"/>
    <w:rsid w:val="00DF171F"/>
    <w:rsid w:val="00DF1A63"/>
    <w:rsid w:val="00DF1DA7"/>
    <w:rsid w:val="00DF7292"/>
    <w:rsid w:val="00E00858"/>
    <w:rsid w:val="00E0178E"/>
    <w:rsid w:val="00E0201E"/>
    <w:rsid w:val="00E14AAF"/>
    <w:rsid w:val="00E15840"/>
    <w:rsid w:val="00E2014F"/>
    <w:rsid w:val="00E20496"/>
    <w:rsid w:val="00E3598A"/>
    <w:rsid w:val="00E362A2"/>
    <w:rsid w:val="00E40993"/>
    <w:rsid w:val="00E41654"/>
    <w:rsid w:val="00E44B91"/>
    <w:rsid w:val="00E461DA"/>
    <w:rsid w:val="00E55385"/>
    <w:rsid w:val="00E5560B"/>
    <w:rsid w:val="00E5684C"/>
    <w:rsid w:val="00E577B1"/>
    <w:rsid w:val="00E606E9"/>
    <w:rsid w:val="00E62A40"/>
    <w:rsid w:val="00E630C0"/>
    <w:rsid w:val="00E671EF"/>
    <w:rsid w:val="00E73D31"/>
    <w:rsid w:val="00E76665"/>
    <w:rsid w:val="00E775F3"/>
    <w:rsid w:val="00E819C9"/>
    <w:rsid w:val="00E82F9D"/>
    <w:rsid w:val="00E85521"/>
    <w:rsid w:val="00E8704E"/>
    <w:rsid w:val="00E96180"/>
    <w:rsid w:val="00E97C68"/>
    <w:rsid w:val="00EA2F66"/>
    <w:rsid w:val="00EA4BA2"/>
    <w:rsid w:val="00EA660E"/>
    <w:rsid w:val="00EB0E73"/>
    <w:rsid w:val="00EB0F0C"/>
    <w:rsid w:val="00EB3492"/>
    <w:rsid w:val="00EB60A5"/>
    <w:rsid w:val="00EC0456"/>
    <w:rsid w:val="00EC0648"/>
    <w:rsid w:val="00EC3A49"/>
    <w:rsid w:val="00EC4DA8"/>
    <w:rsid w:val="00ED2D36"/>
    <w:rsid w:val="00ED3075"/>
    <w:rsid w:val="00ED4739"/>
    <w:rsid w:val="00EE090C"/>
    <w:rsid w:val="00EE1111"/>
    <w:rsid w:val="00EE2045"/>
    <w:rsid w:val="00EE54E2"/>
    <w:rsid w:val="00EE5772"/>
    <w:rsid w:val="00EF3B3F"/>
    <w:rsid w:val="00EF3B8F"/>
    <w:rsid w:val="00EF4A5C"/>
    <w:rsid w:val="00EF5C80"/>
    <w:rsid w:val="00EF6AB6"/>
    <w:rsid w:val="00EF7332"/>
    <w:rsid w:val="00F001E6"/>
    <w:rsid w:val="00F06A36"/>
    <w:rsid w:val="00F12100"/>
    <w:rsid w:val="00F14E53"/>
    <w:rsid w:val="00F16C33"/>
    <w:rsid w:val="00F179BE"/>
    <w:rsid w:val="00F20690"/>
    <w:rsid w:val="00F275E9"/>
    <w:rsid w:val="00F278AF"/>
    <w:rsid w:val="00F27A81"/>
    <w:rsid w:val="00F36613"/>
    <w:rsid w:val="00F42514"/>
    <w:rsid w:val="00F4423D"/>
    <w:rsid w:val="00F455F1"/>
    <w:rsid w:val="00F45AD3"/>
    <w:rsid w:val="00F503B0"/>
    <w:rsid w:val="00F57244"/>
    <w:rsid w:val="00F5726E"/>
    <w:rsid w:val="00F613A1"/>
    <w:rsid w:val="00F61813"/>
    <w:rsid w:val="00F64515"/>
    <w:rsid w:val="00F661FE"/>
    <w:rsid w:val="00F71AF7"/>
    <w:rsid w:val="00F727ED"/>
    <w:rsid w:val="00F732FE"/>
    <w:rsid w:val="00F76E13"/>
    <w:rsid w:val="00F82A42"/>
    <w:rsid w:val="00F84EB5"/>
    <w:rsid w:val="00F92A49"/>
    <w:rsid w:val="00F95C05"/>
    <w:rsid w:val="00F97AB8"/>
    <w:rsid w:val="00FA16D1"/>
    <w:rsid w:val="00FA20AD"/>
    <w:rsid w:val="00FA559F"/>
    <w:rsid w:val="00FA57C1"/>
    <w:rsid w:val="00FB320B"/>
    <w:rsid w:val="00FB3CB1"/>
    <w:rsid w:val="00FB5EB7"/>
    <w:rsid w:val="00FC2A9F"/>
    <w:rsid w:val="00FC2E31"/>
    <w:rsid w:val="00FC74B0"/>
    <w:rsid w:val="00FC7AE3"/>
    <w:rsid w:val="00FD122D"/>
    <w:rsid w:val="00FD1CCF"/>
    <w:rsid w:val="00FD2924"/>
    <w:rsid w:val="00FD6C9F"/>
    <w:rsid w:val="00FD75AC"/>
    <w:rsid w:val="00FE1255"/>
    <w:rsid w:val="00FE182D"/>
    <w:rsid w:val="00FE2AC0"/>
    <w:rsid w:val="00FE3006"/>
    <w:rsid w:val="00FF1BBD"/>
    <w:rsid w:val="00FF275E"/>
    <w:rsid w:val="00FF4304"/>
    <w:rsid w:val="00FF5822"/>
    <w:rsid w:val="0739334F"/>
    <w:rsid w:val="0D120D56"/>
    <w:rsid w:val="12F6691D"/>
    <w:rsid w:val="139129A8"/>
    <w:rsid w:val="15F15BE2"/>
    <w:rsid w:val="1D34488E"/>
    <w:rsid w:val="1F142C89"/>
    <w:rsid w:val="236A3B5B"/>
    <w:rsid w:val="27191236"/>
    <w:rsid w:val="273870AC"/>
    <w:rsid w:val="2A4915D0"/>
    <w:rsid w:val="2BEE2E46"/>
    <w:rsid w:val="304C4163"/>
    <w:rsid w:val="33180569"/>
    <w:rsid w:val="33811328"/>
    <w:rsid w:val="33AB1C16"/>
    <w:rsid w:val="36603F29"/>
    <w:rsid w:val="388172DE"/>
    <w:rsid w:val="389F4A73"/>
    <w:rsid w:val="3BBD43E9"/>
    <w:rsid w:val="3F713F31"/>
    <w:rsid w:val="419248B1"/>
    <w:rsid w:val="471F5078"/>
    <w:rsid w:val="4BB73A6B"/>
    <w:rsid w:val="53D14261"/>
    <w:rsid w:val="595B6AA6"/>
    <w:rsid w:val="59D53026"/>
    <w:rsid w:val="5A1C71DC"/>
    <w:rsid w:val="5BC53F71"/>
    <w:rsid w:val="639557E8"/>
    <w:rsid w:val="65E34B95"/>
    <w:rsid w:val="674F1862"/>
    <w:rsid w:val="691B1DAE"/>
    <w:rsid w:val="69A71894"/>
    <w:rsid w:val="71B14F8E"/>
    <w:rsid w:val="74BD78E5"/>
    <w:rsid w:val="76E71963"/>
    <w:rsid w:val="78DA6D60"/>
    <w:rsid w:val="7C37214E"/>
    <w:rsid w:val="7E5D4DAC"/>
    <w:rsid w:val="7F4738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9"/>
    <w:pPr>
      <w:keepNext/>
      <w:keepLines/>
      <w:tabs>
        <w:tab w:val="left" w:pos="720"/>
      </w:tabs>
      <w:spacing w:before="480" w:after="80" w:line="360" w:lineRule="auto"/>
      <w:jc w:val="left"/>
      <w:outlineLvl w:val="0"/>
    </w:pPr>
    <w:rPr>
      <w:rFonts w:ascii="Times New Roman" w:hAnsi="Times New Roman" w:eastAsia="宋体" w:cstheme="majorBidi"/>
      <w:b/>
      <w:color w:val="000000" w:themeColor="text1"/>
      <w:sz w:val="28"/>
      <w:szCs w:val="48"/>
      <w14:textFill>
        <w14:solidFill>
          <w14:schemeClr w14:val="tx1"/>
        </w14:solidFill>
      </w14:textFill>
      <w14:ligatures w14:val="standardContextual"/>
    </w:rPr>
  </w:style>
  <w:style w:type="paragraph" w:styleId="3">
    <w:name w:val="heading 2"/>
    <w:basedOn w:val="1"/>
    <w:next w:val="1"/>
    <w:link w:val="33"/>
    <w:unhideWhenUsed/>
    <w:qFormat/>
    <w:uiPriority w:val="9"/>
    <w:pPr>
      <w:keepNext/>
      <w:keepLines/>
      <w:numPr>
        <w:ilvl w:val="1"/>
        <w:numId w:val="1"/>
      </w:numPr>
      <w:tabs>
        <w:tab w:val="left" w:pos="720"/>
      </w:tabs>
      <w:spacing w:before="160" w:after="80" w:line="360" w:lineRule="auto"/>
      <w:jc w:val="left"/>
      <w:outlineLvl w:val="1"/>
    </w:pPr>
    <w:rPr>
      <w:rFonts w:ascii="Times New Roman" w:hAnsi="Times New Roman" w:eastAsia="宋体" w:cstheme="majorBidi"/>
      <w:b/>
      <w:color w:val="000000" w:themeColor="text1"/>
      <w:sz w:val="24"/>
      <w:szCs w:val="40"/>
      <w14:textFill>
        <w14:solidFill>
          <w14:schemeClr w14:val="tx1"/>
        </w14:solidFill>
      </w14:textFill>
      <w14:ligatures w14:val="standardContextual"/>
    </w:rPr>
  </w:style>
  <w:style w:type="paragraph" w:styleId="4">
    <w:name w:val="heading 3"/>
    <w:basedOn w:val="1"/>
    <w:next w:val="1"/>
    <w:link w:val="31"/>
    <w:unhideWhenUsed/>
    <w:qFormat/>
    <w:uiPriority w:val="9"/>
    <w:pPr>
      <w:keepNext/>
      <w:keepLines/>
      <w:spacing w:line="360" w:lineRule="auto"/>
      <w:jc w:val="left"/>
      <w:outlineLvl w:val="2"/>
    </w:pPr>
    <w:rPr>
      <w:rFonts w:ascii="Times New Roman" w:hAnsi="Times New Roman" w:eastAsia="宋体" w:cstheme="majorBidi"/>
      <w:color w:val="000000" w:themeColor="text1"/>
      <w:szCs w:val="32"/>
      <w14:textFill>
        <w14:solidFill>
          <w14:schemeClr w14:val="tx1"/>
        </w14:solidFill>
      </w14:textFill>
      <w14:ligatures w14:val="standardContextual"/>
    </w:rPr>
  </w:style>
  <w:style w:type="paragraph" w:styleId="5">
    <w:name w:val="heading 4"/>
    <w:basedOn w:val="1"/>
    <w:next w:val="1"/>
    <w:link w:val="4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unhideWhenUsed/>
    <w:qFormat/>
    <w:uiPriority w:val="35"/>
    <w:pPr>
      <w:spacing w:after="160" w:line="360" w:lineRule="auto"/>
      <w:jc w:val="center"/>
    </w:pPr>
    <w:rPr>
      <w:rFonts w:ascii="Times New Roman" w:hAnsi="Times New Roman" w:eastAsia="宋体" w:cstheme="majorBidi"/>
      <w:sz w:val="18"/>
      <w:szCs w:val="20"/>
      <w14:ligatures w14:val="standardContextual"/>
    </w:rPr>
  </w:style>
  <w:style w:type="paragraph" w:styleId="7">
    <w:name w:val="annotation text"/>
    <w:basedOn w:val="1"/>
    <w:link w:val="34"/>
    <w:semiHidden/>
    <w:unhideWhenUsed/>
    <w:qFormat/>
    <w:uiPriority w:val="99"/>
    <w:pPr>
      <w:jc w:val="left"/>
    </w:pPr>
  </w:style>
  <w:style w:type="paragraph" w:styleId="8">
    <w:name w:val="Body Text"/>
    <w:basedOn w:val="1"/>
    <w:link w:val="57"/>
    <w:unhideWhenUsed/>
    <w:qFormat/>
    <w:uiPriority w:val="99"/>
    <w:pPr>
      <w:spacing w:after="120"/>
    </w:pPr>
    <w:rPr>
      <w:rFonts w:ascii="Calibri" w:hAnsi="Calibri" w:eastAsia="宋体" w:cs="黑体"/>
    </w:rPr>
  </w:style>
  <w:style w:type="paragraph" w:styleId="9">
    <w:name w:val="Balloon Text"/>
    <w:basedOn w:val="1"/>
    <w:link w:val="52"/>
    <w:semiHidden/>
    <w:unhideWhenUsed/>
    <w:qFormat/>
    <w:uiPriority w:val="99"/>
    <w:rPr>
      <w:sz w:val="18"/>
      <w:szCs w:val="18"/>
    </w:rPr>
  </w:style>
  <w:style w:type="paragraph" w:styleId="10">
    <w:name w:val="footer"/>
    <w:basedOn w:val="1"/>
    <w:link w:val="37"/>
    <w:unhideWhenUsed/>
    <w:qFormat/>
    <w:uiPriority w:val="99"/>
    <w:pPr>
      <w:tabs>
        <w:tab w:val="center" w:pos="4153"/>
        <w:tab w:val="right" w:pos="8306"/>
      </w:tabs>
      <w:snapToGrid w:val="0"/>
      <w:jc w:val="left"/>
    </w:pPr>
    <w:rPr>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link w:val="58"/>
    <w:unhideWhenUsed/>
    <w:qFormat/>
    <w:uiPriority w:val="0"/>
    <w:pPr>
      <w:snapToGrid w:val="0"/>
      <w:jc w:val="left"/>
    </w:pPr>
    <w:rPr>
      <w:rFonts w:ascii="Calibri" w:hAnsi="Calibri" w:eastAsia="宋体" w:cs="黑体"/>
      <w:sz w:val="18"/>
      <w:szCs w:val="20"/>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next w:val="1"/>
    <w:link w:val="56"/>
    <w:qFormat/>
    <w:uiPriority w:val="10"/>
    <w:pPr>
      <w:spacing w:before="240" w:after="60"/>
      <w:jc w:val="center"/>
      <w:outlineLvl w:val="0"/>
    </w:pPr>
    <w:rPr>
      <w:rFonts w:ascii="Cambria" w:hAnsi="Cambria" w:eastAsia="宋体" w:cs="Times New Roman"/>
      <w:b/>
      <w:bCs/>
      <w:sz w:val="48"/>
      <w:szCs w:val="32"/>
    </w:rPr>
  </w:style>
  <w:style w:type="paragraph" w:styleId="15">
    <w:name w:val="annotation subject"/>
    <w:basedOn w:val="7"/>
    <w:next w:val="7"/>
    <w:link w:val="35"/>
    <w:semiHidden/>
    <w:unhideWhenUsed/>
    <w:qFormat/>
    <w:uiPriority w:val="99"/>
    <w:rPr>
      <w:b/>
      <w:bCs/>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line number"/>
    <w:basedOn w:val="18"/>
    <w:semiHidden/>
    <w:unhideWhenUsed/>
    <w:qFormat/>
    <w:uiPriority w:val="99"/>
  </w:style>
  <w:style w:type="character" w:styleId="21">
    <w:name w:val="Hyperlink"/>
    <w:basedOn w:val="18"/>
    <w:unhideWhenUsed/>
    <w:qFormat/>
    <w:uiPriority w:val="99"/>
    <w:rPr>
      <w:color w:val="0563C1" w:themeColor="hyperlink"/>
      <w:u w:val="single"/>
      <w14:textFill>
        <w14:solidFill>
          <w14:schemeClr w14:val="hlink"/>
        </w14:solidFill>
      </w14:textFill>
    </w:rPr>
  </w:style>
  <w:style w:type="character" w:styleId="22">
    <w:name w:val="annotation reference"/>
    <w:basedOn w:val="18"/>
    <w:semiHidden/>
    <w:unhideWhenUsed/>
    <w:qFormat/>
    <w:uiPriority w:val="99"/>
    <w:rPr>
      <w:sz w:val="21"/>
      <w:szCs w:val="21"/>
    </w:rPr>
  </w:style>
  <w:style w:type="character" w:styleId="23">
    <w:name w:val="footnote reference"/>
    <w:basedOn w:val="18"/>
    <w:semiHidden/>
    <w:unhideWhenUsed/>
    <w:qFormat/>
    <w:uiPriority w:val="99"/>
    <w:rPr>
      <w:vertAlign w:val="superscript"/>
    </w:rPr>
  </w:style>
  <w:style w:type="paragraph" w:styleId="24">
    <w:name w:val="List Paragraph"/>
    <w:basedOn w:val="1"/>
    <w:link w:val="26"/>
    <w:qFormat/>
    <w:uiPriority w:val="34"/>
    <w:pPr>
      <w:ind w:firstLine="420" w:firstLineChars="200"/>
    </w:pPr>
  </w:style>
  <w:style w:type="paragraph" w:customStyle="1" w:styleId="25">
    <w:name w:val="EndNote Bibliography Title"/>
    <w:basedOn w:val="1"/>
    <w:link w:val="27"/>
    <w:qFormat/>
    <w:uiPriority w:val="0"/>
    <w:pPr>
      <w:jc w:val="center"/>
    </w:pPr>
    <w:rPr>
      <w:rFonts w:ascii="等线" w:hAnsi="等线" w:eastAsia="等线"/>
      <w:sz w:val="20"/>
    </w:rPr>
  </w:style>
  <w:style w:type="character" w:customStyle="1" w:styleId="26">
    <w:name w:val="列表段落 字符"/>
    <w:basedOn w:val="18"/>
    <w:link w:val="24"/>
    <w:qFormat/>
    <w:uiPriority w:val="34"/>
  </w:style>
  <w:style w:type="character" w:customStyle="1" w:styleId="27">
    <w:name w:val="EndNote Bibliography Title 字符"/>
    <w:basedOn w:val="26"/>
    <w:link w:val="25"/>
    <w:qFormat/>
    <w:uiPriority w:val="0"/>
    <w:rPr>
      <w:rFonts w:ascii="等线" w:hAnsi="等线" w:eastAsia="等线" w:cstheme="minorBidi"/>
      <w:kern w:val="2"/>
      <w:szCs w:val="22"/>
    </w:rPr>
  </w:style>
  <w:style w:type="paragraph" w:customStyle="1" w:styleId="28">
    <w:name w:val="EndNote Bibliography"/>
    <w:basedOn w:val="1"/>
    <w:link w:val="29"/>
    <w:qFormat/>
    <w:uiPriority w:val="0"/>
    <w:rPr>
      <w:rFonts w:ascii="等线" w:hAnsi="等线" w:eastAsia="等线"/>
      <w:sz w:val="20"/>
    </w:rPr>
  </w:style>
  <w:style w:type="character" w:customStyle="1" w:styleId="29">
    <w:name w:val="EndNote Bibliography 字符"/>
    <w:basedOn w:val="26"/>
    <w:link w:val="28"/>
    <w:qFormat/>
    <w:uiPriority w:val="0"/>
    <w:rPr>
      <w:rFonts w:ascii="等线" w:hAnsi="等线" w:eastAsia="等线" w:cstheme="minorBidi"/>
      <w:kern w:val="2"/>
      <w:szCs w:val="22"/>
    </w:rPr>
  </w:style>
  <w:style w:type="character" w:customStyle="1" w:styleId="30">
    <w:name w:val="未处理的提及1"/>
    <w:basedOn w:val="18"/>
    <w:semiHidden/>
    <w:unhideWhenUsed/>
    <w:qFormat/>
    <w:uiPriority w:val="99"/>
    <w:rPr>
      <w:color w:val="605E5C"/>
      <w:shd w:val="clear" w:color="auto" w:fill="E1DFDD"/>
    </w:rPr>
  </w:style>
  <w:style w:type="character" w:customStyle="1" w:styleId="31">
    <w:name w:val="标题 3 字符"/>
    <w:basedOn w:val="18"/>
    <w:link w:val="4"/>
    <w:qFormat/>
    <w:uiPriority w:val="9"/>
    <w:rPr>
      <w:rFonts w:ascii="Times New Roman" w:hAnsi="Times New Roman" w:eastAsia="宋体" w:cstheme="majorBidi"/>
      <w:color w:val="000000" w:themeColor="text1"/>
      <w:szCs w:val="32"/>
      <w14:textFill>
        <w14:solidFill>
          <w14:schemeClr w14:val="tx1"/>
        </w14:solidFill>
      </w14:textFill>
      <w14:ligatures w14:val="standardContextual"/>
    </w:rPr>
  </w:style>
  <w:style w:type="character" w:customStyle="1" w:styleId="32">
    <w:name w:val="标题 1 字符"/>
    <w:basedOn w:val="18"/>
    <w:link w:val="2"/>
    <w:qFormat/>
    <w:uiPriority w:val="9"/>
    <w:rPr>
      <w:rFonts w:ascii="Times New Roman" w:hAnsi="Times New Roman" w:eastAsia="宋体" w:cstheme="majorBidi"/>
      <w:b/>
      <w:color w:val="000000" w:themeColor="text1"/>
      <w:sz w:val="28"/>
      <w:szCs w:val="48"/>
      <w14:textFill>
        <w14:solidFill>
          <w14:schemeClr w14:val="tx1"/>
        </w14:solidFill>
      </w14:textFill>
      <w14:ligatures w14:val="standardContextual"/>
    </w:rPr>
  </w:style>
  <w:style w:type="character" w:customStyle="1" w:styleId="33">
    <w:name w:val="标题 2 字符"/>
    <w:basedOn w:val="18"/>
    <w:link w:val="3"/>
    <w:qFormat/>
    <w:uiPriority w:val="9"/>
    <w:rPr>
      <w:rFonts w:ascii="Times New Roman" w:hAnsi="Times New Roman" w:eastAsia="宋体" w:cstheme="majorBidi"/>
      <w:b/>
      <w:color w:val="000000" w:themeColor="text1"/>
      <w:sz w:val="24"/>
      <w:szCs w:val="40"/>
      <w14:textFill>
        <w14:solidFill>
          <w14:schemeClr w14:val="tx1"/>
        </w14:solidFill>
      </w14:textFill>
      <w14:ligatures w14:val="standardContextual"/>
    </w:rPr>
  </w:style>
  <w:style w:type="character" w:customStyle="1" w:styleId="34">
    <w:name w:val="批注文字 字符"/>
    <w:basedOn w:val="18"/>
    <w:link w:val="7"/>
    <w:semiHidden/>
    <w:qFormat/>
    <w:uiPriority w:val="99"/>
  </w:style>
  <w:style w:type="character" w:customStyle="1" w:styleId="35">
    <w:name w:val="批注主题 字符"/>
    <w:basedOn w:val="34"/>
    <w:link w:val="15"/>
    <w:semiHidden/>
    <w:qFormat/>
    <w:uiPriority w:val="99"/>
    <w:rPr>
      <w:b/>
      <w:bCs/>
    </w:rPr>
  </w:style>
  <w:style w:type="character" w:customStyle="1" w:styleId="36">
    <w:name w:val="页眉 字符"/>
    <w:basedOn w:val="18"/>
    <w:link w:val="11"/>
    <w:qFormat/>
    <w:uiPriority w:val="99"/>
    <w:rPr>
      <w:sz w:val="18"/>
      <w:szCs w:val="18"/>
    </w:rPr>
  </w:style>
  <w:style w:type="character" w:customStyle="1" w:styleId="37">
    <w:name w:val="页脚 字符"/>
    <w:basedOn w:val="18"/>
    <w:link w:val="10"/>
    <w:qFormat/>
    <w:uiPriority w:val="99"/>
    <w:rPr>
      <w:sz w:val="18"/>
      <w:szCs w:val="18"/>
    </w:rPr>
  </w:style>
  <w:style w:type="character" w:styleId="38">
    <w:name w:val="Placeholder Text"/>
    <w:basedOn w:val="18"/>
    <w:semiHidden/>
    <w:qFormat/>
    <w:uiPriority w:val="99"/>
    <w:rPr>
      <w:color w:val="808080"/>
    </w:rPr>
  </w:style>
  <w:style w:type="paragraph" w:customStyle="1" w:styleId="39">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0">
    <w:name w:val="katex-mathml"/>
    <w:basedOn w:val="18"/>
    <w:qFormat/>
    <w:uiPriority w:val="0"/>
  </w:style>
  <w:style w:type="character" w:customStyle="1" w:styleId="41">
    <w:name w:val="mopen"/>
    <w:basedOn w:val="18"/>
    <w:qFormat/>
    <w:uiPriority w:val="0"/>
  </w:style>
  <w:style w:type="character" w:customStyle="1" w:styleId="42">
    <w:name w:val="mord"/>
    <w:basedOn w:val="18"/>
    <w:qFormat/>
    <w:uiPriority w:val="0"/>
  </w:style>
  <w:style w:type="character" w:customStyle="1" w:styleId="43">
    <w:name w:val="vlist-s"/>
    <w:basedOn w:val="18"/>
    <w:qFormat/>
    <w:uiPriority w:val="0"/>
  </w:style>
  <w:style w:type="character" w:customStyle="1" w:styleId="44">
    <w:name w:val="mpunct"/>
    <w:basedOn w:val="18"/>
    <w:qFormat/>
    <w:uiPriority w:val="0"/>
  </w:style>
  <w:style w:type="character" w:customStyle="1" w:styleId="45">
    <w:name w:val="mclose"/>
    <w:basedOn w:val="18"/>
    <w:qFormat/>
    <w:uiPriority w:val="0"/>
  </w:style>
  <w:style w:type="character" w:customStyle="1" w:styleId="46">
    <w:name w:val="mrel"/>
    <w:basedOn w:val="18"/>
    <w:qFormat/>
    <w:uiPriority w:val="0"/>
  </w:style>
  <w:style w:type="character" w:customStyle="1" w:styleId="47">
    <w:name w:val="mbin"/>
    <w:basedOn w:val="18"/>
    <w:qFormat/>
    <w:uiPriority w:val="0"/>
  </w:style>
  <w:style w:type="character" w:customStyle="1" w:styleId="48">
    <w:name w:val="标题 4 字符"/>
    <w:basedOn w:val="18"/>
    <w:link w:val="5"/>
    <w:semiHidden/>
    <w:qFormat/>
    <w:uiPriority w:val="9"/>
    <w:rPr>
      <w:rFonts w:asciiTheme="majorHAnsi" w:hAnsiTheme="majorHAnsi" w:eastAsiaTheme="majorEastAsia" w:cstheme="majorBidi"/>
      <w:b/>
      <w:bCs/>
      <w:sz w:val="28"/>
      <w:szCs w:val="28"/>
    </w:rPr>
  </w:style>
  <w:style w:type="character" w:customStyle="1" w:styleId="49">
    <w:name w:val="given-name"/>
    <w:basedOn w:val="18"/>
    <w:qFormat/>
    <w:uiPriority w:val="0"/>
  </w:style>
  <w:style w:type="character" w:customStyle="1" w:styleId="50">
    <w:name w:val="text"/>
    <w:basedOn w:val="18"/>
    <w:qFormat/>
    <w:uiPriority w:val="0"/>
  </w:style>
  <w:style w:type="paragraph" w:customStyle="1" w:styleId="5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2">
    <w:name w:val="批注框文本 字符"/>
    <w:basedOn w:val="18"/>
    <w:link w:val="9"/>
    <w:semiHidden/>
    <w:qFormat/>
    <w:uiPriority w:val="99"/>
    <w:rPr>
      <w:rFonts w:asciiTheme="minorHAnsi" w:hAnsiTheme="minorHAnsi" w:eastAsiaTheme="minorEastAsia" w:cstheme="minorBidi"/>
      <w:kern w:val="2"/>
      <w:sz w:val="18"/>
      <w:szCs w:val="18"/>
    </w:rPr>
  </w:style>
  <w:style w:type="paragraph" w:customStyle="1" w:styleId="53">
    <w:name w:val="名字"/>
    <w:basedOn w:val="1"/>
    <w:link w:val="54"/>
    <w:qFormat/>
    <w:uiPriority w:val="0"/>
    <w:pPr>
      <w:jc w:val="center"/>
      <w:textAlignment w:val="baseline"/>
    </w:pPr>
    <w:rPr>
      <w:rFonts w:ascii="仿宋_GB2312" w:hAnsi="仿宋_GB2312" w:eastAsia="仿宋_GB2312"/>
      <w:sz w:val="28"/>
    </w:rPr>
  </w:style>
  <w:style w:type="character" w:customStyle="1" w:styleId="54">
    <w:name w:val="名字 字符"/>
    <w:basedOn w:val="18"/>
    <w:link w:val="53"/>
    <w:qFormat/>
    <w:uiPriority w:val="0"/>
    <w:rPr>
      <w:rFonts w:ascii="仿宋_GB2312" w:hAnsi="仿宋_GB2312" w:eastAsia="仿宋_GB2312" w:cstheme="minorBidi"/>
      <w:kern w:val="2"/>
      <w:sz w:val="28"/>
      <w:szCs w:val="22"/>
    </w:rPr>
  </w:style>
  <w:style w:type="paragraph" w:customStyle="1" w:styleId="55">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56">
    <w:name w:val="标题 字符"/>
    <w:basedOn w:val="18"/>
    <w:link w:val="14"/>
    <w:qFormat/>
    <w:uiPriority w:val="10"/>
    <w:rPr>
      <w:rFonts w:ascii="Cambria" w:hAnsi="Cambria"/>
      <w:b/>
      <w:bCs/>
      <w:kern w:val="2"/>
      <w:sz w:val="48"/>
      <w:szCs w:val="32"/>
    </w:rPr>
  </w:style>
  <w:style w:type="character" w:customStyle="1" w:styleId="57">
    <w:name w:val="正文文本 字符"/>
    <w:basedOn w:val="18"/>
    <w:link w:val="8"/>
    <w:qFormat/>
    <w:uiPriority w:val="99"/>
    <w:rPr>
      <w:rFonts w:ascii="Calibri" w:hAnsi="Calibri" w:cs="黑体"/>
      <w:kern w:val="2"/>
      <w:sz w:val="21"/>
      <w:szCs w:val="22"/>
    </w:rPr>
  </w:style>
  <w:style w:type="character" w:customStyle="1" w:styleId="58">
    <w:name w:val="脚注文本 字符"/>
    <w:basedOn w:val="18"/>
    <w:link w:val="12"/>
    <w:qFormat/>
    <w:uiPriority w:val="0"/>
    <w:rPr>
      <w:rFonts w:ascii="Calibri" w:hAnsi="Calibri" w:cs="黑体"/>
      <w:kern w:val="2"/>
      <w:sz w:val="18"/>
    </w:rPr>
  </w:style>
  <w:style w:type="paragraph" w:customStyle="1" w:styleId="59">
    <w:name w:val="图表标题"/>
    <w:qFormat/>
    <w:uiPriority w:val="0"/>
    <w:pPr>
      <w:snapToGrid w:val="0"/>
      <w:spacing w:beforeLines="10" w:afterLines="10" w:line="360" w:lineRule="auto"/>
      <w:jc w:val="center"/>
    </w:pPr>
    <w:rPr>
      <w:rFonts w:ascii="Times New Roman" w:hAnsi="Times New Roman" w:eastAsia="黑体" w:cs="Times New Roman"/>
      <w:b/>
      <w:sz w:val="18"/>
      <w:lang w:val="en-US" w:eastAsia="zh-CN" w:bidi="ar-SA"/>
    </w:rPr>
  </w:style>
  <w:style w:type="paragraph" w:customStyle="1" w:styleId="60">
    <w:name w:val="标准三号正文"/>
    <w:basedOn w:val="1"/>
    <w:qFormat/>
    <w:uiPriority w:val="0"/>
    <w:pPr>
      <w:spacing w:line="360" w:lineRule="auto"/>
      <w:ind w:firstLine="880" w:firstLineChars="200"/>
    </w:pPr>
    <w:rPr>
      <w:rFonts w:ascii="宋体" w:hAnsi="宋体" w:eastAsia="仿宋"/>
      <w:sz w:val="32"/>
    </w:rPr>
  </w:style>
  <w:style w:type="paragraph" w:customStyle="1" w:styleId="61">
    <w:name w:val="修订3"/>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4C557-2881-49D2-A043-2887DD0AE36E}">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5114</Words>
  <Characters>8365</Characters>
  <Lines>542</Lines>
  <Paragraphs>437</Paragraphs>
  <TotalTime>167</TotalTime>
  <ScaleCrop>false</ScaleCrop>
  <LinksUpToDate>false</LinksUpToDate>
  <CharactersWithSpaces>8905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2026-09-22T13:29:00Z</dcterms:created>
  <dc:creator>JiaBin Zhang</dc:creator>
  <cp:lastModifiedBy>aaa</cp:lastModifiedBy>
  <cp:lastPrinted>2026-09-22T13:29:00Z</cp:lastPrinted>
  <dcterms:modified xsi:type="dcterms:W3CDTF">2026-10-14T06:52:27Z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eyJoZGlkIjoiZGE2Mjg2YTZkZTMyMTYwY2M1OTQ5YzJlN2MyYmRjOGEiLCJ1c2VySWQiOiIyNjUyMTM2ODcifQ==</vt:lpwstr>
  </property>
  <property fmtid="{D5CDD505-2E9C-101B-9397-08002B2CF9AE}" pid="3" name="KSOProductBuildVer">
    <vt:lpwstr>2052-12.1.0.28043</vt:lpwstr>
  </property>
  <property fmtid="{D5CDD505-2E9C-101B-9397-08002B2CF9AE}" pid="4" name="ICV">
    <vt:lpwstr>5DE3345B03AC4B5DA7D75F7CD898F52A_13</vt:lpwstr>
  </property>
</Properties>
</file>