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AF56B">
      <w:pPr>
        <w:jc w:val="center"/>
        <w:rPr>
          <w:b/>
          <w:bCs/>
          <w:color w:val="FF0000"/>
          <w:sz w:val="30"/>
          <w:szCs w:val="30"/>
        </w:rPr>
      </w:pPr>
      <w:r>
        <w:rPr>
          <w:b/>
          <w:bCs/>
          <w:color w:val="FF0000"/>
          <w:sz w:val="30"/>
          <w:szCs w:val="30"/>
        </w:rPr>
        <w:t>（注意：投稿论文必须为word版格式，为了与方正排版系统兼容，请</w:t>
      </w:r>
      <w:r>
        <w:rPr>
          <w:rFonts w:hint="eastAsia"/>
          <w:b/>
          <w:bCs/>
          <w:color w:val="FF0000"/>
          <w:sz w:val="30"/>
          <w:szCs w:val="30"/>
          <w:lang w:eastAsia="zh-CN"/>
        </w:rPr>
        <w:t>尽量</w:t>
      </w:r>
      <w:r>
        <w:rPr>
          <w:b/>
          <w:bCs/>
          <w:color w:val="FF0000"/>
          <w:sz w:val="30"/>
          <w:szCs w:val="30"/>
        </w:rPr>
        <w:t>用低版本word版）</w:t>
      </w:r>
    </w:p>
    <w:p w14:paraId="54A28A50">
      <w:pPr>
        <w:jc w:val="center"/>
        <w:rPr>
          <w:b/>
          <w:sz w:val="30"/>
          <w:szCs w:val="30"/>
        </w:rPr>
      </w:pPr>
      <w:r>
        <w:rPr>
          <w:rFonts w:hint="eastAsia"/>
          <w:b/>
          <w:sz w:val="30"/>
          <w:szCs w:val="30"/>
        </w:rPr>
        <w:t>论文题目</w:t>
      </w:r>
    </w:p>
    <w:p w14:paraId="7C99442A">
      <w:pPr>
        <w:jc w:val="center"/>
        <w:rPr>
          <w:rFonts w:ascii="宋体" w:hAnsi="宋体" w:eastAsia="宋体" w:cs="宋体"/>
          <w:bCs/>
          <w:color w:val="FF0000"/>
          <w:sz w:val="18"/>
          <w:szCs w:val="18"/>
        </w:rPr>
      </w:pPr>
      <w:r>
        <w:rPr>
          <w:rFonts w:hint="eastAsia" w:ascii="宋体" w:hAnsi="宋体" w:eastAsia="宋体" w:cs="宋体"/>
          <w:bCs/>
          <w:color w:val="FF0000"/>
          <w:sz w:val="18"/>
          <w:szCs w:val="18"/>
        </w:rPr>
        <w:t>（论文题目应以恰当、简明的词语反映文稿内容的逻辑组合，应便于编制题录、索引和检索，一般不超过</w:t>
      </w:r>
      <w:r>
        <w:rPr>
          <w:rFonts w:hint="eastAsia" w:ascii="宋体" w:hAnsi="宋体" w:eastAsia="宋体" w:cs="宋体"/>
          <w:bCs/>
          <w:color w:val="C00000"/>
          <w:sz w:val="18"/>
          <w:szCs w:val="18"/>
        </w:rPr>
        <w:t>2</w:t>
      </w:r>
      <w:r>
        <w:rPr>
          <w:rFonts w:hint="eastAsia" w:ascii="宋体" w:hAnsi="宋体" w:eastAsia="宋体" w:cs="宋体"/>
          <w:bCs/>
          <w:strike w:val="0"/>
          <w:dstrike w:val="0"/>
          <w:color w:val="C00000"/>
          <w:sz w:val="18"/>
          <w:szCs w:val="18"/>
        </w:rPr>
        <w:t>0</w:t>
      </w:r>
      <w:r>
        <w:rPr>
          <w:rFonts w:hint="eastAsia" w:ascii="宋体" w:hAnsi="宋体" w:eastAsia="宋体" w:cs="宋体"/>
          <w:bCs/>
          <w:color w:val="FF0000"/>
          <w:sz w:val="18"/>
          <w:szCs w:val="18"/>
        </w:rPr>
        <w:t>个字。）</w:t>
      </w:r>
    </w:p>
    <w:p w14:paraId="1F9E0A4D">
      <w:pPr>
        <w:ind w:firstLine="880"/>
        <w:jc w:val="center"/>
        <w:rPr>
          <w:rFonts w:ascii="Times New Roman" w:hAnsi="Times New Roman" w:eastAsia="黑体" w:cs="Times New Roman"/>
          <w:sz w:val="44"/>
          <w:szCs w:val="44"/>
        </w:rPr>
      </w:pPr>
      <w:r>
        <w:rPr>
          <w:rFonts w:hint="eastAsia" w:ascii="Times New Roman" w:hAnsi="Times New Roman" w:eastAsia="黑体" w:cs="黑体"/>
          <w:sz w:val="44"/>
          <w:szCs w:val="44"/>
        </w:rPr>
        <w:t>合肥都市圈农产品冷链物流网络构建</w:t>
      </w:r>
    </w:p>
    <w:p w14:paraId="5DAAFFE4">
      <w:pPr>
        <w:jc w:val="center"/>
        <w:rPr>
          <w:rFonts w:hint="default" w:eastAsiaTheme="minorEastAsia"/>
          <w:bCs/>
          <w:vertAlign w:val="superscript"/>
          <w:lang w:val="en-US" w:eastAsia="zh-CN"/>
        </w:rPr>
      </w:pPr>
      <w:r>
        <w:rPr>
          <w:rFonts w:hint="eastAsia"/>
          <w:bCs/>
        </w:rPr>
        <w:t>张三</w:t>
      </w:r>
      <w:r>
        <w:rPr>
          <w:rFonts w:hint="eastAsia"/>
          <w:bCs/>
          <w:vertAlign w:val="superscript"/>
        </w:rPr>
        <w:t>1</w:t>
      </w:r>
      <w:r>
        <w:rPr>
          <w:rFonts w:hint="eastAsia"/>
          <w:bCs/>
        </w:rPr>
        <w:t>，李四</w:t>
      </w:r>
      <w:r>
        <w:rPr>
          <w:rFonts w:hint="eastAsia"/>
          <w:bCs/>
          <w:vertAlign w:val="superscript"/>
        </w:rPr>
        <w:t>1</w:t>
      </w:r>
      <w:r>
        <w:rPr>
          <w:rFonts w:hint="eastAsia"/>
          <w:bCs/>
        </w:rPr>
        <w:t>，王小五</w:t>
      </w:r>
      <w:r>
        <w:rPr>
          <w:rFonts w:hint="eastAsia"/>
          <w:bCs/>
          <w:vertAlign w:val="superscript"/>
        </w:rPr>
        <w:t>2</w:t>
      </w:r>
      <w:r>
        <w:rPr>
          <w:rStyle w:val="13"/>
          <w:rFonts w:hint="eastAsia"/>
          <w:bCs/>
        </w:rPr>
        <w:footnoteReference w:id="0" w:customMarkFollows="1"/>
        <w:t xml:space="preserve"> </w:t>
      </w:r>
      <w:r>
        <w:rPr>
          <w:rFonts w:hint="eastAsia"/>
          <w:bCs/>
          <w:lang w:eastAsia="zh-CN"/>
        </w:rPr>
        <w:t>，吕小六</w:t>
      </w:r>
      <w:r>
        <w:rPr>
          <w:rFonts w:hint="eastAsia"/>
          <w:bCs/>
          <w:vertAlign w:val="superscript"/>
          <w:lang w:val="en-US" w:eastAsia="zh-CN"/>
        </w:rPr>
        <w:t>2</w:t>
      </w:r>
    </w:p>
    <w:p w14:paraId="69A56C38">
      <w:pPr>
        <w:numPr>
          <w:ilvl w:val="0"/>
          <w:numId w:val="1"/>
        </w:numPr>
        <w:jc w:val="center"/>
        <w:rPr>
          <w:bCs/>
          <w:sz w:val="18"/>
          <w:szCs w:val="18"/>
        </w:rPr>
      </w:pPr>
      <w:r>
        <w:rPr>
          <w:rFonts w:hint="eastAsia"/>
          <w:bCs/>
          <w:sz w:val="18"/>
          <w:szCs w:val="18"/>
        </w:rPr>
        <w:t>西安文理学院 化学工程学院，西安</w:t>
      </w:r>
      <w:r>
        <w:rPr>
          <w:rFonts w:hint="eastAsia"/>
          <w:b/>
          <w:bCs/>
          <w:color w:val="FF0000"/>
          <w:sz w:val="18"/>
          <w:szCs w:val="18"/>
        </w:rPr>
        <w:t>（注：省会城市不写省的名称）</w:t>
      </w:r>
      <w:r>
        <w:rPr>
          <w:rFonts w:hint="eastAsia"/>
          <w:bCs/>
          <w:sz w:val="18"/>
          <w:szCs w:val="18"/>
        </w:rPr>
        <w:t xml:space="preserve"> 710065；2. 延安大学 化学与化工学院，陕西 延安</w:t>
      </w:r>
      <w:r>
        <w:rPr>
          <w:rFonts w:hint="eastAsia"/>
          <w:b/>
          <w:bCs/>
          <w:color w:val="FF0000"/>
          <w:sz w:val="18"/>
          <w:szCs w:val="18"/>
        </w:rPr>
        <w:t>（注：非省会城市写省的名称）</w:t>
      </w:r>
      <w:r>
        <w:rPr>
          <w:rFonts w:hint="eastAsia"/>
          <w:bCs/>
          <w:sz w:val="18"/>
          <w:szCs w:val="18"/>
        </w:rPr>
        <w:t xml:space="preserve"> 716000）</w:t>
      </w:r>
    </w:p>
    <w:p w14:paraId="169A4DB6">
      <w:pPr>
        <w:ind w:left="420" w:firstLine="420"/>
        <w:jc w:val="left"/>
        <w:rPr>
          <w:rFonts w:asciiTheme="minorEastAsia" w:hAnsiTheme="minorEastAsia"/>
          <w:b/>
          <w:bCs/>
          <w:sz w:val="18"/>
          <w:szCs w:val="18"/>
        </w:rPr>
      </w:pPr>
    </w:p>
    <w:p w14:paraId="1AEC374C">
      <w:pPr>
        <w:ind w:left="420" w:firstLine="420"/>
        <w:jc w:val="left"/>
        <w:rPr>
          <w:rFonts w:asciiTheme="minorEastAsia" w:hAnsiTheme="minorEastAsia"/>
          <w:sz w:val="18"/>
          <w:szCs w:val="18"/>
        </w:rPr>
      </w:pPr>
      <w:r>
        <w:rPr>
          <w:rFonts w:hint="eastAsia" w:asciiTheme="minorEastAsia" w:hAnsiTheme="minorEastAsia"/>
          <w:b/>
          <w:bCs/>
          <w:sz w:val="18"/>
          <w:szCs w:val="18"/>
        </w:rPr>
        <w:t>摘要：</w:t>
      </w:r>
      <w:r>
        <w:rPr>
          <w:rFonts w:hint="eastAsia" w:asciiTheme="minorEastAsia" w:hAnsiTheme="minorEastAsia"/>
          <w:sz w:val="18"/>
          <w:szCs w:val="18"/>
        </w:rPr>
        <w:t>摘要内容从研究“目的”“方法”“结果”及“结论”等角度分别填写，但不出现“目的”“方法”“结果”及“结论”等字样，应写成报道性文摘，尽量用量化指标进行描述，勿笼统泛谈。摘要应具有相对独立性和自含性，突出创新研究成果，包括得到的数学表达式；但一般</w:t>
      </w:r>
      <w:r>
        <w:rPr>
          <w:rFonts w:hint="eastAsia" w:asciiTheme="minorEastAsia" w:hAnsiTheme="minorEastAsia"/>
          <w:b/>
          <w:color w:val="FF0000"/>
          <w:sz w:val="18"/>
          <w:szCs w:val="18"/>
        </w:rPr>
        <w:t>不分段</w:t>
      </w:r>
      <w:r>
        <w:rPr>
          <w:rFonts w:hint="eastAsia" w:asciiTheme="minorEastAsia" w:hAnsiTheme="minorEastAsia"/>
          <w:sz w:val="18"/>
          <w:szCs w:val="18"/>
        </w:rPr>
        <w:t>，</w:t>
      </w:r>
      <w:r>
        <w:rPr>
          <w:rFonts w:hint="eastAsia" w:asciiTheme="minorEastAsia" w:hAnsiTheme="minorEastAsia"/>
          <w:b/>
          <w:color w:val="FF0000"/>
          <w:sz w:val="18"/>
          <w:szCs w:val="18"/>
        </w:rPr>
        <w:t>不应出现图表、非公知公用的符号、缩略语，参考文献序号</w:t>
      </w:r>
      <w:r>
        <w:rPr>
          <w:rFonts w:hint="eastAsia" w:asciiTheme="minorEastAsia" w:hAnsiTheme="minorEastAsia"/>
          <w:sz w:val="18"/>
          <w:szCs w:val="18"/>
        </w:rPr>
        <w:t>。中文摘要的篇幅为100～300字。中英文摘要不应与论文的前言或结论雷同，不做解释、介绍。</w:t>
      </w:r>
    </w:p>
    <w:p w14:paraId="0E47B1FA">
      <w:pPr>
        <w:ind w:firstLine="723" w:firstLineChars="400"/>
        <w:rPr>
          <w:rFonts w:asciiTheme="minorEastAsia" w:hAnsiTheme="minorEastAsia"/>
          <w:sz w:val="18"/>
          <w:szCs w:val="18"/>
        </w:rPr>
      </w:pPr>
      <w:r>
        <w:rPr>
          <w:rFonts w:hint="eastAsia" w:asciiTheme="minorEastAsia" w:hAnsiTheme="minorEastAsia"/>
          <w:b/>
          <w:bCs/>
          <w:sz w:val="18"/>
          <w:szCs w:val="18"/>
        </w:rPr>
        <w:t>关键词：</w:t>
      </w:r>
      <w:r>
        <w:rPr>
          <w:rFonts w:hint="eastAsia" w:asciiTheme="minorEastAsia" w:hAnsiTheme="minorEastAsia"/>
          <w:sz w:val="18"/>
          <w:szCs w:val="18"/>
        </w:rPr>
        <w:t>新科学；新技术；新方法</w:t>
      </w:r>
    </w:p>
    <w:p w14:paraId="58FEF835">
      <w:pPr>
        <w:rPr>
          <w:rFonts w:asciiTheme="minorEastAsia" w:hAnsiTheme="minorEastAsia"/>
          <w:color w:val="FF0000"/>
          <w:sz w:val="24"/>
          <w:szCs w:val="24"/>
        </w:rPr>
      </w:pPr>
      <w:r>
        <w:rPr>
          <w:rFonts w:hint="eastAsia" w:asciiTheme="minorEastAsia" w:hAnsiTheme="minorEastAsia"/>
          <w:color w:val="FF0000"/>
          <w:sz w:val="18"/>
          <w:szCs w:val="18"/>
        </w:rPr>
        <w:t>(</w:t>
      </w:r>
      <w:r>
        <w:rPr>
          <w:rFonts w:hint="eastAsia" w:ascii="宋体" w:hAnsi="宋体" w:eastAsia="宋体" w:cs="宋体"/>
          <w:color w:val="FF0000"/>
          <w:sz w:val="18"/>
          <w:szCs w:val="18"/>
        </w:rPr>
        <w:t>３～</w:t>
      </w:r>
      <w:r>
        <w:rPr>
          <w:rFonts w:hint="eastAsia" w:ascii="宋体" w:hAnsi="宋体" w:eastAsia="宋体" w:cs="宋体"/>
          <w:color w:val="FF0000"/>
          <w:sz w:val="18"/>
          <w:szCs w:val="18"/>
          <w:lang w:val="en-US" w:eastAsia="zh-CN"/>
        </w:rPr>
        <w:t>5</w:t>
      </w:r>
      <w:r>
        <w:rPr>
          <w:rFonts w:hint="eastAsia" w:ascii="宋体" w:hAnsi="宋体" w:eastAsia="宋体" w:cs="宋体"/>
          <w:color w:val="FF0000"/>
          <w:sz w:val="18"/>
          <w:szCs w:val="18"/>
        </w:rPr>
        <w:t>组关键词为宜。关键词之间用“；”间隔开。关键词尽量从《汉语主题词表》中选用。未被《汉语主题词表》收录的新学科、新技术中的重要术语以及文章题名中的人名、地名也可作为关键词标注。</w:t>
      </w:r>
      <w:r>
        <w:rPr>
          <w:rFonts w:hint="eastAsia" w:asciiTheme="minorEastAsia" w:hAnsiTheme="minorEastAsia"/>
          <w:color w:val="FF0000"/>
          <w:sz w:val="18"/>
          <w:szCs w:val="18"/>
        </w:rPr>
        <w:t>)</w:t>
      </w:r>
    </w:p>
    <w:p w14:paraId="632FF43B">
      <w:pPr>
        <w:spacing w:line="360" w:lineRule="auto"/>
        <w:ind w:left="420" w:firstLine="420"/>
        <w:rPr>
          <w:rFonts w:asciiTheme="minorEastAsia" w:hAnsiTheme="minorEastAsia"/>
          <w:sz w:val="24"/>
          <w:szCs w:val="24"/>
        </w:rPr>
      </w:pPr>
      <w:r>
        <w:rPr>
          <w:rFonts w:hint="eastAsia" w:asciiTheme="minorEastAsia" w:hAnsiTheme="minorEastAsia"/>
          <w:b/>
          <w:bCs/>
          <w:sz w:val="18"/>
          <w:szCs w:val="18"/>
        </w:rPr>
        <w:t>中图分类号：</w:t>
      </w:r>
      <w:r>
        <w:rPr>
          <w:rFonts w:hint="eastAsia" w:asciiTheme="minorEastAsia" w:hAnsiTheme="minorEastAsia"/>
          <w:color w:val="FF0000"/>
          <w:sz w:val="18"/>
          <w:szCs w:val="18"/>
        </w:rPr>
        <w:t>（《中国图书馆分类法》（第五版）对论文进行学科类别分类）</w:t>
      </w:r>
    </w:p>
    <w:p w14:paraId="6B4F560F">
      <w:pPr>
        <w:spacing w:line="360" w:lineRule="auto"/>
        <w:ind w:left="420" w:firstLine="420"/>
        <w:rPr>
          <w:rFonts w:asciiTheme="minorEastAsia" w:hAnsiTheme="minorEastAsia"/>
          <w:b/>
          <w:bCs/>
          <w:sz w:val="18"/>
          <w:szCs w:val="18"/>
        </w:rPr>
      </w:pPr>
      <w:r>
        <w:rPr>
          <w:rFonts w:hint="eastAsia" w:asciiTheme="minorEastAsia" w:hAnsiTheme="minorEastAsia"/>
          <w:b/>
          <w:bCs/>
          <w:sz w:val="18"/>
          <w:szCs w:val="18"/>
        </w:rPr>
        <w:t>文献标</w:t>
      </w:r>
      <w:r>
        <w:rPr>
          <w:rFonts w:hint="default" w:asciiTheme="minorEastAsia" w:hAnsiTheme="minorEastAsia"/>
          <w:b/>
          <w:bCs/>
          <w:sz w:val="18"/>
          <w:szCs w:val="18"/>
          <w:woUserID w:val="1"/>
        </w:rPr>
        <w:t>志</w:t>
      </w:r>
      <w:r>
        <w:rPr>
          <w:rFonts w:hint="eastAsia" w:asciiTheme="minorEastAsia" w:hAnsiTheme="minorEastAsia"/>
          <w:b/>
          <w:bCs/>
          <w:sz w:val="18"/>
          <w:szCs w:val="18"/>
        </w:rPr>
        <w:t>码：</w:t>
      </w:r>
    </w:p>
    <w:p w14:paraId="5C861FAF">
      <w:pPr>
        <w:jc w:val="center"/>
        <w:rPr>
          <w:bCs/>
          <w:color w:val="FF0000"/>
          <w:sz w:val="18"/>
          <w:szCs w:val="18"/>
        </w:rPr>
      </w:pPr>
      <w:r>
        <w:rPr>
          <w:rFonts w:hint="eastAsia"/>
          <w:b/>
          <w:sz w:val="30"/>
          <w:szCs w:val="30"/>
        </w:rPr>
        <w:t>英文题目</w:t>
      </w:r>
      <w:r>
        <w:rPr>
          <w:rFonts w:hint="eastAsia"/>
          <w:bCs/>
          <w:color w:val="FF0000"/>
          <w:sz w:val="18"/>
          <w:szCs w:val="18"/>
        </w:rPr>
        <w:t>（</w:t>
      </w:r>
      <w:r>
        <w:rPr>
          <w:rFonts w:hint="eastAsia"/>
          <w:bCs/>
          <w:color w:val="FF0000"/>
          <w:sz w:val="18"/>
          <w:szCs w:val="18"/>
          <w:lang w:eastAsia="zh-CN"/>
        </w:rPr>
        <w:t>实意词</w:t>
      </w:r>
      <w:r>
        <w:rPr>
          <w:rFonts w:hint="eastAsia"/>
          <w:b/>
          <w:bCs/>
          <w:color w:val="FF0000"/>
          <w:sz w:val="18"/>
          <w:szCs w:val="18"/>
        </w:rPr>
        <w:t>首</w:t>
      </w:r>
      <w:r>
        <w:rPr>
          <w:rFonts w:hint="eastAsia"/>
          <w:bCs/>
          <w:sz w:val="18"/>
          <w:szCs w:val="18"/>
        </w:rPr>
        <w:t>字母</w:t>
      </w:r>
      <w:r>
        <w:rPr>
          <w:rFonts w:hint="eastAsia"/>
          <w:b/>
          <w:bCs/>
          <w:color w:val="FF0000"/>
          <w:sz w:val="18"/>
          <w:szCs w:val="18"/>
        </w:rPr>
        <w:t>大写</w:t>
      </w:r>
      <w:r>
        <w:rPr>
          <w:rFonts w:hint="eastAsia"/>
          <w:bCs/>
          <w:color w:val="FF0000"/>
          <w:sz w:val="18"/>
          <w:szCs w:val="18"/>
        </w:rPr>
        <w:t>）</w:t>
      </w:r>
    </w:p>
    <w:p w14:paraId="4842661F">
      <w:pPr>
        <w:ind w:firstLine="361"/>
        <w:jc w:val="center"/>
        <w:rPr>
          <w:rFonts w:ascii="Times New Roman" w:hAnsi="Times New Roman" w:eastAsia="宋体" w:cs="Times New Roman"/>
          <w:b/>
          <w:sz w:val="18"/>
          <w:szCs w:val="18"/>
        </w:rPr>
      </w:pPr>
      <w:r>
        <w:rPr>
          <w:rFonts w:ascii="Times New Roman" w:hAnsi="Times New Roman" w:eastAsia="宋体" w:cs="Times New Roman"/>
          <w:b/>
          <w:sz w:val="18"/>
          <w:szCs w:val="18"/>
        </w:rPr>
        <w:t>Construction of Cold Chain Logistics Network for Agricultural Products in Hefei Metropolitan Area</w:t>
      </w:r>
    </w:p>
    <w:p w14:paraId="3065C513">
      <w:pPr>
        <w:jc w:val="center"/>
        <w:rPr>
          <w:rFonts w:hint="default" w:ascii="Times New Roman" w:hAnsi="Times New Roman" w:cs="Times New Roman" w:eastAsiaTheme="minorEastAsia"/>
          <w:bCs/>
          <w:vertAlign w:val="superscript"/>
          <w:lang w:val="en-US" w:eastAsia="zh-CN"/>
        </w:rPr>
      </w:pPr>
      <w:r>
        <w:rPr>
          <w:rFonts w:ascii="Times New Roman" w:hAnsi="Times New Roman" w:cs="Times New Roman"/>
          <w:bCs/>
        </w:rPr>
        <w:t>Z</w:t>
      </w:r>
      <w:r>
        <w:rPr>
          <w:rFonts w:ascii="Times New Roman" w:hAnsi="Times New Roman" w:cs="Times New Roman"/>
          <w:bCs/>
          <w:color w:val="000000"/>
        </w:rPr>
        <w:t>hang</w:t>
      </w:r>
      <w:r>
        <w:rPr>
          <w:rFonts w:ascii="Times New Roman" w:hAnsi="Times New Roman" w:cs="Times New Roman"/>
          <w:bCs/>
        </w:rPr>
        <w:t xml:space="preserve"> San</w:t>
      </w:r>
      <w:r>
        <w:rPr>
          <w:rFonts w:ascii="Times New Roman" w:hAnsi="Times New Roman" w:cs="Times New Roman"/>
          <w:bCs/>
          <w:vertAlign w:val="superscript"/>
        </w:rPr>
        <w:t>1</w:t>
      </w:r>
      <w:r>
        <w:rPr>
          <w:rFonts w:ascii="Times New Roman" w:hAnsi="Times New Roman" w:cs="Times New Roman"/>
          <w:bCs/>
        </w:rPr>
        <w:t>，L</w:t>
      </w:r>
      <w:r>
        <w:rPr>
          <w:rFonts w:ascii="Times New Roman" w:hAnsi="Times New Roman" w:cs="Times New Roman"/>
          <w:bCs/>
          <w:color w:val="558ED5" w:themeColor="text2" w:themeTint="99"/>
          <w14:textFill>
            <w14:solidFill>
              <w14:schemeClr w14:val="tx2">
                <w14:lumMod w14:val="60000"/>
                <w14:lumOff w14:val="40000"/>
              </w14:schemeClr>
            </w14:solidFill>
          </w14:textFill>
        </w:rPr>
        <w:t xml:space="preserve">i </w:t>
      </w:r>
      <w:r>
        <w:rPr>
          <w:rFonts w:ascii="Times New Roman" w:hAnsi="Times New Roman" w:cs="Times New Roman"/>
          <w:bCs/>
        </w:rPr>
        <w:t>Si</w:t>
      </w:r>
      <w:r>
        <w:rPr>
          <w:rFonts w:ascii="Times New Roman" w:hAnsi="Times New Roman" w:cs="Times New Roman"/>
          <w:bCs/>
          <w:vertAlign w:val="superscript"/>
        </w:rPr>
        <w:t>1</w:t>
      </w:r>
      <w:r>
        <w:rPr>
          <w:rFonts w:ascii="Times New Roman" w:hAnsi="Times New Roman" w:cs="Times New Roman"/>
          <w:bCs/>
        </w:rPr>
        <w:t>，W</w:t>
      </w:r>
      <w:r>
        <w:rPr>
          <w:rFonts w:ascii="Times New Roman" w:hAnsi="Times New Roman" w:cs="Times New Roman"/>
          <w:bCs/>
          <w:color w:val="000000"/>
        </w:rPr>
        <w:t>ang</w:t>
      </w:r>
      <w:r>
        <w:rPr>
          <w:rFonts w:ascii="Times New Roman" w:hAnsi="Times New Roman" w:cs="Times New Roman"/>
          <w:bCs/>
        </w:rPr>
        <w:t xml:space="preserve"> Xiaowu</w:t>
      </w:r>
      <w:r>
        <w:rPr>
          <w:rFonts w:ascii="Times New Roman" w:hAnsi="Times New Roman" w:cs="Times New Roman"/>
          <w:bCs/>
          <w:vertAlign w:val="superscript"/>
        </w:rPr>
        <w:t>2</w:t>
      </w:r>
      <w:r>
        <w:rPr>
          <w:rFonts w:hint="eastAsia" w:ascii="Times New Roman" w:hAnsi="Times New Roman" w:cs="Times New Roman"/>
          <w:bCs/>
          <w:vertAlign w:val="baseline"/>
          <w:lang w:eastAsia="zh-CN"/>
        </w:rPr>
        <w:t>，</w:t>
      </w:r>
      <w:r>
        <w:rPr>
          <w:rFonts w:hint="eastAsia" w:ascii="Times New Roman" w:hAnsi="Times New Roman" w:cs="Times New Roman"/>
          <w:bCs/>
          <w:vertAlign w:val="baseline"/>
          <w:lang w:val="en-US" w:eastAsia="zh-CN"/>
        </w:rPr>
        <w:t>L</w:t>
      </w:r>
      <w:r>
        <w:rPr>
          <w:rFonts w:hint="default" w:ascii="Times New Roman" w:hAnsi="Times New Roman" w:cs="Times New Roman"/>
          <w:bCs/>
          <w:vertAlign w:val="baseline"/>
          <w:lang w:eastAsia="zh-CN"/>
          <w:woUserID w:val="1"/>
        </w:rPr>
        <w:t>y</w:t>
      </w:r>
      <w:r>
        <w:rPr>
          <w:rFonts w:hint="eastAsia" w:ascii="Times New Roman" w:hAnsi="Times New Roman" w:cs="Times New Roman"/>
          <w:bCs/>
          <w:vertAlign w:val="baseline"/>
          <w:lang w:val="en-US" w:eastAsia="zh-CN"/>
        </w:rPr>
        <w:t>u Xiaoliu</w:t>
      </w:r>
      <w:r>
        <w:rPr>
          <w:rFonts w:hint="eastAsia" w:ascii="Times New Roman" w:hAnsi="Times New Roman" w:cs="Times New Roman"/>
          <w:bCs/>
          <w:vertAlign w:val="superscript"/>
          <w:lang w:val="en-US" w:eastAsia="zh-CN"/>
        </w:rPr>
        <w:t>2</w:t>
      </w:r>
    </w:p>
    <w:p w14:paraId="38A8B9E4">
      <w:pPr>
        <w:jc w:val="center"/>
        <w:rPr>
          <w:rFonts w:ascii="Times New Roman" w:hAnsi="Times New Roman" w:cs="Times New Roman"/>
          <w:bCs/>
          <w:sz w:val="18"/>
          <w:szCs w:val="18"/>
        </w:rPr>
      </w:pPr>
      <w:r>
        <w:rPr>
          <w:rFonts w:ascii="Times New Roman" w:hAnsi="Times New Roman" w:cs="Times New Roman"/>
          <w:bCs/>
          <w:sz w:val="18"/>
          <w:szCs w:val="18"/>
        </w:rPr>
        <w:t>（1.School of Chemical Engineering,</w:t>
      </w:r>
      <w:r>
        <w:rPr>
          <w:rFonts w:hint="eastAsia" w:ascii="Times New Roman" w:hAnsi="Times New Roman" w:cs="Times New Roman"/>
          <w:bCs/>
          <w:sz w:val="18"/>
          <w:szCs w:val="18"/>
        </w:rPr>
        <w:t xml:space="preserve"> </w:t>
      </w:r>
      <w:r>
        <w:rPr>
          <w:rFonts w:ascii="Times New Roman" w:hAnsi="Times New Roman" w:cs="Times New Roman"/>
          <w:bCs/>
          <w:sz w:val="18"/>
          <w:szCs w:val="18"/>
        </w:rPr>
        <w:t>Xi’an University, Xi’an 710065, China；</w:t>
      </w:r>
    </w:p>
    <w:p w14:paraId="18EDA766">
      <w:pPr>
        <w:jc w:val="center"/>
        <w:rPr>
          <w:rFonts w:ascii="Times New Roman" w:hAnsi="Times New Roman" w:cs="Times New Roman"/>
          <w:bCs/>
          <w:sz w:val="18"/>
          <w:szCs w:val="18"/>
        </w:rPr>
      </w:pPr>
      <w:r>
        <w:rPr>
          <w:rFonts w:ascii="Times New Roman" w:hAnsi="Times New Roman" w:cs="Times New Roman"/>
          <w:bCs/>
          <w:sz w:val="18"/>
          <w:szCs w:val="18"/>
        </w:rPr>
        <w:t>2.School of Chemical and Chemical Engineering, Yan’an University, Yan’an 716000, China）</w:t>
      </w:r>
    </w:p>
    <w:p w14:paraId="04E47907">
      <w:pPr>
        <w:jc w:val="center"/>
        <w:rPr>
          <w:b/>
          <w:vertAlign w:val="superscript"/>
        </w:rPr>
      </w:pPr>
    </w:p>
    <w:p w14:paraId="645967C4">
      <w:pPr>
        <w:ind w:left="420" w:firstLine="420"/>
        <w:rPr>
          <w:rFonts w:ascii="Times New Roman" w:hAnsi="Times New Roman" w:cs="Times New Roman"/>
          <w:sz w:val="18"/>
          <w:szCs w:val="18"/>
        </w:rPr>
      </w:pPr>
      <w:r>
        <w:rPr>
          <w:rFonts w:ascii="Times New Roman" w:hAnsi="Times New Roman" w:cs="Times New Roman"/>
          <w:b/>
          <w:sz w:val="24"/>
          <w:szCs w:val="24"/>
        </w:rPr>
        <w:t>Abstract:</w:t>
      </w:r>
      <w:r>
        <w:rPr>
          <w:rFonts w:ascii="Times New Roman" w:hAnsi="Times New Roman" w:cs="Times New Roman"/>
          <w:bCs/>
          <w:sz w:val="24"/>
          <w:szCs w:val="24"/>
        </w:rPr>
        <w:t xml:space="preserve"> xxxxxx xxxx xxx xxxxx xxx xxxxx xxxxx xxxxxxx xxxx xxxx xxxxx xxxx xxx xxx xxxxxxx xxxxxx xxxxxxxx xxxxxxxxx xxxxxxx xx xxxxx xxxxxxx xxx xxxxx xxxxxxxx xxxxx xxxxxxx xxxx xxxx xxxxx xxxx xxx xxx xxxxxxx xxxxxxxxxxxxxx xxxxxxxxx xx xxxxx xxxx</w:t>
      </w:r>
      <w:r>
        <w:rPr>
          <w:rFonts w:hint="eastAsia" w:ascii="Times New Roman" w:hAnsi="Times New Roman" w:cs="Times New Roman"/>
          <w:bCs/>
          <w:sz w:val="24"/>
          <w:szCs w:val="24"/>
        </w:rPr>
        <w:t xml:space="preserve"> </w:t>
      </w:r>
      <w:r>
        <w:rPr>
          <w:rFonts w:ascii="Times New Roman" w:hAnsi="Times New Roman" w:cs="Times New Roman"/>
          <w:bCs/>
          <w:sz w:val="24"/>
          <w:szCs w:val="24"/>
        </w:rPr>
        <w:t>xxxxxxxxxxxxxx</w:t>
      </w:r>
      <w:r>
        <w:rPr>
          <w:rFonts w:hint="eastAsia" w:ascii="Times New Roman" w:hAnsi="Times New Roman" w:cs="Times New Roman"/>
          <w:bCs/>
          <w:sz w:val="24"/>
          <w:szCs w:val="24"/>
        </w:rPr>
        <w:t xml:space="preserve"> </w:t>
      </w:r>
      <w:r>
        <w:rPr>
          <w:rFonts w:ascii="Times New Roman" w:hAnsi="Times New Roman" w:cs="Times New Roman"/>
          <w:bCs/>
          <w:sz w:val="24"/>
          <w:szCs w:val="24"/>
        </w:rPr>
        <w:t>xxxxx xxxxxxx xxxx xxxx xxxxx.</w:t>
      </w:r>
    </w:p>
    <w:p w14:paraId="14921DE7">
      <w:pPr>
        <w:spacing w:line="360" w:lineRule="auto"/>
        <w:ind w:left="420" w:firstLine="420"/>
        <w:jc w:val="left"/>
        <w:rPr>
          <w:rFonts w:hint="eastAsia" w:ascii="Times New Roman" w:hAnsi="Times New Roman" w:cs="Times New Roman"/>
          <w:bCs/>
          <w:color w:val="FF0000"/>
          <w:sz w:val="18"/>
          <w:szCs w:val="18"/>
        </w:rPr>
      </w:pPr>
      <w:r>
        <w:rPr>
          <w:rFonts w:ascii="Times New Roman" w:hAnsi="Times New Roman" w:cs="Times New Roman"/>
          <w:b/>
          <w:sz w:val="24"/>
          <w:szCs w:val="24"/>
        </w:rPr>
        <w:t>Key words:</w:t>
      </w:r>
      <w:r>
        <w:rPr>
          <w:rFonts w:ascii="Times New Roman" w:hAnsi="Times New Roman" w:cs="Times New Roman"/>
          <w:b/>
          <w:szCs w:val="21"/>
        </w:rPr>
        <w:t xml:space="preserve"> </w:t>
      </w:r>
      <w:r>
        <w:rPr>
          <w:rFonts w:ascii="Times New Roman" w:hAnsi="Times New Roman" w:cs="Times New Roman"/>
          <w:bCs/>
          <w:szCs w:val="21"/>
        </w:rPr>
        <w:t>new science; new technology; new method</w:t>
      </w:r>
      <w:r>
        <w:rPr>
          <w:rFonts w:hint="eastAsia" w:ascii="Times New Roman" w:hAnsi="Times New Roman" w:cs="Times New Roman"/>
          <w:bCs/>
          <w:sz w:val="18"/>
          <w:szCs w:val="18"/>
        </w:rPr>
        <w:t xml:space="preserve"> </w:t>
      </w:r>
      <w:r>
        <w:rPr>
          <w:rFonts w:hint="eastAsia" w:ascii="Times New Roman" w:hAnsi="Times New Roman" w:cs="Times New Roman"/>
          <w:bCs/>
          <w:color w:val="FF0000"/>
          <w:sz w:val="18"/>
          <w:szCs w:val="18"/>
        </w:rPr>
        <w:t>(</w:t>
      </w:r>
      <w:r>
        <w:rPr>
          <w:rFonts w:ascii="Times New Roman" w:hAnsi="Times New Roman"/>
          <w:color w:val="FF0000"/>
          <w:kern w:val="0"/>
          <w:sz w:val="18"/>
          <w:szCs w:val="18"/>
        </w:rPr>
        <w:t>首字母小写</w:t>
      </w:r>
      <w:r>
        <w:rPr>
          <w:rFonts w:hint="eastAsia" w:ascii="Times New Roman" w:hAnsi="Times New Roman"/>
          <w:color w:val="FF0000"/>
          <w:kern w:val="0"/>
          <w:sz w:val="18"/>
          <w:szCs w:val="18"/>
        </w:rPr>
        <w:t>，与</w:t>
      </w:r>
      <w:r>
        <w:rPr>
          <w:rFonts w:ascii="Times New Roman" w:hAnsi="Times New Roman"/>
          <w:color w:val="FF0000"/>
          <w:kern w:val="0"/>
          <w:sz w:val="18"/>
          <w:szCs w:val="18"/>
        </w:rPr>
        <w:t>中文</w:t>
      </w:r>
      <w:r>
        <w:rPr>
          <w:rFonts w:hint="eastAsia" w:ascii="Times New Roman" w:hAnsi="Times New Roman"/>
          <w:color w:val="FF0000"/>
          <w:kern w:val="0"/>
          <w:sz w:val="18"/>
          <w:szCs w:val="18"/>
        </w:rPr>
        <w:t>关键词</w:t>
      </w:r>
      <w:r>
        <w:rPr>
          <w:rFonts w:ascii="Times New Roman" w:hAnsi="Times New Roman"/>
          <w:color w:val="FF0000"/>
          <w:kern w:val="0"/>
          <w:sz w:val="18"/>
          <w:szCs w:val="18"/>
        </w:rPr>
        <w:t>相对应</w:t>
      </w:r>
      <w:r>
        <w:rPr>
          <w:rFonts w:hint="eastAsia" w:ascii="Times New Roman" w:hAnsi="Times New Roman"/>
          <w:color w:val="FF0000"/>
          <w:kern w:val="0"/>
          <w:sz w:val="18"/>
          <w:szCs w:val="18"/>
        </w:rPr>
        <w:t>，专有名词首字母大写</w:t>
      </w:r>
      <w:r>
        <w:rPr>
          <w:rFonts w:hint="eastAsia" w:ascii="Times New Roman" w:hAnsi="Times New Roman" w:cs="Times New Roman"/>
          <w:bCs/>
          <w:color w:val="FF0000"/>
          <w:sz w:val="18"/>
          <w:szCs w:val="18"/>
        </w:rPr>
        <w:t>)</w:t>
      </w:r>
    </w:p>
    <w:p w14:paraId="34AA2AA8">
      <w:pPr>
        <w:numPr>
          <w:ilvl w:val="0"/>
          <w:numId w:val="0"/>
        </w:numPr>
        <w:ind w:firstLine="420" w:firstLineChars="200"/>
        <w:jc w:val="left"/>
        <w:rPr>
          <w:rFonts w:hint="eastAsia" w:eastAsia="黑体"/>
          <w:sz w:val="21"/>
          <w:szCs w:val="21"/>
          <w:lang w:eastAsia="zh-CN"/>
        </w:rPr>
      </w:pPr>
      <w:r>
        <w:rPr>
          <w:rFonts w:hint="eastAsia" w:ascii="黑体" w:hAnsi="黑体" w:eastAsia="黑体" w:cs="黑体"/>
          <w:sz w:val="21"/>
          <w:szCs w:val="21"/>
          <w:highlight w:val="none"/>
          <w:lang w:eastAsia="zh-CN"/>
        </w:rPr>
        <w:t>（</w:t>
      </w:r>
      <w:r>
        <w:rPr>
          <w:rFonts w:hint="eastAsia" w:ascii="黑体" w:hAnsi="黑体" w:eastAsia="黑体" w:cs="黑体"/>
          <w:sz w:val="21"/>
          <w:szCs w:val="21"/>
          <w:highlight w:val="none"/>
        </w:rPr>
        <w:t>正文开始的引言部分，直接写，</w:t>
      </w:r>
      <w:r>
        <w:rPr>
          <w:rFonts w:hint="eastAsia" w:ascii="黑体" w:hAnsi="黑体" w:eastAsia="黑体" w:cs="黑体"/>
          <w:b/>
          <w:color w:val="FF0000"/>
          <w:sz w:val="21"/>
          <w:szCs w:val="21"/>
          <w:highlight w:val="none"/>
        </w:rPr>
        <w:t>不加“引言”</w:t>
      </w:r>
      <w:r>
        <w:rPr>
          <w:rFonts w:hint="eastAsia" w:ascii="黑体" w:hAnsi="黑体" w:eastAsia="黑体" w:cs="黑体"/>
          <w:b/>
          <w:color w:val="00B050"/>
          <w:sz w:val="21"/>
          <w:szCs w:val="21"/>
          <w:highlight w:val="none"/>
        </w:rPr>
        <w:t>作为</w:t>
      </w:r>
      <w:r>
        <w:rPr>
          <w:rFonts w:hint="eastAsia" w:ascii="黑体" w:hAnsi="黑体" w:eastAsia="黑体" w:cs="黑体"/>
          <w:b/>
          <w:color w:val="FF0000"/>
          <w:sz w:val="21"/>
          <w:szCs w:val="21"/>
          <w:highlight w:val="none"/>
        </w:rPr>
        <w:t>标题</w:t>
      </w:r>
      <w:r>
        <w:rPr>
          <w:rFonts w:hint="eastAsia" w:ascii="黑体" w:hAnsi="黑体" w:eastAsia="黑体" w:cs="黑体"/>
          <w:sz w:val="21"/>
          <w:szCs w:val="21"/>
          <w:highlight w:val="none"/>
        </w:rPr>
        <w:t>。</w:t>
      </w:r>
      <w:r>
        <w:rPr>
          <w:rFonts w:hint="eastAsia" w:ascii="黑体" w:hAnsi="黑体" w:eastAsia="黑体" w:cs="黑体"/>
          <w:highlight w:val="none"/>
        </w:rPr>
        <w:t>请注重引言的书写，除国际最新研究状况外，应尽量引用国内相关领域研究近况。正文汉字统一使用五号宋体，</w:t>
      </w:r>
      <w:r>
        <w:rPr>
          <w:rFonts w:hint="eastAsia" w:ascii="黑体" w:hAnsi="黑体" w:eastAsia="黑体" w:cs="黑体"/>
          <w:highlight w:val="none"/>
          <w:lang w:eastAsia="zh-CN"/>
        </w:rPr>
        <w:t>单倍行距，</w:t>
      </w:r>
      <w:r>
        <w:rPr>
          <w:rFonts w:hint="eastAsia" w:ascii="黑体" w:hAnsi="黑体" w:eastAsia="黑体" w:cs="黑体"/>
          <w:highlight w:val="none"/>
        </w:rPr>
        <w:t>所有西文字母、数字、符号统一使用五号Times New Roman。</w:t>
      </w:r>
      <w:r>
        <w:rPr>
          <w:rFonts w:hint="eastAsia" w:ascii="黑体" w:hAnsi="黑体" w:eastAsia="黑体" w:cs="黑体"/>
          <w:highlight w:val="none"/>
          <w:lang w:eastAsia="zh-CN"/>
        </w:rPr>
        <w:t>）</w:t>
      </w:r>
    </w:p>
    <w:p w14:paraId="1652969A">
      <w:pPr>
        <w:autoSpaceDE w:val="0"/>
        <w:autoSpaceDN w:val="0"/>
        <w:adjustRightInd w:val="0"/>
        <w:spacing w:line="240" w:lineRule="auto"/>
        <w:ind w:firstLine="525" w:firstLineChars="250"/>
        <w:jc w:val="left"/>
        <w:rPr>
          <w:rFonts w:hint="eastAsia" w:asciiTheme="minorEastAsia" w:hAnsiTheme="minorEastAsia"/>
          <w:color w:val="FF0000"/>
          <w:sz w:val="21"/>
          <w:szCs w:val="21"/>
        </w:rPr>
      </w:pPr>
      <w:r>
        <w:rPr>
          <w:rFonts w:ascii="Times New Roman" w:hAnsi="Times New Roman" w:eastAsia="宋体" w:cs="Times New Roman"/>
          <w:sz w:val="21"/>
          <w:szCs w:val="21"/>
        </w:rPr>
        <w:t>运动目标检测( moving object detection，MOD) 是从视频序列图像的背景中分离出运动目标，在很多应用图像处理和计算机视觉中，运动目标检测是图像处理环节中的关键技术之一，准确地检测出运动目标是目标识别和目标跟踪的前提</w:t>
      </w:r>
      <w:r>
        <w:rPr>
          <w:rFonts w:hint="eastAsia" w:ascii="Times New Roman" w:hAnsi="Times New Roman" w:eastAsia="宋体" w:cs="Times New Roman"/>
          <w:sz w:val="21"/>
          <w:szCs w:val="21"/>
          <w:vertAlign w:val="superscript"/>
        </w:rPr>
        <w:t>[</w:t>
      </w:r>
      <w:r>
        <w:rPr>
          <w:rFonts w:hint="eastAsia" w:ascii="Times New Roman" w:hAnsi="Times New Roman" w:eastAsia="宋体" w:cs="Times New Roman"/>
          <w:sz w:val="21"/>
          <w:szCs w:val="21"/>
          <w:vertAlign w:val="superscript"/>
          <w:lang w:val="en-US" w:eastAsia="zh-CN"/>
        </w:rPr>
        <w:t>1-2</w:t>
      </w:r>
      <w:r>
        <w:rPr>
          <w:rFonts w:ascii="Times New Roman" w:hAnsi="Times New Roman" w:eastAsia="宋体" w:cs="Times New Roman"/>
          <w:sz w:val="21"/>
          <w:szCs w:val="21"/>
          <w:vertAlign w:val="superscript"/>
        </w:rPr>
        <w:t>]</w:t>
      </w:r>
      <w:r>
        <w:rPr>
          <w:rFonts w:ascii="Times New Roman" w:hAnsi="Times New Roman" w:eastAsia="宋体" w:cs="Times New Roman"/>
          <w:sz w:val="21"/>
          <w:szCs w:val="21"/>
        </w:rPr>
        <w:t>。相对于深度学习的方法，比较常用的运动目标检测算法有光流法、帧差法和背景差法</w:t>
      </w:r>
      <w:r>
        <w:rPr>
          <w:rFonts w:hint="eastAsia" w:ascii="Times New Roman" w:hAnsi="Times New Roman" w:eastAsia="宋体" w:cs="Times New Roman"/>
          <w:sz w:val="21"/>
          <w:szCs w:val="21"/>
          <w:vertAlign w:val="superscript"/>
        </w:rPr>
        <w:t>[</w:t>
      </w:r>
      <w:r>
        <w:rPr>
          <w:rFonts w:ascii="Times New Roman" w:hAnsi="Times New Roman" w:eastAsia="宋体" w:cs="Times New Roman"/>
          <w:sz w:val="21"/>
          <w:szCs w:val="21"/>
          <w:vertAlign w:val="superscript"/>
        </w:rPr>
        <w:t>3]</w:t>
      </w:r>
      <w:r>
        <w:rPr>
          <w:rFonts w:ascii="Times New Roman" w:hAnsi="Times New Roman" w:eastAsia="宋体" w:cs="Times New Roman"/>
          <w:sz w:val="21"/>
          <w:szCs w:val="21"/>
        </w:rPr>
        <w:t>。</w:t>
      </w:r>
      <w:r>
        <w:rPr>
          <w:rFonts w:hint="eastAsia" w:ascii="宋体" w:hAnsi="宋体"/>
          <w:color w:val="000000"/>
          <w:sz w:val="21"/>
          <w:szCs w:val="21"/>
        </w:rPr>
        <w:t>……</w:t>
      </w:r>
      <w:r>
        <w:rPr>
          <w:rFonts w:hint="eastAsia" w:asciiTheme="minorEastAsia" w:hAnsiTheme="minorEastAsia"/>
          <w:color w:val="FF0000"/>
          <w:sz w:val="21"/>
          <w:szCs w:val="21"/>
        </w:rPr>
        <w:t>（</w:t>
      </w:r>
      <w:r>
        <w:rPr>
          <w:rFonts w:ascii="Times New Roman" w:hAnsi="Times New Roman"/>
          <w:color w:val="FF0000"/>
          <w:kern w:val="0"/>
          <w:sz w:val="21"/>
          <w:szCs w:val="21"/>
        </w:rPr>
        <w:t>每个英文简写（包括图表中）在第一次出现时</w:t>
      </w:r>
      <w:r>
        <w:rPr>
          <w:rFonts w:hint="eastAsia" w:ascii="Times New Roman" w:hAnsi="Times New Roman"/>
          <w:color w:val="FF0000"/>
          <w:kern w:val="0"/>
          <w:sz w:val="21"/>
          <w:szCs w:val="21"/>
        </w:rPr>
        <w:t>，</w:t>
      </w:r>
      <w:r>
        <w:rPr>
          <w:rFonts w:ascii="Times New Roman" w:hAnsi="Times New Roman"/>
          <w:color w:val="FF0000"/>
          <w:kern w:val="0"/>
          <w:sz w:val="21"/>
          <w:szCs w:val="21"/>
        </w:rPr>
        <w:t>都</w:t>
      </w:r>
      <w:r>
        <w:rPr>
          <w:rFonts w:hint="eastAsia" w:ascii="Times New Roman" w:hAnsi="Times New Roman"/>
          <w:color w:val="FF0000"/>
          <w:kern w:val="0"/>
          <w:sz w:val="21"/>
          <w:szCs w:val="21"/>
        </w:rPr>
        <w:t>应</w:t>
      </w:r>
      <w:r>
        <w:rPr>
          <w:rFonts w:ascii="Times New Roman" w:hAnsi="Times New Roman"/>
          <w:color w:val="FF0000"/>
          <w:kern w:val="0"/>
          <w:sz w:val="21"/>
          <w:szCs w:val="21"/>
        </w:rPr>
        <w:t>有其对应的中文（或英文）全称</w:t>
      </w:r>
      <w:r>
        <w:rPr>
          <w:rFonts w:hint="eastAsia" w:ascii="Times New Roman" w:hAnsi="Times New Roman"/>
          <w:color w:val="FF0000"/>
          <w:kern w:val="0"/>
          <w:sz w:val="21"/>
          <w:szCs w:val="21"/>
        </w:rPr>
        <w:t>，英文</w:t>
      </w:r>
      <w:r>
        <w:rPr>
          <w:rFonts w:ascii="Times New Roman" w:hAnsi="Times New Roman"/>
          <w:color w:val="FF0000"/>
          <w:kern w:val="0"/>
          <w:sz w:val="21"/>
          <w:szCs w:val="21"/>
        </w:rPr>
        <w:t>首字母小写</w:t>
      </w:r>
      <w:r>
        <w:rPr>
          <w:rFonts w:hint="eastAsia" w:asciiTheme="minorEastAsia" w:hAnsiTheme="minorEastAsia"/>
          <w:color w:val="FF0000"/>
          <w:sz w:val="21"/>
          <w:szCs w:val="21"/>
        </w:rPr>
        <w:t>）（参考文献需按顺序引用,</w:t>
      </w:r>
      <w:r>
        <w:rPr>
          <w:rFonts w:hint="eastAsia"/>
          <w:color w:val="FF0000"/>
          <w:sz w:val="21"/>
          <w:szCs w:val="21"/>
        </w:rPr>
        <w:t xml:space="preserve"> 不能在</w:t>
      </w:r>
      <w:r>
        <w:rPr>
          <w:color w:val="FF0000"/>
          <w:sz w:val="21"/>
          <w:szCs w:val="21"/>
        </w:rPr>
        <w:t>[</w:t>
      </w:r>
      <w:r>
        <w:rPr>
          <w:rFonts w:hint="eastAsia"/>
          <w:color w:val="FF0000"/>
          <w:sz w:val="21"/>
          <w:szCs w:val="21"/>
          <w:lang w:val="en-US" w:eastAsia="zh-CN"/>
        </w:rPr>
        <w:t>3</w:t>
      </w:r>
      <w:r>
        <w:rPr>
          <w:color w:val="FF0000"/>
          <w:sz w:val="21"/>
          <w:szCs w:val="21"/>
        </w:rPr>
        <w:t>]</w:t>
      </w:r>
      <w:r>
        <w:rPr>
          <w:rFonts w:hint="eastAsia" w:asciiTheme="minorEastAsia" w:hAnsiTheme="minorEastAsia"/>
          <w:color w:val="FF0000"/>
          <w:sz w:val="21"/>
          <w:szCs w:val="21"/>
        </w:rPr>
        <w:t>引用前</w:t>
      </w:r>
      <w:r>
        <w:rPr>
          <w:rFonts w:asciiTheme="minorEastAsia" w:hAnsiTheme="minorEastAsia"/>
          <w:color w:val="FF0000"/>
          <w:sz w:val="21"/>
          <w:szCs w:val="21"/>
        </w:rPr>
        <w:t>先</w:t>
      </w:r>
      <w:r>
        <w:rPr>
          <w:rFonts w:hint="eastAsia" w:asciiTheme="minorEastAsia" w:hAnsiTheme="minorEastAsia"/>
          <w:color w:val="FF0000"/>
          <w:sz w:val="21"/>
          <w:szCs w:val="21"/>
        </w:rPr>
        <w:t>引用</w:t>
      </w:r>
      <w:r>
        <w:rPr>
          <w:color w:val="FF0000"/>
          <w:sz w:val="21"/>
          <w:szCs w:val="21"/>
        </w:rPr>
        <w:t>[</w:t>
      </w:r>
      <w:r>
        <w:rPr>
          <w:rFonts w:hint="eastAsia"/>
          <w:color w:val="FF0000"/>
          <w:sz w:val="21"/>
          <w:szCs w:val="21"/>
          <w:lang w:val="en-US" w:eastAsia="zh-CN"/>
        </w:rPr>
        <w:t>4</w:t>
      </w:r>
      <w:r>
        <w:rPr>
          <w:color w:val="FF0000"/>
          <w:sz w:val="21"/>
          <w:szCs w:val="21"/>
        </w:rPr>
        <w:t>]</w:t>
      </w:r>
      <w:r>
        <w:rPr>
          <w:rFonts w:hint="eastAsia" w:asciiTheme="minorEastAsia" w:hAnsiTheme="minorEastAsia"/>
          <w:color w:val="FF0000"/>
          <w:sz w:val="21"/>
          <w:szCs w:val="21"/>
        </w:rPr>
        <w:t>）</w:t>
      </w:r>
    </w:p>
    <w:p w14:paraId="303F5C1D">
      <w:pPr>
        <w:ind w:firstLine="420" w:firstLineChars="200"/>
        <w:rPr>
          <w:rFonts w:hint="eastAsia" w:ascii="黑体" w:hAnsi="黑体" w:eastAsia="黑体" w:cs="黑体"/>
          <w:highlight w:val="none"/>
        </w:rPr>
      </w:pPr>
      <w:bookmarkStart w:id="0" w:name="OLE_LINK18"/>
      <w:r>
        <w:rPr>
          <w:rFonts w:hint="eastAsia" w:ascii="黑体" w:hAnsi="黑体" w:eastAsia="黑体" w:cs="黑体"/>
          <w:highlight w:val="none"/>
          <w:lang w:eastAsia="zh-CN"/>
        </w:rPr>
        <w:t>（</w:t>
      </w:r>
      <w:r>
        <w:rPr>
          <w:rFonts w:hint="eastAsia" w:ascii="黑体" w:hAnsi="黑体" w:eastAsia="黑体" w:cs="黑体"/>
          <w:highlight w:val="none"/>
        </w:rPr>
        <w:t>正文标题层级采用如下编号格式：</w:t>
      </w:r>
    </w:p>
    <w:p w14:paraId="2A4D622E">
      <w:pPr>
        <w:ind w:firstLine="420" w:firstLineChars="200"/>
        <w:rPr>
          <w:rFonts w:hint="eastAsia" w:ascii="黑体" w:hAnsi="黑体" w:eastAsia="黑体" w:cs="黑体"/>
          <w:highlight w:val="none"/>
        </w:rPr>
      </w:pPr>
      <w:r>
        <w:rPr>
          <w:rFonts w:hint="eastAsia" w:ascii="黑体" w:hAnsi="黑体" w:eastAsia="黑体" w:cs="黑体"/>
          <w:highlight w:val="none"/>
        </w:rPr>
        <w:t>一级标题：1，2，3，…</w:t>
      </w:r>
    </w:p>
    <w:p w14:paraId="72615373">
      <w:pPr>
        <w:ind w:firstLine="420" w:firstLineChars="200"/>
        <w:rPr>
          <w:rFonts w:hint="eastAsia" w:ascii="黑体" w:hAnsi="黑体" w:eastAsia="黑体" w:cs="黑体"/>
          <w:highlight w:val="none"/>
        </w:rPr>
      </w:pPr>
      <w:r>
        <w:rPr>
          <w:rFonts w:hint="eastAsia" w:ascii="黑体" w:hAnsi="黑体" w:eastAsia="黑体" w:cs="黑体"/>
          <w:highlight w:val="none"/>
        </w:rPr>
        <w:t>二级标题：1.1，1.2，1.3，…</w:t>
      </w:r>
    </w:p>
    <w:p w14:paraId="39AB995F">
      <w:pPr>
        <w:ind w:firstLine="420" w:firstLineChars="200"/>
        <w:rPr>
          <w:rFonts w:hint="eastAsia" w:ascii="黑体" w:hAnsi="黑体" w:eastAsia="黑体" w:cs="黑体"/>
          <w:highlight w:val="none"/>
        </w:rPr>
      </w:pPr>
      <w:r>
        <w:rPr>
          <w:rFonts w:hint="eastAsia" w:ascii="黑体" w:hAnsi="黑体" w:eastAsia="黑体" w:cs="黑体"/>
          <w:highlight w:val="none"/>
        </w:rPr>
        <w:t>三级标题：1.1.1，1.1.2，1.1.3，…</w:t>
      </w:r>
    </w:p>
    <w:p w14:paraId="72775C51">
      <w:pPr>
        <w:ind w:firstLine="420" w:firstLineChars="200"/>
        <w:rPr>
          <w:rFonts w:hint="eastAsia" w:ascii="黑体" w:hAnsi="黑体" w:eastAsia="黑体" w:cs="黑体"/>
          <w:color w:val="FF0000"/>
          <w:sz w:val="21"/>
          <w:szCs w:val="21"/>
          <w:highlight w:val="none"/>
          <w:lang w:eastAsia="zh-CN"/>
        </w:rPr>
      </w:pPr>
      <w:r>
        <w:rPr>
          <w:rFonts w:hint="eastAsia" w:ascii="黑体" w:hAnsi="黑体" w:eastAsia="黑体" w:cs="黑体"/>
          <w:highlight w:val="none"/>
        </w:rPr>
        <w:t>四级标题：1)，2)，3)，…</w:t>
      </w:r>
      <w:bookmarkEnd w:id="0"/>
      <w:r>
        <w:rPr>
          <w:rFonts w:hint="eastAsia" w:ascii="黑体" w:hAnsi="黑体" w:eastAsia="黑体" w:cs="黑体"/>
          <w:highlight w:val="none"/>
          <w:lang w:eastAsia="zh-CN"/>
        </w:rPr>
        <w:t>）</w:t>
      </w:r>
    </w:p>
    <w:p w14:paraId="0F16E719">
      <w:pPr>
        <w:pStyle w:val="19"/>
        <w:snapToGrid w:val="0"/>
        <w:spacing w:line="240" w:lineRule="auto"/>
        <w:ind w:firstLine="0" w:firstLineChars="0"/>
        <w:rPr>
          <w:rFonts w:hint="default"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 xml:space="preserve">1 </w:t>
      </w:r>
      <w:r>
        <w:rPr>
          <w:rFonts w:hint="eastAsia" w:ascii="宋体" w:hAnsi="宋体" w:eastAsia="宋体" w:cs="宋体"/>
          <w:b w:val="0"/>
          <w:bCs w:val="0"/>
          <w:sz w:val="24"/>
          <w:szCs w:val="24"/>
          <w:lang w:val="en-US" w:eastAsia="zh-CN"/>
        </w:rPr>
        <w:t>基础理论</w:t>
      </w:r>
      <w:r>
        <w:rPr>
          <w:rFonts w:hint="eastAsia" w:ascii="Times New Roman" w:hAnsi="Times New Roman"/>
          <w:color w:val="FF0000"/>
          <w:kern w:val="0"/>
          <w:sz w:val="24"/>
          <w:szCs w:val="24"/>
          <w:lang w:val="en-US" w:eastAsia="zh-CN"/>
        </w:rPr>
        <w:t>（宋体小四）</w:t>
      </w:r>
    </w:p>
    <w:p w14:paraId="51EEFCE9">
      <w:pPr>
        <w:numPr>
          <w:ilvl w:val="1"/>
          <w:numId w:val="2"/>
        </w:numPr>
        <w:ind w:leftChars="0"/>
        <w:rPr>
          <w:rFonts w:hint="eastAsia" w:eastAsia="黑体"/>
          <w:b w:val="0"/>
          <w:bCs w:val="0"/>
          <w:highlight w:val="none"/>
        </w:rPr>
      </w:pPr>
      <w:r>
        <w:rPr>
          <w:rFonts w:hint="eastAsia" w:eastAsia="黑体"/>
          <w:b w:val="0"/>
          <w:bCs w:val="0"/>
          <w:highlight w:val="none"/>
        </w:rPr>
        <w:t>光流法原理</w:t>
      </w:r>
      <w:r>
        <w:rPr>
          <w:rFonts w:hint="eastAsia" w:eastAsia="黑体"/>
          <w:b w:val="0"/>
          <w:bCs w:val="0"/>
          <w:color w:val="FF0000"/>
          <w:highlight w:val="none"/>
          <w:lang w:eastAsia="zh-CN"/>
        </w:rPr>
        <w:t>（</w:t>
      </w:r>
      <w:r>
        <w:rPr>
          <w:rFonts w:hint="eastAsia" w:eastAsia="黑体"/>
          <w:b w:val="0"/>
          <w:bCs w:val="0"/>
          <w:color w:val="FF0000"/>
          <w:highlight w:val="none"/>
        </w:rPr>
        <w:t>黑体五号）</w:t>
      </w:r>
    </w:p>
    <w:p w14:paraId="25E3FFA5">
      <w:pPr>
        <w:widowControl/>
        <w:snapToGrid w:val="0"/>
        <w:ind w:firstLine="420" w:firstLineChars="200"/>
        <w:rPr>
          <w:rFonts w:hint="eastAsia"/>
          <w:lang w:val="en-US" w:eastAsia="zh-CN"/>
        </w:rPr>
      </w:pPr>
      <w:r>
        <w:rPr>
          <w:rFonts w:hint="default" w:ascii="Times New Roman" w:hAnsi="Times New Roman" w:eastAsia="宋体" w:cs="Times New Roman"/>
          <w:sz w:val="21"/>
          <w:szCs w:val="21"/>
          <w:shd w:val="clear" w:color="auto" w:fill="FFFFFF"/>
        </w:rPr>
        <w:t>假设视频图像某一帧的一个位置为</w:t>
      </w:r>
      <w:r>
        <w:rPr>
          <w:rFonts w:hint="eastAsia" w:ascii="Times New Roman" w:hAnsi="Times New Roman" w:eastAsia="宋体" w:cs="Times New Roman"/>
          <w:sz w:val="21"/>
          <w:szCs w:val="21"/>
          <w:shd w:val="clear" w:color="auto" w:fill="FFFFFF"/>
          <w:lang w:eastAsia="zh-CN"/>
        </w:rPr>
        <w:t>（</w:t>
      </w:r>
      <w:r>
        <w:rPr>
          <w:rFonts w:hint="default" w:ascii="Times New Roman" w:hAnsi="Times New Roman" w:eastAsia="宋体" w:cs="Times New Roman"/>
          <w:i/>
          <w:iCs/>
          <w:sz w:val="21"/>
          <w:szCs w:val="21"/>
          <w:shd w:val="clear" w:color="auto" w:fill="FFFFFF"/>
        </w:rPr>
        <w:t>x</w:t>
      </w:r>
      <w:r>
        <w:rPr>
          <w:rFonts w:hint="eastAsia" w:ascii="Times New Roman" w:hAnsi="Times New Roman" w:eastAsia="宋体" w:cs="Times New Roman"/>
          <w:sz w:val="21"/>
          <w:szCs w:val="21"/>
          <w:shd w:val="clear" w:color="auto" w:fill="FFFFFF"/>
          <w:lang w:eastAsia="zh-CN"/>
        </w:rPr>
        <w:t>，</w:t>
      </w:r>
      <w:r>
        <w:rPr>
          <w:rFonts w:hint="default" w:ascii="Times New Roman" w:hAnsi="Times New Roman" w:eastAsia="宋体" w:cs="Times New Roman"/>
          <w:i/>
          <w:iCs/>
          <w:sz w:val="21"/>
          <w:szCs w:val="21"/>
          <w:shd w:val="clear" w:color="auto" w:fill="FFFFFF"/>
        </w:rPr>
        <w:t>y</w:t>
      </w:r>
      <w:r>
        <w:rPr>
          <w:rFonts w:hint="eastAsia" w:ascii="Times New Roman" w:hAnsi="Times New Roman" w:eastAsia="宋体" w:cs="Times New Roman"/>
          <w:sz w:val="21"/>
          <w:szCs w:val="21"/>
          <w:shd w:val="clear" w:color="auto" w:fill="FFFFFF"/>
          <w:lang w:eastAsia="zh-CN"/>
        </w:rPr>
        <w:t>）</w:t>
      </w:r>
      <w:r>
        <w:rPr>
          <w:rFonts w:hint="default" w:ascii="Times New Roman" w:hAnsi="Times New Roman" w:eastAsia="宋体" w:cs="Times New Roman"/>
          <w:sz w:val="21"/>
          <w:szCs w:val="21"/>
          <w:shd w:val="clear" w:color="auto" w:fill="FFFFFF"/>
        </w:rPr>
        <w:t>的像素在时间维度</w:t>
      </w:r>
      <w:r>
        <w:rPr>
          <w:rFonts w:hint="default" w:ascii="Times New Roman" w:hAnsi="Times New Roman" w:eastAsia="宋体" w:cs="Times New Roman"/>
          <w:i/>
          <w:iCs/>
          <w:sz w:val="21"/>
          <w:szCs w:val="21"/>
          <w:shd w:val="clear" w:color="auto" w:fill="FFFFFF"/>
        </w:rPr>
        <w:t>t</w:t>
      </w:r>
      <w:r>
        <w:rPr>
          <w:rFonts w:hint="default" w:ascii="Times New Roman" w:hAnsi="Times New Roman" w:eastAsia="宋体" w:cs="Times New Roman"/>
          <w:sz w:val="21"/>
          <w:szCs w:val="21"/>
          <w:shd w:val="clear" w:color="auto" w:fill="FFFFFF"/>
        </w:rPr>
        <w:t>下的光强度</w:t>
      </w:r>
      <w:r>
        <w:rPr>
          <w:rFonts w:hint="default" w:ascii="Times New Roman" w:hAnsi="Times New Roman" w:eastAsia="宋体" w:cs="Times New Roman"/>
          <w:i/>
          <w:iCs/>
          <w:sz w:val="21"/>
          <w:szCs w:val="21"/>
          <w:shd w:val="clear" w:color="auto" w:fill="FFFFFF"/>
        </w:rPr>
        <w:t>I</w:t>
      </w:r>
      <w:r>
        <w:rPr>
          <w:rFonts w:hint="eastAsia" w:ascii="Times New Roman" w:hAnsi="Times New Roman" w:eastAsia="宋体" w:cs="Times New Roman"/>
          <w:sz w:val="21"/>
          <w:szCs w:val="21"/>
          <w:shd w:val="clear" w:color="auto" w:fill="FFFFFF"/>
          <w:lang w:eastAsia="zh-CN"/>
        </w:rPr>
        <w:t>（</w:t>
      </w:r>
      <w:r>
        <w:rPr>
          <w:rFonts w:hint="default" w:ascii="Times New Roman" w:hAnsi="Times New Roman" w:eastAsia="宋体" w:cs="Times New Roman"/>
          <w:i/>
          <w:iCs/>
          <w:sz w:val="21"/>
          <w:szCs w:val="21"/>
          <w:shd w:val="clear" w:color="auto" w:fill="FFFFFF"/>
        </w:rPr>
        <w:t>x</w:t>
      </w:r>
      <w:r>
        <w:rPr>
          <w:rFonts w:hint="eastAsia" w:ascii="Times New Roman" w:hAnsi="Times New Roman" w:eastAsia="宋体" w:cs="Times New Roman"/>
          <w:sz w:val="21"/>
          <w:szCs w:val="21"/>
          <w:shd w:val="clear" w:color="auto" w:fill="FFFFFF"/>
          <w:lang w:eastAsia="zh-CN"/>
        </w:rPr>
        <w:t>，</w:t>
      </w:r>
      <w:r>
        <w:rPr>
          <w:rFonts w:hint="default" w:ascii="Times New Roman" w:hAnsi="Times New Roman" w:eastAsia="宋体" w:cs="Times New Roman"/>
          <w:i/>
          <w:iCs/>
          <w:sz w:val="21"/>
          <w:szCs w:val="21"/>
          <w:shd w:val="clear" w:color="auto" w:fill="FFFFFF"/>
        </w:rPr>
        <w:t>y</w:t>
      </w:r>
      <w:r>
        <w:rPr>
          <w:rFonts w:hint="eastAsia" w:ascii="Times New Roman" w:hAnsi="Times New Roman" w:eastAsia="宋体" w:cs="Times New Roman"/>
          <w:sz w:val="21"/>
          <w:szCs w:val="21"/>
          <w:shd w:val="clear" w:color="auto" w:fill="FFFFFF"/>
          <w:lang w:eastAsia="zh-CN"/>
        </w:rPr>
        <w:t>，</w:t>
      </w:r>
      <w:r>
        <w:rPr>
          <w:rFonts w:hint="default" w:ascii="Times New Roman" w:hAnsi="Times New Roman" w:eastAsia="宋体" w:cs="Times New Roman"/>
          <w:i/>
          <w:iCs/>
          <w:sz w:val="21"/>
          <w:szCs w:val="21"/>
          <w:shd w:val="clear" w:color="auto" w:fill="FFFFFF"/>
        </w:rPr>
        <w:t>t</w:t>
      </w:r>
      <w:r>
        <w:rPr>
          <w:rFonts w:hint="eastAsia" w:ascii="Times New Roman" w:hAnsi="Times New Roman" w:eastAsia="宋体" w:cs="Times New Roman"/>
          <w:sz w:val="21"/>
          <w:szCs w:val="21"/>
          <w:shd w:val="clear" w:color="auto" w:fill="FFFFFF"/>
          <w:lang w:eastAsia="zh-CN"/>
        </w:rPr>
        <w:t>）</w:t>
      </w:r>
      <w:r>
        <w:rPr>
          <w:rFonts w:hint="default" w:ascii="Times New Roman" w:hAnsi="Times New Roman" w:eastAsia="宋体" w:cs="Times New Roman"/>
          <w:sz w:val="21"/>
          <w:szCs w:val="21"/>
          <w:shd w:val="clear" w:color="auto" w:fill="FFFFFF"/>
        </w:rPr>
        <w:t>，移动</w:t>
      </w:r>
      <w:r>
        <w:rPr>
          <w:rFonts w:hint="eastAsia" w:ascii="Times New Roman" w:hAnsi="Times New Roman" w:eastAsia="宋体" w:cs="Times New Roman"/>
          <w:sz w:val="21"/>
          <w:szCs w:val="21"/>
          <w:shd w:val="clear" w:color="auto" w:fill="FFFFFF"/>
          <w:lang w:eastAsia="zh-CN"/>
        </w:rPr>
        <w:t>（</w:t>
      </w:r>
      <w:r>
        <w:rPr>
          <w:rFonts w:hint="default" w:ascii="Times New Roman" w:hAnsi="Times New Roman" w:eastAsia="宋体" w:cs="Times New Roman"/>
          <w:sz w:val="21"/>
          <w:szCs w:val="21"/>
          <w:shd w:val="clear" w:color="auto" w:fill="FFFFFF"/>
        </w:rPr>
        <w:t>d</w:t>
      </w:r>
      <w:r>
        <w:rPr>
          <w:rFonts w:hint="default" w:ascii="Times New Roman" w:hAnsi="Times New Roman" w:eastAsia="宋体" w:cs="Times New Roman"/>
          <w:i/>
          <w:iCs/>
          <w:sz w:val="21"/>
          <w:szCs w:val="21"/>
          <w:shd w:val="clear" w:color="auto" w:fill="FFFFFF"/>
        </w:rPr>
        <w:t>x</w:t>
      </w:r>
      <w:r>
        <w:rPr>
          <w:rFonts w:hint="eastAsia" w:ascii="Times New Roman" w:hAnsi="Times New Roman" w:eastAsia="宋体" w:cs="Times New Roman"/>
          <w:sz w:val="21"/>
          <w:szCs w:val="21"/>
          <w:shd w:val="clear" w:color="auto" w:fill="FFFFFF"/>
          <w:lang w:eastAsia="zh-CN"/>
        </w:rPr>
        <w:t>，</w:t>
      </w:r>
      <w:r>
        <w:rPr>
          <w:rFonts w:hint="default" w:ascii="Times New Roman" w:hAnsi="Times New Roman" w:eastAsia="宋体" w:cs="Times New Roman"/>
          <w:sz w:val="21"/>
          <w:szCs w:val="21"/>
          <w:shd w:val="clear" w:color="auto" w:fill="FFFFFF"/>
        </w:rPr>
        <w:t>d</w:t>
      </w:r>
      <w:r>
        <w:rPr>
          <w:rFonts w:hint="default" w:ascii="Times New Roman" w:hAnsi="Times New Roman" w:eastAsia="宋体" w:cs="Times New Roman"/>
          <w:i/>
          <w:iCs/>
          <w:sz w:val="21"/>
          <w:szCs w:val="21"/>
          <w:shd w:val="clear" w:color="auto" w:fill="FFFFFF"/>
        </w:rPr>
        <w:t>y</w:t>
      </w:r>
      <w:r>
        <w:rPr>
          <w:rFonts w:hint="eastAsia" w:ascii="Times New Roman" w:hAnsi="Times New Roman" w:eastAsia="宋体" w:cs="Times New Roman"/>
          <w:sz w:val="21"/>
          <w:szCs w:val="21"/>
          <w:shd w:val="clear" w:color="auto" w:fill="FFFFFF"/>
          <w:lang w:eastAsia="zh-CN"/>
        </w:rPr>
        <w:t>）</w:t>
      </w:r>
      <w:r>
        <w:rPr>
          <w:rFonts w:hint="default" w:ascii="Times New Roman" w:hAnsi="Times New Roman" w:eastAsia="宋体" w:cs="Times New Roman"/>
          <w:sz w:val="21"/>
          <w:szCs w:val="21"/>
          <w:shd w:val="clear" w:color="auto" w:fill="FFFFFF"/>
        </w:rPr>
        <w:t>的距离到达连续的下一帧之后所用时间为d</w:t>
      </w:r>
      <w:r>
        <w:rPr>
          <w:rFonts w:hint="default" w:ascii="Times New Roman" w:hAnsi="Times New Roman" w:eastAsia="宋体" w:cs="Times New Roman"/>
          <w:i/>
          <w:iCs/>
          <w:sz w:val="21"/>
          <w:szCs w:val="21"/>
          <w:shd w:val="clear" w:color="auto" w:fill="FFFFFF"/>
        </w:rPr>
        <w:t>t</w:t>
      </w:r>
      <w:r>
        <w:rPr>
          <w:rFonts w:hint="default" w:ascii="Times New Roman" w:hAnsi="Times New Roman" w:eastAsia="宋体" w:cs="Times New Roman"/>
          <w:sz w:val="21"/>
          <w:szCs w:val="21"/>
          <w:shd w:val="clear" w:color="auto" w:fill="FFFFFF"/>
        </w:rPr>
        <w:t>，基于光流法的假设认为像素在移动前后的光强度是不变的。即：</w:t>
      </w:r>
      <w:r>
        <w:t xml:space="preserve">             </w:t>
      </w:r>
      <w:r>
        <w:rPr>
          <w:rFonts w:hint="eastAsia"/>
          <w:lang w:val="en-US" w:eastAsia="zh-CN"/>
        </w:rPr>
        <w:t xml:space="preserve"> </w:t>
      </w:r>
    </w:p>
    <w:p w14:paraId="2C340ABF">
      <w:pPr>
        <w:widowControl/>
        <w:snapToGrid w:val="0"/>
        <w:ind w:firstLine="420" w:firstLineChars="200"/>
        <w:rPr>
          <w:rFonts w:hint="default" w:eastAsia="黑体"/>
          <w:b w:val="0"/>
          <w:bCs w:val="0"/>
          <w:highlight w:val="none"/>
          <w:lang w:val="en-US" w:eastAsia="zh-CN"/>
        </w:rPr>
      </w:pPr>
      <w:r>
        <w:rPr>
          <w:rFonts w:hint="eastAsia"/>
          <w:lang w:val="en-US" w:eastAsia="zh-CN"/>
        </w:rPr>
        <w:t xml:space="preserve">    </w:t>
      </w:r>
      <w:r>
        <w:drawing>
          <wp:inline distT="0" distB="0" distL="114300" distR="114300">
            <wp:extent cx="4695825" cy="337185"/>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6"/>
                    <a:srcRect l="10947"/>
                    <a:stretch>
                      <a:fillRect/>
                    </a:stretch>
                  </pic:blipFill>
                  <pic:spPr>
                    <a:xfrm>
                      <a:off x="0" y="0"/>
                      <a:ext cx="4695825" cy="337185"/>
                    </a:xfrm>
                    <a:prstGeom prst="rect">
                      <a:avLst/>
                    </a:prstGeom>
                    <a:noFill/>
                    <a:ln>
                      <a:noFill/>
                    </a:ln>
                  </pic:spPr>
                </pic:pic>
              </a:graphicData>
            </a:graphic>
          </wp:inline>
        </w:drawing>
      </w:r>
      <w:r>
        <w:t xml:space="preserve">   </w:t>
      </w:r>
      <w:r>
        <w:rPr>
          <w:rFonts w:hint="eastAsia"/>
          <w:lang w:val="en-US" w:eastAsia="zh-CN"/>
        </w:rPr>
        <w:t xml:space="preserve"> </w:t>
      </w:r>
      <w:r>
        <w:t xml:space="preserve">              </w:t>
      </w:r>
    </w:p>
    <w:p w14:paraId="4FABC79E">
      <w:pPr>
        <w:spacing w:line="240" w:lineRule="auto"/>
        <w:ind w:firstLine="420" w:firstLineChars="200"/>
        <w:rPr>
          <w:rFonts w:hint="eastAsia" w:ascii="黑体" w:hAnsi="黑体" w:eastAsia="黑体" w:cs="黑体"/>
          <w:sz w:val="21"/>
          <w:szCs w:val="21"/>
          <w:highlight w:val="none"/>
        </w:rPr>
      </w:pPr>
      <w:r>
        <w:rPr>
          <w:rFonts w:hint="eastAsia" w:ascii="黑体" w:hAnsi="黑体" w:eastAsia="黑体" w:cs="黑体"/>
          <w:sz w:val="21"/>
          <w:szCs w:val="21"/>
          <w:highlight w:val="none"/>
          <w:lang w:eastAsia="zh-CN"/>
        </w:rPr>
        <w:t>（</w:t>
      </w:r>
      <w:r>
        <w:rPr>
          <w:rFonts w:hint="eastAsia" w:ascii="黑体" w:hAnsi="黑体" w:eastAsia="黑体" w:cs="黑体"/>
          <w:sz w:val="21"/>
          <w:szCs w:val="21"/>
          <w:highlight w:val="none"/>
        </w:rPr>
        <w:t>所有的</w:t>
      </w:r>
      <w:r>
        <w:rPr>
          <w:rFonts w:hint="eastAsia" w:ascii="黑体" w:hAnsi="黑体" w:eastAsia="黑体" w:cs="黑体"/>
          <w:b/>
          <w:color w:val="FF0000"/>
          <w:sz w:val="21"/>
          <w:szCs w:val="21"/>
          <w:highlight w:val="none"/>
        </w:rPr>
        <w:t>变量都用斜体</w:t>
      </w:r>
      <w:r>
        <w:rPr>
          <w:rFonts w:hint="eastAsia" w:ascii="黑体" w:hAnsi="黑体" w:eastAsia="黑体" w:cs="黑体"/>
          <w:sz w:val="21"/>
          <w:szCs w:val="21"/>
          <w:highlight w:val="none"/>
        </w:rPr>
        <w:t>，</w:t>
      </w:r>
      <w:r>
        <w:rPr>
          <w:rFonts w:hint="eastAsia" w:ascii="黑体" w:hAnsi="黑体" w:eastAsia="黑体" w:cs="黑体"/>
          <w:b/>
          <w:color w:val="FF0000"/>
          <w:sz w:val="21"/>
          <w:szCs w:val="21"/>
          <w:highlight w:val="none"/>
        </w:rPr>
        <w:t>矢量（向量）、矩阵采用黑</w:t>
      </w:r>
      <w:r>
        <w:rPr>
          <w:rFonts w:hint="eastAsia" w:ascii="黑体" w:hAnsi="黑体" w:eastAsia="黑体" w:cs="黑体"/>
          <w:b/>
          <w:color w:val="00B050"/>
          <w:sz w:val="21"/>
          <w:szCs w:val="21"/>
          <w:highlight w:val="none"/>
        </w:rPr>
        <w:t>斜</w:t>
      </w:r>
      <w:r>
        <w:rPr>
          <w:rFonts w:hint="eastAsia" w:ascii="黑体" w:hAnsi="黑体" w:eastAsia="黑体" w:cs="黑体"/>
          <w:b/>
          <w:color w:val="FF0000"/>
          <w:sz w:val="21"/>
          <w:szCs w:val="21"/>
          <w:highlight w:val="none"/>
        </w:rPr>
        <w:t>体</w:t>
      </w:r>
      <w:r>
        <w:rPr>
          <w:rFonts w:hint="eastAsia" w:ascii="黑体" w:hAnsi="黑体" w:eastAsia="黑体" w:cs="黑体"/>
          <w:sz w:val="21"/>
          <w:szCs w:val="21"/>
          <w:highlight w:val="none"/>
        </w:rPr>
        <w:t>表示，在图、表、公式、正文以及中英文摘要中严格一致。</w:t>
      </w:r>
    </w:p>
    <w:p w14:paraId="46760317">
      <w:pPr>
        <w:spacing w:line="240" w:lineRule="auto"/>
        <w:ind w:firstLine="420" w:firstLineChars="200"/>
        <w:rPr>
          <w:rFonts w:hint="eastAsia" w:ascii="黑体" w:hAnsi="黑体" w:eastAsia="黑体" w:cs="黑体"/>
          <w:sz w:val="21"/>
          <w:szCs w:val="21"/>
          <w:highlight w:val="none"/>
          <w:lang w:eastAsia="zh-CN"/>
        </w:rPr>
      </w:pPr>
      <w:r>
        <w:rPr>
          <w:rFonts w:hint="eastAsia" w:ascii="黑体" w:hAnsi="黑体" w:eastAsia="黑体" w:cs="黑体"/>
          <w:sz w:val="21"/>
          <w:szCs w:val="21"/>
          <w:highlight w:val="none"/>
        </w:rPr>
        <w:t>公式中如果有乘法运算，</w:t>
      </w:r>
      <w:r>
        <w:rPr>
          <w:rFonts w:hint="eastAsia" w:ascii="黑体" w:hAnsi="黑体" w:eastAsia="黑体" w:cs="黑体"/>
          <w:kern w:val="0"/>
          <w:sz w:val="21"/>
          <w:szCs w:val="21"/>
          <w:highlight w:val="none"/>
        </w:rPr>
        <w:t>如：a,b,c,d相乘表示为 abcd，量值的乘法运算不再用（</w:t>
      </w:r>
      <w:r>
        <w:rPr>
          <w:rFonts w:hint="eastAsia" w:ascii="黑体" w:hAnsi="黑体" w:eastAsia="黑体" w:cs="黑体"/>
          <w:b w:val="0"/>
          <w:bCs/>
          <w:color w:val="FF0000"/>
          <w:kern w:val="0"/>
          <w:sz w:val="21"/>
          <w:szCs w:val="21"/>
          <w:highlight w:val="none"/>
        </w:rPr>
        <w:t>·</w:t>
      </w:r>
      <w:r>
        <w:rPr>
          <w:rFonts w:hint="eastAsia" w:ascii="黑体" w:hAnsi="黑体" w:eastAsia="黑体" w:cs="黑体"/>
          <w:kern w:val="0"/>
          <w:sz w:val="21"/>
          <w:szCs w:val="21"/>
          <w:highlight w:val="none"/>
        </w:rPr>
        <w:t>）或（×）表示。（</w:t>
      </w:r>
      <w:r>
        <w:rPr>
          <w:rFonts w:hint="eastAsia" w:ascii="黑体" w:hAnsi="黑体" w:eastAsia="黑体" w:cs="黑体"/>
          <w:b w:val="0"/>
          <w:bCs/>
          <w:color w:val="FF0000"/>
          <w:kern w:val="0"/>
          <w:sz w:val="21"/>
          <w:szCs w:val="21"/>
          <w:highlight w:val="none"/>
        </w:rPr>
        <w:t>·</w:t>
      </w:r>
      <w:r>
        <w:rPr>
          <w:rFonts w:hint="eastAsia" w:ascii="黑体" w:hAnsi="黑体" w:eastAsia="黑体" w:cs="黑体"/>
          <w:kern w:val="0"/>
          <w:sz w:val="21"/>
          <w:szCs w:val="21"/>
          <w:highlight w:val="none"/>
        </w:rPr>
        <w:t>）表示两个矢量或者矩阵的点（标）乘（结果是标量），而（×）表示两个矢量或者矩阵的叉（矢）乘（结果是矢量）。如果是两个矢量或者矩阵的运算，请一定要注意</w:t>
      </w:r>
      <w:r>
        <w:rPr>
          <w:rFonts w:hint="eastAsia" w:ascii="黑体" w:hAnsi="黑体" w:eastAsia="黑体" w:cs="黑体"/>
          <w:b/>
          <w:color w:val="FF0000"/>
          <w:kern w:val="0"/>
          <w:sz w:val="21"/>
          <w:szCs w:val="21"/>
          <w:highlight w:val="none"/>
        </w:rPr>
        <w:t>两个变量</w:t>
      </w:r>
      <w:r>
        <w:rPr>
          <w:rFonts w:hint="eastAsia" w:ascii="黑体" w:hAnsi="黑体" w:eastAsia="黑体" w:cs="黑体"/>
          <w:kern w:val="0"/>
          <w:sz w:val="21"/>
          <w:szCs w:val="21"/>
          <w:highlight w:val="none"/>
        </w:rPr>
        <w:t>必须是</w:t>
      </w:r>
      <w:r>
        <w:rPr>
          <w:rFonts w:hint="eastAsia" w:ascii="黑体" w:hAnsi="黑体" w:eastAsia="黑体" w:cs="黑体"/>
          <w:b/>
          <w:bCs/>
          <w:color w:val="FF0000"/>
          <w:kern w:val="0"/>
          <w:sz w:val="21"/>
          <w:szCs w:val="21"/>
          <w:highlight w:val="none"/>
          <w:lang w:eastAsia="zh-CN"/>
        </w:rPr>
        <w:t>黑斜体</w:t>
      </w:r>
      <w:r>
        <w:rPr>
          <w:rFonts w:hint="eastAsia" w:ascii="黑体" w:hAnsi="黑体" w:eastAsia="黑体" w:cs="黑体"/>
          <w:sz w:val="21"/>
          <w:szCs w:val="21"/>
          <w:highlight w:val="none"/>
        </w:rPr>
        <w:t>!!!</w:t>
      </w:r>
      <w:r>
        <w:rPr>
          <w:rFonts w:hint="eastAsia" w:ascii="黑体" w:hAnsi="黑体" w:eastAsia="黑体" w:cs="黑体"/>
          <w:sz w:val="21"/>
          <w:szCs w:val="21"/>
          <w:highlight w:val="none"/>
          <w:lang w:eastAsia="zh-CN"/>
        </w:rPr>
        <w:t>）</w:t>
      </w:r>
    </w:p>
    <w:p w14:paraId="48DC0466">
      <w:pPr>
        <w:numPr>
          <w:ilvl w:val="0"/>
          <w:numId w:val="0"/>
        </w:numPr>
        <w:ind w:leftChars="0"/>
        <w:rPr>
          <w:rFonts w:hint="eastAsia" w:eastAsia="黑体"/>
          <w:b w:val="0"/>
          <w:bCs w:val="0"/>
          <w:color w:val="FF0000"/>
          <w:highlight w:val="none"/>
        </w:rPr>
      </w:pPr>
      <w:r>
        <w:rPr>
          <w:rFonts w:hint="eastAsia" w:eastAsia="黑体"/>
          <w:b w:val="0"/>
          <w:bCs w:val="0"/>
          <w:highlight w:val="none"/>
        </w:rPr>
        <w:t>1.2</w:t>
      </w:r>
      <w:r>
        <w:rPr>
          <w:rFonts w:hint="eastAsia" w:eastAsia="黑体"/>
          <w:b w:val="0"/>
          <w:bCs w:val="0"/>
          <w:highlight w:val="none"/>
          <w:lang w:val="en-US" w:eastAsia="zh-CN"/>
        </w:rPr>
        <w:t xml:space="preserve"> </w:t>
      </w:r>
      <w:r>
        <w:rPr>
          <w:rFonts w:hint="eastAsia" w:eastAsia="黑体"/>
          <w:b w:val="0"/>
          <w:bCs w:val="0"/>
          <w:highlight w:val="none"/>
        </w:rPr>
        <w:t>帧差法原理</w:t>
      </w:r>
      <w:r>
        <w:rPr>
          <w:rFonts w:hint="eastAsia" w:eastAsia="黑体"/>
          <w:b w:val="0"/>
          <w:bCs w:val="0"/>
          <w:color w:val="FF0000"/>
          <w:highlight w:val="none"/>
          <w:lang w:eastAsia="zh-CN"/>
        </w:rPr>
        <w:t>（</w:t>
      </w:r>
      <w:r>
        <w:rPr>
          <w:rFonts w:hint="eastAsia" w:eastAsia="黑体"/>
          <w:b w:val="0"/>
          <w:bCs w:val="0"/>
          <w:color w:val="FF0000"/>
          <w:highlight w:val="none"/>
        </w:rPr>
        <w:t>黑体五号）</w:t>
      </w:r>
    </w:p>
    <w:p w14:paraId="52DD0CF2">
      <w:pPr>
        <w:numPr>
          <w:ilvl w:val="0"/>
          <w:numId w:val="0"/>
        </w:numPr>
        <w:jc w:val="left"/>
        <w:rPr>
          <w:rFonts w:hint="eastAsia" w:ascii="宋体" w:hAnsi="宋体"/>
          <w:color w:val="000000"/>
          <w:sz w:val="21"/>
          <w:szCs w:val="21"/>
        </w:rPr>
      </w:pPr>
      <w:r>
        <w:rPr>
          <w:rFonts w:hint="eastAsia"/>
          <w:sz w:val="24"/>
          <w:szCs w:val="24"/>
          <w:lang w:val="en-US" w:eastAsia="zh-CN"/>
        </w:rPr>
        <w:t xml:space="preserve">   </w:t>
      </w:r>
      <w:r>
        <w:rPr>
          <w:rFonts w:hint="eastAsia" w:ascii="宋体" w:hAnsi="宋体"/>
          <w:color w:val="000000"/>
          <w:sz w:val="21"/>
          <w:szCs w:val="21"/>
        </w:rPr>
        <w:t>……</w:t>
      </w:r>
    </w:p>
    <w:p w14:paraId="38C7B1A5">
      <w:pPr>
        <w:pStyle w:val="21"/>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b/>
          <w:kern w:val="2"/>
          <w:sz w:val="21"/>
          <w:szCs w:val="21"/>
          <w:highlight w:val="none"/>
          <w:lang w:val="en-US" w:eastAsia="zh-CN" w:bidi="ar-SA"/>
        </w:rPr>
      </w:pPr>
      <w:r>
        <w:rPr>
          <w:rFonts w:hint="eastAsia" w:ascii="宋体" w:hAnsi="宋体" w:eastAsia="宋体" w:cs="宋体"/>
          <w:b w:val="0"/>
          <w:bCs w:val="0"/>
          <w:kern w:val="2"/>
          <w:sz w:val="24"/>
          <w:szCs w:val="24"/>
          <w:lang w:val="en-US" w:eastAsia="zh-CN" w:bidi="ar-SA"/>
        </w:rPr>
        <w:t>2 结果与</w:t>
      </w:r>
      <w:r>
        <w:rPr>
          <w:rFonts w:hint="eastAsia" w:cs="宋体"/>
          <w:b w:val="0"/>
          <w:bCs w:val="0"/>
          <w:kern w:val="2"/>
          <w:sz w:val="24"/>
          <w:szCs w:val="24"/>
          <w:lang w:val="en-US" w:eastAsia="zh-CN" w:bidi="ar-SA"/>
        </w:rPr>
        <w:t>讨论</w:t>
      </w:r>
      <w:r>
        <w:rPr>
          <w:rFonts w:hint="eastAsia" w:ascii="宋体" w:hAnsi="宋体" w:eastAsia="宋体" w:cs="宋体"/>
          <w:b w:val="0"/>
          <w:bCs w:val="0"/>
          <w:kern w:val="2"/>
          <w:sz w:val="24"/>
          <w:szCs w:val="24"/>
          <w:lang w:val="en-US" w:eastAsia="zh-CN" w:bidi="ar-SA"/>
        </w:rPr>
        <w:t xml:space="preserve"> </w:t>
      </w:r>
      <w:r>
        <w:rPr>
          <w:rFonts w:hint="eastAsia" w:ascii="Times New Roman" w:hAnsi="Times New Roman"/>
          <w:color w:val="FF0000"/>
          <w:kern w:val="0"/>
          <w:sz w:val="24"/>
          <w:szCs w:val="24"/>
          <w:lang w:val="en-US" w:eastAsia="zh-CN"/>
        </w:rPr>
        <w:t>（宋体小四）</w:t>
      </w:r>
      <w:r>
        <w:rPr>
          <w:rFonts w:hint="eastAsia" w:ascii="Times New Roman" w:hAnsi="Times New Roman" w:cs="Times New Roman"/>
          <w:b/>
          <w:kern w:val="2"/>
          <w:sz w:val="21"/>
          <w:szCs w:val="21"/>
          <w:highlight w:val="none"/>
          <w:lang w:val="en-US" w:eastAsia="zh-CN" w:bidi="ar-SA"/>
        </w:rPr>
        <w:t xml:space="preserve"> </w:t>
      </w:r>
    </w:p>
    <w:p w14:paraId="4990047E">
      <w:pPr>
        <w:numPr>
          <w:ilvl w:val="0"/>
          <w:numId w:val="0"/>
        </w:numPr>
        <w:ind w:leftChars="0"/>
        <w:rPr>
          <w:rFonts w:hint="eastAsia" w:eastAsia="黑体"/>
          <w:b w:val="0"/>
          <w:bCs w:val="0"/>
          <w:highlight w:val="none"/>
          <w:lang w:val="en-US" w:eastAsia="zh-CN"/>
        </w:rPr>
      </w:pPr>
      <w:r>
        <w:rPr>
          <w:rFonts w:hint="eastAsia" w:eastAsia="黑体"/>
          <w:b w:val="0"/>
          <w:bCs w:val="0"/>
          <w:highlight w:val="none"/>
          <w:lang w:val="en-US" w:eastAsia="zh-CN"/>
        </w:rPr>
        <w:t>2.1 锌胁迫对发芽势的影响</w:t>
      </w:r>
      <w:r>
        <w:rPr>
          <w:rFonts w:hint="eastAsia" w:eastAsia="黑体"/>
          <w:b w:val="0"/>
          <w:bCs w:val="0"/>
          <w:color w:val="FF0000"/>
          <w:highlight w:val="none"/>
          <w:lang w:eastAsia="zh-CN"/>
        </w:rPr>
        <w:t>（</w:t>
      </w:r>
      <w:r>
        <w:rPr>
          <w:rFonts w:hint="eastAsia" w:eastAsia="黑体"/>
          <w:b w:val="0"/>
          <w:bCs w:val="0"/>
          <w:color w:val="FF0000"/>
          <w:highlight w:val="none"/>
        </w:rPr>
        <w:t>黑体五号）</w:t>
      </w:r>
      <w:r>
        <w:rPr>
          <w:rFonts w:hint="eastAsia" w:eastAsia="黑体"/>
          <w:b w:val="0"/>
          <w:bCs w:val="0"/>
          <w:highlight w:val="none"/>
          <w:lang w:val="en-US" w:eastAsia="zh-CN"/>
        </w:rPr>
        <w:t xml:space="preserve"> </w:t>
      </w:r>
    </w:p>
    <w:p w14:paraId="37B33C6B">
      <w:pPr>
        <w:numPr>
          <w:ilvl w:val="0"/>
          <w:numId w:val="0"/>
        </w:numPr>
        <w:ind w:firstLine="420" w:firstLineChars="200"/>
        <w:jc w:val="left"/>
        <w:rPr>
          <w:rFonts w:hint="eastAsia" w:ascii="宋体" w:hAnsi="宋体"/>
          <w:color w:val="000000"/>
          <w:sz w:val="21"/>
          <w:szCs w:val="21"/>
        </w:rPr>
      </w:pPr>
      <w:r>
        <w:rPr>
          <w:rFonts w:hint="eastAsia" w:ascii="宋体" w:hAnsi="宋体"/>
          <w:color w:val="000000"/>
          <w:sz w:val="21"/>
          <w:szCs w:val="21"/>
        </w:rPr>
        <w:t>……</w:t>
      </w:r>
    </w:p>
    <w:p w14:paraId="6D5B76DA">
      <w:pPr>
        <w:spacing w:line="240" w:lineRule="auto"/>
        <w:rPr>
          <w:rFonts w:hint="eastAsia" w:eastAsia="黑体" w:asciiTheme="minorEastAsia" w:hAnsiTheme="minorEastAsia"/>
          <w:sz w:val="21"/>
          <w:szCs w:val="21"/>
          <w:highlight w:val="yellow"/>
          <w:lang w:eastAsia="zh-CN"/>
        </w:rPr>
      </w:pPr>
      <w:r>
        <w:rPr>
          <w:rFonts w:hint="eastAsia" w:ascii="宋体" w:hAnsi="宋体"/>
          <w:color w:val="000000"/>
          <w:sz w:val="21"/>
          <w:szCs w:val="21"/>
          <w:lang w:val="en-US" w:eastAsia="zh-CN"/>
        </w:rPr>
        <w:t xml:space="preserve">    （</w:t>
      </w:r>
      <w:r>
        <w:rPr>
          <w:rFonts w:hint="eastAsia" w:ascii="黑体" w:hAnsi="黑体" w:eastAsia="黑体" w:cs="黑体"/>
          <w:sz w:val="21"/>
          <w:szCs w:val="21"/>
          <w:highlight w:val="none"/>
        </w:rPr>
        <w:t>图、表选最必要的，切勿过大。插图要求显示清哳，层次分明。可采用（建议）多色彩图,用计算机软件绘制。图的输出格式是JPG。所有表格均采用三线表，请根据内容合理设计，务求准确、简洁、美观。</w:t>
      </w:r>
      <w:r>
        <w:rPr>
          <w:rFonts w:hint="eastAsia" w:ascii="黑体" w:hAnsi="黑体" w:eastAsia="黑体" w:cs="黑体"/>
          <w:sz w:val="21"/>
          <w:szCs w:val="21"/>
          <w:highlight w:val="none"/>
          <w:lang w:eastAsia="zh-CN"/>
        </w:rPr>
        <w:t>）</w:t>
      </w:r>
    </w:p>
    <w:p w14:paraId="3FC826F5">
      <w:pPr>
        <w:spacing w:beforeLines="50" w:afterLines="50"/>
        <w:jc w:val="center"/>
        <w:rPr>
          <w:rFonts w:ascii="黑体" w:hAnsi="黑体" w:eastAsia="黑体"/>
          <w:sz w:val="18"/>
          <w:szCs w:val="18"/>
        </w:rPr>
      </w:pPr>
      <w:r>
        <w:rPr>
          <w:rFonts w:hint="eastAsia" w:ascii="黑体" w:hAnsi="黑体" w:eastAsia="黑体"/>
          <w:sz w:val="18"/>
          <w:szCs w:val="18"/>
        </w:rPr>
        <w:t>表</w:t>
      </w:r>
      <w:r>
        <w:rPr>
          <w:rFonts w:ascii="黑体" w:hAnsi="黑体" w:eastAsia="黑体"/>
          <w:sz w:val="18"/>
          <w:szCs w:val="18"/>
        </w:rPr>
        <w:t xml:space="preserve"> </w:t>
      </w:r>
      <w:r>
        <w:rPr>
          <w:rFonts w:ascii="黑体" w:hAnsi="黑体" w:eastAsia="黑体"/>
          <w:sz w:val="18"/>
          <w:szCs w:val="18"/>
        </w:rPr>
        <w:fldChar w:fldCharType="begin"/>
      </w:r>
      <w:r>
        <w:rPr>
          <w:rFonts w:ascii="黑体" w:hAnsi="黑体" w:eastAsia="黑体"/>
          <w:sz w:val="18"/>
          <w:szCs w:val="18"/>
        </w:rPr>
        <w:instrText xml:space="preserve"> SEQ </w:instrText>
      </w:r>
      <w:r>
        <w:rPr>
          <w:rFonts w:hint="eastAsia" w:ascii="黑体" w:hAnsi="黑体" w:eastAsia="黑体"/>
          <w:sz w:val="18"/>
          <w:szCs w:val="18"/>
        </w:rPr>
        <w:instrText xml:space="preserve">表</w:instrText>
      </w:r>
      <w:r>
        <w:rPr>
          <w:rFonts w:ascii="黑体" w:hAnsi="黑体" w:eastAsia="黑体"/>
          <w:sz w:val="18"/>
          <w:szCs w:val="18"/>
        </w:rPr>
        <w:instrText xml:space="preserve"> \* ARABIC </w:instrText>
      </w:r>
      <w:r>
        <w:rPr>
          <w:rFonts w:ascii="黑体" w:hAnsi="黑体" w:eastAsia="黑体"/>
          <w:sz w:val="18"/>
          <w:szCs w:val="18"/>
        </w:rPr>
        <w:fldChar w:fldCharType="separate"/>
      </w:r>
      <w:r>
        <w:rPr>
          <w:rFonts w:ascii="黑体" w:hAnsi="黑体" w:eastAsia="黑体"/>
          <w:sz w:val="18"/>
          <w:szCs w:val="18"/>
        </w:rPr>
        <w:t>1</w:t>
      </w:r>
      <w:r>
        <w:rPr>
          <w:rFonts w:ascii="黑体" w:hAnsi="黑体" w:eastAsia="黑体"/>
          <w:sz w:val="18"/>
          <w:szCs w:val="18"/>
        </w:rPr>
        <w:fldChar w:fldCharType="end"/>
      </w:r>
      <w:r>
        <w:rPr>
          <w:rFonts w:hint="eastAsia" w:ascii="黑体" w:hAnsi="黑体" w:eastAsia="黑体"/>
          <w:sz w:val="18"/>
          <w:szCs w:val="18"/>
        </w:rPr>
        <w:t>石墨炉升温程序</w:t>
      </w:r>
    </w:p>
    <w:tbl>
      <w:tblPr>
        <w:tblStyle w:val="9"/>
        <w:tblW w:w="4583"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650"/>
        <w:gridCol w:w="1276"/>
        <w:gridCol w:w="1417"/>
        <w:gridCol w:w="1276"/>
        <w:gridCol w:w="2017"/>
      </w:tblGrid>
      <w:tr w14:paraId="5FFDBA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1650" w:type="dxa"/>
            <w:tcBorders>
              <w:top w:val="single" w:color="auto" w:sz="12" w:space="0"/>
              <w:left w:val="nil"/>
              <w:bottom w:val="single" w:color="auto" w:sz="6" w:space="0"/>
              <w:right w:val="nil"/>
            </w:tcBorders>
            <w:noWrap/>
            <w:tcMar>
              <w:top w:w="12" w:type="dxa"/>
              <w:left w:w="12" w:type="dxa"/>
              <w:right w:w="12" w:type="dxa"/>
            </w:tcMar>
            <w:vAlign w:val="center"/>
          </w:tcPr>
          <w:p w14:paraId="4C6CF00C">
            <w:pPr>
              <w:jc w:val="center"/>
              <w:rPr>
                <w:rFonts w:ascii="Times New Roman" w:hAnsi="Times New Roman" w:eastAsia="宋体" w:cs="Times New Roman"/>
                <w:sz w:val="18"/>
                <w:szCs w:val="18"/>
              </w:rPr>
            </w:pPr>
            <w:r>
              <w:rPr>
                <w:rFonts w:ascii="Times New Roman" w:hAnsi="Times New Roman" w:eastAsia="宋体" w:cs="Times New Roman"/>
                <w:sz w:val="18"/>
                <w:szCs w:val="18"/>
              </w:rPr>
              <w:t>步骤</w:t>
            </w:r>
          </w:p>
        </w:tc>
        <w:tc>
          <w:tcPr>
            <w:tcW w:w="1276" w:type="dxa"/>
            <w:tcBorders>
              <w:top w:val="single" w:color="auto" w:sz="12" w:space="0"/>
              <w:left w:val="nil"/>
              <w:bottom w:val="single" w:color="auto" w:sz="6" w:space="0"/>
              <w:right w:val="nil"/>
            </w:tcBorders>
            <w:noWrap/>
            <w:tcMar>
              <w:top w:w="12" w:type="dxa"/>
              <w:left w:w="12" w:type="dxa"/>
              <w:right w:w="12" w:type="dxa"/>
            </w:tcMar>
            <w:vAlign w:val="center"/>
          </w:tcPr>
          <w:p w14:paraId="14B11F0D">
            <w:pPr>
              <w:jc w:val="center"/>
              <w:rPr>
                <w:rFonts w:ascii="Times New Roman" w:hAnsi="Times New Roman" w:eastAsia="宋体" w:cs="Times New Roman"/>
                <w:sz w:val="18"/>
                <w:szCs w:val="18"/>
              </w:rPr>
            </w:pPr>
            <w:r>
              <w:rPr>
                <w:rFonts w:ascii="Times New Roman" w:hAnsi="Times New Roman" w:eastAsia="宋体" w:cs="Times New Roman"/>
                <w:sz w:val="18"/>
                <w:szCs w:val="18"/>
              </w:rPr>
              <w:t>温度/℃</w:t>
            </w:r>
          </w:p>
        </w:tc>
        <w:tc>
          <w:tcPr>
            <w:tcW w:w="1417" w:type="dxa"/>
            <w:tcBorders>
              <w:top w:val="single" w:color="auto" w:sz="12" w:space="0"/>
              <w:left w:val="nil"/>
              <w:bottom w:val="single" w:color="auto" w:sz="6" w:space="0"/>
              <w:right w:val="nil"/>
            </w:tcBorders>
            <w:noWrap/>
            <w:tcMar>
              <w:top w:w="12" w:type="dxa"/>
              <w:left w:w="12" w:type="dxa"/>
              <w:right w:w="12" w:type="dxa"/>
            </w:tcMar>
            <w:vAlign w:val="center"/>
          </w:tcPr>
          <w:p w14:paraId="74396E7B">
            <w:pPr>
              <w:jc w:val="center"/>
              <w:rPr>
                <w:rFonts w:ascii="Times New Roman" w:hAnsi="Times New Roman" w:eastAsia="宋体" w:cs="Times New Roman"/>
                <w:sz w:val="18"/>
                <w:szCs w:val="18"/>
              </w:rPr>
            </w:pPr>
            <w:r>
              <w:rPr>
                <w:rFonts w:ascii="Times New Roman" w:hAnsi="Times New Roman" w:eastAsia="宋体" w:cs="Times New Roman"/>
                <w:sz w:val="18"/>
                <w:szCs w:val="18"/>
              </w:rPr>
              <w:t>斜坡时间/s</w:t>
            </w:r>
          </w:p>
        </w:tc>
        <w:tc>
          <w:tcPr>
            <w:tcW w:w="1276" w:type="dxa"/>
            <w:tcBorders>
              <w:top w:val="single" w:color="auto" w:sz="12" w:space="0"/>
              <w:left w:val="nil"/>
              <w:bottom w:val="single" w:color="auto" w:sz="6" w:space="0"/>
              <w:right w:val="nil"/>
            </w:tcBorders>
            <w:noWrap/>
            <w:tcMar>
              <w:top w:w="12" w:type="dxa"/>
              <w:left w:w="12" w:type="dxa"/>
              <w:right w:w="12" w:type="dxa"/>
            </w:tcMar>
            <w:vAlign w:val="center"/>
          </w:tcPr>
          <w:p w14:paraId="0ABA13C3">
            <w:pPr>
              <w:jc w:val="center"/>
              <w:rPr>
                <w:rFonts w:ascii="Times New Roman" w:hAnsi="Times New Roman" w:eastAsia="宋体" w:cs="Times New Roman"/>
                <w:sz w:val="18"/>
                <w:szCs w:val="18"/>
              </w:rPr>
            </w:pPr>
            <w:r>
              <w:rPr>
                <w:rFonts w:ascii="Times New Roman" w:hAnsi="Times New Roman" w:eastAsia="宋体" w:cs="Times New Roman"/>
                <w:sz w:val="18"/>
                <w:szCs w:val="18"/>
              </w:rPr>
              <w:t>持续时间/s</w:t>
            </w:r>
          </w:p>
        </w:tc>
        <w:tc>
          <w:tcPr>
            <w:tcW w:w="2017" w:type="dxa"/>
            <w:tcBorders>
              <w:top w:val="single" w:color="auto" w:sz="12" w:space="0"/>
              <w:left w:val="nil"/>
              <w:bottom w:val="single" w:color="auto" w:sz="6" w:space="0"/>
              <w:right w:val="nil"/>
            </w:tcBorders>
            <w:noWrap/>
            <w:tcMar>
              <w:top w:w="12" w:type="dxa"/>
              <w:left w:w="12" w:type="dxa"/>
              <w:right w:w="12" w:type="dxa"/>
            </w:tcMar>
            <w:vAlign w:val="center"/>
          </w:tcPr>
          <w:p w14:paraId="70001886">
            <w:pPr>
              <w:jc w:val="center"/>
              <w:rPr>
                <w:rFonts w:ascii="Times New Roman" w:hAnsi="Times New Roman" w:eastAsia="宋体" w:cs="Times New Roman"/>
                <w:sz w:val="18"/>
                <w:szCs w:val="18"/>
              </w:rPr>
            </w:pPr>
            <w:r>
              <w:rPr>
                <w:rFonts w:ascii="Times New Roman" w:hAnsi="Times New Roman" w:eastAsia="宋体" w:cs="Times New Roman"/>
                <w:sz w:val="18"/>
                <w:szCs w:val="18"/>
              </w:rPr>
              <w:t>氩气流量/(mL·min</w:t>
            </w:r>
            <w:r>
              <w:rPr>
                <w:rFonts w:ascii="Times New Roman" w:hAnsi="Times New Roman" w:eastAsia="宋体" w:cs="Times New Roman"/>
                <w:sz w:val="18"/>
                <w:szCs w:val="18"/>
                <w:vertAlign w:val="superscript"/>
              </w:rPr>
              <w:t>-1</w:t>
            </w:r>
            <w:r>
              <w:rPr>
                <w:rFonts w:ascii="Times New Roman" w:hAnsi="Times New Roman" w:eastAsia="宋体" w:cs="Times New Roman"/>
                <w:sz w:val="18"/>
                <w:szCs w:val="18"/>
              </w:rPr>
              <w:t>)</w:t>
            </w:r>
          </w:p>
        </w:tc>
      </w:tr>
      <w:tr w14:paraId="3BFDD8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1650" w:type="dxa"/>
            <w:tcBorders>
              <w:top w:val="single" w:color="auto" w:sz="6" w:space="0"/>
              <w:left w:val="nil"/>
              <w:bottom w:val="nil"/>
              <w:right w:val="nil"/>
            </w:tcBorders>
            <w:noWrap/>
            <w:tcMar>
              <w:top w:w="12" w:type="dxa"/>
              <w:left w:w="12" w:type="dxa"/>
              <w:right w:w="12" w:type="dxa"/>
            </w:tcMar>
            <w:vAlign w:val="center"/>
          </w:tcPr>
          <w:p w14:paraId="6AD8C89C">
            <w:pPr>
              <w:jc w:val="center"/>
              <w:rPr>
                <w:rFonts w:ascii="Times New Roman" w:hAnsi="Times New Roman" w:eastAsia="宋体" w:cs="Times New Roman"/>
                <w:sz w:val="18"/>
                <w:szCs w:val="18"/>
              </w:rPr>
            </w:pPr>
            <w:r>
              <w:rPr>
                <w:rFonts w:ascii="Times New Roman" w:hAnsi="Times New Roman" w:eastAsia="宋体" w:cs="Times New Roman"/>
                <w:sz w:val="18"/>
                <w:szCs w:val="18"/>
              </w:rPr>
              <w:t>干燥1</w:t>
            </w:r>
          </w:p>
        </w:tc>
        <w:tc>
          <w:tcPr>
            <w:tcW w:w="1276" w:type="dxa"/>
            <w:tcBorders>
              <w:top w:val="single" w:color="auto" w:sz="6" w:space="0"/>
              <w:left w:val="nil"/>
              <w:bottom w:val="nil"/>
              <w:right w:val="nil"/>
            </w:tcBorders>
            <w:noWrap/>
            <w:tcMar>
              <w:top w:w="12" w:type="dxa"/>
              <w:left w:w="12" w:type="dxa"/>
              <w:right w:w="12" w:type="dxa"/>
            </w:tcMar>
            <w:vAlign w:val="center"/>
          </w:tcPr>
          <w:p w14:paraId="73B308D8">
            <w:pPr>
              <w:jc w:val="center"/>
              <w:rPr>
                <w:rFonts w:ascii="Times New Roman" w:hAnsi="Times New Roman" w:eastAsia="宋体" w:cs="Times New Roman"/>
                <w:sz w:val="18"/>
                <w:szCs w:val="18"/>
              </w:rPr>
            </w:pPr>
            <w:r>
              <w:rPr>
                <w:rFonts w:ascii="Times New Roman" w:hAnsi="Times New Roman" w:eastAsia="宋体" w:cs="Times New Roman"/>
                <w:sz w:val="18"/>
                <w:szCs w:val="18"/>
              </w:rPr>
              <w:t>110</w:t>
            </w:r>
          </w:p>
        </w:tc>
        <w:tc>
          <w:tcPr>
            <w:tcW w:w="1417" w:type="dxa"/>
            <w:tcBorders>
              <w:top w:val="single" w:color="auto" w:sz="6" w:space="0"/>
              <w:left w:val="nil"/>
              <w:bottom w:val="nil"/>
              <w:right w:val="nil"/>
            </w:tcBorders>
            <w:noWrap/>
            <w:tcMar>
              <w:top w:w="12" w:type="dxa"/>
              <w:left w:w="12" w:type="dxa"/>
              <w:right w:w="12" w:type="dxa"/>
            </w:tcMar>
            <w:vAlign w:val="center"/>
          </w:tcPr>
          <w:p w14:paraId="7637BB11">
            <w:pPr>
              <w:jc w:val="center"/>
              <w:rPr>
                <w:rFonts w:ascii="Times New Roman" w:hAnsi="Times New Roman" w:eastAsia="宋体" w:cs="Times New Roman"/>
                <w:sz w:val="18"/>
                <w:szCs w:val="18"/>
              </w:rPr>
            </w:pPr>
            <w:r>
              <w:rPr>
                <w:rFonts w:ascii="Times New Roman" w:hAnsi="Times New Roman" w:eastAsia="宋体" w:cs="Times New Roman"/>
                <w:sz w:val="18"/>
                <w:szCs w:val="18"/>
              </w:rPr>
              <w:t>1</w:t>
            </w:r>
          </w:p>
        </w:tc>
        <w:tc>
          <w:tcPr>
            <w:tcW w:w="1276" w:type="dxa"/>
            <w:tcBorders>
              <w:top w:val="single" w:color="auto" w:sz="6" w:space="0"/>
              <w:left w:val="nil"/>
              <w:bottom w:val="nil"/>
              <w:right w:val="nil"/>
            </w:tcBorders>
            <w:noWrap/>
            <w:tcMar>
              <w:top w:w="12" w:type="dxa"/>
              <w:left w:w="12" w:type="dxa"/>
              <w:right w:w="12" w:type="dxa"/>
            </w:tcMar>
            <w:vAlign w:val="center"/>
          </w:tcPr>
          <w:p w14:paraId="3FDE0B5B">
            <w:pPr>
              <w:jc w:val="center"/>
              <w:rPr>
                <w:rFonts w:ascii="Times New Roman" w:hAnsi="Times New Roman" w:eastAsia="宋体" w:cs="Times New Roman"/>
                <w:sz w:val="18"/>
                <w:szCs w:val="18"/>
              </w:rPr>
            </w:pPr>
            <w:r>
              <w:rPr>
                <w:rFonts w:ascii="Times New Roman" w:hAnsi="Times New Roman" w:eastAsia="宋体" w:cs="Times New Roman"/>
                <w:sz w:val="18"/>
                <w:szCs w:val="18"/>
              </w:rPr>
              <w:t>30</w:t>
            </w:r>
          </w:p>
        </w:tc>
        <w:tc>
          <w:tcPr>
            <w:tcW w:w="2017" w:type="dxa"/>
            <w:tcBorders>
              <w:top w:val="single" w:color="auto" w:sz="6" w:space="0"/>
              <w:left w:val="nil"/>
              <w:bottom w:val="nil"/>
              <w:right w:val="nil"/>
            </w:tcBorders>
            <w:noWrap/>
            <w:tcMar>
              <w:top w:w="12" w:type="dxa"/>
              <w:left w:w="12" w:type="dxa"/>
              <w:right w:w="12" w:type="dxa"/>
            </w:tcMar>
            <w:vAlign w:val="center"/>
          </w:tcPr>
          <w:p w14:paraId="66939674">
            <w:pPr>
              <w:jc w:val="center"/>
              <w:rPr>
                <w:rFonts w:ascii="Times New Roman" w:hAnsi="Times New Roman" w:eastAsia="宋体" w:cs="Times New Roman"/>
                <w:sz w:val="18"/>
                <w:szCs w:val="18"/>
              </w:rPr>
            </w:pPr>
            <w:r>
              <w:rPr>
                <w:rFonts w:ascii="Times New Roman" w:hAnsi="Times New Roman" w:eastAsia="宋体" w:cs="Times New Roman"/>
                <w:sz w:val="18"/>
                <w:szCs w:val="18"/>
              </w:rPr>
              <w:t>250</w:t>
            </w:r>
          </w:p>
        </w:tc>
      </w:tr>
      <w:tr w14:paraId="470246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1650" w:type="dxa"/>
            <w:tcBorders>
              <w:top w:val="nil"/>
              <w:left w:val="nil"/>
              <w:bottom w:val="nil"/>
              <w:right w:val="nil"/>
            </w:tcBorders>
            <w:noWrap/>
            <w:tcMar>
              <w:top w:w="12" w:type="dxa"/>
              <w:left w:w="12" w:type="dxa"/>
              <w:right w:w="12" w:type="dxa"/>
            </w:tcMar>
            <w:vAlign w:val="center"/>
          </w:tcPr>
          <w:p w14:paraId="304F57E9">
            <w:pPr>
              <w:jc w:val="center"/>
              <w:rPr>
                <w:rFonts w:ascii="Times New Roman" w:hAnsi="Times New Roman" w:eastAsia="宋体" w:cs="Times New Roman"/>
                <w:sz w:val="18"/>
                <w:szCs w:val="18"/>
              </w:rPr>
            </w:pPr>
            <w:r>
              <w:rPr>
                <w:rFonts w:ascii="Times New Roman" w:hAnsi="Times New Roman" w:eastAsia="宋体" w:cs="Times New Roman"/>
                <w:sz w:val="18"/>
                <w:szCs w:val="18"/>
              </w:rPr>
              <w:t>干燥2</w:t>
            </w:r>
          </w:p>
        </w:tc>
        <w:tc>
          <w:tcPr>
            <w:tcW w:w="1276" w:type="dxa"/>
            <w:tcBorders>
              <w:top w:val="nil"/>
              <w:left w:val="nil"/>
              <w:bottom w:val="nil"/>
              <w:right w:val="nil"/>
            </w:tcBorders>
            <w:noWrap/>
            <w:tcMar>
              <w:top w:w="12" w:type="dxa"/>
              <w:left w:w="12" w:type="dxa"/>
              <w:right w:w="12" w:type="dxa"/>
            </w:tcMar>
            <w:vAlign w:val="center"/>
          </w:tcPr>
          <w:p w14:paraId="293DA922">
            <w:pPr>
              <w:jc w:val="center"/>
              <w:rPr>
                <w:rFonts w:ascii="Times New Roman" w:hAnsi="Times New Roman" w:eastAsia="宋体" w:cs="Times New Roman"/>
                <w:sz w:val="18"/>
                <w:szCs w:val="18"/>
              </w:rPr>
            </w:pPr>
            <w:r>
              <w:rPr>
                <w:rFonts w:ascii="Times New Roman" w:hAnsi="Times New Roman" w:eastAsia="宋体" w:cs="Times New Roman"/>
                <w:sz w:val="18"/>
                <w:szCs w:val="18"/>
              </w:rPr>
              <w:t>130</w:t>
            </w:r>
          </w:p>
        </w:tc>
        <w:tc>
          <w:tcPr>
            <w:tcW w:w="1417" w:type="dxa"/>
            <w:tcBorders>
              <w:top w:val="nil"/>
              <w:left w:val="nil"/>
              <w:bottom w:val="nil"/>
              <w:right w:val="nil"/>
            </w:tcBorders>
            <w:noWrap/>
            <w:tcMar>
              <w:top w:w="12" w:type="dxa"/>
              <w:left w:w="12" w:type="dxa"/>
              <w:right w:w="12" w:type="dxa"/>
            </w:tcMar>
            <w:vAlign w:val="center"/>
          </w:tcPr>
          <w:p w14:paraId="133476BF">
            <w:pPr>
              <w:jc w:val="center"/>
              <w:rPr>
                <w:rFonts w:ascii="Times New Roman" w:hAnsi="Times New Roman" w:eastAsia="宋体" w:cs="Times New Roman"/>
                <w:sz w:val="18"/>
                <w:szCs w:val="18"/>
              </w:rPr>
            </w:pPr>
            <w:r>
              <w:rPr>
                <w:rFonts w:ascii="Times New Roman" w:hAnsi="Times New Roman" w:eastAsia="宋体" w:cs="Times New Roman"/>
                <w:sz w:val="18"/>
                <w:szCs w:val="18"/>
              </w:rPr>
              <w:t>15</w:t>
            </w:r>
          </w:p>
        </w:tc>
        <w:tc>
          <w:tcPr>
            <w:tcW w:w="1276" w:type="dxa"/>
            <w:tcBorders>
              <w:top w:val="nil"/>
              <w:left w:val="nil"/>
              <w:bottom w:val="nil"/>
              <w:right w:val="nil"/>
            </w:tcBorders>
            <w:noWrap/>
            <w:tcMar>
              <w:top w:w="12" w:type="dxa"/>
              <w:left w:w="12" w:type="dxa"/>
              <w:right w:w="12" w:type="dxa"/>
            </w:tcMar>
            <w:vAlign w:val="center"/>
          </w:tcPr>
          <w:p w14:paraId="6ED3344E">
            <w:pPr>
              <w:jc w:val="center"/>
              <w:rPr>
                <w:rFonts w:ascii="Times New Roman" w:hAnsi="Times New Roman" w:eastAsia="宋体" w:cs="Times New Roman"/>
                <w:sz w:val="18"/>
                <w:szCs w:val="18"/>
              </w:rPr>
            </w:pPr>
            <w:r>
              <w:rPr>
                <w:rFonts w:ascii="Times New Roman" w:hAnsi="Times New Roman" w:eastAsia="宋体" w:cs="Times New Roman"/>
                <w:sz w:val="18"/>
                <w:szCs w:val="18"/>
              </w:rPr>
              <w:t>30</w:t>
            </w:r>
          </w:p>
        </w:tc>
        <w:tc>
          <w:tcPr>
            <w:tcW w:w="2017" w:type="dxa"/>
            <w:tcBorders>
              <w:top w:val="nil"/>
              <w:left w:val="nil"/>
              <w:bottom w:val="nil"/>
              <w:right w:val="nil"/>
            </w:tcBorders>
            <w:noWrap/>
            <w:tcMar>
              <w:top w:w="12" w:type="dxa"/>
              <w:left w:w="12" w:type="dxa"/>
              <w:right w:w="12" w:type="dxa"/>
            </w:tcMar>
            <w:vAlign w:val="center"/>
          </w:tcPr>
          <w:p w14:paraId="78529D31">
            <w:pPr>
              <w:jc w:val="center"/>
              <w:rPr>
                <w:rFonts w:ascii="Times New Roman" w:hAnsi="Times New Roman" w:eastAsia="宋体" w:cs="Times New Roman"/>
                <w:sz w:val="18"/>
                <w:szCs w:val="18"/>
              </w:rPr>
            </w:pPr>
            <w:r>
              <w:rPr>
                <w:rFonts w:ascii="Times New Roman" w:hAnsi="Times New Roman" w:eastAsia="宋体" w:cs="Times New Roman"/>
                <w:sz w:val="18"/>
                <w:szCs w:val="18"/>
              </w:rPr>
              <w:t>250</w:t>
            </w:r>
          </w:p>
        </w:tc>
      </w:tr>
      <w:tr w14:paraId="50A1CC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1650" w:type="dxa"/>
            <w:tcBorders>
              <w:top w:val="nil"/>
              <w:left w:val="nil"/>
              <w:bottom w:val="nil"/>
              <w:right w:val="nil"/>
            </w:tcBorders>
            <w:noWrap/>
            <w:tcMar>
              <w:top w:w="12" w:type="dxa"/>
              <w:left w:w="12" w:type="dxa"/>
              <w:right w:w="12" w:type="dxa"/>
            </w:tcMar>
            <w:vAlign w:val="center"/>
          </w:tcPr>
          <w:p w14:paraId="6B694BAF">
            <w:pPr>
              <w:jc w:val="center"/>
              <w:rPr>
                <w:rFonts w:ascii="Times New Roman" w:hAnsi="Times New Roman" w:eastAsia="宋体" w:cs="Times New Roman"/>
                <w:sz w:val="18"/>
                <w:szCs w:val="18"/>
              </w:rPr>
            </w:pPr>
            <w:r>
              <w:rPr>
                <w:rFonts w:ascii="Times New Roman" w:hAnsi="Times New Roman" w:eastAsia="宋体" w:cs="Times New Roman"/>
                <w:sz w:val="18"/>
                <w:szCs w:val="18"/>
              </w:rPr>
              <w:t>灰化</w:t>
            </w:r>
          </w:p>
        </w:tc>
        <w:tc>
          <w:tcPr>
            <w:tcW w:w="1276" w:type="dxa"/>
            <w:tcBorders>
              <w:top w:val="nil"/>
              <w:left w:val="nil"/>
              <w:bottom w:val="nil"/>
              <w:right w:val="nil"/>
            </w:tcBorders>
            <w:noWrap/>
            <w:tcMar>
              <w:top w:w="12" w:type="dxa"/>
              <w:left w:w="12" w:type="dxa"/>
              <w:right w:w="12" w:type="dxa"/>
            </w:tcMar>
            <w:vAlign w:val="center"/>
          </w:tcPr>
          <w:p w14:paraId="6BAEFF4F">
            <w:pPr>
              <w:jc w:val="center"/>
              <w:rPr>
                <w:rFonts w:ascii="Times New Roman" w:hAnsi="Times New Roman" w:eastAsia="宋体" w:cs="Times New Roman"/>
                <w:sz w:val="18"/>
                <w:szCs w:val="18"/>
              </w:rPr>
            </w:pPr>
            <w:r>
              <w:rPr>
                <w:rFonts w:ascii="Times New Roman" w:hAnsi="Times New Roman" w:eastAsia="宋体" w:cs="Times New Roman"/>
                <w:sz w:val="18"/>
                <w:szCs w:val="18"/>
              </w:rPr>
              <w:t>900</w:t>
            </w:r>
          </w:p>
        </w:tc>
        <w:tc>
          <w:tcPr>
            <w:tcW w:w="1417" w:type="dxa"/>
            <w:tcBorders>
              <w:top w:val="nil"/>
              <w:left w:val="nil"/>
              <w:bottom w:val="nil"/>
              <w:right w:val="nil"/>
            </w:tcBorders>
            <w:noWrap/>
            <w:tcMar>
              <w:top w:w="12" w:type="dxa"/>
              <w:left w:w="12" w:type="dxa"/>
              <w:right w:w="12" w:type="dxa"/>
            </w:tcMar>
            <w:vAlign w:val="center"/>
          </w:tcPr>
          <w:p w14:paraId="2699C3A8">
            <w:pPr>
              <w:jc w:val="center"/>
              <w:rPr>
                <w:rFonts w:ascii="Times New Roman" w:hAnsi="Times New Roman" w:eastAsia="宋体" w:cs="Times New Roman"/>
                <w:sz w:val="18"/>
                <w:szCs w:val="18"/>
              </w:rPr>
            </w:pPr>
            <w:r>
              <w:rPr>
                <w:rFonts w:ascii="Times New Roman" w:hAnsi="Times New Roman" w:eastAsia="宋体" w:cs="Times New Roman"/>
                <w:sz w:val="18"/>
                <w:szCs w:val="18"/>
              </w:rPr>
              <w:t>10</w:t>
            </w:r>
          </w:p>
        </w:tc>
        <w:tc>
          <w:tcPr>
            <w:tcW w:w="1276" w:type="dxa"/>
            <w:tcBorders>
              <w:top w:val="nil"/>
              <w:left w:val="nil"/>
              <w:bottom w:val="nil"/>
              <w:right w:val="nil"/>
            </w:tcBorders>
            <w:noWrap/>
            <w:tcMar>
              <w:top w:w="12" w:type="dxa"/>
              <w:left w:w="12" w:type="dxa"/>
              <w:right w:w="12" w:type="dxa"/>
            </w:tcMar>
            <w:vAlign w:val="center"/>
          </w:tcPr>
          <w:p w14:paraId="662A1F0E">
            <w:pPr>
              <w:jc w:val="center"/>
              <w:rPr>
                <w:rFonts w:ascii="Times New Roman" w:hAnsi="Times New Roman" w:eastAsia="宋体" w:cs="Times New Roman"/>
                <w:sz w:val="18"/>
                <w:szCs w:val="18"/>
              </w:rPr>
            </w:pPr>
            <w:r>
              <w:rPr>
                <w:rFonts w:ascii="Times New Roman" w:hAnsi="Times New Roman" w:eastAsia="宋体" w:cs="Times New Roman"/>
                <w:sz w:val="18"/>
                <w:szCs w:val="18"/>
              </w:rPr>
              <w:t>20</w:t>
            </w:r>
          </w:p>
        </w:tc>
        <w:tc>
          <w:tcPr>
            <w:tcW w:w="2017" w:type="dxa"/>
            <w:tcBorders>
              <w:top w:val="nil"/>
              <w:left w:val="nil"/>
              <w:bottom w:val="nil"/>
              <w:right w:val="nil"/>
            </w:tcBorders>
            <w:noWrap/>
            <w:tcMar>
              <w:top w:w="12" w:type="dxa"/>
              <w:left w:w="12" w:type="dxa"/>
              <w:right w:w="12" w:type="dxa"/>
            </w:tcMar>
            <w:vAlign w:val="center"/>
          </w:tcPr>
          <w:p w14:paraId="064FFE67">
            <w:pPr>
              <w:jc w:val="center"/>
              <w:rPr>
                <w:rFonts w:ascii="Times New Roman" w:hAnsi="Times New Roman" w:eastAsia="宋体" w:cs="Times New Roman"/>
                <w:sz w:val="18"/>
                <w:szCs w:val="18"/>
              </w:rPr>
            </w:pPr>
            <w:r>
              <w:rPr>
                <w:rFonts w:ascii="Times New Roman" w:hAnsi="Times New Roman" w:eastAsia="宋体" w:cs="Times New Roman"/>
                <w:sz w:val="18"/>
                <w:szCs w:val="18"/>
              </w:rPr>
              <w:t>250</w:t>
            </w:r>
          </w:p>
        </w:tc>
      </w:tr>
      <w:tr w14:paraId="278422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1650" w:type="dxa"/>
            <w:tcBorders>
              <w:top w:val="nil"/>
              <w:left w:val="nil"/>
              <w:bottom w:val="nil"/>
              <w:right w:val="nil"/>
            </w:tcBorders>
            <w:noWrap/>
            <w:tcMar>
              <w:top w:w="12" w:type="dxa"/>
              <w:left w:w="12" w:type="dxa"/>
              <w:right w:w="12" w:type="dxa"/>
            </w:tcMar>
            <w:vAlign w:val="center"/>
          </w:tcPr>
          <w:p w14:paraId="63DE90D3">
            <w:pPr>
              <w:jc w:val="center"/>
              <w:rPr>
                <w:rFonts w:ascii="Times New Roman" w:hAnsi="Times New Roman" w:eastAsia="宋体" w:cs="Times New Roman"/>
                <w:sz w:val="18"/>
                <w:szCs w:val="18"/>
              </w:rPr>
            </w:pPr>
            <w:r>
              <w:rPr>
                <w:rFonts w:ascii="Times New Roman" w:hAnsi="Times New Roman" w:eastAsia="宋体" w:cs="Times New Roman"/>
                <w:sz w:val="18"/>
                <w:szCs w:val="18"/>
              </w:rPr>
              <w:t>原子化</w:t>
            </w:r>
          </w:p>
        </w:tc>
        <w:tc>
          <w:tcPr>
            <w:tcW w:w="1276" w:type="dxa"/>
            <w:tcBorders>
              <w:top w:val="nil"/>
              <w:left w:val="nil"/>
              <w:bottom w:val="nil"/>
              <w:right w:val="nil"/>
            </w:tcBorders>
            <w:noWrap/>
            <w:tcMar>
              <w:top w:w="12" w:type="dxa"/>
              <w:left w:w="12" w:type="dxa"/>
              <w:right w:w="12" w:type="dxa"/>
            </w:tcMar>
            <w:vAlign w:val="center"/>
          </w:tcPr>
          <w:p w14:paraId="3B0FE654">
            <w:pPr>
              <w:jc w:val="center"/>
              <w:rPr>
                <w:rFonts w:ascii="Times New Roman" w:hAnsi="Times New Roman" w:eastAsia="宋体" w:cs="Times New Roman"/>
                <w:sz w:val="18"/>
                <w:szCs w:val="18"/>
              </w:rPr>
            </w:pPr>
            <w:r>
              <w:rPr>
                <w:rFonts w:ascii="Times New Roman" w:hAnsi="Times New Roman" w:eastAsia="宋体" w:cs="Times New Roman"/>
                <w:sz w:val="18"/>
                <w:szCs w:val="18"/>
              </w:rPr>
              <w:t>2</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200</w:t>
            </w:r>
          </w:p>
        </w:tc>
        <w:tc>
          <w:tcPr>
            <w:tcW w:w="1417" w:type="dxa"/>
            <w:tcBorders>
              <w:top w:val="nil"/>
              <w:left w:val="nil"/>
              <w:bottom w:val="nil"/>
              <w:right w:val="nil"/>
            </w:tcBorders>
            <w:noWrap/>
            <w:tcMar>
              <w:top w:w="12" w:type="dxa"/>
              <w:left w:w="12" w:type="dxa"/>
              <w:right w:w="12" w:type="dxa"/>
            </w:tcMar>
            <w:vAlign w:val="center"/>
          </w:tcPr>
          <w:p w14:paraId="5F6899B9">
            <w:pPr>
              <w:jc w:val="center"/>
              <w:rPr>
                <w:rFonts w:ascii="Times New Roman" w:hAnsi="Times New Roman" w:eastAsia="宋体" w:cs="Times New Roman"/>
                <w:sz w:val="18"/>
                <w:szCs w:val="18"/>
              </w:rPr>
            </w:pPr>
            <w:r>
              <w:rPr>
                <w:rFonts w:ascii="Times New Roman" w:hAnsi="Times New Roman" w:eastAsia="宋体" w:cs="Times New Roman"/>
                <w:sz w:val="18"/>
                <w:szCs w:val="18"/>
              </w:rPr>
              <w:t>0</w:t>
            </w:r>
          </w:p>
        </w:tc>
        <w:tc>
          <w:tcPr>
            <w:tcW w:w="1276" w:type="dxa"/>
            <w:tcBorders>
              <w:top w:val="nil"/>
              <w:left w:val="nil"/>
              <w:bottom w:val="nil"/>
              <w:right w:val="nil"/>
            </w:tcBorders>
            <w:noWrap/>
            <w:tcMar>
              <w:top w:w="12" w:type="dxa"/>
              <w:left w:w="12" w:type="dxa"/>
              <w:right w:w="12" w:type="dxa"/>
            </w:tcMar>
            <w:vAlign w:val="center"/>
          </w:tcPr>
          <w:p w14:paraId="129FADDD">
            <w:pPr>
              <w:jc w:val="center"/>
              <w:rPr>
                <w:rFonts w:ascii="Times New Roman" w:hAnsi="Times New Roman" w:eastAsia="宋体" w:cs="Times New Roman"/>
                <w:sz w:val="18"/>
                <w:szCs w:val="18"/>
              </w:rPr>
            </w:pPr>
            <w:r>
              <w:rPr>
                <w:rFonts w:ascii="Times New Roman" w:hAnsi="Times New Roman" w:eastAsia="宋体" w:cs="Times New Roman"/>
                <w:sz w:val="18"/>
                <w:szCs w:val="18"/>
              </w:rPr>
              <w:t>5</w:t>
            </w:r>
          </w:p>
        </w:tc>
        <w:tc>
          <w:tcPr>
            <w:tcW w:w="2017" w:type="dxa"/>
            <w:tcBorders>
              <w:top w:val="nil"/>
              <w:left w:val="nil"/>
              <w:bottom w:val="nil"/>
              <w:right w:val="nil"/>
            </w:tcBorders>
            <w:noWrap/>
            <w:tcMar>
              <w:top w:w="12" w:type="dxa"/>
              <w:left w:w="12" w:type="dxa"/>
              <w:right w:w="12" w:type="dxa"/>
            </w:tcMar>
            <w:vAlign w:val="center"/>
          </w:tcPr>
          <w:p w14:paraId="02BE425B">
            <w:pPr>
              <w:jc w:val="center"/>
              <w:rPr>
                <w:rFonts w:ascii="Times New Roman" w:hAnsi="Times New Roman" w:eastAsia="宋体" w:cs="Times New Roman"/>
                <w:sz w:val="18"/>
                <w:szCs w:val="18"/>
              </w:rPr>
            </w:pPr>
            <w:r>
              <w:rPr>
                <w:rFonts w:ascii="Times New Roman" w:hAnsi="Times New Roman" w:eastAsia="宋体" w:cs="Times New Roman"/>
                <w:sz w:val="18"/>
                <w:szCs w:val="18"/>
              </w:rPr>
              <w:t>0</w:t>
            </w:r>
          </w:p>
        </w:tc>
      </w:tr>
      <w:tr w14:paraId="56ACF0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0" w:hRule="atLeast"/>
          <w:jc w:val="center"/>
        </w:trPr>
        <w:tc>
          <w:tcPr>
            <w:tcW w:w="1650" w:type="dxa"/>
            <w:tcBorders>
              <w:top w:val="nil"/>
              <w:left w:val="nil"/>
              <w:bottom w:val="single" w:color="auto" w:sz="12" w:space="0"/>
              <w:right w:val="nil"/>
            </w:tcBorders>
            <w:noWrap/>
            <w:tcMar>
              <w:top w:w="12" w:type="dxa"/>
              <w:left w:w="12" w:type="dxa"/>
              <w:right w:w="12" w:type="dxa"/>
            </w:tcMar>
            <w:vAlign w:val="center"/>
          </w:tcPr>
          <w:p w14:paraId="0DB3070F">
            <w:pPr>
              <w:jc w:val="center"/>
              <w:rPr>
                <w:rFonts w:ascii="Times New Roman" w:hAnsi="Times New Roman" w:eastAsia="宋体" w:cs="Times New Roman"/>
                <w:sz w:val="18"/>
                <w:szCs w:val="18"/>
              </w:rPr>
            </w:pPr>
            <w:r>
              <w:rPr>
                <w:rFonts w:ascii="Times New Roman" w:hAnsi="Times New Roman" w:eastAsia="宋体" w:cs="Times New Roman"/>
                <w:sz w:val="18"/>
                <w:szCs w:val="18"/>
              </w:rPr>
              <w:t>净化</w:t>
            </w:r>
          </w:p>
        </w:tc>
        <w:tc>
          <w:tcPr>
            <w:tcW w:w="1276" w:type="dxa"/>
            <w:tcBorders>
              <w:top w:val="nil"/>
              <w:left w:val="nil"/>
              <w:bottom w:val="single" w:color="auto" w:sz="12" w:space="0"/>
              <w:right w:val="nil"/>
            </w:tcBorders>
            <w:noWrap/>
            <w:tcMar>
              <w:top w:w="12" w:type="dxa"/>
              <w:left w:w="12" w:type="dxa"/>
              <w:right w:w="12" w:type="dxa"/>
            </w:tcMar>
            <w:vAlign w:val="center"/>
          </w:tcPr>
          <w:p w14:paraId="52711492">
            <w:pPr>
              <w:jc w:val="center"/>
              <w:rPr>
                <w:rFonts w:ascii="Times New Roman" w:hAnsi="Times New Roman" w:eastAsia="宋体" w:cs="Times New Roman"/>
                <w:sz w:val="18"/>
                <w:szCs w:val="18"/>
              </w:rPr>
            </w:pPr>
            <w:r>
              <w:rPr>
                <w:rFonts w:ascii="Times New Roman" w:hAnsi="Times New Roman" w:eastAsia="宋体" w:cs="Times New Roman"/>
                <w:sz w:val="18"/>
                <w:szCs w:val="18"/>
              </w:rPr>
              <w:t>2</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450</w:t>
            </w:r>
          </w:p>
        </w:tc>
        <w:tc>
          <w:tcPr>
            <w:tcW w:w="1417" w:type="dxa"/>
            <w:tcBorders>
              <w:top w:val="nil"/>
              <w:left w:val="nil"/>
              <w:bottom w:val="single" w:color="auto" w:sz="12" w:space="0"/>
              <w:right w:val="nil"/>
            </w:tcBorders>
            <w:noWrap/>
            <w:tcMar>
              <w:top w:w="12" w:type="dxa"/>
              <w:left w:w="12" w:type="dxa"/>
              <w:right w:w="12" w:type="dxa"/>
            </w:tcMar>
            <w:vAlign w:val="center"/>
          </w:tcPr>
          <w:p w14:paraId="2DF56C5F">
            <w:pPr>
              <w:jc w:val="center"/>
              <w:rPr>
                <w:rFonts w:ascii="Times New Roman" w:hAnsi="Times New Roman" w:eastAsia="宋体" w:cs="Times New Roman"/>
                <w:sz w:val="18"/>
                <w:szCs w:val="18"/>
              </w:rPr>
            </w:pPr>
            <w:r>
              <w:rPr>
                <w:rFonts w:ascii="Times New Roman" w:hAnsi="Times New Roman" w:eastAsia="宋体" w:cs="Times New Roman"/>
                <w:sz w:val="18"/>
                <w:szCs w:val="18"/>
              </w:rPr>
              <w:t>1</w:t>
            </w:r>
          </w:p>
        </w:tc>
        <w:tc>
          <w:tcPr>
            <w:tcW w:w="1276" w:type="dxa"/>
            <w:tcBorders>
              <w:top w:val="nil"/>
              <w:left w:val="nil"/>
              <w:bottom w:val="single" w:color="auto" w:sz="12" w:space="0"/>
              <w:right w:val="nil"/>
            </w:tcBorders>
            <w:noWrap/>
            <w:tcMar>
              <w:top w:w="12" w:type="dxa"/>
              <w:left w:w="12" w:type="dxa"/>
              <w:right w:w="12" w:type="dxa"/>
            </w:tcMar>
            <w:vAlign w:val="center"/>
          </w:tcPr>
          <w:p w14:paraId="42B38965">
            <w:pPr>
              <w:jc w:val="center"/>
              <w:rPr>
                <w:rFonts w:ascii="Times New Roman" w:hAnsi="Times New Roman" w:eastAsia="宋体" w:cs="Times New Roman"/>
                <w:sz w:val="18"/>
                <w:szCs w:val="18"/>
              </w:rPr>
            </w:pPr>
            <w:r>
              <w:rPr>
                <w:rFonts w:ascii="Times New Roman" w:hAnsi="Times New Roman" w:eastAsia="宋体" w:cs="Times New Roman"/>
                <w:sz w:val="18"/>
                <w:szCs w:val="18"/>
              </w:rPr>
              <w:t>3</w:t>
            </w:r>
          </w:p>
        </w:tc>
        <w:tc>
          <w:tcPr>
            <w:tcW w:w="2017" w:type="dxa"/>
            <w:tcBorders>
              <w:top w:val="nil"/>
              <w:left w:val="nil"/>
              <w:bottom w:val="single" w:color="auto" w:sz="12" w:space="0"/>
              <w:right w:val="nil"/>
            </w:tcBorders>
            <w:noWrap/>
            <w:tcMar>
              <w:top w:w="12" w:type="dxa"/>
              <w:left w:w="12" w:type="dxa"/>
              <w:right w:w="12" w:type="dxa"/>
            </w:tcMar>
            <w:vAlign w:val="center"/>
          </w:tcPr>
          <w:p w14:paraId="7EEE25A4">
            <w:pPr>
              <w:jc w:val="center"/>
              <w:rPr>
                <w:rFonts w:ascii="Times New Roman" w:hAnsi="Times New Roman" w:eastAsia="宋体" w:cs="Times New Roman"/>
                <w:sz w:val="18"/>
                <w:szCs w:val="18"/>
              </w:rPr>
            </w:pPr>
            <w:r>
              <w:rPr>
                <w:rFonts w:ascii="Times New Roman" w:hAnsi="Times New Roman" w:eastAsia="宋体" w:cs="Times New Roman"/>
                <w:sz w:val="18"/>
                <w:szCs w:val="18"/>
              </w:rPr>
              <w:t>250</w:t>
            </w:r>
          </w:p>
        </w:tc>
      </w:tr>
    </w:tbl>
    <w:p w14:paraId="01A1765D">
      <w:pPr>
        <w:spacing w:line="360" w:lineRule="auto"/>
        <w:jc w:val="center"/>
        <w:rPr>
          <w:rFonts w:ascii="宋体" w:hAnsi="宋体" w:eastAsia="宋体"/>
          <w:szCs w:val="21"/>
        </w:rPr>
      </w:pPr>
      <w:r>
        <w:rPr>
          <w:rFonts w:hint="eastAsia" w:ascii="宋体" w:hAnsi="宋体" w:eastAsia="宋体"/>
          <w:szCs w:val="21"/>
        </w:rPr>
        <w:drawing>
          <wp:inline distT="0" distB="0" distL="114300" distR="114300">
            <wp:extent cx="2496185" cy="2002155"/>
            <wp:effectExtent l="0" t="0" r="18415" b="17145"/>
            <wp:docPr id="1" name="图片 1" descr="7c0bb68ab1115d9e5abd5fb9a2dcbf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c0bb68ab1115d9e5abd5fb9a2dcbf0b"/>
                    <pic:cNvPicPr>
                      <a:picLocks noChangeAspect="1"/>
                    </pic:cNvPicPr>
                  </pic:nvPicPr>
                  <pic:blipFill>
                    <a:blip r:embed="rId7"/>
                    <a:srcRect l="5144" t="8513" r="7545"/>
                    <a:stretch>
                      <a:fillRect/>
                    </a:stretch>
                  </pic:blipFill>
                  <pic:spPr>
                    <a:xfrm>
                      <a:off x="0" y="0"/>
                      <a:ext cx="2496185" cy="2002155"/>
                    </a:xfrm>
                    <a:prstGeom prst="rect">
                      <a:avLst/>
                    </a:prstGeom>
                  </pic:spPr>
                </pic:pic>
              </a:graphicData>
            </a:graphic>
          </wp:inline>
        </w:drawing>
      </w:r>
      <w:r>
        <w:rPr>
          <w:rFonts w:hint="eastAsia" w:ascii="宋体" w:hAnsi="宋体" w:eastAsia="宋体"/>
          <w:szCs w:val="21"/>
        </w:rPr>
        <w:t xml:space="preserve">  </w:t>
      </w:r>
      <w:r>
        <w:object>
          <v:shape id="_x0000_i1025" o:spt="75" type="#_x0000_t75" style="height:143pt;width:204pt;" o:ole="t" filled="f" o:preferrelative="t" stroked="f" coordsize="21600,21600">
            <v:path/>
            <v:fill on="f" focussize="0,0"/>
            <v:stroke on="f" joinstyle="miter"/>
            <v:imagedata r:id="rId9" o:title=""/>
            <o:lock v:ext="edit" aspectratio="t"/>
            <w10:wrap type="none"/>
            <w10:anchorlock/>
          </v:shape>
          <o:OLEObject Type="Embed" ProgID="Origin50.Graph" ShapeID="_x0000_i1025" DrawAspect="Content" ObjectID="_1468075725" r:id="rId8">
            <o:LockedField>false</o:LockedField>
          </o:OLEObject>
        </w:object>
      </w:r>
    </w:p>
    <w:p w14:paraId="62EF0115">
      <w:pPr>
        <w:pStyle w:val="2"/>
        <w:widowControl/>
        <w:tabs>
          <w:tab w:val="left" w:pos="0"/>
          <w:tab w:val="center" w:pos="6825"/>
        </w:tabs>
        <w:spacing w:line="360" w:lineRule="auto"/>
        <w:ind w:firstLine="900" w:firstLineChars="500"/>
        <w:rPr>
          <w:rFonts w:hint="eastAsia" w:ascii="黑体" w:hAnsi="黑体"/>
          <w:sz w:val="18"/>
          <w:szCs w:val="18"/>
        </w:rPr>
      </w:pPr>
      <w:r>
        <w:rPr>
          <w:rFonts w:ascii="黑体" w:hAnsi="黑体"/>
          <w:sz w:val="18"/>
          <w:szCs w:val="18"/>
        </w:rPr>
        <w:t>图</w:t>
      </w:r>
      <w:r>
        <w:rPr>
          <w:rFonts w:hint="eastAsia" w:ascii="黑体" w:hAnsi="黑体"/>
          <w:sz w:val="18"/>
          <w:szCs w:val="18"/>
        </w:rPr>
        <w:t>1</w:t>
      </w:r>
      <w:r>
        <w:rPr>
          <w:rFonts w:ascii="黑体" w:hAnsi="黑体"/>
          <w:sz w:val="18"/>
          <w:szCs w:val="18"/>
        </w:rPr>
        <w:t xml:space="preserve"> </w:t>
      </w:r>
      <w:r>
        <w:rPr>
          <w:rFonts w:hint="eastAsia" w:ascii="Times New Roman" w:hAnsi="Times New Roman"/>
          <w:sz w:val="18"/>
          <w:szCs w:val="18"/>
        </w:rPr>
        <w:t>萃取剂体积对吸光度的影响</w:t>
      </w:r>
      <w:r>
        <w:rPr>
          <w:rFonts w:hint="eastAsia" w:ascii="黑体" w:hAnsi="黑体"/>
          <w:sz w:val="18"/>
          <w:szCs w:val="18"/>
        </w:rPr>
        <w:t xml:space="preserve">          图2 </w:t>
      </w:r>
      <w:r>
        <w:rPr>
          <w:rFonts w:hint="eastAsia" w:ascii="黑体" w:hAnsi="黑体" w:cs="黑体"/>
          <w:sz w:val="18"/>
          <w:szCs w:val="18"/>
        </w:rPr>
        <w:t>机油</w:t>
      </w:r>
      <w:r>
        <w:rPr>
          <w:rFonts w:hint="eastAsia" w:ascii="黑体" w:hAnsi="黑体" w:cs="黑体"/>
          <w:bCs/>
          <w:sz w:val="18"/>
          <w:szCs w:val="18"/>
        </w:rPr>
        <w:t>分子结构一维</w:t>
      </w:r>
      <w:r>
        <w:rPr>
          <w:rFonts w:hint="eastAsia" w:ascii="黑体" w:hAnsi="黑体" w:cs="黑体"/>
          <w:sz w:val="18"/>
          <w:szCs w:val="18"/>
        </w:rPr>
        <w:t>变温MIR</w:t>
      </w:r>
      <w:r>
        <w:rPr>
          <w:rFonts w:hint="eastAsia" w:ascii="黑体" w:hAnsi="黑体" w:cs="黑体"/>
          <w:bCs/>
          <w:sz w:val="18"/>
          <w:szCs w:val="18"/>
        </w:rPr>
        <w:t>光谱</w:t>
      </w:r>
      <w:r>
        <w:rPr>
          <w:rFonts w:hint="eastAsia" w:ascii="黑体" w:hAnsi="黑体"/>
          <w:sz w:val="18"/>
          <w:szCs w:val="18"/>
        </w:rPr>
        <w:t xml:space="preserve"> </w:t>
      </w:r>
    </w:p>
    <w:p w14:paraId="3BD49A8C">
      <w:pPr>
        <w:ind w:firstLine="422" w:firstLineChars="200"/>
        <w:rPr>
          <w:rFonts w:hint="eastAsia" w:ascii="黑体" w:hAnsi="黑体" w:eastAsia="黑体" w:cs="黑体"/>
          <w:sz w:val="21"/>
          <w:szCs w:val="21"/>
          <w:highlight w:val="none"/>
        </w:rPr>
      </w:pPr>
      <w:r>
        <w:rPr>
          <w:rFonts w:hint="eastAsia" w:ascii="黑体" w:hAnsi="黑体" w:eastAsia="黑体" w:cs="黑体"/>
          <w:b/>
          <w:color w:val="auto"/>
          <w:sz w:val="21"/>
          <w:szCs w:val="21"/>
          <w:highlight w:val="none"/>
          <w:lang w:eastAsia="zh-CN"/>
        </w:rPr>
        <w:t>（</w:t>
      </w:r>
      <w:r>
        <w:rPr>
          <w:rFonts w:hint="eastAsia" w:ascii="黑体" w:hAnsi="黑体" w:eastAsia="黑体" w:cs="黑体"/>
          <w:b/>
          <w:color w:val="FF0000"/>
          <w:sz w:val="21"/>
          <w:szCs w:val="21"/>
          <w:highlight w:val="none"/>
        </w:rPr>
        <w:t>图、表中文字、符号用小5号宋体</w:t>
      </w:r>
      <w:r>
        <w:rPr>
          <w:rFonts w:hint="eastAsia" w:ascii="黑体" w:hAnsi="黑体" w:eastAsia="黑体" w:cs="黑体"/>
          <w:sz w:val="21"/>
          <w:szCs w:val="21"/>
          <w:highlight w:val="none"/>
        </w:rPr>
        <w:t>，采用中文。</w:t>
      </w:r>
      <w:r>
        <w:rPr>
          <w:rFonts w:hint="eastAsia" w:ascii="黑体" w:hAnsi="黑体" w:eastAsia="黑体" w:cs="黑体"/>
          <w:b/>
          <w:color w:val="FF0000"/>
          <w:sz w:val="21"/>
          <w:szCs w:val="21"/>
          <w:highlight w:val="none"/>
        </w:rPr>
        <w:t>图题（</w:t>
      </w:r>
      <w:r>
        <w:rPr>
          <w:rFonts w:hint="eastAsia" w:ascii="黑体" w:hAnsi="黑体" w:eastAsia="黑体" w:cs="黑体"/>
          <w:b/>
          <w:color w:val="00B050"/>
          <w:sz w:val="21"/>
          <w:szCs w:val="21"/>
          <w:highlight w:val="none"/>
        </w:rPr>
        <w:t>在图的下方</w:t>
      </w:r>
      <w:r>
        <w:rPr>
          <w:rFonts w:hint="eastAsia" w:ascii="黑体" w:hAnsi="黑体" w:eastAsia="黑体" w:cs="黑体"/>
          <w:b/>
          <w:color w:val="FF0000"/>
          <w:sz w:val="21"/>
          <w:szCs w:val="21"/>
          <w:highlight w:val="none"/>
        </w:rPr>
        <w:t>）和表题（</w:t>
      </w:r>
      <w:r>
        <w:rPr>
          <w:rFonts w:hint="eastAsia" w:ascii="黑体" w:hAnsi="黑体" w:eastAsia="黑体" w:cs="黑体"/>
          <w:b/>
          <w:color w:val="00B050"/>
          <w:sz w:val="21"/>
          <w:szCs w:val="21"/>
          <w:highlight w:val="none"/>
        </w:rPr>
        <w:t>在表的上方</w:t>
      </w:r>
      <w:r>
        <w:rPr>
          <w:rFonts w:hint="eastAsia" w:ascii="黑体" w:hAnsi="黑体" w:eastAsia="黑体" w:cs="黑体"/>
          <w:b/>
          <w:color w:val="FF0000"/>
          <w:sz w:val="21"/>
          <w:szCs w:val="21"/>
          <w:highlight w:val="none"/>
        </w:rPr>
        <w:t>）</w:t>
      </w:r>
      <w:bookmarkStart w:id="1" w:name="OLE_LINK1"/>
      <w:r>
        <w:rPr>
          <w:rFonts w:hint="eastAsia" w:ascii="黑体" w:hAnsi="黑体" w:eastAsia="黑体" w:cs="黑体"/>
          <w:b/>
          <w:color w:val="FF0000"/>
          <w:sz w:val="21"/>
          <w:szCs w:val="21"/>
          <w:highlight w:val="none"/>
        </w:rPr>
        <w:t>采用中文小5号黑体</w:t>
      </w:r>
      <w:bookmarkEnd w:id="1"/>
      <w:r>
        <w:rPr>
          <w:rFonts w:hint="eastAsia" w:ascii="黑体" w:hAnsi="黑体" w:eastAsia="黑体" w:cs="黑体"/>
          <w:sz w:val="21"/>
          <w:szCs w:val="21"/>
          <w:highlight w:val="none"/>
        </w:rPr>
        <w:t>，图、表中的</w:t>
      </w:r>
      <w:r>
        <w:rPr>
          <w:rFonts w:hint="eastAsia" w:ascii="黑体" w:hAnsi="黑体" w:eastAsia="黑体" w:cs="黑体"/>
          <w:b/>
          <w:bCs/>
          <w:color w:val="00B050"/>
          <w:sz w:val="21"/>
          <w:szCs w:val="21"/>
          <w:highlight w:val="none"/>
        </w:rPr>
        <w:t>内容</w:t>
      </w:r>
      <w:r>
        <w:rPr>
          <w:rFonts w:hint="eastAsia" w:ascii="黑体" w:hAnsi="黑体" w:eastAsia="黑体" w:cs="黑体"/>
          <w:b/>
          <w:color w:val="00B050"/>
          <w:sz w:val="21"/>
          <w:szCs w:val="21"/>
          <w:highlight w:val="none"/>
        </w:rPr>
        <w:t>采用中文小5号宋体</w:t>
      </w:r>
      <w:r>
        <w:rPr>
          <w:rFonts w:hint="eastAsia" w:ascii="黑体" w:hAnsi="黑体" w:eastAsia="黑体" w:cs="黑体"/>
          <w:sz w:val="21"/>
          <w:szCs w:val="21"/>
          <w:highlight w:val="none"/>
        </w:rPr>
        <w:t>，不需要提供英文图表题目。图可以有简明的图例、图注或说明，图注或说明的末尾应加‘。’。</w:t>
      </w:r>
      <w:r>
        <w:rPr>
          <w:rFonts w:hint="eastAsia" w:ascii="黑体" w:hAnsi="黑体" w:eastAsia="黑体" w:cs="黑体"/>
          <w:color w:val="FF0000"/>
          <w:sz w:val="21"/>
          <w:szCs w:val="21"/>
          <w:highlight w:val="none"/>
        </w:rPr>
        <w:t>图注分为图元注和整图注，图元注置于图题的上方，整图注置于图题的下方。</w:t>
      </w:r>
      <w:r>
        <w:rPr>
          <w:rFonts w:hint="eastAsia" w:ascii="黑体" w:hAnsi="黑体" w:eastAsia="黑体" w:cs="黑体"/>
          <w:sz w:val="21"/>
          <w:szCs w:val="21"/>
          <w:highlight w:val="none"/>
        </w:rPr>
        <w:t>表可以有表注，</w:t>
      </w:r>
      <w:r>
        <w:rPr>
          <w:rFonts w:hint="eastAsia" w:ascii="黑体" w:hAnsi="黑体" w:eastAsia="黑体" w:cs="黑体"/>
          <w:color w:val="FF0000"/>
          <w:sz w:val="21"/>
          <w:szCs w:val="21"/>
          <w:highlight w:val="none"/>
        </w:rPr>
        <w:t>应置于表的下方，</w:t>
      </w:r>
      <w:r>
        <w:rPr>
          <w:rFonts w:hint="eastAsia" w:ascii="黑体" w:hAnsi="黑体" w:eastAsia="黑体" w:cs="黑体"/>
          <w:sz w:val="21"/>
          <w:szCs w:val="21"/>
          <w:highlight w:val="none"/>
        </w:rPr>
        <w:t>表注的末尾加‘。’。</w:t>
      </w:r>
    </w:p>
    <w:p w14:paraId="36664594">
      <w:pPr>
        <w:spacing w:line="240" w:lineRule="auto"/>
        <w:ind w:firstLine="420" w:firstLineChars="200"/>
        <w:rPr>
          <w:rFonts w:hint="eastAsia" w:eastAsia="黑体" w:asciiTheme="minorEastAsia" w:hAnsiTheme="minorEastAsia"/>
          <w:sz w:val="21"/>
          <w:szCs w:val="21"/>
          <w:highlight w:val="yellow"/>
          <w:vertAlign w:val="superscript"/>
          <w:lang w:eastAsia="zh-CN"/>
        </w:rPr>
      </w:pPr>
      <w:r>
        <w:rPr>
          <w:rFonts w:hint="eastAsia" w:ascii="黑体" w:hAnsi="黑体" w:eastAsia="黑体" w:cs="黑体"/>
          <w:sz w:val="21"/>
          <w:szCs w:val="21"/>
          <w:highlight w:val="none"/>
        </w:rPr>
        <w:t>坐标曲线的标目应分别置于横、纵坐标轴的外侧，一般居中排。表格应有表头，</w:t>
      </w:r>
      <w:r>
        <w:rPr>
          <w:rFonts w:hint="eastAsia" w:ascii="黑体" w:hAnsi="黑体" w:eastAsia="黑体" w:cs="黑体"/>
          <w:color w:val="FF0000"/>
          <w:sz w:val="21"/>
          <w:szCs w:val="21"/>
          <w:highlight w:val="none"/>
        </w:rPr>
        <w:t>表头中不准许使用斜线</w:t>
      </w:r>
      <w:r>
        <w:rPr>
          <w:rFonts w:hint="eastAsia" w:ascii="黑体" w:hAnsi="黑体" w:eastAsia="黑体" w:cs="黑体"/>
          <w:sz w:val="21"/>
          <w:szCs w:val="21"/>
          <w:highlight w:val="none"/>
        </w:rPr>
        <w:t>。当坐标曲线的标目和表格中某一栏目同时用量和单位表示时，</w:t>
      </w:r>
      <w:r>
        <w:rPr>
          <w:rFonts w:hint="eastAsia" w:ascii="黑体" w:hAnsi="黑体" w:eastAsia="黑体" w:cs="黑体"/>
          <w:b/>
          <w:bCs/>
          <w:color w:val="00B050"/>
          <w:sz w:val="21"/>
          <w:szCs w:val="21"/>
          <w:highlight w:val="none"/>
        </w:rPr>
        <w:t>应采用“量的符号或名称/单位符号”的标准化形式</w:t>
      </w:r>
      <w:r>
        <w:rPr>
          <w:rFonts w:hint="eastAsia" w:ascii="黑体" w:hAnsi="黑体" w:eastAsia="黑体" w:cs="黑体"/>
          <w:sz w:val="21"/>
          <w:szCs w:val="21"/>
          <w:highlight w:val="none"/>
        </w:rPr>
        <w:t>，如：</w:t>
      </w:r>
      <w:r>
        <w:rPr>
          <w:rFonts w:hint="eastAsia" w:ascii="黑体" w:hAnsi="黑体" w:eastAsia="黑体" w:cs="黑体"/>
          <w:i/>
          <w:iCs/>
          <w:sz w:val="21"/>
          <w:szCs w:val="21"/>
          <w:highlight w:val="none"/>
        </w:rPr>
        <w:t>c</w:t>
      </w:r>
      <w:r>
        <w:rPr>
          <w:rFonts w:hint="eastAsia" w:ascii="黑体" w:hAnsi="黑体" w:eastAsia="黑体" w:cs="黑体"/>
          <w:sz w:val="21"/>
          <w:szCs w:val="21"/>
          <w:highlight w:val="none"/>
          <w:vertAlign w:val="subscript"/>
        </w:rPr>
        <w:t>B</w:t>
      </w:r>
      <w:r>
        <w:rPr>
          <w:rFonts w:hint="eastAsia" w:ascii="黑体" w:hAnsi="黑体" w:eastAsia="黑体" w:cs="黑体"/>
          <w:i/>
          <w:sz w:val="21"/>
          <w:szCs w:val="21"/>
          <w:highlight w:val="none"/>
        </w:rPr>
        <w:t>/</w:t>
      </w:r>
      <w:r>
        <w:rPr>
          <w:rFonts w:hint="eastAsia" w:ascii="黑体" w:hAnsi="黑体" w:eastAsia="黑体" w:cs="黑体"/>
          <w:color w:val="00B050"/>
          <w:sz w:val="21"/>
          <w:szCs w:val="21"/>
          <w:highlight w:val="none"/>
        </w:rPr>
        <w:t>(</w:t>
      </w:r>
      <w:r>
        <w:rPr>
          <w:rFonts w:hint="eastAsia" w:ascii="黑体" w:hAnsi="黑体" w:eastAsia="黑体" w:cs="黑体"/>
          <w:sz w:val="21"/>
          <w:szCs w:val="21"/>
          <w:highlight w:val="none"/>
        </w:rPr>
        <w:t>mol·L</w:t>
      </w:r>
      <w:r>
        <w:rPr>
          <w:rFonts w:hint="eastAsia" w:ascii="黑体" w:hAnsi="黑体" w:eastAsia="黑体" w:cs="黑体"/>
          <w:sz w:val="21"/>
          <w:szCs w:val="21"/>
          <w:highlight w:val="none"/>
          <w:vertAlign w:val="superscript"/>
        </w:rPr>
        <w:t>-1</w:t>
      </w:r>
      <w:r>
        <w:rPr>
          <w:rFonts w:hint="eastAsia" w:ascii="黑体" w:hAnsi="黑体" w:eastAsia="黑体" w:cs="黑体"/>
          <w:color w:val="00B050"/>
          <w:sz w:val="21"/>
          <w:szCs w:val="21"/>
          <w:highlight w:val="none"/>
        </w:rPr>
        <w:t>)</w:t>
      </w:r>
      <w:r>
        <w:rPr>
          <w:rFonts w:hint="eastAsia" w:ascii="黑体" w:hAnsi="黑体" w:eastAsia="黑体" w:cs="黑体"/>
          <w:sz w:val="21"/>
          <w:szCs w:val="21"/>
          <w:highlight w:val="none"/>
        </w:rPr>
        <w:t>、</w:t>
      </w:r>
      <w:r>
        <w:rPr>
          <w:rFonts w:hint="eastAsia" w:ascii="黑体" w:hAnsi="黑体" w:eastAsia="黑体" w:cs="黑体"/>
          <w:i/>
          <w:sz w:val="21"/>
          <w:szCs w:val="21"/>
          <w:highlight w:val="none"/>
        </w:rPr>
        <w:t>v/</w:t>
      </w:r>
      <w:r>
        <w:rPr>
          <w:rFonts w:hint="eastAsia" w:ascii="黑体" w:hAnsi="黑体" w:eastAsia="黑体" w:cs="黑体"/>
          <w:color w:val="00B050"/>
          <w:sz w:val="21"/>
          <w:szCs w:val="21"/>
          <w:highlight w:val="none"/>
        </w:rPr>
        <w:t>(</w:t>
      </w:r>
      <w:r>
        <w:rPr>
          <w:rFonts w:hint="eastAsia" w:ascii="黑体" w:hAnsi="黑体" w:eastAsia="黑体" w:cs="黑体"/>
          <w:sz w:val="21"/>
          <w:szCs w:val="21"/>
          <w:highlight w:val="none"/>
        </w:rPr>
        <w:t>m·s</w:t>
      </w:r>
      <w:r>
        <w:rPr>
          <w:rFonts w:hint="eastAsia" w:ascii="黑体" w:hAnsi="黑体" w:eastAsia="黑体" w:cs="黑体"/>
          <w:sz w:val="21"/>
          <w:szCs w:val="21"/>
          <w:highlight w:val="none"/>
          <w:vertAlign w:val="superscript"/>
        </w:rPr>
        <w:t>-1</w:t>
      </w:r>
      <w:r>
        <w:rPr>
          <w:rFonts w:hint="eastAsia" w:ascii="黑体" w:hAnsi="黑体" w:eastAsia="黑体" w:cs="黑体"/>
          <w:color w:val="00B050"/>
          <w:sz w:val="21"/>
          <w:szCs w:val="21"/>
          <w:highlight w:val="none"/>
        </w:rPr>
        <w:t>)。</w:t>
      </w:r>
      <w:r>
        <w:rPr>
          <w:rFonts w:hint="eastAsia" w:ascii="黑体" w:hAnsi="黑体" w:eastAsia="黑体" w:cs="黑体"/>
          <w:color w:val="auto"/>
          <w:sz w:val="21"/>
          <w:szCs w:val="21"/>
          <w:highlight w:val="none"/>
          <w:lang w:eastAsia="zh-CN"/>
        </w:rPr>
        <w:t>）</w:t>
      </w:r>
    </w:p>
    <w:p w14:paraId="4BBFABF7">
      <w:pPr>
        <w:numPr>
          <w:ilvl w:val="0"/>
          <w:numId w:val="0"/>
        </w:numPr>
        <w:ind w:leftChars="0"/>
        <w:rPr>
          <w:rFonts w:hint="eastAsia" w:eastAsia="黑体"/>
          <w:b w:val="0"/>
          <w:bCs w:val="0"/>
          <w:color w:val="FF0000"/>
          <w:highlight w:val="none"/>
        </w:rPr>
      </w:pPr>
      <w:r>
        <w:rPr>
          <w:rFonts w:hint="eastAsia" w:eastAsia="黑体"/>
          <w:b w:val="0"/>
          <w:bCs w:val="0"/>
          <w:highlight w:val="none"/>
          <w:lang w:val="en-US" w:eastAsia="zh-CN"/>
        </w:rPr>
        <w:t>2.2 锌胁迫对发芽率的影响</w:t>
      </w:r>
      <w:r>
        <w:rPr>
          <w:rFonts w:hint="eastAsia" w:eastAsia="黑体"/>
          <w:b w:val="0"/>
          <w:bCs w:val="0"/>
          <w:color w:val="FF0000"/>
          <w:highlight w:val="none"/>
          <w:lang w:eastAsia="zh-CN"/>
        </w:rPr>
        <w:t>（</w:t>
      </w:r>
      <w:r>
        <w:rPr>
          <w:rFonts w:hint="eastAsia" w:eastAsia="黑体"/>
          <w:b w:val="0"/>
          <w:bCs w:val="0"/>
          <w:color w:val="FF0000"/>
          <w:highlight w:val="none"/>
        </w:rPr>
        <w:t>黑体五号）</w:t>
      </w:r>
    </w:p>
    <w:p w14:paraId="17D9CD00">
      <w:pPr>
        <w:numPr>
          <w:ilvl w:val="0"/>
          <w:numId w:val="0"/>
        </w:numPr>
        <w:ind w:leftChars="0"/>
        <w:rPr>
          <w:rFonts w:ascii="宋体" w:hAnsi="宋体" w:eastAsia="宋体"/>
          <w:szCs w:val="21"/>
        </w:rPr>
      </w:pPr>
      <w:r>
        <w:rPr>
          <w:rFonts w:hint="eastAsia" w:eastAsia="黑体"/>
          <w:b w:val="0"/>
          <w:bCs w:val="0"/>
          <w:highlight w:val="none"/>
          <w:lang w:val="en-US" w:eastAsia="zh-CN"/>
        </w:rPr>
        <w:t xml:space="preserve">    </w:t>
      </w:r>
      <w:r>
        <w:rPr>
          <w:rFonts w:hint="eastAsia" w:ascii="宋体" w:hAnsi="宋体"/>
          <w:color w:val="000000"/>
          <w:sz w:val="21"/>
          <w:szCs w:val="21"/>
        </w:rPr>
        <w:t>……</w:t>
      </w:r>
    </w:p>
    <w:p w14:paraId="69A99F38">
      <w:pPr>
        <w:jc w:val="center"/>
        <w:rPr>
          <w:rFonts w:ascii="宋体" w:hAnsi="宋体" w:eastAsia="宋体"/>
          <w:szCs w:val="21"/>
        </w:rPr>
      </w:pPr>
      <w:r>
        <w:rPr>
          <w:rFonts w:ascii="宋体" w:hAnsi="宋体" w:eastAsia="宋体"/>
          <w:szCs w:val="21"/>
        </w:rPr>
        <w:drawing>
          <wp:inline distT="0" distB="0" distL="114300" distR="114300">
            <wp:extent cx="2677795" cy="2393315"/>
            <wp:effectExtent l="0" t="0" r="8255"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rcRect l="7678" t="3688" r="3993" b="1475"/>
                    <a:stretch>
                      <a:fillRect/>
                    </a:stretch>
                  </pic:blipFill>
                  <pic:spPr>
                    <a:xfrm>
                      <a:off x="0" y="0"/>
                      <a:ext cx="2677795" cy="2393315"/>
                    </a:xfrm>
                    <a:prstGeom prst="rect">
                      <a:avLst/>
                    </a:prstGeom>
                  </pic:spPr>
                </pic:pic>
              </a:graphicData>
            </a:graphic>
          </wp:inline>
        </w:drawing>
      </w:r>
    </w:p>
    <w:p w14:paraId="43A92576">
      <w:pPr>
        <w:tabs>
          <w:tab w:val="left" w:pos="0"/>
          <w:tab w:val="center" w:pos="6825"/>
        </w:tabs>
        <w:spacing w:line="360" w:lineRule="auto"/>
        <w:jc w:val="center"/>
        <w:rPr>
          <w:rFonts w:ascii="Times New Roman" w:hAnsi="Times New Roman" w:eastAsia="黑体" w:cstheme="majorBidi"/>
          <w:sz w:val="18"/>
          <w:szCs w:val="18"/>
        </w:rPr>
      </w:pPr>
      <w:r>
        <w:rPr>
          <w:rFonts w:hint="eastAsia" w:ascii="Times New Roman" w:hAnsi="Times New Roman" w:eastAsia="黑体" w:cstheme="majorBidi"/>
          <w:sz w:val="18"/>
          <w:szCs w:val="18"/>
        </w:rPr>
        <w:t xml:space="preserve">图3 </w:t>
      </w:r>
      <w:r>
        <w:rPr>
          <w:rFonts w:ascii="Times New Roman" w:hAnsi="Times New Roman" w:eastAsia="黑体" w:cstheme="majorBidi"/>
          <w:sz w:val="18"/>
          <w:szCs w:val="18"/>
        </w:rPr>
        <w:t>2012-2019</w:t>
      </w:r>
      <w:r>
        <w:rPr>
          <w:rFonts w:hint="eastAsia" w:ascii="Times New Roman" w:hAnsi="Times New Roman" w:eastAsia="黑体" w:cstheme="majorBidi"/>
          <w:sz w:val="18"/>
          <w:szCs w:val="18"/>
        </w:rPr>
        <w:t>年中国七大水系新型城镇化综合指数值</w:t>
      </w:r>
    </w:p>
    <w:p w14:paraId="75271B77">
      <w:pPr>
        <w:spacing w:line="240" w:lineRule="auto"/>
        <w:ind w:firstLine="420" w:firstLineChars="200"/>
        <w:rPr>
          <w:rFonts w:hint="eastAsia" w:ascii="黑体" w:hAnsi="黑体" w:eastAsia="黑体" w:cs="黑体"/>
          <w:sz w:val="21"/>
          <w:szCs w:val="21"/>
          <w:highlight w:val="none"/>
        </w:rPr>
      </w:pPr>
      <w:r>
        <w:rPr>
          <w:rFonts w:hint="eastAsia" w:ascii="黑体" w:hAnsi="黑体" w:eastAsia="黑体" w:cs="黑体"/>
          <w:sz w:val="21"/>
          <w:szCs w:val="21"/>
          <w:highlight w:val="none"/>
          <w:lang w:eastAsia="zh-CN"/>
        </w:rPr>
        <w:t>（</w:t>
      </w:r>
      <w:r>
        <w:rPr>
          <w:rFonts w:hint="eastAsia" w:ascii="黑体" w:hAnsi="黑体" w:eastAsia="黑体" w:cs="黑体"/>
          <w:sz w:val="21"/>
          <w:szCs w:val="21"/>
          <w:highlight w:val="none"/>
        </w:rPr>
        <w:t>图表中文字、符号应分清</w:t>
      </w:r>
      <w:r>
        <w:rPr>
          <w:rFonts w:hint="eastAsia" w:ascii="黑体" w:hAnsi="黑体" w:eastAsia="黑体" w:cs="黑体"/>
          <w:color w:val="FF0000"/>
          <w:sz w:val="21"/>
          <w:szCs w:val="21"/>
          <w:highlight w:val="none"/>
        </w:rPr>
        <w:t>大小写</w:t>
      </w:r>
      <w:r>
        <w:rPr>
          <w:rFonts w:hint="eastAsia" w:ascii="黑体" w:hAnsi="黑体" w:eastAsia="黑体" w:cs="黑体"/>
          <w:sz w:val="21"/>
          <w:szCs w:val="21"/>
          <w:highlight w:val="none"/>
        </w:rPr>
        <w:t>、</w:t>
      </w:r>
      <w:r>
        <w:rPr>
          <w:rFonts w:hint="eastAsia" w:ascii="黑体" w:hAnsi="黑体" w:eastAsia="黑体" w:cs="黑体"/>
          <w:color w:val="FF0000"/>
          <w:sz w:val="21"/>
          <w:szCs w:val="21"/>
          <w:highlight w:val="none"/>
        </w:rPr>
        <w:t>正斜体</w:t>
      </w:r>
      <w:r>
        <w:rPr>
          <w:rFonts w:hint="eastAsia" w:ascii="黑体" w:hAnsi="黑体" w:eastAsia="黑体" w:cs="黑体"/>
          <w:sz w:val="21"/>
          <w:szCs w:val="21"/>
          <w:highlight w:val="none"/>
        </w:rPr>
        <w:t>、</w:t>
      </w:r>
      <w:r>
        <w:rPr>
          <w:rFonts w:hint="eastAsia" w:ascii="黑体" w:hAnsi="黑体" w:eastAsia="黑体" w:cs="黑体"/>
          <w:color w:val="FF0000"/>
          <w:sz w:val="21"/>
          <w:szCs w:val="21"/>
          <w:highlight w:val="none"/>
        </w:rPr>
        <w:t>黑白体</w:t>
      </w:r>
      <w:r>
        <w:rPr>
          <w:rFonts w:hint="eastAsia" w:ascii="黑体" w:hAnsi="黑体" w:eastAsia="黑体" w:cs="黑体"/>
          <w:sz w:val="21"/>
          <w:szCs w:val="21"/>
          <w:highlight w:val="none"/>
        </w:rPr>
        <w:t>等。图表中的术语、符号、单位应对应一致，并与正文严格一致。</w:t>
      </w:r>
    </w:p>
    <w:p w14:paraId="402A3F57">
      <w:pPr>
        <w:spacing w:line="240" w:lineRule="auto"/>
        <w:ind w:firstLine="420" w:firstLineChars="200"/>
        <w:rPr>
          <w:rFonts w:hint="eastAsia" w:ascii="黑体" w:hAnsi="黑体" w:eastAsia="黑体" w:cs="黑体"/>
          <w:sz w:val="21"/>
          <w:szCs w:val="21"/>
          <w:highlight w:val="none"/>
          <w:lang w:eastAsia="zh-CN"/>
        </w:rPr>
      </w:pPr>
      <w:r>
        <w:rPr>
          <w:rFonts w:hint="eastAsia" w:ascii="黑体" w:hAnsi="黑体" w:eastAsia="黑体" w:cs="黑体"/>
          <w:sz w:val="21"/>
          <w:szCs w:val="21"/>
          <w:highlight w:val="none"/>
        </w:rPr>
        <w:t>插图、表格分别按序号由小到大依次出现，图序、表序在内文中以及在图、表前文字中对应标注。表文中应避免图与表或与文字表述的重复，应遵循要图不要表，要表不要图的原则。</w:t>
      </w:r>
      <w:r>
        <w:rPr>
          <w:rFonts w:hint="eastAsia" w:ascii="黑体" w:hAnsi="黑体" w:eastAsia="黑体" w:cs="黑体"/>
          <w:sz w:val="21"/>
          <w:szCs w:val="21"/>
          <w:highlight w:val="none"/>
          <w:lang w:eastAsia="zh-CN"/>
        </w:rPr>
        <w:t>）</w:t>
      </w:r>
    </w:p>
    <w:p w14:paraId="2EE0404D">
      <w:pPr>
        <w:spacing w:line="240" w:lineRule="auto"/>
        <w:ind w:firstLine="420" w:firstLineChars="200"/>
        <w:rPr>
          <w:rFonts w:hint="eastAsia" w:asciiTheme="minorEastAsia" w:hAnsiTheme="minorEastAsia"/>
          <w:sz w:val="21"/>
          <w:szCs w:val="21"/>
          <w:highlight w:val="yellow"/>
        </w:rPr>
      </w:pPr>
    </w:p>
    <w:p w14:paraId="4FB9B6D8">
      <w:pPr>
        <w:spacing w:line="240" w:lineRule="auto"/>
        <w:rPr>
          <w:rFonts w:hint="eastAsia" w:asciiTheme="minorEastAsia" w:hAnsiTheme="minorEastAsia"/>
          <w:sz w:val="21"/>
          <w:szCs w:val="21"/>
          <w:highlight w:val="yellow"/>
        </w:rPr>
      </w:pPr>
    </w:p>
    <w:p w14:paraId="43B885DC">
      <w:pPr>
        <w:spacing w:line="360" w:lineRule="auto"/>
        <w:rPr>
          <w:rFonts w:hint="eastAsia" w:ascii="Times New Roman" w:hAnsi="Times New Roman"/>
          <w:color w:val="FF0000"/>
          <w:kern w:val="0"/>
          <w:sz w:val="24"/>
          <w:szCs w:val="24"/>
          <w:lang w:val="en-US" w:eastAsia="zh-CN"/>
        </w:rPr>
      </w:pPr>
      <w:r>
        <w:rPr>
          <w:rFonts w:hint="eastAsia" w:ascii="宋体" w:hAnsi="宋体" w:eastAsia="宋体" w:cs="宋体"/>
          <w:b w:val="0"/>
          <w:bCs w:val="0"/>
          <w:kern w:val="2"/>
          <w:sz w:val="24"/>
          <w:szCs w:val="24"/>
          <w:lang w:val="en-US" w:eastAsia="zh-CN" w:bidi="ar-SA"/>
        </w:rPr>
        <w:t>3 结论</w:t>
      </w:r>
      <w:r>
        <w:rPr>
          <w:rFonts w:hint="eastAsia" w:ascii="Times New Roman" w:hAnsi="Times New Roman"/>
          <w:color w:val="FF0000"/>
          <w:kern w:val="0"/>
          <w:sz w:val="24"/>
          <w:szCs w:val="24"/>
          <w:lang w:val="en-US" w:eastAsia="zh-CN"/>
        </w:rPr>
        <w:t>（宋体小四）（标题一般是“结论”，或者“结论与展望”，“结论与启示”；一般不要写“结束语”）</w:t>
      </w:r>
    </w:p>
    <w:p w14:paraId="0AB10637">
      <w:pPr>
        <w:numPr>
          <w:ilvl w:val="0"/>
          <w:numId w:val="0"/>
        </w:numPr>
        <w:ind w:leftChars="0" w:firstLine="210" w:firstLineChars="100"/>
        <w:rPr>
          <w:rFonts w:ascii="宋体" w:hAnsi="宋体" w:eastAsia="宋体"/>
          <w:szCs w:val="21"/>
        </w:rPr>
      </w:pPr>
      <w:r>
        <w:rPr>
          <w:rFonts w:hint="eastAsia" w:eastAsia="黑体"/>
          <w:b w:val="0"/>
          <w:bCs w:val="0"/>
          <w:highlight w:val="none"/>
          <w:lang w:val="en-US" w:eastAsia="zh-CN"/>
        </w:rPr>
        <w:t xml:space="preserve"> </w:t>
      </w:r>
      <w:r>
        <w:rPr>
          <w:rFonts w:hint="eastAsia" w:ascii="宋体" w:hAnsi="宋体"/>
          <w:color w:val="000000"/>
          <w:sz w:val="21"/>
          <w:szCs w:val="21"/>
        </w:rPr>
        <w:t>……</w:t>
      </w:r>
    </w:p>
    <w:p w14:paraId="764FD29B">
      <w:pPr>
        <w:spacing w:line="360" w:lineRule="auto"/>
        <w:rPr>
          <w:rFonts w:asciiTheme="minorEastAsia" w:hAnsiTheme="minorEastAsia"/>
          <w:sz w:val="24"/>
          <w:szCs w:val="24"/>
        </w:rPr>
      </w:pPr>
      <w:r>
        <w:rPr>
          <w:rFonts w:hint="eastAsia" w:asciiTheme="minorEastAsia" w:hAnsiTheme="minorEastAsia"/>
          <w:sz w:val="21"/>
          <w:szCs w:val="21"/>
          <w:highlight w:val="none"/>
          <w:lang w:val="en-US" w:eastAsia="zh-CN"/>
        </w:rPr>
        <w:t xml:space="preserve">   （</w:t>
      </w:r>
      <w:r>
        <w:rPr>
          <w:rFonts w:hint="eastAsia" w:ascii="黑体" w:hAnsi="黑体" w:eastAsia="黑体" w:cs="黑体"/>
          <w:color w:val="auto"/>
          <w:sz w:val="21"/>
          <w:szCs w:val="21"/>
          <w:highlight w:val="none"/>
        </w:rPr>
        <w:t>在研究结果与讨论的基础上总结出本文得到的重要论点</w:t>
      </w:r>
      <w:r>
        <w:rPr>
          <w:rFonts w:hint="eastAsia" w:ascii="黑体" w:hAnsi="黑体" w:eastAsia="黑体" w:cs="黑体"/>
          <w:color w:val="auto"/>
          <w:sz w:val="21"/>
          <w:szCs w:val="21"/>
          <w:highlight w:val="none"/>
          <w:lang w:eastAsia="zh-CN"/>
        </w:rPr>
        <w:t>。）</w:t>
      </w:r>
    </w:p>
    <w:p w14:paraId="49CFCC75">
      <w:pPr>
        <w:spacing w:line="240" w:lineRule="auto"/>
        <w:ind w:firstLine="420" w:firstLineChars="200"/>
        <w:rPr>
          <w:rFonts w:hint="eastAsia" w:asciiTheme="minorEastAsia" w:hAnsiTheme="minorEastAsia"/>
          <w:color w:val="auto"/>
          <w:sz w:val="21"/>
          <w:szCs w:val="21"/>
          <w:highlight w:val="none"/>
          <w:lang w:val="en-US" w:eastAsia="zh-CN"/>
        </w:rPr>
      </w:pPr>
      <w:r>
        <w:rPr>
          <w:rFonts w:hint="eastAsia" w:asciiTheme="minorEastAsia" w:hAnsiTheme="minorEastAsia"/>
          <w:color w:val="auto"/>
          <w:sz w:val="21"/>
          <w:szCs w:val="21"/>
          <w:highlight w:val="none"/>
          <w:lang w:val="en-US" w:eastAsia="zh-CN"/>
        </w:rPr>
        <w:t>（其他注意事项：</w:t>
      </w:r>
    </w:p>
    <w:p w14:paraId="40688251">
      <w:pPr>
        <w:spacing w:line="240" w:lineRule="auto"/>
        <w:rPr>
          <w:rFonts w:asciiTheme="minorEastAsia" w:hAnsiTheme="minorEastAsia"/>
          <w:sz w:val="21"/>
          <w:szCs w:val="21"/>
        </w:rPr>
      </w:pPr>
      <w:r>
        <w:rPr>
          <w:rFonts w:hint="eastAsia" w:asciiTheme="minorEastAsia" w:hAnsiTheme="minorEastAsia"/>
          <w:sz w:val="21"/>
          <w:szCs w:val="21"/>
          <w:lang w:val="en-US" w:eastAsia="zh-CN"/>
        </w:rPr>
        <w:t>1</w:t>
      </w:r>
      <w:r>
        <w:rPr>
          <w:rFonts w:hint="eastAsia" w:asciiTheme="minorEastAsia" w:hAnsiTheme="minorEastAsia"/>
          <w:sz w:val="21"/>
          <w:szCs w:val="21"/>
        </w:rPr>
        <w:t>）数字、量和单位的使用必须按国务院《关于在我国统计表实行法定计量单位的命令》执行，不允许使用非法定计量单位。</w:t>
      </w:r>
    </w:p>
    <w:p w14:paraId="5E7B4F40">
      <w:pPr>
        <w:spacing w:line="240" w:lineRule="auto"/>
        <w:rPr>
          <w:rFonts w:asciiTheme="minorEastAsia" w:hAnsiTheme="minorEastAsia"/>
          <w:sz w:val="21"/>
          <w:szCs w:val="21"/>
        </w:rPr>
      </w:pPr>
      <w:r>
        <w:rPr>
          <w:rFonts w:hint="eastAsia" w:asciiTheme="minorEastAsia" w:hAnsiTheme="minorEastAsia"/>
          <w:sz w:val="21"/>
          <w:szCs w:val="21"/>
          <w:lang w:val="en-US" w:eastAsia="zh-CN"/>
        </w:rPr>
        <w:t>2</w:t>
      </w:r>
      <w:r>
        <w:rPr>
          <w:rFonts w:hint="eastAsia" w:asciiTheme="minorEastAsia" w:hAnsiTheme="minorEastAsia"/>
          <w:sz w:val="21"/>
          <w:szCs w:val="21"/>
        </w:rPr>
        <w:t>）物理量符号和单位应符合国家标准和国际标准。外文字母必须分清大小写、正斜体( 包括黑正体、黑斜体及白正体、白斜体) 。</w:t>
      </w:r>
    </w:p>
    <w:p w14:paraId="49DB89DD">
      <w:pPr>
        <w:spacing w:line="240" w:lineRule="auto"/>
        <w:rPr>
          <w:rFonts w:asciiTheme="minorEastAsia" w:hAnsiTheme="minorEastAsia"/>
          <w:sz w:val="21"/>
          <w:szCs w:val="21"/>
        </w:rPr>
      </w:pPr>
      <w:r>
        <w:rPr>
          <w:rFonts w:hint="eastAsia" w:asciiTheme="minorEastAsia" w:hAnsiTheme="minorEastAsia"/>
          <w:sz w:val="21"/>
          <w:szCs w:val="21"/>
          <w:lang w:val="en-US" w:eastAsia="zh-CN"/>
        </w:rPr>
        <w:t>3</w:t>
      </w:r>
      <w:r>
        <w:rPr>
          <w:rFonts w:hint="eastAsia" w:asciiTheme="minorEastAsia" w:hAnsiTheme="minorEastAsia"/>
          <w:sz w:val="21"/>
          <w:szCs w:val="21"/>
        </w:rPr>
        <w:t>）上下角的字母、数码和符号，其位置高低应区分明显；容易混淆的外文字母、符号，请在第一次出现时注明。</w:t>
      </w:r>
    </w:p>
    <w:p w14:paraId="161D0D22">
      <w:pPr>
        <w:spacing w:line="240" w:lineRule="auto"/>
        <w:rPr>
          <w:rFonts w:hint="eastAsia" w:asciiTheme="minorEastAsia" w:hAnsiTheme="minorEastAsia" w:eastAsiaTheme="minorEastAsia"/>
          <w:sz w:val="21"/>
          <w:szCs w:val="21"/>
          <w:lang w:eastAsia="zh-CN"/>
        </w:rPr>
      </w:pPr>
      <w:r>
        <w:rPr>
          <w:rFonts w:hint="eastAsia" w:asciiTheme="minorEastAsia" w:hAnsiTheme="minorEastAsia"/>
          <w:sz w:val="21"/>
          <w:szCs w:val="21"/>
          <w:lang w:val="en-US" w:eastAsia="zh-CN"/>
        </w:rPr>
        <w:t>4</w:t>
      </w:r>
      <w:r>
        <w:rPr>
          <w:rFonts w:hint="eastAsia" w:asciiTheme="minorEastAsia" w:hAnsiTheme="minorEastAsia"/>
          <w:sz w:val="21"/>
          <w:szCs w:val="21"/>
        </w:rPr>
        <w:t>）数字应符合《关于出版物上数字用法的试行规定》，尽量使用阿拉伯数字。</w:t>
      </w:r>
      <w:r>
        <w:rPr>
          <w:rFonts w:hint="eastAsia" w:asciiTheme="minorEastAsia" w:hAnsiTheme="minorEastAsia"/>
          <w:sz w:val="21"/>
          <w:szCs w:val="21"/>
          <w:lang w:eastAsia="zh-CN"/>
        </w:rPr>
        <w:t>）</w:t>
      </w:r>
      <w:bookmarkStart w:id="2" w:name="_GoBack"/>
      <w:bookmarkEnd w:id="2"/>
    </w:p>
    <w:p w14:paraId="4CA4CDF3">
      <w:pPr>
        <w:pStyle w:val="17"/>
        <w:spacing w:line="360" w:lineRule="auto"/>
        <w:ind w:left="360" w:firstLine="0" w:firstLineChars="0"/>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cs="Times New Roman" w:hAnsiTheme="minorEastAsia"/>
          <w:sz w:val="24"/>
          <w:szCs w:val="24"/>
        </w:rPr>
        <w:t>参考文献</w:t>
      </w:r>
      <w:r>
        <w:rPr>
          <w:rFonts w:ascii="Times New Roman" w:hAnsi="Times New Roman" w:cs="Times New Roman"/>
          <w:sz w:val="24"/>
          <w:szCs w:val="24"/>
        </w:rPr>
        <w:t>]</w:t>
      </w:r>
    </w:p>
    <w:p w14:paraId="5038BF9F">
      <w:pPr>
        <w:pStyle w:val="17"/>
        <w:spacing w:line="240" w:lineRule="auto"/>
        <w:ind w:left="360" w:firstLine="0" w:firstLineChars="0"/>
        <w:jc w:val="left"/>
        <w:rPr>
          <w:rFonts w:ascii="Times New Roman" w:hAnsi="Times New Roman" w:cs="Times New Roman"/>
          <w:b/>
          <w:bCs/>
          <w:sz w:val="21"/>
          <w:szCs w:val="21"/>
        </w:rPr>
      </w:pPr>
      <w:r>
        <w:rPr>
          <w:rFonts w:hint="eastAsia" w:ascii="Times New Roman" w:hAnsi="Times New Roman" w:cs="Times New Roman"/>
          <w:b/>
          <w:bCs/>
          <w:sz w:val="21"/>
          <w:szCs w:val="21"/>
        </w:rPr>
        <w:t>注意事项：</w:t>
      </w:r>
    </w:p>
    <w:p w14:paraId="611720F3">
      <w:pPr>
        <w:widowControl/>
        <w:shd w:val="clear" w:color="auto" w:fill="FFFFFF"/>
        <w:spacing w:after="150" w:line="240" w:lineRule="auto"/>
        <w:jc w:val="left"/>
        <w:rPr>
          <w:rFonts w:ascii="Times New Roman" w:hAnsi="Times New Roman" w:cs="Times New Roman"/>
          <w:sz w:val="21"/>
          <w:szCs w:val="21"/>
        </w:rPr>
      </w:pPr>
      <w:r>
        <w:rPr>
          <w:rFonts w:ascii="Times New Roman" w:hAnsi="Times New Roman" w:cs="Times New Roman"/>
          <w:b w:val="0"/>
          <w:bCs w:val="0"/>
          <w:color w:val="333333"/>
          <w:kern w:val="0"/>
          <w:sz w:val="21"/>
          <w:szCs w:val="21"/>
          <w:shd w:val="clear" w:color="auto" w:fill="FFFFFF"/>
        </w:rPr>
        <w:t>1.</w:t>
      </w:r>
      <w:r>
        <w:rPr>
          <w:rFonts w:hint="eastAsia" w:asciiTheme="minorEastAsia" w:hAnsiTheme="minorEastAsia"/>
          <w:b/>
          <w:color w:val="00B050"/>
          <w:sz w:val="21"/>
          <w:szCs w:val="21"/>
        </w:rPr>
        <w:t>参考文献引用数量应不少于10篇，</w:t>
      </w:r>
      <w:r>
        <w:rPr>
          <w:rFonts w:ascii="Times New Roman" w:cs="Times New Roman" w:hAnsiTheme="minorEastAsia"/>
          <w:color w:val="333333"/>
          <w:kern w:val="0"/>
          <w:sz w:val="21"/>
          <w:szCs w:val="21"/>
          <w:shd w:val="clear" w:color="auto" w:fill="FFFFFF"/>
        </w:rPr>
        <w:t>请引用</w:t>
      </w:r>
      <w:r>
        <w:rPr>
          <w:rFonts w:ascii="Times New Roman" w:cs="Times New Roman" w:hAnsiTheme="minorEastAsia"/>
          <w:color w:val="000000"/>
          <w:kern w:val="0"/>
          <w:sz w:val="21"/>
          <w:szCs w:val="21"/>
          <w:shd w:val="clear" w:color="auto" w:fill="FFFFFF"/>
        </w:rPr>
        <w:t>国内外高水平期刊最近</w:t>
      </w:r>
      <w:r>
        <w:rPr>
          <w:rFonts w:ascii="Times New Roman" w:cs="Times New Roman" w:hAnsiTheme="minorEastAsia"/>
          <w:color w:val="333333"/>
          <w:kern w:val="0"/>
          <w:sz w:val="21"/>
          <w:szCs w:val="21"/>
          <w:shd w:val="clear" w:color="auto" w:fill="FFFFFF"/>
        </w:rPr>
        <w:t>刊出的文章，以突显出文章内容对读者的重要性。</w:t>
      </w:r>
    </w:p>
    <w:p w14:paraId="37DCD908">
      <w:pPr>
        <w:spacing w:line="240" w:lineRule="auto"/>
        <w:jc w:val="left"/>
        <w:rPr>
          <w:rFonts w:ascii="Times New Roman" w:hAnsi="Times New Roman" w:cs="Times New Roman"/>
          <w:sz w:val="21"/>
          <w:szCs w:val="21"/>
        </w:rPr>
      </w:pPr>
      <w:r>
        <w:rPr>
          <w:rFonts w:ascii="Times New Roman" w:hAnsi="Times New Roman" w:cs="Times New Roman"/>
          <w:sz w:val="21"/>
          <w:szCs w:val="21"/>
        </w:rPr>
        <w:t>2.</w:t>
      </w:r>
      <w:r>
        <w:rPr>
          <w:rFonts w:ascii="Times New Roman" w:cs="Times New Roman" w:hAnsiTheme="minorEastAsia"/>
          <w:sz w:val="21"/>
          <w:szCs w:val="21"/>
        </w:rPr>
        <w:t>参考文献序号以文中出现先后顺序编排，采用右上角标</w:t>
      </w:r>
      <w:r>
        <w:rPr>
          <w:rFonts w:hint="eastAsia" w:ascii="Times New Roman" w:cs="Times New Roman" w:hAnsiTheme="minorEastAsia"/>
          <w:color w:val="984807" w:themeColor="accent6" w:themeShade="80"/>
          <w:sz w:val="21"/>
          <w:szCs w:val="21"/>
          <w:lang w:val="en-US" w:eastAsia="zh-CN"/>
        </w:rPr>
        <w:t>（如</w:t>
      </w:r>
      <w:r>
        <w:rPr>
          <w:rFonts w:hint="eastAsia" w:ascii="Times New Roman" w:cs="Times New Roman" w:hAnsiTheme="minorEastAsia"/>
          <w:color w:val="984807" w:themeColor="accent6" w:themeShade="80"/>
          <w:sz w:val="21"/>
          <w:szCs w:val="21"/>
          <w:vertAlign w:val="superscript"/>
          <w:lang w:val="en-US" w:eastAsia="zh-CN"/>
        </w:rPr>
        <w:t>[1]</w:t>
      </w:r>
      <w:r>
        <w:rPr>
          <w:rFonts w:hint="eastAsia" w:ascii="Times New Roman" w:cs="Times New Roman" w:hAnsiTheme="minorEastAsia"/>
          <w:color w:val="984807" w:themeColor="accent6" w:themeShade="80"/>
          <w:sz w:val="21"/>
          <w:szCs w:val="21"/>
          <w:vertAlign w:val="baseline"/>
          <w:lang w:val="en-US" w:eastAsia="zh-CN"/>
        </w:rPr>
        <w:t>、</w:t>
      </w:r>
      <w:r>
        <w:rPr>
          <w:rFonts w:hint="eastAsia" w:ascii="Times New Roman" w:cs="Times New Roman" w:hAnsiTheme="minorEastAsia"/>
          <w:color w:val="984807" w:themeColor="accent6" w:themeShade="80"/>
          <w:sz w:val="21"/>
          <w:szCs w:val="21"/>
          <w:vertAlign w:val="superscript"/>
          <w:lang w:val="en-US" w:eastAsia="zh-CN"/>
        </w:rPr>
        <w:t>[4-5]</w:t>
      </w:r>
      <w:r>
        <w:rPr>
          <w:rFonts w:hint="eastAsia" w:ascii="Times New Roman" w:cs="Times New Roman" w:hAnsiTheme="minorEastAsia"/>
          <w:color w:val="984807" w:themeColor="accent6" w:themeShade="80"/>
          <w:sz w:val="21"/>
          <w:szCs w:val="21"/>
          <w:vertAlign w:val="baseline"/>
          <w:lang w:val="en-US" w:eastAsia="zh-CN"/>
        </w:rPr>
        <w:t>）</w:t>
      </w:r>
      <w:r>
        <w:rPr>
          <w:rFonts w:ascii="Times New Roman" w:cs="Times New Roman" w:hAnsiTheme="minorEastAsia"/>
          <w:sz w:val="21"/>
          <w:szCs w:val="21"/>
        </w:rPr>
        <w:t>，文中、文后一一对应，每条文献只与一个序号相对应。</w:t>
      </w:r>
    </w:p>
    <w:p w14:paraId="1EA16D95">
      <w:pPr>
        <w:spacing w:line="240" w:lineRule="auto"/>
        <w:jc w:val="left"/>
        <w:rPr>
          <w:rFonts w:ascii="Times New Roman" w:hAnsi="Times New Roman" w:cs="Times New Roman"/>
          <w:sz w:val="21"/>
          <w:szCs w:val="21"/>
        </w:rPr>
      </w:pPr>
      <w:r>
        <w:rPr>
          <w:rFonts w:ascii="Times New Roman" w:hAnsi="Times New Roman" w:cs="Times New Roman"/>
          <w:sz w:val="21"/>
          <w:szCs w:val="21"/>
        </w:rPr>
        <w:t>3.</w:t>
      </w:r>
      <w:r>
        <w:rPr>
          <w:rFonts w:ascii="Times New Roman" w:cs="Times New Roman" w:hAnsiTheme="minorEastAsia"/>
          <w:sz w:val="21"/>
          <w:szCs w:val="21"/>
        </w:rPr>
        <w:t>参考文献作者为多位时，请写出前三位作者，其后写等</w:t>
      </w:r>
      <w:r>
        <w:rPr>
          <w:rFonts w:ascii="Times New Roman" w:hAnsi="Times New Roman" w:cs="Times New Roman"/>
          <w:sz w:val="21"/>
          <w:szCs w:val="21"/>
        </w:rPr>
        <w:t>(</w:t>
      </w:r>
      <w:r>
        <w:rPr>
          <w:rFonts w:ascii="Times New Roman" w:cs="Times New Roman" w:hAnsiTheme="minorEastAsia"/>
          <w:sz w:val="21"/>
          <w:szCs w:val="21"/>
        </w:rPr>
        <w:t>外文用</w:t>
      </w:r>
      <w:r>
        <w:rPr>
          <w:rFonts w:ascii="Times New Roman" w:hAnsi="Times New Roman" w:cs="Times New Roman"/>
          <w:sz w:val="21"/>
          <w:szCs w:val="21"/>
        </w:rPr>
        <w:t>“et al”)</w:t>
      </w:r>
      <w:r>
        <w:rPr>
          <w:rFonts w:ascii="Times New Roman" w:cs="Times New Roman" w:hAnsiTheme="minorEastAsia"/>
          <w:sz w:val="21"/>
          <w:szCs w:val="21"/>
        </w:rPr>
        <w:t>。</w:t>
      </w:r>
    </w:p>
    <w:p w14:paraId="2D89FF8B">
      <w:pPr>
        <w:spacing w:line="240" w:lineRule="auto"/>
        <w:jc w:val="left"/>
        <w:rPr>
          <w:rFonts w:hint="eastAsia" w:ascii="Times New Roman" w:cs="Times New Roman" w:hAnsiTheme="minorEastAsia"/>
          <w:b/>
          <w:bCs/>
          <w:color w:val="FF0000"/>
          <w:sz w:val="21"/>
          <w:szCs w:val="21"/>
          <w:lang w:val="en-US" w:eastAsia="zh-CN"/>
        </w:rPr>
      </w:pPr>
      <w:r>
        <w:rPr>
          <w:rFonts w:hint="eastAsia" w:ascii="Times New Roman" w:cs="Times New Roman" w:hAnsiTheme="minorEastAsia"/>
          <w:b w:val="0"/>
          <w:bCs/>
          <w:sz w:val="21"/>
          <w:szCs w:val="21"/>
          <w:lang w:val="en-US" w:eastAsia="zh-CN"/>
        </w:rPr>
        <w:t>4.</w:t>
      </w:r>
      <w:r>
        <w:rPr>
          <w:rFonts w:ascii="Times New Roman" w:cs="Times New Roman" w:hAnsiTheme="minorEastAsia"/>
          <w:b w:val="0"/>
          <w:bCs/>
          <w:sz w:val="21"/>
          <w:szCs w:val="21"/>
        </w:rPr>
        <w:t>主要的引文格式：</w:t>
      </w:r>
      <w:r>
        <w:rPr>
          <w:rFonts w:hint="eastAsia" w:ascii="Times New Roman" w:cs="Times New Roman" w:hAnsiTheme="minorEastAsia"/>
          <w:b/>
          <w:bCs/>
          <w:color w:val="FF0000"/>
          <w:sz w:val="21"/>
          <w:szCs w:val="21"/>
          <w:lang w:eastAsia="zh-CN"/>
        </w:rPr>
        <w:t>（注意其中的著录符号除“</w:t>
      </w:r>
      <w:r>
        <w:rPr>
          <w:rFonts w:hint="eastAsia" w:ascii="Times New Roman" w:cs="Times New Roman" w:hAnsiTheme="minorEastAsia"/>
          <w:b/>
          <w:bCs/>
          <w:color w:val="FF0000"/>
          <w:sz w:val="21"/>
          <w:szCs w:val="21"/>
          <w:lang w:val="en-US" w:eastAsia="zh-CN"/>
        </w:rPr>
        <w:t>.</w:t>
      </w:r>
      <w:r>
        <w:rPr>
          <w:rFonts w:hint="default" w:ascii="Times New Roman" w:cs="Times New Roman" w:hAnsiTheme="minorEastAsia"/>
          <w:b/>
          <w:bCs/>
          <w:color w:val="FF0000"/>
          <w:sz w:val="21"/>
          <w:szCs w:val="21"/>
          <w:lang w:val="en-US" w:eastAsia="zh-CN"/>
        </w:rPr>
        <w:t>”</w:t>
      </w:r>
      <w:r>
        <w:rPr>
          <w:rFonts w:hint="eastAsia" w:ascii="Times New Roman" w:cs="Times New Roman" w:hAnsiTheme="minorEastAsia"/>
          <w:b/>
          <w:bCs/>
          <w:color w:val="FF0000"/>
          <w:sz w:val="21"/>
          <w:szCs w:val="21"/>
          <w:lang w:val="en-US" w:eastAsia="zh-CN"/>
        </w:rPr>
        <w:t>外，“：”、“，”、“；”、“//”、“（）”、“[]”、“/”、“-”均应该同标点符号一样采用全角录入！！！）</w:t>
      </w:r>
    </w:p>
    <w:p w14:paraId="6BB25328">
      <w:pPr>
        <w:spacing w:line="240" w:lineRule="auto"/>
        <w:jc w:val="left"/>
        <w:rPr>
          <w:rFonts w:hint="default" w:ascii="Times New Roman" w:cs="Times New Roman" w:hAnsiTheme="minorEastAsia"/>
          <w:b/>
          <w:bCs/>
          <w:color w:val="000000"/>
          <w:sz w:val="21"/>
          <w:szCs w:val="21"/>
          <w:lang w:val="en-US" w:eastAsia="zh-CN"/>
        </w:rPr>
      </w:pPr>
      <w:r>
        <w:rPr>
          <w:rFonts w:hint="eastAsia" w:ascii="Times New Roman" w:cs="Times New Roman" w:hAnsiTheme="minorEastAsia"/>
          <w:b/>
          <w:bCs/>
          <w:color w:val="558ED5" w:themeColor="text2" w:themeTint="99"/>
          <w:sz w:val="21"/>
          <w:szCs w:val="21"/>
          <w:lang w:val="en-US" w:eastAsia="zh-CN"/>
          <w14:textFill>
            <w14:solidFill>
              <w14:schemeClr w14:val="tx2">
                <w14:lumMod w14:val="60000"/>
                <w14:lumOff w14:val="40000"/>
              </w14:schemeClr>
            </w14:solidFill>
          </w14:textFill>
        </w:rPr>
        <w:t xml:space="preserve">  </w:t>
      </w:r>
      <w:r>
        <w:rPr>
          <w:rFonts w:hint="eastAsia" w:ascii="Times New Roman" w:cs="Times New Roman" w:hAnsiTheme="minorEastAsia"/>
          <w:b/>
          <w:bCs/>
          <w:color w:val="000000"/>
          <w:sz w:val="21"/>
          <w:szCs w:val="21"/>
          <w:lang w:val="en-US" w:eastAsia="zh-CN"/>
        </w:rPr>
        <w:t xml:space="preserve"> 著录格式与示例：</w:t>
      </w:r>
    </w:p>
    <w:p w14:paraId="24E80F7D">
      <w:pPr>
        <w:numPr>
          <w:ilvl w:val="0"/>
          <w:numId w:val="0"/>
        </w:numPr>
        <w:spacing w:line="240" w:lineRule="auto"/>
        <w:jc w:val="left"/>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A图书</w:t>
      </w:r>
    </w:p>
    <w:p w14:paraId="1B01FA83">
      <w:p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 xml:space="preserve">  著录格式：</w:t>
      </w:r>
    </w:p>
    <w:p w14:paraId="41ABC97D">
      <w:pPr>
        <w:spacing w:line="240" w:lineRule="auto"/>
        <w:ind w:firstLine="210" w:firstLineChars="1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主要责任者.题名：其他题名信息[文献类型标识/文献载体标识].其他责任者.版本.出版地：出版者，出版年：引文页码.获取和访问路径.永久标识符.</w:t>
      </w:r>
    </w:p>
    <w:p w14:paraId="3AF57FBF">
      <w:pPr>
        <w:spacing w:line="240" w:lineRule="auto"/>
        <w:jc w:val="left"/>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 xml:space="preserve">  示例：</w:t>
      </w:r>
    </w:p>
    <w:p w14:paraId="3F9C0675">
      <w:pPr>
        <w:spacing w:line="240" w:lineRule="auto"/>
        <w:jc w:val="left"/>
        <w:rPr>
          <w:rFonts w:hint="eastAsia" w:ascii="Times New Roman" w:cs="Times New Roman" w:hAnsiTheme="minorEastAsia"/>
          <w:b w:val="0"/>
          <w:bCs w:val="0"/>
          <w:color w:val="C55A11"/>
          <w:sz w:val="18"/>
          <w:szCs w:val="18"/>
          <w:lang w:val="en-US" w:eastAsia="zh-CN"/>
        </w:rPr>
      </w:pPr>
      <w:r>
        <w:rPr>
          <w:rFonts w:hint="eastAsia" w:ascii="Times New Roman" w:cs="Times New Roman" w:hAnsiTheme="minorEastAsia"/>
          <w:b w:val="0"/>
          <w:bCs w:val="0"/>
          <w:color w:val="000000"/>
          <w:sz w:val="18"/>
          <w:szCs w:val="18"/>
          <w:lang w:val="en-US" w:eastAsia="zh-CN"/>
        </w:rPr>
        <w:t>[1] 张伯伟.全唐五代诗格汇考[M]. 南京：江苏古籍出版社，2002:288.</w:t>
      </w:r>
      <w:r>
        <w:rPr>
          <w:rFonts w:hint="eastAsia" w:ascii="Times New Roman" w:cs="Times New Roman" w:hAnsiTheme="minorEastAsia"/>
          <w:b w:val="0"/>
          <w:bCs w:val="0"/>
          <w:color w:val="C55A11"/>
          <w:sz w:val="18"/>
          <w:szCs w:val="18"/>
          <w:lang w:val="en-US" w:eastAsia="zh-CN"/>
        </w:rPr>
        <w:t>（引文参考文献，标注具体页码）</w:t>
      </w:r>
    </w:p>
    <w:p w14:paraId="496F3F99">
      <w:pPr>
        <w:spacing w:line="240" w:lineRule="auto"/>
        <w:jc w:val="left"/>
        <w:rPr>
          <w:rFonts w:hint="eastAsia" w:ascii="Times New Roman" w:cs="Times New Roman" w:hAnsiTheme="minorEastAsia"/>
          <w:b w:val="0"/>
          <w:bCs w:val="0"/>
          <w:color w:val="C55A11"/>
          <w:sz w:val="18"/>
          <w:szCs w:val="18"/>
          <w:lang w:val="en-US" w:eastAsia="zh-CN"/>
        </w:rPr>
      </w:pPr>
      <w:r>
        <w:rPr>
          <w:rFonts w:hint="eastAsia" w:ascii="Times New Roman" w:cs="Times New Roman" w:hAnsiTheme="minorEastAsia"/>
          <w:b w:val="0"/>
          <w:bCs w:val="0"/>
          <w:color w:val="000000"/>
          <w:sz w:val="18"/>
          <w:szCs w:val="18"/>
          <w:lang w:val="en-US" w:eastAsia="zh-CN"/>
        </w:rPr>
        <w:t>[2] 康熙字典：巳集上 水部[M]. 影印本.北京：中华书局，1962:50.</w:t>
      </w:r>
      <w:r>
        <w:rPr>
          <w:rFonts w:hint="eastAsia" w:ascii="Times New Roman" w:cs="Times New Roman" w:hAnsiTheme="minorEastAsia"/>
          <w:b w:val="0"/>
          <w:bCs w:val="0"/>
          <w:color w:val="C55A11"/>
          <w:sz w:val="18"/>
          <w:szCs w:val="18"/>
          <w:lang w:val="en-US" w:eastAsia="zh-CN"/>
        </w:rPr>
        <w:t>（没有主要责任者）</w:t>
      </w:r>
    </w:p>
    <w:p w14:paraId="0E196FA6">
      <w:pPr>
        <w:spacing w:line="240" w:lineRule="auto"/>
        <w:jc w:val="left"/>
        <w:rPr>
          <w:rFonts w:hint="eastAsia" w:ascii="Times New Roman" w:cs="Times New Roman" w:hAnsiTheme="minorEastAsia"/>
          <w:b w:val="0"/>
          <w:bCs w:val="0"/>
          <w:color w:val="C55A11"/>
          <w:sz w:val="18"/>
          <w:szCs w:val="18"/>
          <w:lang w:val="en-US" w:eastAsia="zh-CN"/>
        </w:rPr>
      </w:pPr>
      <w:r>
        <w:rPr>
          <w:rFonts w:hint="eastAsia" w:ascii="Times New Roman" w:cs="Times New Roman" w:hAnsiTheme="minorEastAsia"/>
          <w:b w:val="0"/>
          <w:bCs w:val="0"/>
          <w:color w:val="000000"/>
          <w:sz w:val="18"/>
          <w:szCs w:val="18"/>
          <w:lang w:val="en-US" w:eastAsia="zh-CN"/>
        </w:rPr>
        <w:t>[3] 扬奎斯特，萨金特.递归宏观经济理论[M]. 杨斌，王忠玉，陈彦斌，等，译. 2版. 北京：中国人民大学出版社，2010：798.</w:t>
      </w:r>
      <w:r>
        <w:rPr>
          <w:rFonts w:hint="eastAsia" w:ascii="Times New Roman" w:cs="Times New Roman" w:hAnsiTheme="minorEastAsia"/>
          <w:b w:val="0"/>
          <w:bCs w:val="0"/>
          <w:color w:val="C55A11"/>
          <w:sz w:val="18"/>
          <w:szCs w:val="18"/>
          <w:lang w:val="en-US" w:eastAsia="zh-CN"/>
        </w:rPr>
        <w:t>（引文参考文献，标注具体页码）</w:t>
      </w:r>
    </w:p>
    <w:p w14:paraId="245D1603">
      <w:pPr>
        <w:spacing w:line="240" w:lineRule="auto"/>
        <w:jc w:val="both"/>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[4] Praetzellis A. Death by theory：a tale of mystery and archaeological theory [M/OL]. Rev. ed. [S. 1.]：Rowman &amp; Littlefield  Publishing  Group，Inc.，2011：13. http://lib.myilibrary.com/Open.aspx?id=293666.</w:t>
      </w:r>
    </w:p>
    <w:p w14:paraId="500D1C0B">
      <w:pPr>
        <w:numPr>
          <w:ilvl w:val="0"/>
          <w:numId w:val="0"/>
        </w:num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B图书中的析出文献</w:t>
      </w:r>
    </w:p>
    <w:p w14:paraId="1DABFAF2">
      <w:pPr>
        <w:numPr>
          <w:ilvl w:val="0"/>
          <w:numId w:val="0"/>
        </w:num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 xml:space="preserve">    著录格式：</w:t>
      </w:r>
    </w:p>
    <w:p w14:paraId="7A39F998">
      <w:pPr>
        <w:numPr>
          <w:ilvl w:val="0"/>
          <w:numId w:val="0"/>
        </w:numPr>
        <w:spacing w:line="240" w:lineRule="auto"/>
        <w:ind w:firstLine="420" w:firstLineChars="200"/>
        <w:jc w:val="left"/>
        <w:rPr>
          <w:rFonts w:hint="default" w:ascii="Times New Roman" w:cs="Times New Roman" w:hAnsiTheme="minorEastAsia"/>
          <w:b w:val="0"/>
          <w:bCs w:val="0"/>
          <w:color w:val="000000"/>
          <w:sz w:val="21"/>
          <w:szCs w:val="21"/>
          <w:lang w:val="en-US" w:eastAsia="zh-CN"/>
        </w:rPr>
      </w:pPr>
      <w:r>
        <w:rPr>
          <w:rFonts w:hint="default" w:ascii="Times New Roman" w:cs="Times New Roman" w:hAnsiTheme="minorEastAsia"/>
          <w:b w:val="0"/>
          <w:bCs w:val="0"/>
          <w:color w:val="000000"/>
          <w:sz w:val="21"/>
          <w:szCs w:val="21"/>
          <w:lang w:val="en-US" w:eastAsia="zh-CN"/>
        </w:rPr>
        <w:t>析出文献主要责任者.</w:t>
      </w:r>
      <w:r>
        <w:rPr>
          <w:rFonts w:hint="eastAsia" w:ascii="Times New Roman" w:cs="Times New Roman" w:hAnsiTheme="minorEastAsia"/>
          <w:b w:val="0"/>
          <w:bCs w:val="0"/>
          <w:color w:val="000000"/>
          <w:sz w:val="21"/>
          <w:szCs w:val="21"/>
          <w:lang w:val="en-US" w:eastAsia="zh-CN"/>
        </w:rPr>
        <w:t xml:space="preserve"> </w:t>
      </w:r>
      <w:r>
        <w:rPr>
          <w:rFonts w:hint="default" w:ascii="Times New Roman" w:cs="Times New Roman" w:hAnsiTheme="minorEastAsia"/>
          <w:b w:val="0"/>
          <w:bCs w:val="0"/>
          <w:color w:val="000000"/>
          <w:sz w:val="21"/>
          <w:szCs w:val="21"/>
          <w:lang w:val="en-US" w:eastAsia="zh-CN"/>
        </w:rPr>
        <w:t>析出文献题名</w:t>
      </w:r>
      <w:r>
        <w:rPr>
          <w:rFonts w:hint="eastAsia" w:ascii="Times New Roman" w:cs="Times New Roman" w:hAnsiTheme="minorEastAsia"/>
          <w:b w:val="0"/>
          <w:bCs w:val="0"/>
          <w:color w:val="000000"/>
          <w:sz w:val="21"/>
          <w:szCs w:val="21"/>
          <w:lang w:val="en-US" w:eastAsia="zh-CN"/>
        </w:rPr>
        <w:t>：</w:t>
      </w:r>
      <w:r>
        <w:rPr>
          <w:rFonts w:hint="default" w:ascii="Times New Roman" w:cs="Times New Roman" w:hAnsiTheme="minorEastAsia"/>
          <w:b w:val="0"/>
          <w:bCs w:val="0"/>
          <w:color w:val="000000"/>
          <w:sz w:val="21"/>
          <w:szCs w:val="21"/>
          <w:lang w:val="en-US" w:eastAsia="zh-CN"/>
        </w:rPr>
        <w:t>析出文献其他题名信息[文献类型标识/文献载体标识].</w:t>
      </w:r>
      <w:r>
        <w:rPr>
          <w:rFonts w:hint="eastAsia" w:ascii="Times New Roman" w:cs="Times New Roman" w:hAnsiTheme="minorEastAsia"/>
          <w:b w:val="0"/>
          <w:bCs w:val="0"/>
          <w:color w:val="000000"/>
          <w:sz w:val="21"/>
          <w:szCs w:val="21"/>
          <w:lang w:val="en-US" w:eastAsia="zh-CN"/>
        </w:rPr>
        <w:t xml:space="preserve"> </w:t>
      </w:r>
      <w:r>
        <w:rPr>
          <w:rFonts w:hint="default" w:ascii="Times New Roman" w:cs="Times New Roman" w:hAnsiTheme="minorEastAsia"/>
          <w:b w:val="0"/>
          <w:bCs w:val="0"/>
          <w:color w:val="000000"/>
          <w:sz w:val="21"/>
          <w:szCs w:val="21"/>
          <w:lang w:val="en-US" w:eastAsia="zh-CN"/>
        </w:rPr>
        <w:t>析出文献其他责任者//图书主要责任者.</w:t>
      </w:r>
      <w:r>
        <w:rPr>
          <w:rFonts w:hint="eastAsia" w:ascii="Times New Roman" w:cs="Times New Roman" w:hAnsiTheme="minorEastAsia"/>
          <w:b w:val="0"/>
          <w:bCs w:val="0"/>
          <w:color w:val="000000"/>
          <w:sz w:val="21"/>
          <w:szCs w:val="21"/>
          <w:lang w:val="en-US" w:eastAsia="zh-CN"/>
        </w:rPr>
        <w:t xml:space="preserve"> </w:t>
      </w:r>
      <w:r>
        <w:rPr>
          <w:rFonts w:hint="default" w:ascii="Times New Roman" w:cs="Times New Roman" w:hAnsiTheme="minorEastAsia"/>
          <w:b w:val="0"/>
          <w:bCs w:val="0"/>
          <w:color w:val="000000"/>
          <w:sz w:val="21"/>
          <w:szCs w:val="21"/>
          <w:lang w:val="en-US" w:eastAsia="zh-CN"/>
        </w:rPr>
        <w:t>图书题名</w:t>
      </w:r>
      <w:r>
        <w:rPr>
          <w:rFonts w:hint="eastAsia" w:ascii="Times New Roman" w:cs="Times New Roman" w:hAnsiTheme="minorEastAsia"/>
          <w:b w:val="0"/>
          <w:bCs w:val="0"/>
          <w:color w:val="000000"/>
          <w:sz w:val="21"/>
          <w:szCs w:val="21"/>
          <w:lang w:val="en-US" w:eastAsia="zh-CN"/>
        </w:rPr>
        <w:t>：</w:t>
      </w:r>
      <w:r>
        <w:rPr>
          <w:rFonts w:hint="default" w:ascii="Times New Roman" w:cs="Times New Roman" w:hAnsiTheme="minorEastAsia"/>
          <w:b w:val="0"/>
          <w:bCs w:val="0"/>
          <w:color w:val="000000"/>
          <w:sz w:val="21"/>
          <w:szCs w:val="21"/>
          <w:lang w:val="en-US" w:eastAsia="zh-CN"/>
        </w:rPr>
        <w:t>其他题名信息.</w:t>
      </w:r>
      <w:r>
        <w:rPr>
          <w:rFonts w:hint="eastAsia" w:ascii="Times New Roman" w:cs="Times New Roman" w:hAnsiTheme="minorEastAsia"/>
          <w:b w:val="0"/>
          <w:bCs w:val="0"/>
          <w:color w:val="000000"/>
          <w:sz w:val="21"/>
          <w:szCs w:val="21"/>
          <w:lang w:val="en-US" w:eastAsia="zh-CN"/>
        </w:rPr>
        <w:t xml:space="preserve"> </w:t>
      </w:r>
      <w:r>
        <w:rPr>
          <w:rFonts w:hint="default" w:ascii="Times New Roman" w:cs="Times New Roman" w:hAnsiTheme="minorEastAsia"/>
          <w:b w:val="0"/>
          <w:bCs w:val="0"/>
          <w:color w:val="000000"/>
          <w:sz w:val="21"/>
          <w:szCs w:val="21"/>
          <w:lang w:val="en-US" w:eastAsia="zh-CN"/>
        </w:rPr>
        <w:t>版本.</w:t>
      </w:r>
      <w:r>
        <w:rPr>
          <w:rFonts w:hint="eastAsia" w:ascii="Times New Roman" w:cs="Times New Roman" w:hAnsiTheme="minorEastAsia"/>
          <w:b w:val="0"/>
          <w:bCs w:val="0"/>
          <w:color w:val="000000"/>
          <w:sz w:val="21"/>
          <w:szCs w:val="21"/>
          <w:lang w:val="en-US" w:eastAsia="zh-CN"/>
        </w:rPr>
        <w:t xml:space="preserve"> </w:t>
      </w:r>
      <w:r>
        <w:rPr>
          <w:rFonts w:hint="default" w:ascii="Times New Roman" w:cs="Times New Roman" w:hAnsiTheme="minorEastAsia"/>
          <w:b w:val="0"/>
          <w:bCs w:val="0"/>
          <w:color w:val="000000"/>
          <w:sz w:val="21"/>
          <w:szCs w:val="21"/>
          <w:lang w:val="en-US" w:eastAsia="zh-CN"/>
        </w:rPr>
        <w:t>出版地：出版者，出版年：析出文献页码.</w:t>
      </w:r>
      <w:r>
        <w:rPr>
          <w:rFonts w:hint="eastAsia" w:ascii="Times New Roman" w:cs="Times New Roman" w:hAnsiTheme="minorEastAsia"/>
          <w:b w:val="0"/>
          <w:bCs w:val="0"/>
          <w:color w:val="000000"/>
          <w:sz w:val="21"/>
          <w:szCs w:val="21"/>
          <w:lang w:val="en-US" w:eastAsia="zh-CN"/>
        </w:rPr>
        <w:t xml:space="preserve"> </w:t>
      </w:r>
      <w:r>
        <w:rPr>
          <w:rFonts w:hint="default" w:ascii="Times New Roman" w:cs="Times New Roman" w:hAnsiTheme="minorEastAsia"/>
          <w:b w:val="0"/>
          <w:bCs w:val="0"/>
          <w:color w:val="000000"/>
          <w:sz w:val="21"/>
          <w:szCs w:val="21"/>
          <w:lang w:val="en-US" w:eastAsia="zh-CN"/>
        </w:rPr>
        <w:t>获取和访问路径.</w:t>
      </w:r>
      <w:r>
        <w:rPr>
          <w:rFonts w:hint="eastAsia" w:ascii="Times New Roman" w:cs="Times New Roman" w:hAnsiTheme="minorEastAsia"/>
          <w:b w:val="0"/>
          <w:bCs w:val="0"/>
          <w:color w:val="000000"/>
          <w:sz w:val="21"/>
          <w:szCs w:val="21"/>
          <w:lang w:val="en-US" w:eastAsia="zh-CN"/>
        </w:rPr>
        <w:t xml:space="preserve"> </w:t>
      </w:r>
      <w:r>
        <w:rPr>
          <w:rFonts w:hint="default" w:ascii="Times New Roman" w:cs="Times New Roman" w:hAnsiTheme="minorEastAsia"/>
          <w:b w:val="0"/>
          <w:bCs w:val="0"/>
          <w:color w:val="000000"/>
          <w:sz w:val="21"/>
          <w:szCs w:val="21"/>
          <w:lang w:val="en-US" w:eastAsia="zh-CN"/>
        </w:rPr>
        <w:t xml:space="preserve">永久标识符. </w:t>
      </w:r>
    </w:p>
    <w:p w14:paraId="3F29B5C1">
      <w:pPr>
        <w:numPr>
          <w:ilvl w:val="0"/>
          <w:numId w:val="0"/>
        </w:num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示例：</w:t>
      </w:r>
    </w:p>
    <w:p w14:paraId="763D77D2">
      <w:pPr>
        <w:numPr>
          <w:ilvl w:val="0"/>
          <w:numId w:val="0"/>
        </w:numPr>
        <w:spacing w:line="240" w:lineRule="auto"/>
        <w:jc w:val="left"/>
        <w:rPr>
          <w:rFonts w:hint="default" w:ascii="Times New Roman" w:cs="Times New Roman" w:hAnsiTheme="minorEastAsia"/>
          <w:b w:val="0"/>
          <w:bCs w:val="0"/>
          <w:color w:val="000000"/>
          <w:sz w:val="18"/>
          <w:szCs w:val="18"/>
          <w:lang w:val="en-US" w:eastAsia="zh-CN"/>
        </w:rPr>
      </w:pPr>
      <w:r>
        <w:rPr>
          <w:rFonts w:hint="default" w:ascii="Times New Roman" w:cs="Times New Roman" w:hAnsiTheme="minorEastAsia"/>
          <w:b w:val="0"/>
          <w:bCs w:val="0"/>
          <w:color w:val="000000"/>
          <w:sz w:val="18"/>
          <w:szCs w:val="18"/>
          <w:lang w:val="en-US" w:eastAsia="zh-CN"/>
        </w:rPr>
        <w:t>[1]</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阿扬.</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谈谈记忆：与诺贝尔获奖得者埃里克·坎德尔的问答[M].</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姜海伦，译//《环球科学》杂志社.</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认识记忆力：关于学习、思考与遗忘的脑科学.</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北京：机械工业出版壮，2023</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15-18.</w:t>
      </w:r>
    </w:p>
    <w:p w14:paraId="2D18F55D">
      <w:pPr>
        <w:numPr>
          <w:ilvl w:val="0"/>
          <w:numId w:val="0"/>
        </w:numPr>
        <w:spacing w:line="240" w:lineRule="auto"/>
        <w:jc w:val="left"/>
        <w:rPr>
          <w:rFonts w:hint="default" w:ascii="Times New Roman" w:cs="Times New Roman" w:hAnsiTheme="minorEastAsia"/>
          <w:b w:val="0"/>
          <w:bCs w:val="0"/>
          <w:color w:val="000000"/>
          <w:sz w:val="18"/>
          <w:szCs w:val="18"/>
          <w:lang w:val="en-US" w:eastAsia="zh-CN"/>
        </w:rPr>
      </w:pPr>
      <w:r>
        <w:rPr>
          <w:rFonts w:hint="default" w:ascii="Times New Roman" w:cs="Times New Roman" w:hAnsiTheme="minorEastAsia"/>
          <w:b w:val="0"/>
          <w:bCs w:val="0"/>
          <w:color w:val="000000"/>
          <w:sz w:val="18"/>
          <w:szCs w:val="18"/>
          <w:lang w:val="en-US" w:eastAsia="zh-CN"/>
        </w:rPr>
        <w:t>[</w:t>
      </w:r>
      <w:r>
        <w:rPr>
          <w:rFonts w:hint="eastAsia" w:ascii="Times New Roman" w:cs="Times New Roman" w:hAnsiTheme="minorEastAsia"/>
          <w:b w:val="0"/>
          <w:bCs w:val="0"/>
          <w:color w:val="000000"/>
          <w:sz w:val="18"/>
          <w:szCs w:val="18"/>
          <w:lang w:val="en-US" w:eastAsia="zh-CN"/>
        </w:rPr>
        <w:t>2</w:t>
      </w:r>
      <w:r>
        <w:rPr>
          <w:rFonts w:hint="default" w:ascii="Times New Roman" w:cs="Times New Roman" w:hAnsiTheme="minorEastAsia"/>
          <w:b w:val="0"/>
          <w:bCs w:val="0"/>
          <w:color w:val="000000"/>
          <w:sz w:val="18"/>
          <w:szCs w:val="18"/>
          <w:lang w:val="en-US" w:eastAsia="zh-CN"/>
        </w:rPr>
        <w:t>]</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马克思.</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政治经济学批判[M]//马克思，恩格斯.马克思恩格斯全集：第35卷.</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2版.</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北京：人民出版社，2013</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302.</w:t>
      </w:r>
    </w:p>
    <w:p w14:paraId="3075DD79">
      <w:pPr>
        <w:numPr>
          <w:ilvl w:val="0"/>
          <w:numId w:val="0"/>
        </w:numPr>
        <w:spacing w:line="240" w:lineRule="auto"/>
        <w:jc w:val="both"/>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[3] Roberson J A，Burneson E G. Drinking water quality standards，regulations and goals [M/OL]//American Water Works Association.Water quality &amp; treatment：a handbook on drinking water. 6th ed. New York：McGraw-Hill，2011：1.1-1.36. http://lib.myilibrary.com/Open,aspx?id=291430.</w:t>
      </w:r>
    </w:p>
    <w:p w14:paraId="7CA80AD9">
      <w:pPr>
        <w:numPr>
          <w:ilvl w:val="0"/>
          <w:numId w:val="0"/>
        </w:numPr>
        <w:spacing w:line="240" w:lineRule="auto"/>
        <w:jc w:val="both"/>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C连续出版物中的析出文献</w:t>
      </w:r>
    </w:p>
    <w:p w14:paraId="0F7D5652">
      <w:pPr>
        <w:numPr>
          <w:ilvl w:val="0"/>
          <w:numId w:val="0"/>
        </w:numPr>
        <w:spacing w:line="240" w:lineRule="auto"/>
        <w:ind w:firstLine="420" w:firstLineChars="200"/>
        <w:jc w:val="both"/>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著录格式:</w:t>
      </w:r>
    </w:p>
    <w:p w14:paraId="2CF5F881">
      <w:pPr>
        <w:spacing w:line="240" w:lineRule="auto"/>
        <w:ind w:firstLine="420" w:firstLineChars="200"/>
        <w:jc w:val="both"/>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析出文献主要责任者. 析出文献题名：析出文献其他题名信息[文献类型标识/文献载体标识]. 析出文献其他责任者. 连续出版物题名：其他题名信息，年，卷(期/版次):页码. 获取和访问路径. 永久标识符.</w:t>
      </w:r>
    </w:p>
    <w:p w14:paraId="4E360DBE">
      <w:p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注：外文期刊作者的一般格式是名在前，姓在后。请改为姓在前（首字母大写），名在后（只写首字母并且大写）；刊名的首字母及各个实词的首字母大写。</w:t>
      </w:r>
    </w:p>
    <w:p w14:paraId="28E9816B">
      <w:p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示例：</w:t>
      </w:r>
    </w:p>
    <w:p w14:paraId="4C5F7488">
      <w:pPr>
        <w:spacing w:line="240" w:lineRule="auto"/>
        <w:jc w:val="left"/>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[1] 丁文详. 数字革命与竞争国际化[N]. 中国青年报，2000-11-20（15）.</w:t>
      </w:r>
    </w:p>
    <w:p w14:paraId="3BF84C10">
      <w:pPr>
        <w:spacing w:line="240" w:lineRule="auto"/>
        <w:jc w:val="left"/>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[2] 于潇，刘义，柴跃廷，等. 互联网药品可信交易环境中主体资质审核备案模式[J]. 清华大学学报（自然科学版），2012，52（11）：1518-1523.</w:t>
      </w:r>
    </w:p>
    <w:p w14:paraId="038DBE19">
      <w:pPr>
        <w:keepNext w:val="0"/>
        <w:keepLines w:val="0"/>
        <w:pageBreakBefore w:val="0"/>
        <w:widowControl w:val="0"/>
        <w:kinsoku/>
        <w:wordWrap w:val="0"/>
        <w:overflowPunct/>
        <w:topLinePunct w:val="0"/>
        <w:autoSpaceDE/>
        <w:autoSpaceDN/>
        <w:bidi w:val="0"/>
        <w:adjustRightInd/>
        <w:snapToGrid/>
        <w:spacing w:line="240" w:lineRule="auto"/>
        <w:jc w:val="both"/>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[3] 张群，程志宝，石志飞. 惯性增强动力吸振器-浮置板轨道低频减振性能研究[J/OL]. 铁道学报，2024-05-09. https://kns.cnki.net/kcms/detail/11.2104.u.20240507.1737.002.html.</w:t>
      </w:r>
    </w:p>
    <w:p w14:paraId="79A5CEBE">
      <w:pPr>
        <w:keepNext w:val="0"/>
        <w:keepLines w:val="0"/>
        <w:pageBreakBefore w:val="0"/>
        <w:widowControl w:val="0"/>
        <w:kinsoku/>
        <w:wordWrap w:val="0"/>
        <w:overflowPunct/>
        <w:topLinePunct w:val="0"/>
        <w:autoSpaceDE/>
        <w:autoSpaceDN/>
        <w:bidi w:val="0"/>
        <w:adjustRightInd/>
        <w:snapToGrid/>
        <w:spacing w:line="240" w:lineRule="auto"/>
        <w:jc w:val="both"/>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 xml:space="preserve">[4] Veen P H v d，Muller M，Vincken K L，et al. Longitudinal changes in br-ain volumes and  cerebrovascular lesions on MRI in patients with manifest art-erial disease：the SMART-MR study[J/OL]. </w:t>
      </w:r>
      <w:r>
        <w:rPr>
          <w:rFonts w:hint="eastAsia" w:ascii="Times New Roman" w:cs="Times New Roman" w:hAnsiTheme="minorEastAsia"/>
          <w:b w:val="0"/>
          <w:bCs w:val="0"/>
          <w:color w:val="000000"/>
          <w:sz w:val="18"/>
          <w:szCs w:val="18"/>
          <w:highlight w:val="none"/>
          <w:lang w:val="en-US" w:eastAsia="zh-CN"/>
        </w:rPr>
        <w:t xml:space="preserve">Journal of the Neurological Science-s，2014，337（1/2）：112-118. </w:t>
      </w:r>
      <w:r>
        <w:rPr>
          <w:rFonts w:hint="eastAsia" w:ascii="Times New Roman" w:cs="Times New Roman" w:hAnsiTheme="minorEastAsia"/>
          <w:b w:val="0"/>
          <w:bCs w:val="0"/>
          <w:color w:val="000000"/>
          <w:sz w:val="18"/>
          <w:szCs w:val="18"/>
          <w:highlight w:val="none"/>
          <w:lang w:val="en-US" w:eastAsia="zh-CN"/>
        </w:rPr>
        <w:fldChar w:fldCharType="begin"/>
      </w:r>
      <w:r>
        <w:rPr>
          <w:rFonts w:hint="eastAsia" w:ascii="Times New Roman" w:cs="Times New Roman" w:hAnsiTheme="minorEastAsia"/>
          <w:b w:val="0"/>
          <w:bCs w:val="0"/>
          <w:color w:val="000000"/>
          <w:sz w:val="18"/>
          <w:szCs w:val="18"/>
          <w:highlight w:val="none"/>
          <w:lang w:val="en-US" w:eastAsia="zh-CN"/>
        </w:rPr>
        <w:instrText xml:space="preserve"> HYPERLINK "https://pubmed.ncbi.nlm,nih.gov/24314719/.DOI:10.1016/j.jns.2013.11.029." </w:instrText>
      </w:r>
      <w:r>
        <w:rPr>
          <w:rFonts w:hint="eastAsia" w:ascii="Times New Roman" w:cs="Times New Roman" w:hAnsiTheme="minorEastAsia"/>
          <w:b w:val="0"/>
          <w:bCs w:val="0"/>
          <w:color w:val="000000"/>
          <w:sz w:val="18"/>
          <w:szCs w:val="18"/>
          <w:highlight w:val="none"/>
          <w:lang w:val="en-US" w:eastAsia="zh-CN"/>
        </w:rPr>
        <w:fldChar w:fldCharType="separate"/>
      </w:r>
      <w:r>
        <w:rPr>
          <w:rStyle w:val="12"/>
          <w:rFonts w:hint="eastAsia" w:ascii="Times New Roman" w:cs="Times New Roman" w:hAnsiTheme="minorEastAsia"/>
          <w:b w:val="0"/>
          <w:bCs w:val="0"/>
          <w:color w:val="000000"/>
          <w:sz w:val="18"/>
          <w:szCs w:val="18"/>
          <w:highlight w:val="none"/>
          <w:lang w:val="en-US" w:eastAsia="zh-CN"/>
        </w:rPr>
        <w:t>https://pubmed.ncbi.nlm,nih.gov/24314719/.DOI:10.1016/j.jns.2013.11.029.</w:t>
      </w:r>
      <w:r>
        <w:rPr>
          <w:rFonts w:hint="eastAsia" w:ascii="Times New Roman" w:cs="Times New Roman" w:hAnsiTheme="minorEastAsia"/>
          <w:b w:val="0"/>
          <w:bCs w:val="0"/>
          <w:color w:val="000000"/>
          <w:sz w:val="18"/>
          <w:szCs w:val="18"/>
          <w:highlight w:val="none"/>
          <w:lang w:val="en-US" w:eastAsia="zh-CN"/>
        </w:rPr>
        <w:fldChar w:fldCharType="end"/>
      </w:r>
      <w:r>
        <w:rPr>
          <w:rFonts w:hint="eastAsia" w:ascii="Times New Roman" w:cs="Times New Roman" w:hAnsiTheme="minorEastAsia"/>
          <w:b w:val="0"/>
          <w:bCs w:val="0"/>
          <w:color w:val="000000"/>
          <w:sz w:val="18"/>
          <w:szCs w:val="18"/>
          <w:lang w:val="en-US" w:eastAsia="zh-CN"/>
        </w:rPr>
        <w:t xml:space="preserve"> DOI:10.1016/j.jns.2013.11.029. </w:t>
      </w:r>
    </w:p>
    <w:p w14:paraId="275DAD20">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Times New Roman" w:cs="Times New Roman" w:hAnsiTheme="minorEastAsia"/>
          <w:b/>
          <w:bCs/>
          <w:color w:val="000000"/>
          <w:sz w:val="21"/>
          <w:szCs w:val="21"/>
          <w:lang w:val="en-US" w:eastAsia="zh-CN"/>
        </w:rPr>
      </w:pPr>
      <w:r>
        <w:rPr>
          <w:rFonts w:hint="eastAsia" w:ascii="Times New Roman" w:cs="Times New Roman" w:hAnsiTheme="minorEastAsia"/>
          <w:b w:val="0"/>
          <w:bCs w:val="0"/>
          <w:color w:val="000000"/>
          <w:sz w:val="18"/>
          <w:szCs w:val="18"/>
          <w:lang w:val="en-US" w:eastAsia="zh-CN"/>
        </w:rPr>
        <w:t xml:space="preserve">[5] Shan Y，Xu J，Sun X，et al. Preparation of  AIN powder of low oxygen content via carbothermal reduction and nitridation by active gas exchange techn-ique[J]. Ceramics International，2020，46（13）：21182-21189. </w:t>
      </w:r>
      <w:r>
        <w:rPr>
          <w:rFonts w:hint="eastAsia" w:ascii="Times New Roman" w:cs="Times New Roman" w:hAnsiTheme="minorEastAsia"/>
          <w:b/>
          <w:bCs/>
          <w:color w:val="000000"/>
          <w:sz w:val="21"/>
          <w:szCs w:val="21"/>
          <w:lang w:val="en-US" w:eastAsia="zh-CN"/>
        </w:rPr>
        <w:t xml:space="preserve">  </w:t>
      </w:r>
    </w:p>
    <w:p w14:paraId="4CAB6D33">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D 会议录</w:t>
      </w:r>
    </w:p>
    <w:p w14:paraId="331366FB">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D1析出文献形式出现的会议录</w:t>
      </w:r>
    </w:p>
    <w:p w14:paraId="0B6F25B3">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著录格式：</w:t>
      </w:r>
    </w:p>
    <w:p w14:paraId="797245E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 xml:space="preserve">凡以图书、图书中的析出文献、连续出版物、连续出版物中的析出文献形式出现的会议录，其著录项目与著录格式应分别按其对应的有关规则处理。 </w:t>
      </w:r>
    </w:p>
    <w:p w14:paraId="459ACFEE">
      <w:pPr>
        <w:keepNext w:val="0"/>
        <w:keepLines w:val="0"/>
        <w:pageBreakBefore w:val="0"/>
        <w:widowControl w:val="0"/>
        <w:kinsoku/>
        <w:wordWrap w:val="0"/>
        <w:overflowPunct/>
        <w:topLinePunct w:val="0"/>
        <w:autoSpaceDE/>
        <w:autoSpaceDN/>
        <w:bidi w:val="0"/>
        <w:adjustRightInd/>
        <w:snapToGrid/>
        <w:spacing w:line="240" w:lineRule="auto"/>
        <w:ind w:firstLine="480"/>
        <w:jc w:val="left"/>
        <w:textAlignment w:val="auto"/>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示例：</w:t>
      </w:r>
    </w:p>
    <w:p w14:paraId="15294ADD">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default"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 xml:space="preserve">[1] </w:t>
      </w:r>
      <w:r>
        <w:rPr>
          <w:rFonts w:hint="default" w:ascii="Times New Roman" w:cs="Times New Roman" w:hAnsiTheme="minorEastAsia"/>
          <w:b w:val="0"/>
          <w:bCs w:val="0"/>
          <w:color w:val="000000"/>
          <w:sz w:val="18"/>
          <w:szCs w:val="18"/>
          <w:lang w:val="en-US" w:eastAsia="zh-CN"/>
        </w:rPr>
        <w:t>牛志明，Swingland I R，雷光春.</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综合湿地管理：综合湿地管理国际研讨会论文集[C].</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北京：海洋出版社，2012.</w:t>
      </w:r>
    </w:p>
    <w:p w14:paraId="4B116735">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default" w:ascii="Times New Roman" w:cs="Times New Roman" w:hAnsiTheme="minorEastAsia"/>
          <w:b w:val="0"/>
          <w:bCs w:val="0"/>
          <w:color w:val="000000"/>
          <w:sz w:val="18"/>
          <w:szCs w:val="18"/>
          <w:lang w:val="en-US" w:eastAsia="zh-CN"/>
        </w:rPr>
      </w:pPr>
      <w:r>
        <w:rPr>
          <w:rFonts w:hint="default" w:ascii="Times New Roman" w:cs="Times New Roman" w:hAnsiTheme="minorEastAsia"/>
          <w:b w:val="0"/>
          <w:bCs w:val="0"/>
          <w:color w:val="000000"/>
          <w:sz w:val="18"/>
          <w:szCs w:val="18"/>
          <w:lang w:val="en-US" w:eastAsia="zh-CN"/>
        </w:rPr>
        <w:t>[2]</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汪学军.</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中国农业转基因生物研发进展与安全管理[C]//国家环境保护总局生物安全管理办公室.</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中国国家生物安全框架实施国际合作项目研讨会论文集.</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北京：中国环境科学出版社</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2005</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22-25.</w:t>
      </w:r>
    </w:p>
    <w:p w14:paraId="7B7FD0F2">
      <w:pPr>
        <w:keepNext w:val="0"/>
        <w:keepLines w:val="0"/>
        <w:pageBreakBefore w:val="0"/>
        <w:widowControl w:val="0"/>
        <w:kinsoku/>
        <w:wordWrap w:val="0"/>
        <w:overflowPunct/>
        <w:topLinePunct w:val="0"/>
        <w:autoSpaceDE/>
        <w:autoSpaceDN/>
        <w:bidi w:val="0"/>
        <w:adjustRightInd/>
        <w:snapToGrid/>
        <w:spacing w:line="240" w:lineRule="auto"/>
        <w:jc w:val="both"/>
        <w:textAlignment w:val="auto"/>
        <w:rPr>
          <w:rFonts w:hint="default" w:ascii="Times New Roman" w:cs="Times New Roman" w:hAnsiTheme="minorEastAsia"/>
          <w:b w:val="0"/>
          <w:bCs w:val="0"/>
          <w:color w:val="000000"/>
          <w:sz w:val="18"/>
          <w:szCs w:val="18"/>
          <w:lang w:val="en-US" w:eastAsia="zh-CN"/>
        </w:rPr>
      </w:pPr>
      <w:r>
        <w:rPr>
          <w:rFonts w:hint="default" w:ascii="Times New Roman" w:cs="Times New Roman" w:hAnsiTheme="minorEastAsia"/>
          <w:b w:val="0"/>
          <w:bCs w:val="0"/>
          <w:color w:val="000000"/>
          <w:sz w:val="18"/>
          <w:szCs w:val="18"/>
          <w:lang w:val="en-US" w:eastAsia="zh-CN"/>
        </w:rPr>
        <w:t>[3]</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Fourney M E.</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Advances in holographic photoelasticity[C]//Gottenberg W G.</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Symposium  on Applications of Holography in Mechanics</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August 23-25</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1971</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University of Southern</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California</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Los Angeles</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Califiornia.</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New York</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ASME</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1971</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17-38.</w:t>
      </w:r>
    </w:p>
    <w:p w14:paraId="6D6754F0">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D2 会议录</w:t>
      </w:r>
    </w:p>
    <w:p w14:paraId="33566091">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著录格式：</w:t>
      </w:r>
    </w:p>
    <w:p w14:paraId="0A310CD6">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 xml:space="preserve">    主要责任者. 题名：其他题名信息[文献类型标识/文献载体标识]//会议名称，会议年份：引文页码. 获取和访问路径. 永久标识符. </w:t>
      </w:r>
    </w:p>
    <w:p w14:paraId="5471B8A8">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 xml:space="preserve">示例：    </w:t>
      </w:r>
    </w:p>
    <w:p w14:paraId="664B819C">
      <w:pPr>
        <w:keepNext w:val="0"/>
        <w:keepLines w:val="0"/>
        <w:pageBreakBefore w:val="0"/>
        <w:widowControl w:val="0"/>
        <w:numPr>
          <w:ilvl w:val="0"/>
          <w:numId w:val="3"/>
        </w:numPr>
        <w:kinsoku/>
        <w:wordWrap w:val="0"/>
        <w:overflowPunct/>
        <w:topLinePunct w:val="0"/>
        <w:autoSpaceDE/>
        <w:autoSpaceDN/>
        <w:bidi w:val="0"/>
        <w:adjustRightInd/>
        <w:snapToGrid/>
        <w:spacing w:line="240" w:lineRule="auto"/>
        <w:jc w:val="left"/>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李妍，王莹. 医疗机构保洁人员“一前五后”手卫生干预效果研究[C]//中华预防医学会医院感染控制分会第31次全国医院感染学术年会，2022：2.</w:t>
      </w:r>
    </w:p>
    <w:p w14:paraId="50AAF702">
      <w:pPr>
        <w:keepNext w:val="0"/>
        <w:keepLines w:val="0"/>
        <w:pageBreakBefore w:val="0"/>
        <w:widowControl w:val="0"/>
        <w:numPr>
          <w:ilvl w:val="0"/>
          <w:numId w:val="3"/>
        </w:numPr>
        <w:kinsoku/>
        <w:wordWrap w:val="0"/>
        <w:overflowPunct/>
        <w:topLinePunct w:val="0"/>
        <w:autoSpaceDE/>
        <w:autoSpaceDN/>
        <w:bidi w:val="0"/>
        <w:adjustRightInd/>
        <w:snapToGrid/>
        <w:spacing w:line="240" w:lineRule="auto"/>
        <w:jc w:val="left"/>
        <w:textAlignment w:val="auto"/>
        <w:rPr>
          <w:rFonts w:hint="default"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Yu Yang，Pan Erting，Wang Xinya，et al. Unmixing before fusion：a gene-ralized paradigm for multi-source based hyperspectral image synthesis[C/OL]//CVPR，2024：4. https://openaccess.thecvf.com/content/ CVPR2024/html/Yu_Unmixing_Before_Fusion_A_Generalized_Paradigm_for_Multi-Source-based_Hyper- spectral_Image_CVPR_2024_paper.html.</w:t>
      </w:r>
    </w:p>
    <w:p w14:paraId="7BEDD834">
      <w:pPr>
        <w:spacing w:line="240" w:lineRule="auto"/>
        <w:jc w:val="left"/>
        <w:rPr>
          <w:rFonts w:hint="eastAsia" w:ascii="Times New Roman" w:cs="Times New Roman" w:hAnsiTheme="minorEastAsia" w:eastAsia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E学位论文</w:t>
      </w:r>
    </w:p>
    <w:p w14:paraId="20A33986">
      <w:pPr>
        <w:spacing w:line="240" w:lineRule="auto"/>
        <w:ind w:firstLine="48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著录格式：</w:t>
      </w:r>
    </w:p>
    <w:p w14:paraId="56BB4C84">
      <w:p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 xml:space="preserve">主要责任者. 题名：其他题名信息[文献类型标识/文献载体标识].学位授予单位所在地：学位授予单位，学位授予年：引文页码. 获取和访问路径. 永久标识符. </w:t>
      </w:r>
    </w:p>
    <w:p w14:paraId="13EDEDC1">
      <w:p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示例：</w:t>
      </w:r>
    </w:p>
    <w:p w14:paraId="258BCB37">
      <w:pPr>
        <w:spacing w:line="240" w:lineRule="auto"/>
        <w:jc w:val="left"/>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[1]</w:t>
      </w:r>
      <w:r>
        <w:rPr>
          <w:rFonts w:hint="eastAsia" w:ascii="Times New Roman" w:cs="Times New Roman" w:hAnsiTheme="minorEastAsia"/>
          <w:b w:val="0"/>
          <w:bCs w:val="0"/>
          <w:color w:val="000000"/>
          <w:sz w:val="21"/>
          <w:szCs w:val="21"/>
          <w:lang w:val="en-US" w:eastAsia="zh-CN"/>
        </w:rPr>
        <w:t xml:space="preserve"> </w:t>
      </w:r>
      <w:r>
        <w:rPr>
          <w:rFonts w:hint="eastAsia" w:ascii="Times New Roman" w:cs="Times New Roman" w:hAnsiTheme="minorEastAsia"/>
          <w:b w:val="0"/>
          <w:bCs w:val="0"/>
          <w:color w:val="000000"/>
          <w:sz w:val="18"/>
          <w:szCs w:val="18"/>
          <w:lang w:val="en-US" w:eastAsia="zh-CN"/>
        </w:rPr>
        <w:t>杨泽域. 基于系统不变量的PLC脆弱性分析与攻击检测研究[D]. 杭州：浙江大学，2023：19-34.</w:t>
      </w:r>
    </w:p>
    <w:p w14:paraId="5F02612D">
      <w:pPr>
        <w:spacing w:line="240" w:lineRule="auto"/>
        <w:jc w:val="left"/>
        <w:rPr>
          <w:rFonts w:hint="default"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 xml:space="preserve">[2] 金燕萍. 社交媒体时代的虚假信息研究[D/OL]. 温州：温州大学，2020：16. https://d.wanfangdata. com.cn/thesis/D02216281. </w:t>
      </w:r>
    </w:p>
    <w:p w14:paraId="302EA2DB">
      <w:pPr>
        <w:spacing w:line="240" w:lineRule="auto"/>
        <w:jc w:val="both"/>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[3] Cairns B R. Infrared spectroscopic studies of solid oxygen[D]. Berkeley：University of California，Berkeley，1965：15.</w:t>
      </w:r>
    </w:p>
    <w:p w14:paraId="7112AF62">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[4] Christou A. Improving knowledge graph understanding with contextual view-s[D/OL]. Ohio：Wright State University，2024：18. http：//rave.ohiolink.edu/etdc/view?acc_num=wright1715878159408301.</w:t>
      </w:r>
    </w:p>
    <w:p w14:paraId="389F3655">
      <w:p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F 报告</w:t>
      </w:r>
    </w:p>
    <w:p w14:paraId="50F955C8">
      <w:pPr>
        <w:spacing w:line="240" w:lineRule="auto"/>
        <w:ind w:firstLine="420" w:firstLineChars="200"/>
        <w:jc w:val="left"/>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著录格式：</w:t>
      </w:r>
    </w:p>
    <w:p w14:paraId="4C596BC8">
      <w:pPr>
        <w:spacing w:line="240" w:lineRule="auto"/>
        <w:ind w:firstLine="420" w:firstLineChars="200"/>
        <w:jc w:val="left"/>
        <w:rPr>
          <w:rFonts w:hint="default" w:ascii="Times New Roman" w:cs="Times New Roman" w:hAnsiTheme="minorEastAsia"/>
          <w:b/>
          <w:bCs/>
          <w:color w:val="000000"/>
          <w:sz w:val="21"/>
          <w:szCs w:val="21"/>
          <w:lang w:val="en-US" w:eastAsia="zh-CN"/>
        </w:rPr>
      </w:pPr>
      <w:r>
        <w:rPr>
          <w:rFonts w:hint="default" w:ascii="Times New Roman" w:cs="Times New Roman" w:hAnsiTheme="minorEastAsia"/>
          <w:b w:val="0"/>
          <w:bCs w:val="0"/>
          <w:color w:val="000000"/>
          <w:sz w:val="21"/>
          <w:szCs w:val="21"/>
          <w:lang w:val="en-US" w:eastAsia="zh-CN"/>
        </w:rPr>
        <w:t>凡以图书、图书中的析出文献、连续出版物、连续出版物中的析出文献形式出现的报告，其著录项目与著录格式应分别按其对应的有关规则处理。除此之外的报告应按以下格式著录：“主要责任者题名：其他购名信息：报告编号[文献类型标识/文献载体标识].</w:t>
      </w:r>
      <w:r>
        <w:rPr>
          <w:rFonts w:hint="eastAsia" w:ascii="Times New Roman" w:cs="Times New Roman" w:hAnsiTheme="minorEastAsia"/>
          <w:b w:val="0"/>
          <w:bCs w:val="0"/>
          <w:color w:val="000000"/>
          <w:sz w:val="21"/>
          <w:szCs w:val="21"/>
          <w:lang w:val="en-US" w:eastAsia="zh-CN"/>
        </w:rPr>
        <w:t xml:space="preserve"> </w:t>
      </w:r>
      <w:r>
        <w:rPr>
          <w:rFonts w:hint="default" w:ascii="Times New Roman" w:cs="Times New Roman" w:hAnsiTheme="minorEastAsia"/>
          <w:b w:val="0"/>
          <w:bCs w:val="0"/>
          <w:color w:val="000000"/>
          <w:sz w:val="21"/>
          <w:szCs w:val="21"/>
          <w:lang w:val="en-US" w:eastAsia="zh-CN"/>
        </w:rPr>
        <w:t>发布日期：引文页码.</w:t>
      </w:r>
      <w:r>
        <w:rPr>
          <w:rFonts w:hint="eastAsia" w:ascii="Times New Roman" w:cs="Times New Roman" w:hAnsiTheme="minorEastAsia"/>
          <w:b w:val="0"/>
          <w:bCs w:val="0"/>
          <w:color w:val="000000"/>
          <w:sz w:val="21"/>
          <w:szCs w:val="21"/>
          <w:lang w:val="en-US" w:eastAsia="zh-CN"/>
        </w:rPr>
        <w:t xml:space="preserve"> </w:t>
      </w:r>
      <w:r>
        <w:rPr>
          <w:rFonts w:hint="default" w:ascii="Times New Roman" w:cs="Times New Roman" w:hAnsiTheme="minorEastAsia"/>
          <w:b w:val="0"/>
          <w:bCs w:val="0"/>
          <w:color w:val="000000"/>
          <w:sz w:val="21"/>
          <w:szCs w:val="21"/>
          <w:lang w:val="en-US" w:eastAsia="zh-CN"/>
        </w:rPr>
        <w:t>获取和访问路径.</w:t>
      </w:r>
      <w:r>
        <w:rPr>
          <w:rFonts w:hint="eastAsia" w:ascii="Times New Roman" w:cs="Times New Roman" w:hAnsiTheme="minorEastAsia"/>
          <w:b w:val="0"/>
          <w:bCs w:val="0"/>
          <w:color w:val="000000"/>
          <w:sz w:val="21"/>
          <w:szCs w:val="21"/>
          <w:lang w:val="en-US" w:eastAsia="zh-CN"/>
        </w:rPr>
        <w:t xml:space="preserve"> </w:t>
      </w:r>
      <w:r>
        <w:rPr>
          <w:rFonts w:hint="default" w:ascii="Times New Roman" w:cs="Times New Roman" w:hAnsiTheme="minorEastAsia"/>
          <w:b w:val="0"/>
          <w:bCs w:val="0"/>
          <w:color w:val="000000"/>
          <w:sz w:val="21"/>
          <w:szCs w:val="21"/>
          <w:lang w:val="en-US" w:eastAsia="zh-CN"/>
        </w:rPr>
        <w:t>永久标识符.”</w:t>
      </w:r>
    </w:p>
    <w:p w14:paraId="20B9818F">
      <w:pPr>
        <w:spacing w:line="240" w:lineRule="auto"/>
        <w:ind w:firstLine="420" w:firstLineChars="200"/>
        <w:jc w:val="left"/>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示例：</w:t>
      </w:r>
    </w:p>
    <w:p w14:paraId="589FE4FB">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default" w:ascii="Times New Roman" w:cs="Times New Roman" w:hAnsiTheme="minorEastAsia"/>
          <w:b w:val="0"/>
          <w:bCs w:val="0"/>
          <w:color w:val="000000"/>
          <w:sz w:val="18"/>
          <w:szCs w:val="18"/>
          <w:lang w:val="en-US" w:eastAsia="zh-CN"/>
        </w:rPr>
      </w:pPr>
      <w:r>
        <w:rPr>
          <w:rFonts w:hint="default" w:ascii="Times New Roman" w:cs="Times New Roman" w:hAnsiTheme="minorEastAsia"/>
          <w:b w:val="0"/>
          <w:bCs w:val="0"/>
          <w:color w:val="000000"/>
          <w:sz w:val="18"/>
          <w:szCs w:val="18"/>
          <w:lang w:val="en-US" w:eastAsia="zh-CN"/>
        </w:rPr>
        <w:t>[1] 汤万金，杨跃翔，刘文，等.</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人体安全要技术国二研制最终报告</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7178999X-2006BAK4A10/10.2013 [R/OL].</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2013-09-30.</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http:/</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1wwnstrs.cn/xiangxiBG.aspx? id=41707.</w:t>
      </w:r>
    </w:p>
    <w:p w14:paraId="19B69C48">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default" w:ascii="Times New Roman" w:cs="Times New Roman" w:hAnsiTheme="minorEastAsia"/>
          <w:b w:val="0"/>
          <w:bCs w:val="0"/>
          <w:color w:val="000000"/>
          <w:sz w:val="18"/>
          <w:szCs w:val="18"/>
          <w:lang w:val="en-US" w:eastAsia="zh-CN"/>
        </w:rPr>
      </w:pPr>
      <w:r>
        <w:rPr>
          <w:rFonts w:hint="default" w:ascii="Times New Roman" w:cs="Times New Roman" w:hAnsiTheme="minorEastAsia"/>
          <w:b w:val="0"/>
          <w:bCs w:val="0"/>
          <w:color w:val="000000"/>
          <w:sz w:val="18"/>
          <w:szCs w:val="18"/>
          <w:lang w:val="en-US" w:eastAsia="zh-CN"/>
        </w:rPr>
        <w:t>[2] Calkin</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D E</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Ager A A</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Thompson M P</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et al.</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A comparative risk assess</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 xml:space="preserve">ment </w:t>
      </w:r>
      <w:r>
        <w:rPr>
          <w:rFonts w:hint="eastAsia" w:ascii="Times New Roman" w:cs="Times New Roman" w:hAnsiTheme="minorEastAsia"/>
          <w:b w:val="0"/>
          <w:bCs w:val="0"/>
          <w:color w:val="000000"/>
          <w:sz w:val="18"/>
          <w:szCs w:val="18"/>
          <w:lang w:val="en-US" w:eastAsia="zh-CN"/>
        </w:rPr>
        <w:t>f</w:t>
      </w:r>
      <w:r>
        <w:rPr>
          <w:rFonts w:hint="default" w:ascii="Times New Roman" w:cs="Times New Roman" w:hAnsiTheme="minorEastAsia"/>
          <w:b w:val="0"/>
          <w:bCs w:val="0"/>
          <w:color w:val="000000"/>
          <w:sz w:val="18"/>
          <w:szCs w:val="18"/>
          <w:lang w:val="en-US" w:eastAsia="zh-CN"/>
        </w:rPr>
        <w:t>ramework for</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wildland fire maragemen</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the 2010 cohesive strategy scien</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ce report</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RMRS-GTR-262[R/OL].</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2011</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8-9.</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https://ww.fs.usda.gov/rm/pubs/rmrs_gtr262.pdf.</w:t>
      </w:r>
    </w:p>
    <w:p w14:paraId="599A8CAB">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default" w:ascii="Times New Roman" w:cs="Times New Roman" w:hAnsiTheme="minorEastAsia"/>
          <w:b w:val="0"/>
          <w:bCs w:val="0"/>
          <w:color w:val="000000"/>
          <w:sz w:val="18"/>
          <w:szCs w:val="18"/>
          <w:lang w:val="en-US" w:eastAsia="zh-CN"/>
        </w:rPr>
      </w:pPr>
      <w:r>
        <w:rPr>
          <w:rFonts w:hint="default" w:ascii="Times New Roman" w:cs="Times New Roman" w:hAnsiTheme="minorEastAsia"/>
          <w:b w:val="0"/>
          <w:bCs w:val="0"/>
          <w:color w:val="000000"/>
          <w:sz w:val="18"/>
          <w:szCs w:val="18"/>
          <w:lang w:val="en-US" w:eastAsia="zh-CN"/>
        </w:rPr>
        <w:t>[3] U.S.</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Department of Transpor</w:t>
      </w:r>
      <w:r>
        <w:rPr>
          <w:rFonts w:hint="eastAsia" w:ascii="Times New Roman" w:cs="Times New Roman" w:hAnsiTheme="minorEastAsia"/>
          <w:b w:val="0"/>
          <w:bCs w:val="0"/>
          <w:color w:val="000000"/>
          <w:sz w:val="18"/>
          <w:szCs w:val="18"/>
          <w:lang w:val="en-US" w:eastAsia="zh-CN"/>
        </w:rPr>
        <w:t>t</w:t>
      </w:r>
      <w:r>
        <w:rPr>
          <w:rFonts w:hint="default" w:ascii="Times New Roman" w:cs="Times New Roman" w:hAnsiTheme="minorEastAsia"/>
          <w:b w:val="0"/>
          <w:bCs w:val="0"/>
          <w:color w:val="000000"/>
          <w:sz w:val="18"/>
          <w:szCs w:val="18"/>
          <w:lang w:val="en-US" w:eastAsia="zh-CN"/>
        </w:rPr>
        <w:t>ation Federal Highway Adminisration.</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Guid</w:t>
      </w:r>
      <w:r>
        <w:rPr>
          <w:rFonts w:hint="eastAsia" w:ascii="Times New Roman" w:cs="Times New Roman" w:hAnsiTheme="minorEastAsia"/>
          <w:b w:val="0"/>
          <w:bCs w:val="0"/>
          <w:color w:val="000000"/>
          <w:sz w:val="18"/>
          <w:szCs w:val="18"/>
          <w:lang w:val="en-US" w:eastAsia="zh-CN"/>
        </w:rPr>
        <w:t>e</w:t>
      </w:r>
      <w:r>
        <w:rPr>
          <w:rFonts w:hint="default" w:ascii="Times New Roman" w:cs="Times New Roman" w:hAnsiTheme="minorEastAsia"/>
          <w:b w:val="0"/>
          <w:bCs w:val="0"/>
          <w:color w:val="000000"/>
          <w:sz w:val="18"/>
          <w:szCs w:val="18"/>
          <w:lang w:val="en-US" w:eastAsia="zh-CN"/>
        </w:rPr>
        <w:t>lin</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es for handling excavated acid-producing materials</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PB 91-194001[R].Springfiel</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d</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U.S.</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Department</w:t>
      </w:r>
      <w:r>
        <w:rPr>
          <w:rFonts w:hint="eastAsia" w:ascii="Times New Roman" w:cs="Times New Roman" w:hAnsiTheme="minorEastAsia"/>
          <w:b w:val="0"/>
          <w:bCs w:val="0"/>
          <w:color w:val="000000"/>
          <w:sz w:val="18"/>
          <w:szCs w:val="18"/>
          <w:lang w:val="en-US" w:eastAsia="zh-CN"/>
        </w:rPr>
        <w:t xml:space="preserve"> </w:t>
      </w:r>
      <w:r>
        <w:rPr>
          <w:rFonts w:hint="default" w:ascii="Times New Roman" w:cs="Times New Roman" w:hAnsiTheme="minorEastAsia"/>
          <w:b w:val="0"/>
          <w:bCs w:val="0"/>
          <w:color w:val="000000"/>
          <w:sz w:val="18"/>
          <w:szCs w:val="18"/>
          <w:lang w:val="en-US" w:eastAsia="zh-CN"/>
        </w:rPr>
        <w:t>of Commerce National Information Service</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1990</w:t>
      </w:r>
      <w:r>
        <w:rPr>
          <w:rFonts w:hint="eastAsia" w:ascii="Times New Roman" w:cs="Times New Roman" w:hAnsiTheme="minorEastAsia"/>
          <w:b w:val="0"/>
          <w:bCs w:val="0"/>
          <w:color w:val="000000"/>
          <w:sz w:val="18"/>
          <w:szCs w:val="18"/>
          <w:lang w:val="en-US" w:eastAsia="zh-CN"/>
        </w:rPr>
        <w:t>：</w:t>
      </w:r>
      <w:r>
        <w:rPr>
          <w:rFonts w:hint="default" w:ascii="Times New Roman" w:cs="Times New Roman" w:hAnsiTheme="minorEastAsia"/>
          <w:b w:val="0"/>
          <w:bCs w:val="0"/>
          <w:color w:val="000000"/>
          <w:sz w:val="18"/>
          <w:szCs w:val="18"/>
          <w:lang w:val="en-US" w:eastAsia="zh-CN"/>
        </w:rPr>
        <w:t>25.</w:t>
      </w:r>
    </w:p>
    <w:p w14:paraId="6E8D9C5F">
      <w:p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G 专利</w:t>
      </w:r>
    </w:p>
    <w:p w14:paraId="2E37ED3A">
      <w:p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 xml:space="preserve">   著录格式：</w:t>
      </w:r>
    </w:p>
    <w:p w14:paraId="46E51D92">
      <w:p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 xml:space="preserve">   专利申请者/所有者. 题名：其他题名信息：专利申请号[文献类型标识/文献载体标识]. 公告(公开)日期：引文页码. 获取和访问路径. 永久标识符. </w:t>
      </w:r>
    </w:p>
    <w:p w14:paraId="16B6DB3A">
      <w:p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 xml:space="preserve">   示例：</w:t>
      </w:r>
    </w:p>
    <w:p w14:paraId="73DA0407">
      <w:pPr>
        <w:spacing w:line="240" w:lineRule="auto"/>
        <w:jc w:val="left"/>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[1] 邓一刚. 全智能节电器：CN200610171314.3[P]. 2008-01-16：8-9.</w:t>
      </w:r>
    </w:p>
    <w:p w14:paraId="31B24268">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 xml:space="preserve">[2] 西安电子科技大学. 光折变自适应光外差探测方法：CNO1128777.2[P/OL]. </w:t>
      </w:r>
    </w:p>
    <w:p w14:paraId="0C61E059">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2002-03-06. http://211.152.9.47/sipoasp/zljs/hyjs-yx-new.asp?recid=01128777.2&amp;leixin=0.</w:t>
      </w:r>
    </w:p>
    <w:p w14:paraId="483BEC0E">
      <w:pPr>
        <w:keepNext w:val="0"/>
        <w:keepLines w:val="0"/>
        <w:pageBreakBefore w:val="0"/>
        <w:widowControl w:val="0"/>
        <w:kinsoku/>
        <w:wordWrap w:val="0"/>
        <w:overflowPunct/>
        <w:topLinePunct w:val="0"/>
        <w:autoSpaceDE/>
        <w:autoSpaceDN/>
        <w:bidi w:val="0"/>
        <w:adjustRightInd/>
        <w:snapToGrid/>
        <w:spacing w:line="240" w:lineRule="auto"/>
        <w:jc w:val="both"/>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[3] Triscc Icap Pty Ltd. Storage and delivery system：AU2022228203A[P/OL]. 2022-10-06. https//worldwide.espacernet.com/patent/search/family/061561249/publi-cation/AU2022228203Al?q=AU202228203A.</w:t>
      </w:r>
    </w:p>
    <w:p w14:paraId="3996A983">
      <w:p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H 网站、网页</w:t>
      </w:r>
    </w:p>
    <w:p w14:paraId="74C0B054">
      <w:p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凡以网页形式出现的图书、连续出版物、会议录、学位论文、报告、标准、专利、档案、地图、数据集、预印本，应按相应文献类型的规则著录，除此之外的网站、网页及其析出内容应按以下著录格式著录。</w:t>
      </w:r>
    </w:p>
    <w:p w14:paraId="0B1CAEDA">
      <w:pPr>
        <w:spacing w:line="240" w:lineRule="auto"/>
        <w:jc w:val="left"/>
        <w:rPr>
          <w:rFonts w:hint="default" w:ascii="Times New Roman" w:cs="Times New Roman" w:hAnsiTheme="minorEastAsia"/>
          <w:b/>
          <w:bCs/>
          <w:color w:val="000000"/>
          <w:sz w:val="21"/>
          <w:szCs w:val="21"/>
          <w:lang w:val="en-US" w:eastAsia="zh-CN"/>
        </w:rPr>
      </w:pPr>
      <w:r>
        <w:rPr>
          <w:rFonts w:hint="eastAsia" w:ascii="Times New Roman" w:cs="Times New Roman" w:hAnsiTheme="minorEastAsia"/>
          <w:b w:val="0"/>
          <w:bCs w:val="0"/>
          <w:color w:val="000000"/>
          <w:sz w:val="21"/>
          <w:szCs w:val="21"/>
          <w:lang w:val="en-US" w:eastAsia="zh-CN"/>
        </w:rPr>
        <w:t>H1 网站</w:t>
      </w:r>
    </w:p>
    <w:p w14:paraId="19E794CE">
      <w:p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著录格式：</w:t>
      </w:r>
    </w:p>
    <w:p w14:paraId="2CA484B8">
      <w:p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主要责任者. 题名：其他题名信息[文献类型标识/文献载体标识].（创建或修改日期）[引用日期].获取和访问路径.</w:t>
      </w:r>
    </w:p>
    <w:p w14:paraId="375B84F8">
      <w:p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953735" w:themeColor="accent2" w:themeShade="BF"/>
          <w:sz w:val="21"/>
          <w:szCs w:val="21"/>
          <w:lang w:val="en-US" w:eastAsia="zh-CN"/>
        </w:rPr>
        <w:t xml:space="preserve">    </w:t>
      </w:r>
      <w:r>
        <w:rPr>
          <w:rFonts w:hint="eastAsia" w:ascii="Times New Roman" w:cs="Times New Roman" w:hAnsiTheme="minorEastAsia"/>
          <w:b w:val="0"/>
          <w:bCs w:val="0"/>
          <w:color w:val="000000"/>
          <w:sz w:val="21"/>
          <w:szCs w:val="21"/>
          <w:lang w:val="en-US" w:eastAsia="zh-CN"/>
        </w:rPr>
        <w:t>示例 ：</w:t>
      </w:r>
    </w:p>
    <w:p w14:paraId="597FDBB3">
      <w:pPr>
        <w:spacing w:line="240" w:lineRule="auto"/>
        <w:jc w:val="left"/>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[1] 中国国家博物馆[EB/OL]. [2025-05-06]. https://www.chnmuseum.cn/.</w:t>
      </w:r>
    </w:p>
    <w:p w14:paraId="031AF007">
      <w:pPr>
        <w:spacing w:line="240" w:lineRule="auto"/>
        <w:jc w:val="left"/>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 xml:space="preserve">[2] Library of Congress[EB/OL]. [2020-06-12]. </w:t>
      </w:r>
      <w:r>
        <w:rPr>
          <w:rFonts w:hint="eastAsia" w:ascii="Times New Roman" w:cs="Times New Roman" w:hAnsiTheme="minorEastAsia"/>
          <w:b w:val="0"/>
          <w:bCs w:val="0"/>
          <w:color w:val="000000"/>
          <w:sz w:val="18"/>
          <w:szCs w:val="18"/>
          <w:lang w:val="en-US" w:eastAsia="zh-CN"/>
        </w:rPr>
        <w:fldChar w:fldCharType="begin"/>
      </w:r>
      <w:r>
        <w:rPr>
          <w:rFonts w:hint="eastAsia" w:ascii="Times New Roman" w:cs="Times New Roman" w:hAnsiTheme="minorEastAsia"/>
          <w:b w:val="0"/>
          <w:bCs w:val="0"/>
          <w:color w:val="000000"/>
          <w:sz w:val="18"/>
          <w:szCs w:val="18"/>
          <w:lang w:val="en-US" w:eastAsia="zh-CN"/>
        </w:rPr>
        <w:instrText xml:space="preserve"> HYPERLINK "https://www.loc.gov." </w:instrText>
      </w:r>
      <w:r>
        <w:rPr>
          <w:rFonts w:hint="eastAsia" w:ascii="Times New Roman" w:cs="Times New Roman" w:hAnsiTheme="minorEastAsia"/>
          <w:b w:val="0"/>
          <w:bCs w:val="0"/>
          <w:color w:val="000000"/>
          <w:sz w:val="18"/>
          <w:szCs w:val="18"/>
          <w:lang w:val="en-US" w:eastAsia="zh-CN"/>
        </w:rPr>
        <w:fldChar w:fldCharType="separate"/>
      </w:r>
      <w:r>
        <w:rPr>
          <w:rStyle w:val="12"/>
          <w:rFonts w:hint="eastAsia" w:ascii="Times New Roman" w:cs="Times New Roman" w:hAnsiTheme="minorEastAsia"/>
          <w:b w:val="0"/>
          <w:bCs w:val="0"/>
          <w:color w:val="000000"/>
          <w:sz w:val="18"/>
          <w:szCs w:val="18"/>
          <w:lang w:val="en-US" w:eastAsia="zh-CN"/>
        </w:rPr>
        <w:t>https://www.loc.gov.</w:t>
      </w:r>
      <w:r>
        <w:rPr>
          <w:rFonts w:hint="eastAsia" w:ascii="Times New Roman" w:cs="Times New Roman" w:hAnsiTheme="minorEastAsia"/>
          <w:b w:val="0"/>
          <w:bCs w:val="0"/>
          <w:color w:val="000000"/>
          <w:sz w:val="18"/>
          <w:szCs w:val="18"/>
          <w:lang w:val="en-US" w:eastAsia="zh-CN"/>
        </w:rPr>
        <w:fldChar w:fldCharType="end"/>
      </w:r>
    </w:p>
    <w:p w14:paraId="1F413C87">
      <w:pPr>
        <w:spacing w:line="240" w:lineRule="auto"/>
        <w:jc w:val="left"/>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H2 网页</w:t>
      </w:r>
    </w:p>
    <w:p w14:paraId="5B265FA3">
      <w:pPr>
        <w:spacing w:line="240" w:lineRule="auto"/>
        <w:ind w:firstLine="420" w:firstLineChars="200"/>
        <w:jc w:val="left"/>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著录格式：</w:t>
      </w:r>
    </w:p>
    <w:p w14:paraId="52AF3C7F">
      <w:p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主要责任者. 题名：其他题名信息[文献类型标识/文献载体标识].（创建或修改日期）[引用日期]. 获取和访问路径. 永久标识符.</w:t>
      </w:r>
    </w:p>
    <w:p w14:paraId="4E30F024">
      <w:p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示例：</w:t>
      </w:r>
    </w:p>
    <w:p w14:paraId="7CBD3CC2">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[1] 高等教育文献保障系统. 馆际互借与文献传递服务[EB/OL]. [2025-06-21]. http://home.calis.edu.cn/pages/list.html?id=4101e184-7f64-4798-a5e1-8e37aa6994fc.</w:t>
      </w:r>
    </w:p>
    <w:p w14:paraId="60A0A89A">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[2] [《昨日之歌》图书封面][EB/OL].（2015-09-18）[2023-03-06]. http://www.luxunmuseum.com.cn/ uploads/allimg/150813/1-150Q31952110-L.jpg.</w:t>
      </w:r>
    </w:p>
    <w:p w14:paraId="35B1CFE0">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default"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 xml:space="preserve">[3] António M, Pepper L. Histórias de Portugal：livros caidos[EB/OL].（2019-07-13）[2025-01-02]. </w:t>
      </w:r>
      <w:r>
        <w:rPr>
          <w:rFonts w:hint="eastAsia" w:ascii="Times New Roman" w:cs="Times New Roman" w:hAnsiTheme="minorEastAsia"/>
          <w:b w:val="0"/>
          <w:bCs w:val="0"/>
          <w:color w:val="000000"/>
          <w:sz w:val="18"/>
          <w:szCs w:val="18"/>
          <w:lang w:val="en-US" w:eastAsia="zh-CN"/>
        </w:rPr>
        <w:fldChar w:fldCharType="begin"/>
      </w:r>
      <w:r>
        <w:rPr>
          <w:rFonts w:hint="eastAsia" w:ascii="Times New Roman" w:cs="Times New Roman" w:hAnsiTheme="minorEastAsia"/>
          <w:b w:val="0"/>
          <w:bCs w:val="0"/>
          <w:color w:val="000000"/>
          <w:sz w:val="18"/>
          <w:szCs w:val="18"/>
          <w:lang w:val="en-US" w:eastAsia="zh-CN"/>
        </w:rPr>
        <w:instrText xml:space="preserve"> HYPERLINK "https://arquivo.pt/wayback/20190905210731/http://publico.pt/2019/07/13/sociedade/noticia/podcast-his-torias-portugal-cuidadores-1879731." </w:instrText>
      </w:r>
      <w:r>
        <w:rPr>
          <w:rFonts w:hint="eastAsia" w:ascii="Times New Roman" w:cs="Times New Roman" w:hAnsiTheme="minorEastAsia"/>
          <w:b w:val="0"/>
          <w:bCs w:val="0"/>
          <w:color w:val="000000"/>
          <w:sz w:val="18"/>
          <w:szCs w:val="18"/>
          <w:lang w:val="en-US" w:eastAsia="zh-CN"/>
        </w:rPr>
        <w:fldChar w:fldCharType="separate"/>
      </w:r>
      <w:r>
        <w:rPr>
          <w:rStyle w:val="12"/>
          <w:rFonts w:hint="eastAsia" w:ascii="Times New Roman" w:cs="Times New Roman" w:hAnsiTheme="minorEastAsia"/>
          <w:b w:val="0"/>
          <w:bCs w:val="0"/>
          <w:sz w:val="18"/>
          <w:szCs w:val="18"/>
          <w:lang w:val="en-US" w:eastAsia="zh-CN"/>
        </w:rPr>
        <w:t>https://arquivo.pt/wayback/20190905210731/http://publico.pt/2019/07/13/sociedade/noticia/podcast-his-torias-portugal-cuidadores-1879731.</w:t>
      </w:r>
      <w:r>
        <w:rPr>
          <w:rFonts w:hint="eastAsia" w:ascii="Times New Roman" w:cs="Times New Roman" w:hAnsiTheme="minorEastAsia"/>
          <w:b w:val="0"/>
          <w:bCs w:val="0"/>
          <w:color w:val="000000"/>
          <w:sz w:val="18"/>
          <w:szCs w:val="18"/>
          <w:lang w:val="en-US" w:eastAsia="zh-CN"/>
        </w:rPr>
        <w:fldChar w:fldCharType="end"/>
      </w:r>
      <w:r>
        <w:rPr>
          <w:rFonts w:hint="eastAsia" w:ascii="Times New Roman" w:cs="Times New Roman" w:hAnsiTheme="minorEastAsia"/>
          <w:b w:val="0"/>
          <w:bCs w:val="0"/>
          <w:color w:val="000000"/>
          <w:sz w:val="18"/>
          <w:szCs w:val="18"/>
          <w:lang w:val="en-US" w:eastAsia="zh-CN"/>
        </w:rPr>
        <w:t xml:space="preserve"> </w:t>
      </w:r>
    </w:p>
    <w:p w14:paraId="551F082D">
      <w:pPr>
        <w:spacing w:line="240" w:lineRule="auto"/>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I 预印本</w:t>
      </w:r>
    </w:p>
    <w:p w14:paraId="2BFB1659">
      <w:pPr>
        <w:spacing w:line="240" w:lineRule="auto"/>
        <w:ind w:firstLine="420" w:firstLineChars="200"/>
        <w:jc w:val="left"/>
        <w:rPr>
          <w:rFonts w:hint="default"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著录格式:</w:t>
      </w:r>
    </w:p>
    <w:p w14:paraId="6C886B01">
      <w:pPr>
        <w:spacing w:line="240" w:lineRule="auto"/>
        <w:ind w:firstLine="420" w:firstLineChars="200"/>
        <w:jc w:val="left"/>
        <w:rPr>
          <w:rFonts w:hint="eastAsia" w:ascii="Times New Roman" w:cs="Times New Roman" w:hAnsiTheme="minorEastAsia"/>
          <w:b w:val="0"/>
          <w:bCs w:val="0"/>
          <w:color w:val="000000"/>
          <w:sz w:val="21"/>
          <w:szCs w:val="21"/>
          <w:lang w:val="en-US" w:eastAsia="zh-CN"/>
        </w:rPr>
      </w:pPr>
      <w:r>
        <w:rPr>
          <w:rFonts w:hint="eastAsia" w:ascii="Times New Roman" w:cs="Times New Roman" w:hAnsiTheme="minorEastAsia"/>
          <w:b w:val="0"/>
          <w:bCs w:val="0"/>
          <w:color w:val="000000"/>
          <w:sz w:val="21"/>
          <w:szCs w:val="21"/>
          <w:lang w:val="en-US" w:eastAsia="zh-CN"/>
        </w:rPr>
        <w:t>主要责任者. 题名：其他题名信息[文献类型标识/文献载体标识]. 版本. 出版平台（创建或修改日期）[引用日期]. 获取和访问路径. 永久标识符.</w:t>
      </w:r>
    </w:p>
    <w:p w14:paraId="7D0BED11">
      <w:pPr>
        <w:spacing w:line="240" w:lineRule="auto"/>
        <w:ind w:firstLine="420" w:firstLineChars="200"/>
        <w:jc w:val="left"/>
        <w:rPr>
          <w:rFonts w:hint="eastAsia" w:ascii="Times New Roman" w:cs="Times New Roman" w:hAnsiTheme="minorEastAsia"/>
          <w:b/>
          <w:bCs/>
          <w:color w:val="000000"/>
          <w:sz w:val="21"/>
          <w:szCs w:val="21"/>
          <w:lang w:val="en-US" w:eastAsia="zh-CN"/>
        </w:rPr>
      </w:pPr>
      <w:r>
        <w:rPr>
          <w:rFonts w:hint="eastAsia" w:ascii="Times New Roman" w:cs="Times New Roman" w:hAnsiTheme="minorEastAsia"/>
          <w:b w:val="0"/>
          <w:bCs w:val="0"/>
          <w:color w:val="000000"/>
          <w:sz w:val="21"/>
          <w:szCs w:val="21"/>
          <w:lang w:val="en-US" w:eastAsia="zh-CN"/>
        </w:rPr>
        <w:t>示例：</w:t>
      </w:r>
    </w:p>
    <w:p w14:paraId="615EEE5D">
      <w:pPr>
        <w:keepNext w:val="0"/>
        <w:keepLines w:val="0"/>
        <w:pageBreakBefore w:val="0"/>
        <w:widowControl w:val="0"/>
        <w:kinsoku/>
        <w:wordWrap w:val="0"/>
        <w:overflowPunct/>
        <w:topLinePunct w:val="0"/>
        <w:autoSpaceDE/>
        <w:autoSpaceDN/>
        <w:bidi w:val="0"/>
        <w:adjustRightInd/>
        <w:snapToGrid/>
        <w:spacing w:line="240" w:lineRule="auto"/>
        <w:jc w:val="both"/>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[1] 肖玲，张雪，王永. 数据要素的统计测算方法探究[PP/OL]. PSSXiv（2024-07-02）[2024-09-30]. https://zsyyb.cn/abs/202408.01096.CSTR:32012.36.PSSXiv.202408.01096.</w:t>
      </w:r>
    </w:p>
    <w:p w14:paraId="364D36D8">
      <w:pPr>
        <w:keepNext w:val="0"/>
        <w:keepLines w:val="0"/>
        <w:pageBreakBefore w:val="0"/>
        <w:widowControl w:val="0"/>
        <w:kinsoku/>
        <w:wordWrap w:val="0"/>
        <w:overflowPunct/>
        <w:topLinePunct w:val="0"/>
        <w:autoSpaceDE/>
        <w:autoSpaceDN/>
        <w:bidi w:val="0"/>
        <w:adjustRightInd/>
        <w:snapToGrid/>
        <w:spacing w:line="240" w:lineRule="auto"/>
        <w:jc w:val="both"/>
        <w:textAlignment w:val="auto"/>
        <w:rPr>
          <w:rFonts w:hint="eastAsia" w:ascii="Times New Roman" w:cs="Times New Roman" w:hAnsiTheme="minorEastAsia"/>
          <w:b w:val="0"/>
          <w:bCs w:val="0"/>
          <w:color w:val="000000"/>
          <w:sz w:val="18"/>
          <w:szCs w:val="18"/>
          <w:lang w:val="en-US" w:eastAsia="zh-CN"/>
        </w:rPr>
      </w:pPr>
      <w:r>
        <w:rPr>
          <w:rFonts w:hint="eastAsia" w:ascii="Times New Roman" w:cs="Times New Roman" w:hAnsiTheme="minorEastAsia"/>
          <w:b w:val="0"/>
          <w:bCs w:val="0"/>
          <w:color w:val="000000"/>
          <w:sz w:val="18"/>
          <w:szCs w:val="18"/>
          <w:lang w:val="en-US" w:eastAsia="zh-CN"/>
        </w:rPr>
        <w:t>[2] Jenkins S D，Ruostekoski J. Controlled manipulation of light by cooperativ-e response of atoms in an optical lattice[PP/OL]. V2.（2012-03-18）[2020-06-24].https://doi.org/10.48550/arXiv.1112.6136.</w:t>
      </w:r>
    </w:p>
    <w:p w14:paraId="4AD48171">
      <w:pPr>
        <w:spacing w:line="240" w:lineRule="auto"/>
        <w:jc w:val="left"/>
        <w:rPr>
          <w:rFonts w:hint="eastAsia" w:ascii="Times New Roman" w:cs="Times New Roman" w:hAnsiTheme="minorEastAsia"/>
          <w:b/>
          <w:bCs/>
          <w:color w:val="953735" w:themeColor="accent2" w:themeShade="BF"/>
          <w:sz w:val="21"/>
          <w:szCs w:val="21"/>
          <w:lang w:val="en-US" w:eastAsia="zh-CN"/>
        </w:rPr>
      </w:pPr>
    </w:p>
    <w:p w14:paraId="2F03FD04">
      <w:pPr>
        <w:spacing w:line="240" w:lineRule="auto"/>
        <w:jc w:val="center"/>
        <w:rPr>
          <w:color w:val="953735" w:themeColor="accent2" w:themeShade="BF"/>
          <w:sz w:val="21"/>
          <w:szCs w:val="21"/>
        </w:rPr>
      </w:pPr>
    </w:p>
    <w:sectPr>
      <w:headerReference r:id="rId4" w:type="default"/>
      <w:pgSz w:w="11906" w:h="16838"/>
      <w:pgMar w:top="1440" w:right="1800" w:bottom="1440" w:left="1800" w:header="851" w:footer="130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213E2169">
      <w:pPr>
        <w:pStyle w:val="5"/>
        <w:rPr>
          <w:color w:val="FF0000"/>
        </w:rPr>
      </w:pPr>
      <w:r>
        <w:rPr>
          <w:rFonts w:hint="eastAsia"/>
        </w:rPr>
        <w:t>收稿日期：202X-XX-XX</w:t>
      </w:r>
      <w:r>
        <w:rPr>
          <w:rFonts w:hint="eastAsia"/>
          <w:color w:val="FF0000"/>
        </w:rPr>
        <w:t>（即投稿日期）</w:t>
      </w:r>
    </w:p>
    <w:p w14:paraId="67EB3689">
      <w:pPr>
        <w:pStyle w:val="5"/>
      </w:pPr>
      <w:r>
        <w:rPr>
          <w:rFonts w:hint="eastAsia"/>
        </w:rPr>
        <w:t>基金项目：XXXX</w:t>
      </w:r>
      <w:r>
        <w:t>基金项目(编号)</w:t>
      </w:r>
      <w:r>
        <w:rPr>
          <w:rFonts w:hint="eastAsia"/>
        </w:rPr>
        <w:t>（</w:t>
      </w:r>
      <w:r>
        <w:t>多项基金可依次列出，中间用</w:t>
      </w:r>
      <w:r>
        <w:rPr>
          <w:b/>
          <w:bCs/>
          <w:color w:val="558ED5" w:themeColor="text2" w:themeTint="99"/>
          <w14:textFill>
            <w14:solidFill>
              <w14:schemeClr w14:val="tx2">
                <w14:lumMod w14:val="60000"/>
                <w14:lumOff w14:val="40000"/>
              </w14:schemeClr>
            </w14:solidFill>
          </w14:textFill>
        </w:rPr>
        <w:t>分号</w:t>
      </w:r>
      <w:r>
        <w:t>隔开</w:t>
      </w:r>
      <w:r>
        <w:rPr>
          <w:rFonts w:hint="eastAsia"/>
        </w:rPr>
        <w:t>）</w:t>
      </w:r>
    </w:p>
    <w:p w14:paraId="7373CDD4">
      <w:pPr>
        <w:pStyle w:val="7"/>
        <w:rPr>
          <w:rFonts w:hint="eastAsia"/>
        </w:rPr>
      </w:pPr>
      <w:r>
        <w:rPr>
          <w:rFonts w:hint="eastAsia"/>
        </w:rPr>
        <w:t>作者简介：XXX（XXXX</w:t>
      </w:r>
      <w:r>
        <w:rPr>
          <w:rFonts w:hint="eastAsia"/>
          <w:color w:val="FF0000"/>
        </w:rPr>
        <w:t>(出生年份)</w:t>
      </w:r>
      <w:r>
        <w:rPr>
          <w:rFonts w:hint="eastAsia"/>
        </w:rPr>
        <w:t>—），性别，民族</w:t>
      </w:r>
      <w:r>
        <w:rPr>
          <w:rFonts w:hint="eastAsia"/>
          <w:color w:val="FF0000"/>
        </w:rPr>
        <w:t>（汉族省略）</w:t>
      </w:r>
      <w:r>
        <w:rPr>
          <w:rFonts w:hint="eastAsia"/>
        </w:rPr>
        <w:t>，籍贯</w:t>
      </w:r>
      <w:r>
        <w:rPr>
          <w:rFonts w:hint="eastAsia"/>
          <w:color w:val="FF0000"/>
        </w:rPr>
        <w:t>（XX省XX（市</w:t>
      </w:r>
      <w:r>
        <w:rPr>
          <w:rFonts w:hint="eastAsia"/>
          <w:color w:val="558ED5" w:themeColor="text2" w:themeTint="99"/>
          <w:lang w:val="en-US" w:eastAsia="zh-CN"/>
          <w14:textFill>
            <w14:solidFill>
              <w14:schemeClr w14:val="tx2">
                <w14:lumMod w14:val="60000"/>
                <w14:lumOff w14:val="40000"/>
              </w14:schemeClr>
            </w14:solidFill>
          </w14:textFill>
        </w:rPr>
        <w:t>,县</w:t>
      </w:r>
      <w:r>
        <w:rPr>
          <w:rFonts w:hint="eastAsia"/>
          <w:color w:val="FF0000"/>
        </w:rPr>
        <w:t>）人,如：陕西西安人，不加“市”字）</w:t>
      </w:r>
      <w:r>
        <w:rPr>
          <w:rFonts w:hint="eastAsia"/>
        </w:rPr>
        <w:t>，XXXXX（学校或研究所等，不写二级单位）XX（职称（教授，副教授，讲师，助教；工程师；高级工程师等）），学位，主要从事XXXXXXX方面的研究。</w:t>
      </w:r>
    </w:p>
    <w:p w14:paraId="7E48C550">
      <w:pPr>
        <w:pStyle w:val="7"/>
        <w:rPr>
          <w:rFonts w:hint="default"/>
          <w:color w:val="FF0000"/>
        </w:rPr>
      </w:pPr>
      <w:r>
        <w:rPr>
          <w:rFonts w:hint="default"/>
          <w:woUserID w:val="1"/>
        </w:rPr>
        <w:t>通信作者：</w:t>
      </w:r>
      <w:r>
        <w:rPr>
          <w:rFonts w:hint="eastAsia"/>
          <w:color w:val="FF0000"/>
          <w:lang w:eastAsia="zh-CN"/>
        </w:rPr>
        <w:t>（</w:t>
      </w:r>
      <w:r>
        <w:rPr>
          <w:rFonts w:hint="default"/>
          <w:color w:val="FF0000"/>
        </w:rPr>
        <w:t>格式同作者简介</w:t>
      </w:r>
      <w:r>
        <w:rPr>
          <w:rFonts w:hint="eastAsia"/>
          <w:color w:val="FF0000"/>
          <w:lang w:eastAsia="zh-CN"/>
        </w:rPr>
        <w:t>）</w:t>
      </w:r>
      <w:r>
        <w:rPr>
          <w:rFonts w:hint="default"/>
          <w:color w:val="auto"/>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31E0A">
    <w:pPr>
      <w:pStyle w:val="6"/>
      <w:rPr>
        <w:b/>
        <w:color w:val="FF0000"/>
      </w:rPr>
    </w:pPr>
    <w:r>
      <w:rPr>
        <w:rFonts w:hint="eastAsia"/>
        <w:b/>
        <w:color w:val="FF0000"/>
      </w:rPr>
      <w:t>黑</w:t>
    </w:r>
    <w:r>
      <w:rPr>
        <w:rFonts w:hint="eastAsia"/>
        <w:b/>
        <w:color w:val="FF0000"/>
        <w:lang w:eastAsia="zh-CN"/>
      </w:rPr>
      <w:t>色</w:t>
    </w:r>
    <w:r>
      <w:rPr>
        <w:rFonts w:hint="eastAsia"/>
        <w:b/>
        <w:color w:val="FF0000"/>
      </w:rPr>
      <w:t>字部分</w:t>
    </w:r>
    <w:r>
      <w:rPr>
        <w:rFonts w:hint="eastAsia"/>
        <w:b/>
        <w:color w:val="FF0000"/>
        <w:lang w:eastAsia="zh-CN"/>
      </w:rPr>
      <w:t>是</w:t>
    </w:r>
    <w:r>
      <w:rPr>
        <w:rFonts w:hint="eastAsia"/>
        <w:b/>
        <w:color w:val="FF0000"/>
      </w:rPr>
      <w:t>论文不可缺少的部分，括号内一般是解释说明的内容，红色字体是强调的内容。</w:t>
    </w:r>
  </w:p>
  <w:p w14:paraId="08DD4B44">
    <w:pPr>
      <w:pStyle w:val="6"/>
      <w:rPr>
        <w:b/>
        <w:color w:val="FF0000"/>
      </w:rPr>
    </w:pPr>
    <w:r>
      <w:rPr>
        <w:rFonts w:hint="eastAsia"/>
        <w:b/>
        <w:color w:val="FF0000"/>
      </w:rPr>
      <w:t>为保证论文的质量，请您认真对照模板要求整理论文，注意每个细节！！！</w:t>
    </w:r>
  </w:p>
  <w:p w14:paraId="6B6CDA32">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108EA7"/>
    <w:multiLevelType w:val="singleLevel"/>
    <w:tmpl w:val="86108EA7"/>
    <w:lvl w:ilvl="0" w:tentative="0">
      <w:start w:val="1"/>
      <w:numFmt w:val="decimal"/>
      <w:suff w:val="space"/>
      <w:lvlText w:val="（%1."/>
      <w:lvlJc w:val="left"/>
      <w:rPr>
        <w:rFonts w:hint="default"/>
        <w:sz w:val="18"/>
        <w:szCs w:val="18"/>
      </w:rPr>
    </w:lvl>
  </w:abstractNum>
  <w:abstractNum w:abstractNumId="1">
    <w:nsid w:val="46BECB66"/>
    <w:multiLevelType w:val="multilevel"/>
    <w:tmpl w:val="46BECB66"/>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65B33698"/>
    <w:multiLevelType w:val="singleLevel"/>
    <w:tmpl w:val="65B33698"/>
    <w:lvl w:ilvl="0" w:tentative="0">
      <w:start w:val="1"/>
      <w:numFmt w:val="decimal"/>
      <w:suff w:val="space"/>
      <w:lvlText w:val="[%1]"/>
      <w:lvlJc w:val="left"/>
      <w:rPr>
        <w:rFonts w:hint="default"/>
        <w:sz w:val="18"/>
        <w:szCs w:val="18"/>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hNGNiODFiNTliZjNhNjEzOTdmYTEwYWUxOTExYjQifQ=="/>
    <w:docVar w:name="KSO_WPS_MARK_KEY" w:val="514a3304-816f-46fb-b5d7-8b324e2eb61b"/>
  </w:docVars>
  <w:rsids>
    <w:rsidRoot w:val="00D664BD"/>
    <w:rsid w:val="00043702"/>
    <w:rsid w:val="000A3966"/>
    <w:rsid w:val="000D047E"/>
    <w:rsid w:val="000D6F9F"/>
    <w:rsid w:val="00114411"/>
    <w:rsid w:val="00155F1F"/>
    <w:rsid w:val="00165FED"/>
    <w:rsid w:val="001A2650"/>
    <w:rsid w:val="001A3C18"/>
    <w:rsid w:val="001B66D6"/>
    <w:rsid w:val="00255EAA"/>
    <w:rsid w:val="002A10BA"/>
    <w:rsid w:val="002C11EC"/>
    <w:rsid w:val="002E6696"/>
    <w:rsid w:val="00304C50"/>
    <w:rsid w:val="00323A88"/>
    <w:rsid w:val="00345D1A"/>
    <w:rsid w:val="0036057A"/>
    <w:rsid w:val="00382A8A"/>
    <w:rsid w:val="003839CF"/>
    <w:rsid w:val="003D16C6"/>
    <w:rsid w:val="003D75C2"/>
    <w:rsid w:val="004662F2"/>
    <w:rsid w:val="00483738"/>
    <w:rsid w:val="004940D5"/>
    <w:rsid w:val="00557484"/>
    <w:rsid w:val="005B22AB"/>
    <w:rsid w:val="005D1847"/>
    <w:rsid w:val="006171C3"/>
    <w:rsid w:val="00661633"/>
    <w:rsid w:val="00686F31"/>
    <w:rsid w:val="006B52C1"/>
    <w:rsid w:val="006E5522"/>
    <w:rsid w:val="006F280B"/>
    <w:rsid w:val="00733EC3"/>
    <w:rsid w:val="00766699"/>
    <w:rsid w:val="00776807"/>
    <w:rsid w:val="0077775F"/>
    <w:rsid w:val="007A3516"/>
    <w:rsid w:val="007D3F48"/>
    <w:rsid w:val="008102F1"/>
    <w:rsid w:val="008470F4"/>
    <w:rsid w:val="00847A5D"/>
    <w:rsid w:val="0085760D"/>
    <w:rsid w:val="008876CC"/>
    <w:rsid w:val="008934CD"/>
    <w:rsid w:val="00896A8F"/>
    <w:rsid w:val="00921789"/>
    <w:rsid w:val="00934286"/>
    <w:rsid w:val="00940A6B"/>
    <w:rsid w:val="009903D3"/>
    <w:rsid w:val="00A01878"/>
    <w:rsid w:val="00A70B38"/>
    <w:rsid w:val="00B07009"/>
    <w:rsid w:val="00B32469"/>
    <w:rsid w:val="00C07167"/>
    <w:rsid w:val="00C11AAF"/>
    <w:rsid w:val="00CE4888"/>
    <w:rsid w:val="00CE71F9"/>
    <w:rsid w:val="00D17100"/>
    <w:rsid w:val="00D43C55"/>
    <w:rsid w:val="00D46251"/>
    <w:rsid w:val="00D664BD"/>
    <w:rsid w:val="00E105F6"/>
    <w:rsid w:val="00E45637"/>
    <w:rsid w:val="00EA7F20"/>
    <w:rsid w:val="00EC6A5B"/>
    <w:rsid w:val="00F125E9"/>
    <w:rsid w:val="00F15729"/>
    <w:rsid w:val="00F23A34"/>
    <w:rsid w:val="00F4197D"/>
    <w:rsid w:val="00F44F67"/>
    <w:rsid w:val="00F71390"/>
    <w:rsid w:val="00F97EBA"/>
    <w:rsid w:val="00FB4D8F"/>
    <w:rsid w:val="016A4CEF"/>
    <w:rsid w:val="01B0594B"/>
    <w:rsid w:val="01C62F2B"/>
    <w:rsid w:val="01C85016"/>
    <w:rsid w:val="02381E39"/>
    <w:rsid w:val="02E71615"/>
    <w:rsid w:val="03135C90"/>
    <w:rsid w:val="03361881"/>
    <w:rsid w:val="039F73F9"/>
    <w:rsid w:val="03CA6641"/>
    <w:rsid w:val="03FA70A5"/>
    <w:rsid w:val="045C354F"/>
    <w:rsid w:val="05B31869"/>
    <w:rsid w:val="0642465A"/>
    <w:rsid w:val="06B240C5"/>
    <w:rsid w:val="071F777F"/>
    <w:rsid w:val="076B046D"/>
    <w:rsid w:val="07E0774E"/>
    <w:rsid w:val="081D387C"/>
    <w:rsid w:val="08AF0330"/>
    <w:rsid w:val="095114C0"/>
    <w:rsid w:val="09BB5E6B"/>
    <w:rsid w:val="0A061210"/>
    <w:rsid w:val="0A171E4E"/>
    <w:rsid w:val="0A747544"/>
    <w:rsid w:val="0A8F5D00"/>
    <w:rsid w:val="0AAE6186"/>
    <w:rsid w:val="0AE25E04"/>
    <w:rsid w:val="0B343328"/>
    <w:rsid w:val="0B492F63"/>
    <w:rsid w:val="0B5E5DFE"/>
    <w:rsid w:val="0BAD643E"/>
    <w:rsid w:val="0BCB2C22"/>
    <w:rsid w:val="0C9C0D87"/>
    <w:rsid w:val="0D1038B9"/>
    <w:rsid w:val="0DB20DDC"/>
    <w:rsid w:val="0E3E7DCF"/>
    <w:rsid w:val="0F953DB9"/>
    <w:rsid w:val="1040753C"/>
    <w:rsid w:val="10E915A7"/>
    <w:rsid w:val="10F16DCD"/>
    <w:rsid w:val="13673B1E"/>
    <w:rsid w:val="13D069A1"/>
    <w:rsid w:val="13FC79C2"/>
    <w:rsid w:val="1482514E"/>
    <w:rsid w:val="14DC6B6B"/>
    <w:rsid w:val="154C316C"/>
    <w:rsid w:val="15581B10"/>
    <w:rsid w:val="169A3A63"/>
    <w:rsid w:val="17DC0E56"/>
    <w:rsid w:val="188977EB"/>
    <w:rsid w:val="192B775E"/>
    <w:rsid w:val="193D73B7"/>
    <w:rsid w:val="198B3467"/>
    <w:rsid w:val="1991178C"/>
    <w:rsid w:val="1A155E19"/>
    <w:rsid w:val="1AC93CC6"/>
    <w:rsid w:val="1AF464FE"/>
    <w:rsid w:val="1AFF3B54"/>
    <w:rsid w:val="1B0818E3"/>
    <w:rsid w:val="1B3E75C0"/>
    <w:rsid w:val="1C523AA7"/>
    <w:rsid w:val="1D951428"/>
    <w:rsid w:val="1DB40617"/>
    <w:rsid w:val="1DC351C6"/>
    <w:rsid w:val="1DD73294"/>
    <w:rsid w:val="1FE87F35"/>
    <w:rsid w:val="1FFC12EA"/>
    <w:rsid w:val="21303322"/>
    <w:rsid w:val="213C22E6"/>
    <w:rsid w:val="21B15D4A"/>
    <w:rsid w:val="21FC3824"/>
    <w:rsid w:val="23841D23"/>
    <w:rsid w:val="23937187"/>
    <w:rsid w:val="23B74D95"/>
    <w:rsid w:val="2487102E"/>
    <w:rsid w:val="24E16D01"/>
    <w:rsid w:val="25B16B07"/>
    <w:rsid w:val="26CB40CD"/>
    <w:rsid w:val="271D4FFC"/>
    <w:rsid w:val="27734588"/>
    <w:rsid w:val="279DA462"/>
    <w:rsid w:val="28425D08"/>
    <w:rsid w:val="28994525"/>
    <w:rsid w:val="28E83A97"/>
    <w:rsid w:val="28F9522C"/>
    <w:rsid w:val="29541F65"/>
    <w:rsid w:val="2A703001"/>
    <w:rsid w:val="2A962092"/>
    <w:rsid w:val="2B876854"/>
    <w:rsid w:val="2B942D1F"/>
    <w:rsid w:val="2C5E177F"/>
    <w:rsid w:val="2CC17B44"/>
    <w:rsid w:val="2ED54DE9"/>
    <w:rsid w:val="2F837332"/>
    <w:rsid w:val="2FD27A08"/>
    <w:rsid w:val="3005243D"/>
    <w:rsid w:val="3153289F"/>
    <w:rsid w:val="319D4FDD"/>
    <w:rsid w:val="31DE11B4"/>
    <w:rsid w:val="32476D3D"/>
    <w:rsid w:val="328437BE"/>
    <w:rsid w:val="33024A12"/>
    <w:rsid w:val="335A6B93"/>
    <w:rsid w:val="342D77F1"/>
    <w:rsid w:val="34393683"/>
    <w:rsid w:val="34411DCF"/>
    <w:rsid w:val="34453929"/>
    <w:rsid w:val="35F23AD2"/>
    <w:rsid w:val="35F5738A"/>
    <w:rsid w:val="36E032BC"/>
    <w:rsid w:val="37162F01"/>
    <w:rsid w:val="3717055E"/>
    <w:rsid w:val="375241BA"/>
    <w:rsid w:val="37585548"/>
    <w:rsid w:val="380341AD"/>
    <w:rsid w:val="380A1041"/>
    <w:rsid w:val="383E3E48"/>
    <w:rsid w:val="38576AE1"/>
    <w:rsid w:val="38597302"/>
    <w:rsid w:val="38AA3B82"/>
    <w:rsid w:val="38F62BF4"/>
    <w:rsid w:val="393671C3"/>
    <w:rsid w:val="393A0BE2"/>
    <w:rsid w:val="3959766C"/>
    <w:rsid w:val="3B602C1D"/>
    <w:rsid w:val="3CB679ED"/>
    <w:rsid w:val="3CE75344"/>
    <w:rsid w:val="3D430101"/>
    <w:rsid w:val="3D6A7D83"/>
    <w:rsid w:val="3DA7036F"/>
    <w:rsid w:val="3E4316CF"/>
    <w:rsid w:val="3E703177"/>
    <w:rsid w:val="3E834C59"/>
    <w:rsid w:val="3EBD56B8"/>
    <w:rsid w:val="3FD25E96"/>
    <w:rsid w:val="3FDF3CD8"/>
    <w:rsid w:val="409B4402"/>
    <w:rsid w:val="409C2EC5"/>
    <w:rsid w:val="40E65973"/>
    <w:rsid w:val="418D5641"/>
    <w:rsid w:val="41ED7239"/>
    <w:rsid w:val="42012F0A"/>
    <w:rsid w:val="4257796D"/>
    <w:rsid w:val="4314531B"/>
    <w:rsid w:val="43B45306"/>
    <w:rsid w:val="44796B2A"/>
    <w:rsid w:val="448A4586"/>
    <w:rsid w:val="44B32A8A"/>
    <w:rsid w:val="44F83F14"/>
    <w:rsid w:val="452E1F0C"/>
    <w:rsid w:val="456B1EEC"/>
    <w:rsid w:val="4615582C"/>
    <w:rsid w:val="46496788"/>
    <w:rsid w:val="468D351E"/>
    <w:rsid w:val="475C698F"/>
    <w:rsid w:val="48D367DD"/>
    <w:rsid w:val="49AB1965"/>
    <w:rsid w:val="4A3B1B84"/>
    <w:rsid w:val="4A842484"/>
    <w:rsid w:val="4A976E1B"/>
    <w:rsid w:val="4B865D88"/>
    <w:rsid w:val="4E6525CD"/>
    <w:rsid w:val="4E720846"/>
    <w:rsid w:val="4E77495B"/>
    <w:rsid w:val="4FC6793C"/>
    <w:rsid w:val="50B476EF"/>
    <w:rsid w:val="50E60C08"/>
    <w:rsid w:val="51452194"/>
    <w:rsid w:val="515B0FDF"/>
    <w:rsid w:val="51E834ED"/>
    <w:rsid w:val="52C84ED8"/>
    <w:rsid w:val="530516AC"/>
    <w:rsid w:val="53065F56"/>
    <w:rsid w:val="531B0885"/>
    <w:rsid w:val="5345477B"/>
    <w:rsid w:val="537C6CC4"/>
    <w:rsid w:val="54444A33"/>
    <w:rsid w:val="546814C4"/>
    <w:rsid w:val="547C241E"/>
    <w:rsid w:val="55D3606E"/>
    <w:rsid w:val="561B5719"/>
    <w:rsid w:val="562B067F"/>
    <w:rsid w:val="59101387"/>
    <w:rsid w:val="59434B17"/>
    <w:rsid w:val="5A18180B"/>
    <w:rsid w:val="5A1B7FF3"/>
    <w:rsid w:val="5A246A38"/>
    <w:rsid w:val="5A35781F"/>
    <w:rsid w:val="5B1A1031"/>
    <w:rsid w:val="5B2A712B"/>
    <w:rsid w:val="5BAE6663"/>
    <w:rsid w:val="5BDE751B"/>
    <w:rsid w:val="5C891F78"/>
    <w:rsid w:val="5D0B6BF3"/>
    <w:rsid w:val="5D3874C9"/>
    <w:rsid w:val="5D9A092E"/>
    <w:rsid w:val="5DB3B29C"/>
    <w:rsid w:val="5DF50909"/>
    <w:rsid w:val="5DFE35DF"/>
    <w:rsid w:val="5F61293D"/>
    <w:rsid w:val="5FFBBFCA"/>
    <w:rsid w:val="60730717"/>
    <w:rsid w:val="60776D1A"/>
    <w:rsid w:val="61262641"/>
    <w:rsid w:val="6183303E"/>
    <w:rsid w:val="620159B4"/>
    <w:rsid w:val="621A17A6"/>
    <w:rsid w:val="621B633A"/>
    <w:rsid w:val="6280132C"/>
    <w:rsid w:val="62EF003C"/>
    <w:rsid w:val="6408782B"/>
    <w:rsid w:val="64140148"/>
    <w:rsid w:val="644840FE"/>
    <w:rsid w:val="64B30013"/>
    <w:rsid w:val="64E943C1"/>
    <w:rsid w:val="65FF212D"/>
    <w:rsid w:val="665E10CA"/>
    <w:rsid w:val="67667CB2"/>
    <w:rsid w:val="678E7600"/>
    <w:rsid w:val="67FD7B8C"/>
    <w:rsid w:val="68481A57"/>
    <w:rsid w:val="69796AD5"/>
    <w:rsid w:val="6A15449D"/>
    <w:rsid w:val="6A2A61E0"/>
    <w:rsid w:val="6A364414"/>
    <w:rsid w:val="6C335661"/>
    <w:rsid w:val="6CD240C4"/>
    <w:rsid w:val="6CE45E70"/>
    <w:rsid w:val="6D0C5EE4"/>
    <w:rsid w:val="6D996EA2"/>
    <w:rsid w:val="6E027DEE"/>
    <w:rsid w:val="6E0E1137"/>
    <w:rsid w:val="6E423939"/>
    <w:rsid w:val="6E6C3C9C"/>
    <w:rsid w:val="6F6F69B0"/>
    <w:rsid w:val="6F711D1B"/>
    <w:rsid w:val="6F7C7C3D"/>
    <w:rsid w:val="6FC173D6"/>
    <w:rsid w:val="6FC767EC"/>
    <w:rsid w:val="70294364"/>
    <w:rsid w:val="706C6A24"/>
    <w:rsid w:val="707D6D9C"/>
    <w:rsid w:val="719135DB"/>
    <w:rsid w:val="71CB202B"/>
    <w:rsid w:val="722D396B"/>
    <w:rsid w:val="72304FD3"/>
    <w:rsid w:val="726023EE"/>
    <w:rsid w:val="72E63993"/>
    <w:rsid w:val="72EB29D0"/>
    <w:rsid w:val="72F9402A"/>
    <w:rsid w:val="735841A0"/>
    <w:rsid w:val="738343C3"/>
    <w:rsid w:val="73BF0109"/>
    <w:rsid w:val="73D50144"/>
    <w:rsid w:val="74856371"/>
    <w:rsid w:val="74862FA0"/>
    <w:rsid w:val="757840E4"/>
    <w:rsid w:val="76180E73"/>
    <w:rsid w:val="76BB697E"/>
    <w:rsid w:val="77071BC4"/>
    <w:rsid w:val="770FE889"/>
    <w:rsid w:val="776E05AD"/>
    <w:rsid w:val="77E6AE74"/>
    <w:rsid w:val="77F92694"/>
    <w:rsid w:val="78422531"/>
    <w:rsid w:val="78CC3620"/>
    <w:rsid w:val="78EF0B61"/>
    <w:rsid w:val="7B024B7C"/>
    <w:rsid w:val="7B1E49F7"/>
    <w:rsid w:val="7B6F1AE6"/>
    <w:rsid w:val="7BF6DD27"/>
    <w:rsid w:val="7C862559"/>
    <w:rsid w:val="7CB07019"/>
    <w:rsid w:val="7D5A4F2F"/>
    <w:rsid w:val="7D7B1DE5"/>
    <w:rsid w:val="7DBD60A0"/>
    <w:rsid w:val="7DC73264"/>
    <w:rsid w:val="7E153995"/>
    <w:rsid w:val="7E370FE0"/>
    <w:rsid w:val="7ECB2DED"/>
    <w:rsid w:val="7F015A38"/>
    <w:rsid w:val="7FEE7E1F"/>
    <w:rsid w:val="B27FDBEE"/>
    <w:rsid w:val="BC0A3AF4"/>
    <w:rsid w:val="F6BB5F43"/>
    <w:rsid w:val="FB5B8708"/>
    <w:rsid w:val="FBD7BAA5"/>
    <w:rsid w:val="FF2DD232"/>
    <w:rsid w:val="FF3FFA2A"/>
    <w:rsid w:val="FF6E331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35"/>
    <w:rPr>
      <w:rFonts w:eastAsia="黑体" w:asciiTheme="majorHAnsi" w:hAnsiTheme="majorHAnsi" w:cstheme="majorBidi"/>
      <w:sz w:val="20"/>
      <w:szCs w:val="20"/>
    </w:rPr>
  </w:style>
  <w:style w:type="paragraph" w:styleId="3">
    <w:name w:val="Plain Text"/>
    <w:basedOn w:val="1"/>
    <w:link w:val="18"/>
    <w:unhideWhenUsed/>
    <w:qFormat/>
    <w:uiPriority w:val="0"/>
    <w:rPr>
      <w:rFonts w:ascii="宋体" w:hAnsi="Courier New" w:eastAsia="宋体" w:cs="Courier New"/>
      <w:szCs w:val="21"/>
    </w:rPr>
  </w:style>
  <w:style w:type="paragraph" w:styleId="4">
    <w:name w:val="Balloon Text"/>
    <w:basedOn w:val="1"/>
    <w:link w:val="16"/>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semiHidden/>
    <w:unhideWhenUsed/>
    <w:qFormat/>
    <w:uiPriority w:val="99"/>
    <w:pPr>
      <w:snapToGrid w:val="0"/>
      <w:jc w:val="left"/>
    </w:pPr>
    <w:rPr>
      <w:sz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0"/>
    <w:rPr>
      <w:b/>
      <w:bCs/>
    </w:rPr>
  </w:style>
  <w:style w:type="character" w:styleId="12">
    <w:name w:val="Hyperlink"/>
    <w:basedOn w:val="10"/>
    <w:unhideWhenUsed/>
    <w:qFormat/>
    <w:uiPriority w:val="0"/>
    <w:rPr>
      <w:color w:val="0000FF"/>
      <w:u w:val="single"/>
    </w:rPr>
  </w:style>
  <w:style w:type="character" w:styleId="13">
    <w:name w:val="footnote reference"/>
    <w:basedOn w:val="10"/>
    <w:semiHidden/>
    <w:unhideWhenUsed/>
    <w:qFormat/>
    <w:uiPriority w:val="99"/>
    <w:rPr>
      <w:vertAlign w:val="superscript"/>
    </w:rPr>
  </w:style>
  <w:style w:type="character" w:customStyle="1" w:styleId="14">
    <w:name w:val="页眉 Char"/>
    <w:basedOn w:val="10"/>
    <w:link w:val="6"/>
    <w:qFormat/>
    <w:uiPriority w:val="99"/>
    <w:rPr>
      <w:sz w:val="18"/>
      <w:szCs w:val="18"/>
    </w:rPr>
  </w:style>
  <w:style w:type="character" w:customStyle="1" w:styleId="15">
    <w:name w:val="页脚 Char"/>
    <w:basedOn w:val="10"/>
    <w:link w:val="5"/>
    <w:qFormat/>
    <w:uiPriority w:val="99"/>
    <w:rPr>
      <w:sz w:val="18"/>
      <w:szCs w:val="18"/>
    </w:rPr>
  </w:style>
  <w:style w:type="character" w:customStyle="1" w:styleId="16">
    <w:name w:val="批注框文本 Char"/>
    <w:basedOn w:val="10"/>
    <w:link w:val="4"/>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纯文本 Char"/>
    <w:basedOn w:val="10"/>
    <w:link w:val="3"/>
    <w:qFormat/>
    <w:uiPriority w:val="0"/>
    <w:rPr>
      <w:rFonts w:ascii="宋体" w:hAnsi="Courier New" w:eastAsia="宋体" w:cs="Courier New"/>
      <w:szCs w:val="21"/>
    </w:rPr>
  </w:style>
  <w:style w:type="paragraph" w:customStyle="1" w:styleId="19">
    <w:name w:val="正文文字"/>
    <w:qFormat/>
    <w:uiPriority w:val="0"/>
    <w:pPr>
      <w:spacing w:line="400" w:lineRule="exact"/>
      <w:ind w:firstLine="480" w:firstLineChars="200"/>
      <w:jc w:val="both"/>
    </w:pPr>
    <w:rPr>
      <w:rFonts w:ascii="Times New Roman" w:hAnsi="Times New Roman" w:eastAsia="宋体" w:cstheme="minorBidi"/>
      <w:kern w:val="2"/>
      <w:sz w:val="24"/>
      <w:szCs w:val="24"/>
      <w:lang w:val="en-US" w:eastAsia="zh-CN" w:bidi="ar-SA"/>
    </w:rPr>
  </w:style>
  <w:style w:type="paragraph" w:customStyle="1" w:styleId="20">
    <w:name w:val="MTDisplayEquation"/>
    <w:basedOn w:val="1"/>
    <w:next w:val="1"/>
    <w:qFormat/>
    <w:uiPriority w:val="0"/>
    <w:pPr>
      <w:widowControl/>
      <w:tabs>
        <w:tab w:val="center" w:pos="4160"/>
        <w:tab w:val="right" w:pos="8300"/>
      </w:tabs>
      <w:snapToGrid w:val="0"/>
      <w:jc w:val="center"/>
    </w:pPr>
    <w:rPr>
      <w:rFonts w:ascii="Times New Roman" w:hAnsi="Times New Roman" w:eastAsia="宋体" w:cs="Times New Roman"/>
      <w:szCs w:val="21"/>
      <w:shd w:val="clear" w:color="auto" w:fill="FFFFFF"/>
    </w:rPr>
  </w:style>
  <w:style w:type="paragraph" w:customStyle="1" w:styleId="21">
    <w:name w:val="!正文"/>
    <w:basedOn w:val="1"/>
    <w:qFormat/>
    <w:uiPriority w:val="0"/>
    <w:pPr>
      <w:spacing w:line="400" w:lineRule="atLeast"/>
      <w:ind w:right="-17" w:rightChars="-8" w:firstLine="426"/>
    </w:pPr>
    <w:rPr>
      <w:rFonts w:ascii="宋体" w:hAnsi="宋体" w:eastAsia="宋体" w:cs="宋体"/>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1.bin"/><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 StyleName=""/>
</file>

<file path=customXml/itemProps1.xml><?xml version="1.0" encoding="utf-8"?>
<ds:datastoreItem xmlns:ds="http://schemas.openxmlformats.org/officeDocument/2006/customXml" ds:itemID="{74DA5A71-26D0-4ABA-B2BD-66AB86FB1678}">
  <ds:schemaRefs/>
</ds:datastoreItem>
</file>

<file path=docProps/app.xml><?xml version="1.0" encoding="utf-8"?>
<Properties xmlns="http://schemas.openxmlformats.org/officeDocument/2006/extended-properties" xmlns:vt="http://schemas.openxmlformats.org/officeDocument/2006/docPropsVTypes">
  <Pages>7</Pages>
  <Words>4938</Words>
  <Characters>8844</Characters>
  <Lines>37</Lines>
  <Paragraphs>10</Paragraphs>
  <TotalTime>424</TotalTime>
  <ScaleCrop>false</ScaleCrop>
  <LinksUpToDate>false</LinksUpToDate>
  <CharactersWithSpaces>9451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2025-03-11T08:52:00Z</dcterms:created>
  <dc:creator>Administrator</dc:creator>
  <cp:lastModifiedBy>slm</cp:lastModifiedBy>
  <cp:lastPrinted>2026-06-03T00:52:00Z</cp:lastPrinted>
  <dcterms:modified xsi:type="dcterms:W3CDTF">2026-06-04T08:12:54Z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eyJoZGlkIjoiNzVhNGNiODFiNTliZjNhNjEzOTdmYTEwYWUxOTExYjQiLCJ1c2VySWQiOiI3MzQxMjU3MDYifQ==</vt:lpwstr>
  </property>
  <property fmtid="{D5CDD505-2E9C-101B-9397-08002B2CF9AE}" pid="3" name="KSOProductBuildVer">
    <vt:lpwstr>2052-12.1.0.26895</vt:lpwstr>
  </property>
  <property fmtid="{D5CDD505-2E9C-101B-9397-08002B2CF9AE}" pid="4" name="ICV">
    <vt:lpwstr>ED83472848104136845C1A887C6A578D_13</vt:lpwstr>
  </property>
</Properties>
</file>