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28" w:rsidRPr="006C5928" w:rsidRDefault="006C5928" w:rsidP="005E0849">
      <w:pPr>
        <w:widowControl/>
        <w:shd w:val="clear" w:color="auto" w:fill="FFFFFF"/>
        <w:spacing w:after="531"/>
        <w:jc w:val="center"/>
        <w:outlineLvl w:val="0"/>
        <w:rPr>
          <w:rFonts w:ascii="微软雅黑" w:eastAsia="微软雅黑" w:hAnsi="微软雅黑" w:cs="宋体" w:hint="eastAsia"/>
          <w:spacing w:val="21"/>
          <w:kern w:val="0"/>
          <w:sz w:val="36"/>
          <w:szCs w:val="36"/>
        </w:rPr>
      </w:pPr>
      <w:r w:rsidRPr="006C5928">
        <w:rPr>
          <w:rFonts w:ascii="微软雅黑" w:eastAsia="微软雅黑" w:hAnsi="微软雅黑" w:cs="宋体" w:hint="eastAsia"/>
          <w:b/>
          <w:bCs/>
          <w:spacing w:val="21"/>
          <w:kern w:val="36"/>
          <w:sz w:val="44"/>
          <w:szCs w:val="44"/>
        </w:rPr>
        <w:t>《新型建筑材料》投稿须知</w:t>
      </w:r>
    </w:p>
    <w:p w:rsid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1.主要栏目及内容：新型墙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体材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料、建筑石膏与胶凝材料、防水屋面材料、装饰装修材料、化学建材、保温材料与建筑节能、混凝土与制品、海绵城市、绿色建筑与绿色建材、理论研究与发展综述，国家产业政策等。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2.来稿务求真实、论点明确、数据可靠、文字简练、层次分明、标点正确，具有科学性、真实性、新颖性，未曾在国内外刊物发表。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论文字数不能少于5000字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。 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3.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稿头包括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：题目、作者姓名（放于题目下）、作者单位名称、所在地、邮编（放在作者姓名下，加圆括号）、摘要和关键词。并按同样格式在下面附英文译文。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4.题名：最好不超过20个汉字；摘要：包括研究的目的、方法、结果和结论，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字数在260~300字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，应具有独立性和自明性，用第三人称，不出现引文；关键词：必须使用叙词，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以3～8个为宜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；基金、科技攻关或获奖项目：获得基金、科技攻关资助或国家及省部级奖励的项目论文，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请著明并提供批准号或编号及获奖类别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。 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5.单栏即可，无需排为双栏；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6.</w:t>
      </w:r>
      <w:r w:rsidRPr="006C5928">
        <w:rPr>
          <w:rFonts w:ascii="微软雅黑" w:eastAsia="微软雅黑" w:hAnsi="微软雅黑" w:cs="宋体" w:hint="eastAsia"/>
          <w:b/>
          <w:bCs/>
          <w:spacing w:val="21"/>
          <w:kern w:val="0"/>
          <w:sz w:val="24"/>
          <w:szCs w:val="24"/>
        </w:rPr>
        <w:t>试验性论文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应包括：引言、原材料性能、试验方法、试验结果及分析、总结；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7.</w:t>
      </w:r>
      <w:r w:rsidRPr="006C5928">
        <w:rPr>
          <w:rFonts w:ascii="微软雅黑" w:eastAsia="微软雅黑" w:hAnsi="微软雅黑" w:cs="宋体" w:hint="eastAsia"/>
          <w:b/>
          <w:bCs/>
          <w:spacing w:val="21"/>
          <w:kern w:val="0"/>
          <w:sz w:val="24"/>
          <w:szCs w:val="24"/>
        </w:rPr>
        <w:t>综述性论文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参考文献数量宜在30~60篇，且参考文献来源具有一定权威性；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lastRenderedPageBreak/>
        <w:t>8.依照《著作权法》规定，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本刊对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来稿有文字修改、删节权，凡不允许本刊修改内容者，请在投稿时说明。 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9.论文内图、表均应有序号和名称，请使用国务院公布的简化字及法定计量单位（SI制），不常用的量及单位符号应加括号注明中文名称，数字写法应符合国家有关规定，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数值修约应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符合GB/T8170要求。外文须分清大、小写，正、斜体，易与拉丁字母混淆的其它文种字母需在后面用括号标注清楚。 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10.正文的章节编排采用三级标题，如“1”、“1.1”、“1.1.1”等。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11.</w:t>
      </w:r>
      <w:proofErr w:type="gram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文稿末应列</w:t>
      </w:r>
      <w:proofErr w:type="gram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参考文献，参考文献按文内出现的先后次序编号，并用上角标在引用处标注，文后请按GB/T7714《信息与文献 参考文献著录规则》规定的著录格式书写。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（1）专著：责任者.题名.版本.出版地：出版者，出版日期.起止页码。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（2）期刊：责任者（不超过3人者全部写出，超过者只写前3名，后加“等”或“</w:t>
      </w:r>
      <w:proofErr w:type="spellStart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etal</w:t>
      </w:r>
      <w:proofErr w:type="spellEnd"/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.”）题名.刊名，年，卷，(期)：起止页码。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（3）论文集：责任者.题名.见:编者.文集名.出版地：出版者，年.起止页码。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（4）学位论文：责任者.题名（学位论文）.保存地：保存者.年。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（5）内部资料不作为参考文献著录。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12.投稿时请附作者简介，包括第一作者出生年、性别、职称、学历、主要研究方向，联系地址、电话及邮箱等。编辑部约在30天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lastRenderedPageBreak/>
        <w:t>左右给予稿件处理意见，未采用的稿件一般不退还原稿，请作者自留底稿。在审稿期间，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作者请勿一稿多投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。本刊为扩大学术交流渠道，已加入《中国学术期刊（光盘版）》和《中国期刊网》全文收录数据库等。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若作者不同意将文章编入数据库，务请来稿时声明，以便安排处理。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本刊给付的稿酬已包含作者的著作权使用费。</w:t>
      </w:r>
    </w:p>
    <w:p w:rsidR="006C5928" w:rsidRPr="006C5928" w:rsidRDefault="006C5928" w:rsidP="006C5928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</w:pP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13. 稿件一经录用，</w:t>
      </w:r>
      <w:r w:rsidRPr="006C5928">
        <w:rPr>
          <w:rFonts w:ascii="微软雅黑" w:eastAsia="微软雅黑" w:hAnsi="微软雅黑" w:cs="宋体" w:hint="eastAsia"/>
          <w:b/>
          <w:bCs/>
          <w:color w:val="E2483C"/>
          <w:spacing w:val="21"/>
          <w:kern w:val="0"/>
          <w:sz w:val="24"/>
          <w:szCs w:val="24"/>
        </w:rPr>
        <w:t>不能更改第一作者信息</w:t>
      </w:r>
      <w:r w:rsidRPr="006C5928">
        <w:rPr>
          <w:rFonts w:ascii="微软雅黑" w:eastAsia="微软雅黑" w:hAnsi="微软雅黑" w:cs="宋体" w:hint="eastAsia"/>
          <w:spacing w:val="21"/>
          <w:kern w:val="0"/>
          <w:sz w:val="24"/>
          <w:szCs w:val="24"/>
        </w:rPr>
        <w:t>。</w:t>
      </w:r>
    </w:p>
    <w:sectPr w:rsidR="006C5928" w:rsidRPr="006C5928" w:rsidSect="00156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928"/>
    <w:rsid w:val="00156DF8"/>
    <w:rsid w:val="005E0849"/>
    <w:rsid w:val="006C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F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C59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C59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6C5928"/>
  </w:style>
  <w:style w:type="character" w:styleId="a3">
    <w:name w:val="Hyperlink"/>
    <w:basedOn w:val="a0"/>
    <w:uiPriority w:val="99"/>
    <w:semiHidden/>
    <w:unhideWhenUsed/>
    <w:rsid w:val="006C5928"/>
    <w:rPr>
      <w:color w:val="0000FF"/>
      <w:u w:val="single"/>
    </w:rPr>
  </w:style>
  <w:style w:type="character" w:styleId="a4">
    <w:name w:val="Emphasis"/>
    <w:basedOn w:val="a0"/>
    <w:uiPriority w:val="20"/>
    <w:qFormat/>
    <w:rsid w:val="006C5928"/>
    <w:rPr>
      <w:i/>
      <w:iCs/>
    </w:rPr>
  </w:style>
  <w:style w:type="paragraph" w:styleId="a5">
    <w:name w:val="Normal (Web)"/>
    <w:basedOn w:val="a"/>
    <w:uiPriority w:val="99"/>
    <w:semiHidden/>
    <w:unhideWhenUsed/>
    <w:rsid w:val="006C59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5928"/>
    <w:rPr>
      <w:b/>
      <w:bCs/>
    </w:rPr>
  </w:style>
  <w:style w:type="character" w:customStyle="1" w:styleId="wxsearchkeywordwrap">
    <w:name w:val="wx_search_keyword_wrap"/>
    <w:basedOn w:val="a0"/>
    <w:rsid w:val="006C5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926">
          <w:marLeft w:val="0"/>
          <w:marRight w:val="0"/>
          <w:marTop w:val="0"/>
          <w:marBottom w:val="8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2026-01-29T02:07:00Z</dcterms:created>
  <dcterms:modified xsi:type="dcterms:W3CDTF">2026-01-29T02:07:00Z</dcterms:modified>
</cp:coreProperties>
</file>