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FF0000"/>
          <w:kern w:val="0"/>
          <w:sz w:val="32"/>
          <w:szCs w:val="32"/>
          <w:lang w:eastAsia="zh-CN"/>
        </w:rPr>
      </w:pPr>
      <w:bookmarkStart w:id="0" w:name="_GoBack"/>
      <w:bookmarkEnd w:id="0"/>
      <w:r>
        <w:rPr>
          <w:rFonts w:hint="eastAsia" w:ascii="宋体" w:hAnsi="宋体" w:eastAsia="宋体" w:cs="宋体"/>
          <w:b/>
          <w:bCs/>
          <w:color w:val="FF0000"/>
          <w:kern w:val="0"/>
          <w:sz w:val="32"/>
          <w:szCs w:val="32"/>
          <w:lang w:val="en-US" w:eastAsia="zh-CN"/>
        </w:rPr>
        <w:t>论文</w:t>
      </w:r>
      <w:r>
        <w:rPr>
          <w:rFonts w:hint="eastAsia" w:ascii="宋体" w:hAnsi="宋体" w:eastAsia="宋体" w:cs="宋体"/>
          <w:b/>
          <w:bCs/>
          <w:color w:val="FF0000"/>
          <w:kern w:val="0"/>
          <w:sz w:val="32"/>
          <w:szCs w:val="32"/>
          <w:lang w:eastAsia="zh-CN"/>
        </w:rPr>
        <w:t>摘要写作规范</w:t>
      </w:r>
    </w:p>
    <w:p>
      <w:pPr>
        <w:jc w:val="center"/>
        <w:rPr>
          <w:rFonts w:hint="eastAsia" w:ascii="宋体" w:hAnsi="宋体" w:eastAsia="宋体" w:cs="宋体"/>
          <w:b/>
          <w:bCs/>
          <w:color w:val="FF0000"/>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lang w:eastAsia="zh-CN"/>
        </w:rPr>
        <w:t>作者在写</w:t>
      </w:r>
      <w:r>
        <w:rPr>
          <w:rFonts w:hint="eastAsia" w:ascii="宋体" w:hAnsi="宋体" w:eastAsia="宋体" w:cs="宋体"/>
          <w:color w:val="auto"/>
          <w:sz w:val="21"/>
          <w:szCs w:val="21"/>
        </w:rPr>
        <w:t>摘要</w:t>
      </w:r>
      <w:r>
        <w:rPr>
          <w:rFonts w:hint="eastAsia" w:ascii="宋体" w:hAnsi="宋体" w:eastAsia="宋体" w:cs="宋体"/>
          <w:color w:val="auto"/>
          <w:sz w:val="21"/>
          <w:szCs w:val="21"/>
          <w:lang w:eastAsia="zh-CN"/>
        </w:rPr>
        <w:t>时，</w:t>
      </w:r>
      <w:r>
        <w:rPr>
          <w:rFonts w:hint="eastAsia" w:ascii="宋体" w:hAnsi="宋体" w:cs="宋体"/>
          <w:b/>
          <w:bCs/>
          <w:color w:val="auto"/>
          <w:sz w:val="21"/>
          <w:szCs w:val="21"/>
          <w:lang w:eastAsia="zh-CN"/>
        </w:rPr>
        <w:t>试验研究</w:t>
      </w:r>
      <w:r>
        <w:rPr>
          <w:rFonts w:hint="eastAsia" w:ascii="宋体" w:hAnsi="宋体" w:cs="宋体"/>
          <w:color w:val="auto"/>
          <w:sz w:val="21"/>
          <w:szCs w:val="21"/>
          <w:lang w:val="en-US" w:eastAsia="zh-CN"/>
        </w:rPr>
        <w:t>、</w:t>
      </w:r>
      <w:r>
        <w:rPr>
          <w:rFonts w:hint="eastAsia" w:ascii="宋体" w:hAnsi="宋体" w:cs="宋体"/>
          <w:b/>
          <w:bCs/>
          <w:color w:val="auto"/>
          <w:sz w:val="21"/>
          <w:szCs w:val="21"/>
          <w:lang w:eastAsia="zh-CN"/>
        </w:rPr>
        <w:t>饲料营养和教学研究</w:t>
      </w:r>
      <w:r>
        <w:rPr>
          <w:rFonts w:hint="eastAsia" w:ascii="宋体" w:hAnsi="宋体" w:cs="宋体"/>
          <w:color w:val="auto"/>
          <w:sz w:val="21"/>
          <w:szCs w:val="21"/>
          <w:lang w:eastAsia="zh-CN"/>
        </w:rPr>
        <w:t>栏目的文章摘要中</w:t>
      </w:r>
      <w:r>
        <w:rPr>
          <w:rFonts w:hint="eastAsia" w:ascii="宋体" w:hAnsi="宋体" w:eastAsia="宋体" w:cs="宋体"/>
          <w:color w:val="FF0000"/>
          <w:sz w:val="21"/>
          <w:szCs w:val="21"/>
        </w:rPr>
        <w:t>（目的）（方法）（结果）（结论）</w:t>
      </w:r>
      <w:r>
        <w:rPr>
          <w:rFonts w:hint="eastAsia" w:ascii="宋体" w:hAnsi="宋体" w:eastAsia="宋体" w:cs="宋体"/>
          <w:color w:val="auto"/>
          <w:sz w:val="21"/>
          <w:szCs w:val="21"/>
        </w:rPr>
        <w:t>等字样必须写</w:t>
      </w:r>
      <w:r>
        <w:rPr>
          <w:rFonts w:hint="eastAsia" w:ascii="宋体" w:hAnsi="宋体" w:eastAsia="宋体" w:cs="宋体"/>
          <w:color w:val="auto"/>
          <w:sz w:val="21"/>
          <w:szCs w:val="21"/>
          <w:lang w:eastAsia="zh-CN"/>
        </w:rPr>
        <w:t>出</w:t>
      </w:r>
      <w:r>
        <w:rPr>
          <w:rFonts w:hint="eastAsia" w:ascii="宋体" w:hAnsi="宋体" w:eastAsia="宋体" w:cs="宋体"/>
          <w:color w:val="auto"/>
          <w:sz w:val="21"/>
          <w:szCs w:val="21"/>
        </w:rPr>
        <w:t>，便于编辑审查是否遗漏写作要素。</w:t>
      </w:r>
      <w:r>
        <w:rPr>
          <w:rFonts w:hint="eastAsia" w:ascii="宋体" w:hAnsi="宋体" w:cs="宋体"/>
          <w:b w:val="0"/>
          <w:bCs w:val="0"/>
          <w:color w:val="auto"/>
          <w:sz w:val="21"/>
          <w:szCs w:val="21"/>
          <w:lang w:eastAsia="zh-CN"/>
        </w:rPr>
        <w:t>其他栏目</w:t>
      </w:r>
      <w:r>
        <w:rPr>
          <w:rFonts w:hint="eastAsia" w:ascii="宋体" w:hAnsi="宋体" w:cs="宋体"/>
          <w:b/>
          <w:bCs/>
          <w:color w:val="auto"/>
          <w:sz w:val="21"/>
          <w:szCs w:val="21"/>
          <w:lang w:eastAsia="zh-CN"/>
        </w:rPr>
        <w:t>（养殖生产、疾病防控、管理前沿）</w:t>
      </w:r>
      <w:r>
        <w:rPr>
          <w:rFonts w:hint="eastAsia" w:ascii="宋体" w:hAnsi="宋体" w:cs="宋体"/>
          <w:b w:val="0"/>
          <w:bCs w:val="0"/>
          <w:color w:val="FF0000"/>
          <w:sz w:val="21"/>
          <w:szCs w:val="21"/>
          <w:lang w:eastAsia="zh-CN"/>
        </w:rPr>
        <w:t>不需要按照四要素</w:t>
      </w:r>
      <w:r>
        <w:rPr>
          <w:rFonts w:hint="eastAsia" w:ascii="宋体" w:hAnsi="宋体" w:cs="宋体"/>
          <w:b w:val="0"/>
          <w:bCs w:val="0"/>
          <w:color w:val="auto"/>
          <w:sz w:val="21"/>
          <w:szCs w:val="21"/>
          <w:lang w:eastAsia="zh-CN"/>
        </w:rPr>
        <w:t>格式来撰写摘要</w:t>
      </w:r>
      <w:r>
        <w:rPr>
          <w:rFonts w:hint="eastAsia" w:ascii="宋体" w:hAnsi="宋体" w:cs="宋体"/>
          <w:b/>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文章摘要应包含：</w:t>
      </w:r>
      <w:r>
        <w:rPr>
          <w:rFonts w:hint="eastAsia" w:ascii="宋体" w:hAnsi="宋体" w:eastAsia="宋体" w:cs="宋体"/>
          <w:color w:val="FF0000"/>
          <w:sz w:val="21"/>
          <w:szCs w:val="21"/>
        </w:rPr>
        <w:t>目的</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研究、研制、调查等的前提、目的和任务，所涉及的主题范围</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w:t>
      </w:r>
      <w:r>
        <w:rPr>
          <w:rFonts w:hint="eastAsia" w:ascii="宋体" w:hAnsi="宋体" w:eastAsia="宋体" w:cs="宋体"/>
          <w:color w:val="FF0000"/>
          <w:sz w:val="21"/>
          <w:szCs w:val="21"/>
        </w:rPr>
        <w:t>方法</w:t>
      </w:r>
      <w:r>
        <w:rPr>
          <w:rFonts w:hint="eastAsia" w:ascii="宋体" w:hAnsi="宋体" w:eastAsia="宋体" w:cs="宋体"/>
          <w:color w:val="auto"/>
          <w:sz w:val="21"/>
          <w:szCs w:val="21"/>
        </w:rPr>
        <w:t>(所用的原理、理论、条件、对象、材料、工艺、结构、手段、装备、程序等)、</w:t>
      </w:r>
      <w:r>
        <w:rPr>
          <w:rFonts w:hint="eastAsia" w:ascii="宋体" w:hAnsi="宋体" w:eastAsia="宋体" w:cs="宋体"/>
          <w:color w:val="FF0000"/>
          <w:sz w:val="21"/>
          <w:szCs w:val="21"/>
        </w:rPr>
        <w:t>结果</w:t>
      </w:r>
      <w:r>
        <w:rPr>
          <w:rFonts w:hint="eastAsia" w:ascii="宋体" w:hAnsi="宋体" w:eastAsia="宋体" w:cs="宋体"/>
          <w:color w:val="auto"/>
          <w:sz w:val="21"/>
          <w:szCs w:val="21"/>
        </w:rPr>
        <w:t>(实验的、研究的结果，数据，被确定的关系，观察结果，得到的效果，性能等)、</w:t>
      </w:r>
      <w:r>
        <w:rPr>
          <w:rFonts w:hint="eastAsia" w:ascii="宋体" w:hAnsi="宋体" w:eastAsia="宋体" w:cs="宋体"/>
          <w:color w:val="FF0000"/>
          <w:sz w:val="21"/>
          <w:szCs w:val="21"/>
        </w:rPr>
        <w:t>结论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结果的分析、研究、比较、评价、应用，提出的问题，今后的课题，假设，启发，建议，预测等)。要用科学性文字和具体数据，不使用文学性修饰词；不使用图、表、参考文献、复杂的公式和复杂的化学式，不使用非公知公用的符号或术语；不要加自我评价，如“该研究对…有广阔的应用前景”“目前尚未见报道”等。</w:t>
      </w:r>
      <w:r>
        <w:rPr>
          <w:rFonts w:hint="eastAsia" w:ascii="宋体" w:hAnsi="宋体" w:eastAsia="宋体" w:cs="宋体"/>
          <w:color w:val="auto"/>
          <w:sz w:val="21"/>
          <w:szCs w:val="21"/>
          <w:lang w:eastAsia="zh-CN"/>
        </w:rPr>
        <w:t>要</w:t>
      </w:r>
      <w:r>
        <w:rPr>
          <w:rFonts w:hint="eastAsia" w:ascii="宋体" w:hAnsi="宋体" w:eastAsia="宋体" w:cs="宋体"/>
          <w:color w:val="auto"/>
          <w:kern w:val="0"/>
          <w:sz w:val="21"/>
          <w:szCs w:val="21"/>
        </w:rPr>
        <w:t>用报道式或指示性或两者兼而有之的简明的语言对文章的内容进行全面而具体的概括、摘录、提炼，使摘要的信息与论文等价，并具有独立性和自明性。</w:t>
      </w:r>
      <w:r>
        <w:rPr>
          <w:rFonts w:hint="eastAsia" w:ascii="宋体" w:hAnsi="宋体" w:eastAsia="宋体" w:cs="宋体"/>
          <w:color w:val="auto"/>
          <w:sz w:val="21"/>
          <w:szCs w:val="21"/>
        </w:rPr>
        <w:t>摘要能否准确、具体、完整地概括原文的创新之处，将直接决定论文是否被收录、阅读和引用。摘要一律采用第三人称表述。</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例</w:t>
      </w:r>
      <w:r>
        <w:rPr>
          <w:rFonts w:hint="eastAsia" w:ascii="宋体" w:hAnsi="宋体" w:cs="宋体"/>
          <w:b/>
          <w:bCs/>
          <w:color w:val="FF0000"/>
          <w:kern w:val="0"/>
          <w:sz w:val="24"/>
          <w:szCs w:val="24"/>
          <w:lang w:val="en-US" w:eastAsia="zh-CN"/>
        </w:rPr>
        <w:t>1</w:t>
      </w:r>
      <w:r>
        <w:rPr>
          <w:rFonts w:hint="eastAsia" w:ascii="宋体" w:hAnsi="宋体" w:eastAsia="宋体" w:cs="宋体"/>
          <w:b/>
          <w:bCs/>
          <w:color w:val="FF0000"/>
          <w:kern w:val="0"/>
          <w:sz w:val="24"/>
          <w:szCs w:val="24"/>
          <w:lang w:val="en-US" w:eastAsia="zh-CN"/>
        </w:rPr>
        <w:t>：试验研究</w:t>
      </w:r>
    </w:p>
    <w:p>
      <w:pPr>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FF0000"/>
          <w:sz w:val="21"/>
          <w:szCs w:val="21"/>
        </w:rPr>
        <w:t>[目的]</w:t>
      </w:r>
      <w:r>
        <w:rPr>
          <w:rFonts w:hint="default" w:ascii="Times New Roman" w:hAnsi="Times New Roman" w:eastAsia="宋体" w:cs="Times New Roman"/>
          <w:color w:val="auto"/>
          <w:sz w:val="21"/>
          <w:szCs w:val="21"/>
        </w:rPr>
        <w:t>为中药在养禽业上“减抗”“替抗”的推广应用提供参考。</w:t>
      </w:r>
      <w:r>
        <w:rPr>
          <w:rFonts w:hint="default" w:ascii="Times New Roman" w:hAnsi="Times New Roman" w:eastAsia="宋体" w:cs="Times New Roman"/>
          <w:color w:val="FF0000"/>
          <w:sz w:val="21"/>
          <w:szCs w:val="21"/>
        </w:rPr>
        <w:t>[方法]</w:t>
      </w:r>
      <w:r>
        <w:rPr>
          <w:rFonts w:hint="default" w:ascii="Times New Roman" w:hAnsi="Times New Roman" w:eastAsia="宋体" w:cs="Times New Roman"/>
          <w:color w:val="auto"/>
          <w:sz w:val="21"/>
          <w:szCs w:val="21"/>
        </w:rPr>
        <w:t>选取56日龄341 g左右的灵山麻鸡200羽，随机分为4组，每组10羽鸡、每组5个重复，对照组饲喂基础日粮，试验组在基础日粮上分别添加0.5%、1.0%、2.0%木棉花超微粉，饲养试验为42 d，测定试验鸡的生长性能、腹泻率、肠道菌群、血清免疫球蛋白等指标。</w:t>
      </w:r>
      <w:r>
        <w:rPr>
          <w:rFonts w:hint="default" w:ascii="Times New Roman" w:hAnsi="Times New Roman" w:eastAsia="宋体" w:cs="Times New Roman"/>
          <w:color w:val="FF0000"/>
          <w:sz w:val="21"/>
          <w:szCs w:val="21"/>
        </w:rPr>
        <w:t>[结果]</w:t>
      </w:r>
      <w:r>
        <w:rPr>
          <w:rFonts w:hint="default" w:ascii="Times New Roman" w:hAnsi="Times New Roman" w:eastAsia="宋体" w:cs="Times New Roman"/>
          <w:color w:val="auto"/>
          <w:sz w:val="21"/>
          <w:szCs w:val="21"/>
        </w:rPr>
        <w:t>与对照组相比，木棉花超微粉对试验鸡的平均日采食量、血清免疫球蛋白IgA、IgM均无显著影响，但均能不同程度地提高平均日增质量，中剂量试验组增加最多（12.67%）；试验组灵山麻鸡血清中IgG含量分别显著提高36.13%、55.35%、26.18%，且中剂量试验组效果最好。</w:t>
      </w:r>
      <w:r>
        <w:rPr>
          <w:rFonts w:hint="default" w:ascii="Times New Roman" w:hAnsi="Times New Roman" w:eastAsia="宋体" w:cs="Times New Roman"/>
          <w:color w:val="FF0000"/>
          <w:sz w:val="21"/>
          <w:szCs w:val="21"/>
        </w:rPr>
        <w:t>[结论]</w:t>
      </w:r>
      <w:r>
        <w:rPr>
          <w:rFonts w:hint="default" w:ascii="Times New Roman" w:hAnsi="Times New Roman" w:eastAsia="宋体" w:cs="Times New Roman"/>
          <w:color w:val="auto"/>
          <w:sz w:val="21"/>
          <w:szCs w:val="21"/>
        </w:rPr>
        <w:t>在饲料中添加木棉花超微粉可促进灵山麻鸡生长，同时降低肠道菌群的丰度和腹泻率，显著提高血清免疫球蛋白IgG的含量，且以1%木棉花超微粉效果最佳。</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default"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例</w:t>
      </w:r>
      <w:r>
        <w:rPr>
          <w:rFonts w:hint="eastAsia" w:ascii="宋体" w:hAnsi="宋体" w:cs="宋体"/>
          <w:b/>
          <w:bCs/>
          <w:color w:val="FF0000"/>
          <w:kern w:val="0"/>
          <w:sz w:val="24"/>
          <w:szCs w:val="24"/>
          <w:lang w:val="en-US" w:eastAsia="zh-CN"/>
        </w:rPr>
        <w:t>2</w:t>
      </w:r>
      <w:r>
        <w:rPr>
          <w:rFonts w:hint="eastAsia" w:ascii="宋体" w:hAnsi="宋体" w:eastAsia="宋体" w:cs="宋体"/>
          <w:b/>
          <w:bCs/>
          <w:color w:val="FF0000"/>
          <w:kern w:val="0"/>
          <w:sz w:val="24"/>
          <w:szCs w:val="24"/>
          <w:lang w:val="en-US" w:eastAsia="zh-CN"/>
        </w:rPr>
        <w:t>：饲料营养</w:t>
      </w:r>
    </w:p>
    <w:p>
      <w:pPr>
        <w:jc w:val="both"/>
        <w:rPr>
          <w:rFonts w:hint="eastAsia" w:cs="Times New Roman"/>
          <w:color w:val="auto"/>
          <w:sz w:val="21"/>
          <w:szCs w:val="21"/>
          <w:lang w:eastAsia="zh-CN"/>
        </w:rPr>
      </w:pPr>
      <w:r>
        <w:rPr>
          <w:rFonts w:hint="default" w:ascii="Times New Roman" w:hAnsi="Times New Roman" w:eastAsia="宋体" w:cs="Times New Roman"/>
          <w:color w:val="FF0000"/>
          <w:sz w:val="21"/>
          <w:szCs w:val="21"/>
        </w:rPr>
        <w:t>［目的］</w:t>
      </w:r>
      <w:r>
        <w:rPr>
          <w:rFonts w:hint="default" w:ascii="Times New Roman" w:hAnsi="Times New Roman" w:eastAsia="宋体" w:cs="Times New Roman"/>
          <w:color w:val="auto"/>
          <w:sz w:val="21"/>
          <w:szCs w:val="21"/>
        </w:rPr>
        <w:t>为提高杂交构树发酵饲料的制作技术，提升畜禽产品质量。</w:t>
      </w:r>
      <w:r>
        <w:rPr>
          <w:rFonts w:hint="default" w:ascii="Times New Roman" w:hAnsi="Times New Roman" w:eastAsia="宋体" w:cs="Times New Roman"/>
          <w:color w:val="FF0000"/>
          <w:sz w:val="21"/>
          <w:szCs w:val="21"/>
        </w:rPr>
        <w:t>［方法］</w:t>
      </w:r>
      <w:r>
        <w:rPr>
          <w:rFonts w:hint="default" w:ascii="Times New Roman" w:hAnsi="Times New Roman" w:eastAsia="宋体" w:cs="Times New Roman"/>
          <w:color w:val="auto"/>
          <w:sz w:val="21"/>
          <w:szCs w:val="21"/>
        </w:rPr>
        <w:t>以河南省濮阳市为例，对本地实践做法进行总结和分析。</w:t>
      </w:r>
      <w:r>
        <w:rPr>
          <w:rFonts w:hint="default" w:ascii="Times New Roman" w:hAnsi="Times New Roman" w:eastAsia="宋体" w:cs="Times New Roman"/>
          <w:color w:val="FF0000"/>
          <w:sz w:val="21"/>
          <w:szCs w:val="21"/>
        </w:rPr>
        <w:t>［结果］</w:t>
      </w:r>
      <w:r>
        <w:rPr>
          <w:rFonts w:hint="default" w:ascii="Times New Roman" w:hAnsi="Times New Roman" w:eastAsia="宋体" w:cs="Times New Roman"/>
          <w:color w:val="auto"/>
          <w:sz w:val="21"/>
          <w:szCs w:val="21"/>
        </w:rPr>
        <w:t>构树发酵饲料的制作要从收割、青贮、水分调控、微生物添加、装填压实和密 封、品质鉴定等方面进行。构树发酵饲料用来饲喂动物，可以提高其消化力；构树发酵饲料呈酸性，能促进有益菌 的繁殖和一些矿物质的吸收，能有效防止动物腹泻；构树发酵饲料在蛋鸡场应用中取得了非常好的效果，能有效降低鸡蛋中的胆固醇，提高鸡蛋中钙的含量，使构树鸡蛋成为适合中老年人的保健食品。</w:t>
      </w:r>
      <w:r>
        <w:rPr>
          <w:rFonts w:hint="default" w:ascii="Times New Roman" w:hAnsi="Times New Roman" w:eastAsia="宋体" w:cs="Times New Roman"/>
          <w:color w:val="FF0000"/>
          <w:sz w:val="21"/>
          <w:szCs w:val="21"/>
        </w:rPr>
        <w:t>［结论］</w:t>
      </w:r>
      <w:r>
        <w:rPr>
          <w:rFonts w:hint="default" w:ascii="Times New Roman" w:hAnsi="Times New Roman" w:eastAsia="宋体" w:cs="Times New Roman"/>
          <w:color w:val="auto"/>
          <w:sz w:val="21"/>
          <w:szCs w:val="21"/>
        </w:rPr>
        <w:t>构树是一种高蛋白新型饲料，可替代部分蛋白质饲料；构树中含有黄酮类化合物，不仅有抗氧化作用，还具有广谱抗真菌与抗细菌活性，可以替代部分抗生素</w:t>
      </w:r>
      <w:r>
        <w:rPr>
          <w:rFonts w:hint="eastAsia" w:cs="Times New Roman"/>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例</w:t>
      </w:r>
      <w:r>
        <w:rPr>
          <w:rFonts w:hint="eastAsia" w:ascii="宋体" w:hAnsi="宋体" w:cs="宋体"/>
          <w:b/>
          <w:bCs/>
          <w:color w:val="FF0000"/>
          <w:kern w:val="0"/>
          <w:sz w:val="24"/>
          <w:szCs w:val="24"/>
          <w:lang w:val="en-US" w:eastAsia="zh-CN"/>
        </w:rPr>
        <w:t>3</w:t>
      </w:r>
      <w:r>
        <w:rPr>
          <w:rFonts w:hint="eastAsia" w:ascii="宋体" w:hAnsi="宋体" w:eastAsia="宋体" w:cs="宋体"/>
          <w:b/>
          <w:bCs/>
          <w:color w:val="FF0000"/>
          <w:kern w:val="0"/>
          <w:sz w:val="24"/>
          <w:szCs w:val="24"/>
          <w:lang w:val="en-US" w:eastAsia="zh-CN"/>
        </w:rPr>
        <w:t>：</w:t>
      </w:r>
      <w:r>
        <w:rPr>
          <w:rFonts w:hint="eastAsia" w:ascii="宋体" w:hAnsi="宋体" w:cs="宋体"/>
          <w:b/>
          <w:bCs/>
          <w:color w:val="FF0000"/>
          <w:kern w:val="0"/>
          <w:sz w:val="24"/>
          <w:szCs w:val="24"/>
          <w:lang w:val="en-US" w:eastAsia="zh-CN"/>
        </w:rPr>
        <w:t>教学研究</w:t>
      </w:r>
    </w:p>
    <w:p>
      <w:pPr>
        <w:jc w:val="both"/>
        <w:rPr>
          <w:rFonts w:hint="eastAsia" w:ascii="宋体" w:hAnsi="宋体" w:eastAsia="宋体" w:cs="宋体"/>
          <w:b/>
          <w:bCs/>
          <w:color w:val="FF0000"/>
          <w:kern w:val="0"/>
          <w:sz w:val="24"/>
          <w:szCs w:val="24"/>
          <w:lang w:val="en-US" w:eastAsia="zh-CN"/>
        </w:rPr>
      </w:pPr>
      <w:r>
        <w:rPr>
          <w:rFonts w:hint="eastAsia" w:ascii="宋体" w:hAnsi="宋体" w:eastAsia="宋体" w:cs="宋体"/>
          <w:color w:val="FF0000"/>
          <w:kern w:val="0"/>
          <w:sz w:val="21"/>
          <w:szCs w:val="21"/>
          <w:lang w:eastAsia="zh-CN"/>
        </w:rPr>
        <w:t>［目的］</w:t>
      </w:r>
      <w:r>
        <w:rPr>
          <w:rFonts w:hint="eastAsia" w:ascii="宋体" w:hAnsi="宋体" w:eastAsia="宋体" w:cs="宋体"/>
          <w:color w:val="auto"/>
          <w:kern w:val="0"/>
          <w:sz w:val="21"/>
          <w:szCs w:val="21"/>
          <w:lang w:eastAsia="zh-CN"/>
        </w:rPr>
        <w:t>为更好地适应畜牧兽医行业的技术革新和人才需求变化，探索高职畜牧兽医专业教学模式的创新与实践。</w:t>
      </w:r>
      <w:r>
        <w:rPr>
          <w:rFonts w:hint="eastAsia" w:ascii="宋体" w:hAnsi="宋体" w:eastAsia="宋体" w:cs="宋体"/>
          <w:color w:val="FF0000"/>
          <w:kern w:val="0"/>
          <w:sz w:val="21"/>
          <w:szCs w:val="21"/>
          <w:lang w:eastAsia="zh-CN"/>
        </w:rPr>
        <w:t>［方法］</w:t>
      </w:r>
      <w:r>
        <w:rPr>
          <w:rFonts w:hint="eastAsia" w:ascii="宋体" w:hAnsi="宋体" w:eastAsia="宋体" w:cs="宋体"/>
          <w:color w:val="auto"/>
          <w:kern w:val="0"/>
          <w:sz w:val="21"/>
          <w:szCs w:val="21"/>
          <w:lang w:eastAsia="zh-CN"/>
        </w:rPr>
        <w:t>通过分析产业技术发展趋势，对课程内容进行动态调整；增加实践教学资源投入，加强产学研的结合。</w:t>
      </w:r>
      <w:r>
        <w:rPr>
          <w:rFonts w:hint="eastAsia" w:ascii="宋体" w:hAnsi="宋体" w:eastAsia="宋体" w:cs="宋体"/>
          <w:color w:val="FF0000"/>
          <w:kern w:val="0"/>
          <w:sz w:val="21"/>
          <w:szCs w:val="21"/>
          <w:lang w:eastAsia="zh-CN"/>
        </w:rPr>
        <w:t>［结果］</w:t>
      </w:r>
      <w:r>
        <w:rPr>
          <w:rFonts w:hint="eastAsia" w:ascii="宋体" w:hAnsi="宋体" w:eastAsia="宋体" w:cs="宋体"/>
          <w:color w:val="auto"/>
          <w:kern w:val="0"/>
          <w:sz w:val="21"/>
          <w:szCs w:val="21"/>
          <w:lang w:eastAsia="zh-CN"/>
        </w:rPr>
        <w:t>通过定期修订课程体系、加强实践教学和建立协同创新机制，学生的实际操作、创新能力得到显著提升。</w:t>
      </w:r>
      <w:r>
        <w:rPr>
          <w:rFonts w:hint="eastAsia" w:ascii="宋体" w:hAnsi="宋体" w:eastAsia="宋体" w:cs="宋体"/>
          <w:color w:val="FF0000"/>
          <w:kern w:val="0"/>
          <w:sz w:val="21"/>
          <w:szCs w:val="21"/>
          <w:lang w:eastAsia="zh-CN"/>
        </w:rPr>
        <w:t>［结论］</w:t>
      </w:r>
      <w:r>
        <w:rPr>
          <w:rFonts w:hint="eastAsia" w:ascii="宋体" w:hAnsi="宋体" w:eastAsia="宋体" w:cs="宋体"/>
          <w:color w:val="auto"/>
          <w:kern w:val="0"/>
          <w:sz w:val="21"/>
          <w:szCs w:val="21"/>
          <w:lang w:eastAsia="zh-CN"/>
        </w:rPr>
        <w:t>新时代背景下，高职畜牧兽医专业教学模式的创新与实践不仅可以满足产业的技术和人才需求，也将促进教育与产业的紧密结合，为畜牧兽医行业的持续发展奠定坚实基础。</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例</w:t>
      </w:r>
      <w:r>
        <w:rPr>
          <w:rFonts w:hint="eastAsia" w:ascii="宋体" w:hAnsi="宋体" w:cs="宋体"/>
          <w:b/>
          <w:bCs/>
          <w:color w:val="FF0000"/>
          <w:kern w:val="0"/>
          <w:sz w:val="24"/>
          <w:szCs w:val="24"/>
          <w:lang w:val="en-US" w:eastAsia="zh-CN"/>
        </w:rPr>
        <w:t>4</w:t>
      </w:r>
      <w:r>
        <w:rPr>
          <w:rFonts w:hint="eastAsia" w:ascii="宋体" w:hAnsi="宋体" w:eastAsia="宋体" w:cs="宋体"/>
          <w:b/>
          <w:bCs/>
          <w:color w:val="FF0000"/>
          <w:kern w:val="0"/>
          <w:sz w:val="24"/>
          <w:szCs w:val="24"/>
          <w:lang w:val="en-US" w:eastAsia="zh-CN"/>
        </w:rPr>
        <w:t>：</w:t>
      </w:r>
      <w:r>
        <w:rPr>
          <w:rFonts w:hint="eastAsia" w:ascii="宋体" w:hAnsi="宋体" w:cs="宋体"/>
          <w:b/>
          <w:bCs/>
          <w:color w:val="FF0000"/>
          <w:kern w:val="0"/>
          <w:sz w:val="24"/>
          <w:szCs w:val="24"/>
          <w:lang w:val="en-US" w:eastAsia="zh-CN"/>
        </w:rPr>
        <w:t>养殖生产</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怀孕母猪在生理方面发生很多变化，对外界环境相对敏感，尤其在胚胎着床、胚胎器官发育和胎儿迅速生长时，如果饲养管理粗放、营养供给不平衡、环境条件恶劣、饲喂程序不当、突然更换饲料等，都会促使怀孕母猪受到极大应激，机体代谢紊乱、体质和抗病能力下降，极易促使母猪发生流产现象。为此，本文根据母猪腹中胚胎发育阶段，将母猪怀孕分为怀孕前期、怀孕中期和怀孕后期3个不同的生长关键时期，并详细介绍了这3个时期怀孕母猪的饲养管理技术要点及做好接生工作和做好母猪产仔记录的要点，以确保母猪顺利生产出健壮仔猪，进而提高母猪繁殖能力和养殖效益，为养猪业的健康发展奠定坚实的理论基础和技术保障。</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default"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例</w:t>
      </w:r>
      <w:r>
        <w:rPr>
          <w:rFonts w:hint="eastAsia" w:ascii="宋体" w:hAnsi="宋体" w:cs="宋体"/>
          <w:b/>
          <w:bCs/>
          <w:color w:val="FF0000"/>
          <w:kern w:val="0"/>
          <w:sz w:val="24"/>
          <w:szCs w:val="24"/>
          <w:lang w:val="en-US" w:eastAsia="zh-CN"/>
        </w:rPr>
        <w:t>5</w:t>
      </w:r>
      <w:r>
        <w:rPr>
          <w:rFonts w:hint="eastAsia" w:ascii="宋体" w:hAnsi="宋体" w:eastAsia="宋体" w:cs="宋体"/>
          <w:b/>
          <w:bCs/>
          <w:color w:val="FF0000"/>
          <w:kern w:val="0"/>
          <w:sz w:val="24"/>
          <w:szCs w:val="24"/>
          <w:lang w:val="en-US" w:eastAsia="zh-CN"/>
        </w:rPr>
        <w:t>：</w:t>
      </w:r>
      <w:r>
        <w:rPr>
          <w:rFonts w:hint="eastAsia" w:ascii="宋体" w:hAnsi="宋体" w:cs="宋体"/>
          <w:b/>
          <w:bCs/>
          <w:color w:val="FF0000"/>
          <w:kern w:val="0"/>
          <w:sz w:val="24"/>
          <w:szCs w:val="24"/>
          <w:lang w:val="en-US" w:eastAsia="zh-CN"/>
        </w:rPr>
        <w:t>疾病防控</w:t>
      </w:r>
    </w:p>
    <w:p>
      <w:pPr>
        <w:ind w:firstLine="420" w:firstLineChars="2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猪圆环病毒病是养猪业中比较常见的一种传染性疾病</w:t>
      </w:r>
      <w:r>
        <w:rPr>
          <w:rFonts w:hint="eastAsia" w:cs="Times New Roman"/>
          <w:color w:val="FF0000"/>
          <w:sz w:val="21"/>
          <w:szCs w:val="21"/>
          <w:lang w:eastAsia="zh-CN"/>
        </w:rPr>
        <w:t>（疾病介绍）</w:t>
      </w:r>
      <w:r>
        <w:rPr>
          <w:rFonts w:hint="default" w:ascii="Times New Roman" w:hAnsi="Times New Roman" w:eastAsia="宋体" w:cs="Times New Roman"/>
          <w:color w:val="auto"/>
          <w:sz w:val="21"/>
          <w:szCs w:val="21"/>
        </w:rPr>
        <w:t>，病猪的临床表现有繁殖障碍症、猪皮炎肾病综合征等</w:t>
      </w:r>
      <w:r>
        <w:rPr>
          <w:rFonts w:hint="eastAsia" w:cs="Times New Roman"/>
          <w:color w:val="FF0000"/>
          <w:sz w:val="21"/>
          <w:szCs w:val="21"/>
          <w:lang w:eastAsia="zh-CN"/>
        </w:rPr>
        <w:t>（临床症状）</w:t>
      </w:r>
      <w:r>
        <w:rPr>
          <w:rFonts w:hint="default" w:ascii="Times New Roman" w:hAnsi="Times New Roman" w:eastAsia="宋体" w:cs="Times New Roman"/>
          <w:color w:val="auto"/>
          <w:sz w:val="21"/>
          <w:szCs w:val="21"/>
        </w:rPr>
        <w:t>，不仅降低仔猪的成活率和生长发育速度，而且还会影响母猪的繁殖能力</w:t>
      </w:r>
      <w:r>
        <w:rPr>
          <w:rFonts w:hint="eastAsia" w:cs="Times New Roman"/>
          <w:color w:val="FF0000"/>
          <w:sz w:val="21"/>
          <w:szCs w:val="21"/>
          <w:lang w:eastAsia="zh-CN"/>
        </w:rPr>
        <w:t>（危害）</w:t>
      </w:r>
      <w:r>
        <w:rPr>
          <w:rFonts w:hint="default" w:ascii="Times New Roman" w:hAnsi="Times New Roman" w:eastAsia="宋体" w:cs="Times New Roman"/>
          <w:color w:val="auto"/>
          <w:sz w:val="21"/>
          <w:szCs w:val="21"/>
        </w:rPr>
        <w:t>。目前，最好的预防方法是疫苗免疫，可以选择猪圆环病毒2型灭活疫苗（LG株）和猪圆环病毒2型灭活疫苗（SH株）进行颈部肌肉注射</w:t>
      </w:r>
      <w:r>
        <w:rPr>
          <w:rFonts w:hint="eastAsia" w:cs="Times New Roman"/>
          <w:color w:val="FF0000"/>
          <w:sz w:val="21"/>
          <w:szCs w:val="21"/>
          <w:lang w:eastAsia="zh-CN"/>
        </w:rPr>
        <w:t>（预防或治疗方法）</w:t>
      </w:r>
      <w:r>
        <w:rPr>
          <w:rFonts w:hint="default" w:ascii="Times New Roman" w:hAnsi="Times New Roman" w:eastAsia="宋体" w:cs="Times New Roman"/>
          <w:color w:val="auto"/>
          <w:sz w:val="21"/>
          <w:szCs w:val="21"/>
        </w:rPr>
        <w:t>，降低猪圆环病毒病的发病率，促进养猪业的安全和健康发展。</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default"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例</w:t>
      </w:r>
      <w:r>
        <w:rPr>
          <w:rFonts w:hint="eastAsia" w:ascii="宋体" w:hAnsi="宋体" w:cs="宋体"/>
          <w:b/>
          <w:bCs/>
          <w:color w:val="FF0000"/>
          <w:kern w:val="0"/>
          <w:sz w:val="24"/>
          <w:szCs w:val="24"/>
          <w:lang w:val="en-US" w:eastAsia="zh-CN"/>
        </w:rPr>
        <w:t>6</w:t>
      </w:r>
      <w:r>
        <w:rPr>
          <w:rFonts w:hint="eastAsia" w:ascii="宋体" w:hAnsi="宋体" w:eastAsia="宋体" w:cs="宋体"/>
          <w:b/>
          <w:bCs/>
          <w:color w:val="FF0000"/>
          <w:kern w:val="0"/>
          <w:sz w:val="24"/>
          <w:szCs w:val="24"/>
          <w:lang w:val="en-US" w:eastAsia="zh-CN"/>
        </w:rPr>
        <w:t>：</w:t>
      </w:r>
      <w:r>
        <w:rPr>
          <w:rFonts w:hint="eastAsia" w:ascii="宋体" w:hAnsi="宋体" w:cs="宋体"/>
          <w:b/>
          <w:bCs/>
          <w:color w:val="FF0000"/>
          <w:kern w:val="0"/>
          <w:sz w:val="24"/>
          <w:szCs w:val="24"/>
          <w:lang w:val="en-US" w:eastAsia="zh-CN"/>
        </w:rPr>
        <w:t>管理前沿</w:t>
      </w:r>
    </w:p>
    <w:p>
      <w:pPr>
        <w:ind w:firstLine="420" w:firstLineChars="200"/>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随着人们收入水平日益提高与城镇化水平快速发展，鸡肉食品的消费在社会居民总肉食消费中所占 比重持续提高，已成为我国仅次猪肉的第二大消费肉类，因此我国肉鸡行业也随之蓬勃发展。为实现我国肉鸡行 业可持续发展，本文介绍了我国养鸡业发展的现状：鸡肉产品数量持续上升，占肉类消费比例也逐年稳步提升，肉 鸡养殖也基本上告别了传统的由农民以散养主导的经营方式，逐渐走向了集约化、大规模养殖，肉鸡行业在总体 上步入了专业化的高速发展阶段；简述了国外养鸡业发展的 3 大模式：大型厂房化养殖模式、适度规模经营养殖 模式、集约化经营养殖模式；展示了我国养鸡业未来发展的趋势：“公司 + 农户”模式将是我国肉鸡行业发展的主体形式，肉鸡产业信息化溯源平台的建立，适时出栏对成本控制的经济效益提高。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YmNkNzkxNzMwODdmZTdkNWU4YWIyMThjYmYyZWYifQ=="/>
  </w:docVars>
  <w:rsids>
    <w:rsidRoot w:val="7E960D47"/>
    <w:rsid w:val="1CF57F25"/>
    <w:rsid w:val="21CC68F7"/>
    <w:rsid w:val="25BC098C"/>
    <w:rsid w:val="2E2C34EF"/>
    <w:rsid w:val="30A4021F"/>
    <w:rsid w:val="4EEC061B"/>
    <w:rsid w:val="73BE3D1E"/>
    <w:rsid w:val="7E96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1472</Words>
  <Characters>1508</Characters>
  <Lines>0</Lines>
  <Paragraphs>0</Paragraphs>
  <TotalTime>4</TotalTime>
  <ScaleCrop>false</ScaleCrop>
  <LinksUpToDate>false</LinksUpToDate>
  <CharactersWithSpaces>1512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2022-05-11T08:18:00Z</dcterms:created>
  <dc:creator>Administrator</dc:creator>
  <cp:lastModifiedBy>Administrator</cp:lastModifiedBy>
  <dcterms:modified xsi:type="dcterms:W3CDTF">2024-03-01T03:04:20Z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3A28C967BDC54795AB9500DD63AA4DDF_13</vt:lpwstr>
  </property>
</Properties>
</file>