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CB5A">
      <w:pPr>
        <w:pStyle w:val="4"/>
        <w:suppressAutoHyphens/>
        <w:jc w:val="center"/>
        <w:rPr>
          <w:rFonts w:hint="default"/>
          <w:w w:val="103"/>
          <w:sz w:val="23"/>
        </w:rPr>
      </w:pPr>
      <w:r>
        <w:rPr>
          <w:rFonts w:ascii="黑体" w:hAnsi="黑体" w:eastAsia="黑体"/>
          <w:w w:val="103"/>
          <w:sz w:val="31"/>
          <w:lang w:val="en-US"/>
        </w:rPr>
        <w:t>征 稿 启 事</w:t>
      </w:r>
    </w:p>
    <w:p w14:paraId="01B8DA67">
      <w:pPr>
        <w:pStyle w:val="4"/>
        <w:suppressAutoHyphens/>
        <w:ind w:firstLine="454"/>
        <w:rPr>
          <w:rFonts w:hint="default" w:ascii="新宋体" w:hAnsi="新宋体" w:eastAsia="新宋体"/>
          <w:w w:val="103"/>
          <w:sz w:val="20"/>
          <w:lang w:val="en-US"/>
        </w:rPr>
      </w:pPr>
    </w:p>
    <w:p w14:paraId="4F671CE6">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税收经济研究》是国家税务总局主管，国家税务总局税务干部学院（中共国家税务总局党校）主办的“财政”类中文核心期刊，秉承“以特色求知名，以创新求发展”的办刊理念，突出学术性、实践性和创新性。</w:t>
      </w:r>
    </w:p>
    <w:p w14:paraId="62C9DC60">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我们热诚期待学术界同仁和税务战线的理论工作者及实际工作者加强与本刊编辑部的联系，继续不吝赐稿。</w:t>
      </w:r>
    </w:p>
    <w:p w14:paraId="352BF7FF">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投稿要求：</w:t>
      </w:r>
    </w:p>
    <w:p w14:paraId="0F00F528">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 xml:space="preserve">一、论文应具有科学性、理论性和实用性，论点明确、论据扎实、数据准确、逻辑严谨、语言流畅。论文字数在10000字左右（若文章内容需要可适当增加）。       </w:t>
      </w:r>
    </w:p>
    <w:p w14:paraId="64CD7230">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二、来稿请注明作者姓名、性别、职称或职务、学位、工作单位、通讯地址、邮政编码、联系电话、电子邮件等，本刊将据此建立作者档案。</w:t>
      </w:r>
    </w:p>
    <w:p w14:paraId="215D92DE">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三、来稿请务必写出中文提要和关键词，并将文章题目译成英文。</w:t>
      </w:r>
    </w:p>
    <w:p w14:paraId="532921D6">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四、基金项目请注明基金项目名称和项目编号。</w:t>
      </w:r>
    </w:p>
    <w:p w14:paraId="7429BBB0">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五、行文中的附加说明性文字以圆圈序号形式（①、②、③等）随页脚注，具体征引（均为实引）的文献以文后“参考文献”的形式著录。参考文献标注执行《文后参考文献著录规则》</w:t>
      </w:r>
      <w:r>
        <w:rPr>
          <w:rFonts w:ascii="新宋体" w:hAnsi="新宋体" w:eastAsia="新宋体"/>
          <w:w w:val="103"/>
          <w:sz w:val="21"/>
        </w:rPr>
        <w:t>（</w:t>
      </w:r>
      <w:r>
        <w:rPr>
          <w:rFonts w:ascii="新宋体" w:hAnsi="新宋体" w:eastAsia="新宋体"/>
          <w:w w:val="103"/>
          <w:sz w:val="21"/>
          <w:lang w:val="en-US"/>
        </w:rPr>
        <w:t>GB/7714-2015</w:t>
      </w:r>
      <w:r>
        <w:rPr>
          <w:rFonts w:ascii="新宋体" w:hAnsi="新宋体" w:eastAsia="新宋体"/>
          <w:w w:val="103"/>
          <w:sz w:val="21"/>
        </w:rPr>
        <w:t>）</w:t>
      </w:r>
      <w:r>
        <w:rPr>
          <w:rFonts w:ascii="新宋体" w:hAnsi="新宋体" w:eastAsia="新宋体"/>
          <w:w w:val="103"/>
          <w:sz w:val="21"/>
          <w:lang w:val="en-US"/>
        </w:rPr>
        <w:t>。</w:t>
      </w:r>
    </w:p>
    <w:p w14:paraId="6FE96A1D">
      <w:pPr>
        <w:pStyle w:val="4"/>
        <w:suppressAutoHyphens/>
        <w:ind w:firstLine="454"/>
        <w:rPr>
          <w:rFonts w:hint="default" w:ascii="新宋体" w:hAnsi="新宋体" w:eastAsia="新宋体"/>
          <w:w w:val="103"/>
          <w:sz w:val="21"/>
          <w:lang w:val="en-US"/>
        </w:rPr>
      </w:pPr>
      <w:r>
        <w:rPr>
          <w:rFonts w:ascii="新宋体" w:hAnsi="新宋体" w:eastAsia="新宋体"/>
          <w:w w:val="103"/>
          <w:sz w:val="21"/>
          <w:lang w:val="en-US"/>
        </w:rPr>
        <w:t>六、请勿一稿多投，文责自负。三个月后未见用稿通知，作者可自行处理。编辑部对来稿有权加工修改。</w:t>
      </w:r>
    </w:p>
    <w:p w14:paraId="3755AB59">
      <w:pPr>
        <w:pStyle w:val="4"/>
        <w:suppressAutoHyphens/>
        <w:ind w:firstLine="454"/>
        <w:rPr>
          <w:rFonts w:hint="default" w:ascii="新宋体" w:hAnsi="新宋体" w:eastAsia="新宋体"/>
          <w:w w:val="103"/>
          <w:sz w:val="20"/>
          <w:lang w:val="en-US"/>
        </w:rPr>
      </w:pPr>
      <w:r>
        <w:rPr>
          <w:rFonts w:ascii="新宋体" w:hAnsi="新宋体" w:eastAsia="新宋体"/>
          <w:w w:val="103"/>
          <w:sz w:val="21"/>
          <w:lang w:val="en-US"/>
        </w:rPr>
        <w:t>七、投稿请通过</w:t>
      </w:r>
      <w:r>
        <w:rPr>
          <w:rFonts w:hint="eastAsia" w:ascii="新宋体" w:hAnsi="新宋体" w:eastAsia="新宋体"/>
          <w:w w:val="103"/>
          <w:sz w:val="21"/>
          <w:lang w:val="en-US" w:eastAsia="zh-CN"/>
        </w:rPr>
        <w:t>采编系统</w:t>
      </w:r>
      <w:r>
        <w:rPr>
          <w:rFonts w:ascii="新宋体" w:hAnsi="新宋体" w:eastAsia="新宋体"/>
          <w:w w:val="103"/>
          <w:sz w:val="21"/>
          <w:lang w:val="en-US"/>
        </w:rPr>
        <w:t>，</w:t>
      </w:r>
      <w:r>
        <w:rPr>
          <w:rFonts w:hint="eastAsia" w:ascii="新宋体" w:hAnsi="新宋体" w:eastAsia="新宋体"/>
          <w:w w:val="103"/>
          <w:sz w:val="21"/>
          <w:lang w:val="en-US" w:eastAsia="zh-CN"/>
        </w:rPr>
        <w:t>访问地址</w:t>
      </w:r>
      <w:r>
        <w:rPr>
          <w:rFonts w:ascii="新宋体" w:hAnsi="新宋体" w:eastAsia="新宋体"/>
          <w:w w:val="103"/>
          <w:sz w:val="21"/>
          <w:lang w:val="en-US"/>
        </w:rPr>
        <w:t>：</w:t>
      </w:r>
      <w:r>
        <w:rPr>
          <w:rFonts w:hint="eastAsia" w:ascii="新宋体" w:hAnsi="新宋体" w:eastAsia="新宋体"/>
          <w:w w:val="103"/>
          <w:sz w:val="21"/>
          <w:lang w:val="en-US"/>
        </w:rPr>
        <w:t>https://ssjjyj.cbpt.cnki.net</w:t>
      </w:r>
      <w:r>
        <w:rPr>
          <w:rFonts w:ascii="新宋体" w:hAnsi="新宋体" w:eastAsia="新宋体"/>
          <w:w w:val="103"/>
          <w:sz w:val="21"/>
          <w:lang w:val="en-US"/>
        </w:rPr>
        <w:t>；也可另附打印稿。</w:t>
      </w:r>
    </w:p>
    <w:p w14:paraId="1572DB56">
      <w:pPr>
        <w:pStyle w:val="4"/>
        <w:suppressAutoHyphens/>
        <w:ind w:firstLine="454"/>
        <w:rPr>
          <w:rFonts w:hint="default" w:ascii="新宋体" w:hAnsi="新宋体" w:eastAsia="新宋体"/>
          <w:w w:val="103"/>
          <w:sz w:val="20"/>
          <w:lang w:val="en-US"/>
        </w:rPr>
      </w:pPr>
      <w:r>
        <w:rPr>
          <w:rFonts w:ascii="新宋体" w:hAnsi="新宋体" w:eastAsia="新宋体"/>
          <w:w w:val="103"/>
          <w:sz w:val="21"/>
          <w:lang w:val="en-US"/>
        </w:rPr>
        <w:t>八、为扩大本刊及作者知</w:t>
      </w:r>
      <w:bookmarkStart w:id="0" w:name="_GoBack"/>
      <w:bookmarkEnd w:id="0"/>
      <w:r>
        <w:rPr>
          <w:rFonts w:ascii="新宋体" w:hAnsi="新宋体" w:eastAsia="新宋体"/>
          <w:w w:val="103"/>
          <w:sz w:val="21"/>
          <w:lang w:val="en-US"/>
        </w:rPr>
        <w:t>识信息交流渠道，加强知识信息推广力度，本刊已加入中国知网、维普中文科技期刊数据库、超星期刊域出版平台、万方数据知识服务平台等数据库，许可其以数字化方式复制、汇编、发行、信息网络传播本刊全文。本刊支付的稿酬已包含著作权使用费，所有署名作者向本刊提交文章发表之行为视为同意上述声明。如有异议，请在投稿时说明，本刊将按作者说明处理。</w:t>
      </w:r>
    </w:p>
    <w:p w14:paraId="65058663">
      <w:pPr>
        <w:pStyle w:val="4"/>
        <w:suppressAutoHyphens/>
        <w:ind w:firstLine="454"/>
        <w:rPr>
          <w:rFonts w:hint="default" w:ascii="新宋体" w:hAnsi="新宋体" w:eastAsia="新宋体"/>
          <w:w w:val="103"/>
          <w:sz w:val="20"/>
          <w:lang w:val="en-US"/>
        </w:rPr>
      </w:pPr>
    </w:p>
    <w:p w14:paraId="23E24547">
      <w:pPr>
        <w:pStyle w:val="4"/>
        <w:suppressAutoHyphens/>
        <w:ind w:firstLine="510"/>
        <w:rPr>
          <w:rFonts w:hint="default" w:ascii="新宋体" w:hAnsi="新宋体" w:eastAsia="新宋体"/>
          <w:sz w:val="21"/>
          <w:lang w:val="en-US"/>
        </w:rPr>
      </w:pPr>
    </w:p>
    <w:p w14:paraId="735EE704">
      <w:pPr>
        <w:pStyle w:val="4"/>
        <w:suppressAutoHyphens/>
        <w:rPr>
          <w:rFonts w:hint="default" w:ascii="黑体" w:hAnsi="黑体" w:eastAsia="黑体"/>
          <w:sz w:val="22"/>
          <w:lang w:val="en-US"/>
        </w:rPr>
      </w:pPr>
      <w:r>
        <w:rPr>
          <w:rFonts w:ascii="黑体" w:hAnsi="黑体" w:eastAsia="黑体"/>
          <w:sz w:val="22"/>
          <w:lang w:val="en-US"/>
        </w:rPr>
        <w:t xml:space="preserve">                                      《税收经济研究》编辑部</w:t>
      </w:r>
    </w:p>
    <w:p w14:paraId="548ADF83"/>
    <w:p w14:paraId="2B60A78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7913"/>
    <w:rsid w:val="005218B6"/>
    <w:rsid w:val="00BC7913"/>
    <w:rsid w:val="00BD09EE"/>
    <w:rsid w:val="00E64CFB"/>
    <w:rsid w:val="00EA0BB4"/>
    <w:rsid w:val="00EC1409"/>
    <w:rsid w:val="00F02A0B"/>
    <w:rsid w:val="590D4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无段落样式]"/>
    <w:unhideWhenUsed/>
    <w:qFormat/>
    <w:uiPriority w:val="99"/>
    <w:pPr>
      <w:widowControl w:val="0"/>
      <w:autoSpaceDE w:val="0"/>
      <w:autoSpaceDN w:val="0"/>
      <w:adjustRightInd w:val="0"/>
      <w:spacing w:line="288" w:lineRule="auto"/>
      <w:jc w:val="both"/>
      <w:textAlignment w:val="center"/>
    </w:pPr>
    <w:rPr>
      <w:rFonts w:hint="eastAsia" w:ascii="宋体" w:hAnsi="宋体" w:eastAsia="宋体" w:cstheme="minorBidi"/>
      <w:color w:val="000000"/>
      <w:kern w:val="0"/>
      <w:sz w:val="24"/>
      <w:szCs w:val="24"/>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676</Words>
  <Characters>708</Characters>
  <Lines>5</Lines>
  <Paragraphs>1</Paragraphs>
  <TotalTime>0</TotalTime>
  <ScaleCrop>false</ScaleCrop>
  <LinksUpToDate>false</LinksUpToDate>
  <CharactersWithSpaces>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2025-03-11T00:29:00Z</dcterms:created>
  <dc:creator>张景华</dc:creator>
  <cp:lastModifiedBy>悠悠</cp:lastModifiedBy>
  <dcterms:modified xsi:type="dcterms:W3CDTF">2025-09-12T02:55:02Z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eyJoZGlkIjoiY2VlYjY5MmZjMjM1N2QwZWUzZTY0NmY2ODRlZGEwZjEiLCJ1c2VySWQiOiIyNzQ4MjE1ODcifQ==</vt:lpwstr>
  </property>
  <property fmtid="{D5CDD505-2E9C-101B-9397-08002B2CF9AE}" pid="3" name="KSOProductBuildVer">
    <vt:lpwstr>2052-12.1.0.22529</vt:lpwstr>
  </property>
  <property fmtid="{D5CDD505-2E9C-101B-9397-08002B2CF9AE}" pid="4" name="ICV">
    <vt:lpwstr>88DE507FCF93471E8AD7A6DD77276733_12</vt:lpwstr>
  </property>
</Properties>
</file>