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36"/>
        </w:rPr>
      </w:pPr>
      <w:r>
        <w:rPr>
          <w:rFonts w:hint="eastAsia" w:ascii="黑体" w:eastAsia="黑体"/>
          <w:sz w:val="36"/>
        </w:rPr>
        <w:t>电力科技查新委托书</w:t>
      </w:r>
    </w:p>
    <w:p>
      <w:pPr>
        <w:rPr>
          <w:rFonts w:ascii="黑体" w:eastAsia="黑体"/>
          <w:b/>
          <w:sz w:val="24"/>
        </w:rPr>
      </w:pPr>
      <w:r>
        <w:rPr>
          <w:rFonts w:hint="eastAsia" w:ascii="黑体" w:eastAsia="黑体"/>
          <w:b/>
          <w:sz w:val="24"/>
        </w:rPr>
        <w:t xml:space="preserve">                                      </w:t>
      </w:r>
    </w:p>
    <w:p>
      <w:pPr>
        <w:jc w:val="distribute"/>
        <w:rPr>
          <w:rFonts w:ascii="宋体"/>
        </w:rPr>
      </w:pPr>
      <w:r>
        <w:rPr>
          <w:rFonts w:hint="eastAsia" w:ascii="宋体"/>
        </w:rPr>
        <w:t>编号:</w:t>
      </w:r>
      <w:bookmarkStart w:id="0" w:name="contact_no"/>
      <w:bookmarkEnd w:id="0"/>
      <w:r>
        <w:rPr>
          <w:rFonts w:hint="eastAsia" w:ascii="宋体"/>
        </w:rPr>
        <w:t xml:space="preserve">              </w:t>
      </w:r>
      <w:r>
        <w:rPr>
          <w:rFonts w:hint="eastAsia" w:ascii="宋体"/>
        </w:rPr>
        <w:tab/>
      </w:r>
      <w:r>
        <w:rPr>
          <w:rFonts w:hint="eastAsia" w:ascii="宋体"/>
        </w:rPr>
        <w:t xml:space="preserve">                         文件编号：</w:t>
      </w:r>
      <w:r>
        <w:rPr>
          <w:rFonts w:ascii="宋体"/>
        </w:rPr>
        <w:t>ZDS/05/12/006-1</w:t>
      </w:r>
    </w:p>
    <w:tbl>
      <w:tblPr>
        <w:tblStyle w:val="8"/>
        <w:tblW w:w="10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944"/>
        <w:gridCol w:w="861"/>
        <w:gridCol w:w="1687"/>
        <w:gridCol w:w="1822"/>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424" w:type="dxa"/>
            <w:vMerge w:val="restart"/>
            <w:vAlign w:val="center"/>
          </w:tcPr>
          <w:p>
            <w:pPr>
              <w:jc w:val="center"/>
              <w:rPr>
                <w:rFonts w:ascii="宋体"/>
                <w:sz w:val="24"/>
              </w:rPr>
            </w:pPr>
            <w:r>
              <w:rPr>
                <w:rFonts w:hint="eastAsia" w:ascii="宋体"/>
                <w:sz w:val="24"/>
              </w:rPr>
              <w:t>课题名称</w:t>
            </w:r>
          </w:p>
        </w:tc>
        <w:tc>
          <w:tcPr>
            <w:tcW w:w="944" w:type="dxa"/>
            <w:vAlign w:val="center"/>
          </w:tcPr>
          <w:p>
            <w:pPr>
              <w:rPr>
                <w:rFonts w:ascii="宋体"/>
                <w:sz w:val="24"/>
              </w:rPr>
            </w:pPr>
            <w:bookmarkStart w:id="1" w:name="pro_name_ch"/>
            <w:bookmarkEnd w:id="1"/>
            <w:r>
              <w:rPr>
                <w:rFonts w:hint="eastAsia" w:ascii="宋体"/>
                <w:sz w:val="24"/>
              </w:rPr>
              <w:t>中文：</w:t>
            </w:r>
          </w:p>
        </w:tc>
        <w:tc>
          <w:tcPr>
            <w:tcW w:w="7790" w:type="dxa"/>
            <w:gridSpan w:val="4"/>
            <w:vAlign w:val="center"/>
          </w:tcPr>
          <w:p>
            <w:pPr>
              <w:spacing w:before="80"/>
              <w:ind w:left="-229" w:leftChars="0"/>
              <w:rPr>
                <w:rFonts w:ascii="宋体"/>
                <w:sz w:val="24"/>
              </w:rPr>
            </w:pPr>
            <w:r>
              <w:rPr>
                <w:rFonts w:hint="eastAsia" w:ascii="宋体" w:hAnsi="宋体"/>
                <w:sz w:val="24"/>
              </w:rPr>
              <w:t xml:space="preserve">  基于深度神经网络的电力检修文本挖掘方法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424" w:type="dxa"/>
            <w:vMerge w:val="continue"/>
            <w:vAlign w:val="center"/>
          </w:tcPr>
          <w:p>
            <w:pPr>
              <w:jc w:val="center"/>
              <w:rPr>
                <w:rFonts w:ascii="宋体"/>
                <w:sz w:val="24"/>
              </w:rPr>
            </w:pPr>
          </w:p>
        </w:tc>
        <w:tc>
          <w:tcPr>
            <w:tcW w:w="944" w:type="dxa"/>
            <w:vAlign w:val="center"/>
          </w:tcPr>
          <w:p>
            <w:pPr>
              <w:rPr>
                <w:rFonts w:ascii="宋体"/>
                <w:sz w:val="24"/>
              </w:rPr>
            </w:pPr>
            <w:r>
              <w:rPr>
                <w:rFonts w:hint="eastAsia" w:ascii="宋体"/>
                <w:sz w:val="24"/>
              </w:rPr>
              <w:t>英文：</w:t>
            </w:r>
          </w:p>
        </w:tc>
        <w:tc>
          <w:tcPr>
            <w:tcW w:w="7790" w:type="dxa"/>
            <w:gridSpan w:val="4"/>
            <w:vAlign w:val="center"/>
          </w:tcPr>
          <w:p>
            <w:pPr>
              <w:spacing w:before="80"/>
              <w:ind w:right="-227" w:rightChars="0"/>
              <w:rPr>
                <w:rFonts w:ascii="宋体"/>
                <w:sz w:val="24"/>
              </w:rPr>
            </w:pPr>
            <w:r>
              <w:rPr>
                <w:rFonts w:hint="eastAsia" w:ascii="宋体" w:hAnsi="宋体"/>
              </w:rPr>
              <w:t>A method of power overhaul text mining based on deep neural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424" w:type="dxa"/>
            <w:vAlign w:val="center"/>
          </w:tcPr>
          <w:p>
            <w:pPr>
              <w:jc w:val="center"/>
              <w:rPr>
                <w:rFonts w:ascii="宋体"/>
                <w:sz w:val="24"/>
              </w:rPr>
            </w:pPr>
            <w:r>
              <w:rPr>
                <w:rFonts w:hint="eastAsia" w:ascii="宋体"/>
                <w:sz w:val="24"/>
              </w:rPr>
              <w:t>委托单位</w:t>
            </w:r>
          </w:p>
        </w:tc>
        <w:tc>
          <w:tcPr>
            <w:tcW w:w="3492" w:type="dxa"/>
            <w:gridSpan w:val="3"/>
            <w:vAlign w:val="center"/>
          </w:tcPr>
          <w:p>
            <w:pPr>
              <w:rPr>
                <w:rFonts w:ascii="宋体"/>
                <w:sz w:val="24"/>
              </w:rPr>
            </w:pPr>
            <w:bookmarkStart w:id="2" w:name="wtjg_name"/>
            <w:bookmarkEnd w:id="2"/>
          </w:p>
        </w:tc>
        <w:tc>
          <w:tcPr>
            <w:tcW w:w="1822" w:type="dxa"/>
            <w:vAlign w:val="center"/>
          </w:tcPr>
          <w:p>
            <w:pPr>
              <w:jc w:val="center"/>
              <w:rPr>
                <w:rFonts w:ascii="宋体"/>
                <w:sz w:val="24"/>
              </w:rPr>
            </w:pPr>
            <w:r>
              <w:rPr>
                <w:rFonts w:hint="eastAsia" w:ascii="宋体"/>
                <w:sz w:val="24"/>
              </w:rPr>
              <w:t>委 托 人</w:t>
            </w:r>
          </w:p>
        </w:tc>
        <w:tc>
          <w:tcPr>
            <w:tcW w:w="3420" w:type="dxa"/>
            <w:vAlign w:val="center"/>
          </w:tcPr>
          <w:p>
            <w:pPr>
              <w:rPr>
                <w:rFonts w:ascii="宋体"/>
                <w:sz w:val="24"/>
              </w:rPr>
            </w:pPr>
            <w:bookmarkStart w:id="3" w:name="wtjg_linke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424" w:type="dxa"/>
            <w:vAlign w:val="center"/>
          </w:tcPr>
          <w:p>
            <w:pPr>
              <w:jc w:val="center"/>
              <w:rPr>
                <w:rFonts w:ascii="宋体"/>
                <w:sz w:val="24"/>
              </w:rPr>
            </w:pPr>
            <w:r>
              <w:rPr>
                <w:rFonts w:hint="eastAsia" w:ascii="宋体"/>
                <w:sz w:val="24"/>
              </w:rPr>
              <w:t>通讯地址</w:t>
            </w:r>
          </w:p>
        </w:tc>
        <w:tc>
          <w:tcPr>
            <w:tcW w:w="3492" w:type="dxa"/>
            <w:gridSpan w:val="3"/>
            <w:vAlign w:val="center"/>
          </w:tcPr>
          <w:p>
            <w:pPr>
              <w:rPr>
                <w:rFonts w:ascii="宋体"/>
                <w:sz w:val="24"/>
              </w:rPr>
            </w:pPr>
            <w:bookmarkStart w:id="4" w:name="wtjg_address"/>
            <w:bookmarkEnd w:id="4"/>
          </w:p>
        </w:tc>
        <w:tc>
          <w:tcPr>
            <w:tcW w:w="1822" w:type="dxa"/>
            <w:vAlign w:val="center"/>
          </w:tcPr>
          <w:p>
            <w:pPr>
              <w:jc w:val="center"/>
              <w:rPr>
                <w:rFonts w:ascii="宋体"/>
                <w:sz w:val="24"/>
              </w:rPr>
            </w:pPr>
            <w:r>
              <w:rPr>
                <w:rFonts w:hint="eastAsia" w:ascii="宋体"/>
                <w:sz w:val="24"/>
              </w:rPr>
              <w:t>联系电话/手机</w:t>
            </w:r>
          </w:p>
        </w:tc>
        <w:tc>
          <w:tcPr>
            <w:tcW w:w="3420" w:type="dxa"/>
            <w:vAlign w:val="center"/>
          </w:tcPr>
          <w:p>
            <w:pPr>
              <w:rPr>
                <w:rFonts w:ascii="宋体"/>
                <w:sz w:val="24"/>
              </w:rPr>
            </w:pPr>
            <w:bookmarkStart w:id="5" w:name="wtjg_linker_phone"/>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424" w:type="dxa"/>
            <w:vAlign w:val="center"/>
          </w:tcPr>
          <w:p>
            <w:pPr>
              <w:jc w:val="center"/>
              <w:rPr>
                <w:rFonts w:ascii="宋体"/>
                <w:sz w:val="24"/>
              </w:rPr>
            </w:pPr>
            <w:r>
              <w:rPr>
                <w:rFonts w:hint="eastAsia" w:ascii="宋体"/>
                <w:sz w:val="24"/>
              </w:rPr>
              <w:t>邮政编码</w:t>
            </w:r>
          </w:p>
        </w:tc>
        <w:tc>
          <w:tcPr>
            <w:tcW w:w="3492" w:type="dxa"/>
            <w:gridSpan w:val="3"/>
            <w:vAlign w:val="center"/>
          </w:tcPr>
          <w:p>
            <w:pPr>
              <w:rPr>
                <w:rFonts w:ascii="宋体"/>
                <w:sz w:val="24"/>
              </w:rPr>
            </w:pPr>
            <w:bookmarkStart w:id="6" w:name="wtjg_zipcode"/>
            <w:bookmarkEnd w:id="6"/>
          </w:p>
        </w:tc>
        <w:tc>
          <w:tcPr>
            <w:tcW w:w="1822" w:type="dxa"/>
            <w:vAlign w:val="center"/>
          </w:tcPr>
          <w:p>
            <w:pPr>
              <w:jc w:val="center"/>
              <w:rPr>
                <w:rFonts w:ascii="宋体"/>
                <w:sz w:val="24"/>
              </w:rPr>
            </w:pPr>
            <w:r>
              <w:rPr>
                <w:rFonts w:hint="eastAsia" w:ascii="宋体"/>
                <w:sz w:val="24"/>
              </w:rPr>
              <w:t>委托日期</w:t>
            </w:r>
          </w:p>
        </w:tc>
        <w:tc>
          <w:tcPr>
            <w:tcW w:w="3420" w:type="dxa"/>
            <w:vAlign w:val="center"/>
          </w:tcPr>
          <w:p>
            <w:pPr>
              <w:rPr>
                <w:rFonts w:ascii="宋体"/>
                <w:sz w:val="24"/>
              </w:rPr>
            </w:pPr>
            <w:bookmarkStart w:id="7" w:name="record_in_date_year3"/>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424" w:type="dxa"/>
            <w:vAlign w:val="center"/>
          </w:tcPr>
          <w:p>
            <w:pPr>
              <w:jc w:val="center"/>
              <w:rPr>
                <w:rFonts w:ascii="宋体"/>
                <w:sz w:val="24"/>
              </w:rPr>
            </w:pPr>
            <w:r>
              <w:rPr>
                <w:rFonts w:hint="eastAsia" w:ascii="宋体"/>
                <w:sz w:val="24"/>
              </w:rPr>
              <w:t>协作单位</w:t>
            </w:r>
          </w:p>
        </w:tc>
        <w:tc>
          <w:tcPr>
            <w:tcW w:w="8734" w:type="dxa"/>
            <w:gridSpan w:val="5"/>
            <w:vAlign w:val="center"/>
          </w:tcPr>
          <w:p>
            <w:pPr>
              <w:rPr>
                <w:rFonts w:ascii="宋体"/>
                <w:sz w:val="24"/>
              </w:rPr>
            </w:pPr>
            <w:bookmarkStart w:id="8" w:name="wtjg_name_xz"/>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424" w:type="dxa"/>
            <w:tcBorders>
              <w:bottom w:val="single" w:color="auto" w:sz="4" w:space="0"/>
            </w:tcBorders>
            <w:vAlign w:val="center"/>
          </w:tcPr>
          <w:p>
            <w:pPr>
              <w:jc w:val="center"/>
              <w:rPr>
                <w:rFonts w:ascii="宋体"/>
                <w:sz w:val="24"/>
              </w:rPr>
            </w:pPr>
            <w:r>
              <w:rPr>
                <w:rFonts w:hint="eastAsia" w:ascii="宋体"/>
                <w:sz w:val="24"/>
              </w:rPr>
              <w:t>查新目的</w:t>
            </w:r>
          </w:p>
        </w:tc>
        <w:tc>
          <w:tcPr>
            <w:tcW w:w="8734" w:type="dxa"/>
            <w:gridSpan w:val="5"/>
            <w:tcBorders>
              <w:bottom w:val="single" w:color="auto" w:sz="4" w:space="0"/>
            </w:tcBorders>
            <w:vAlign w:val="center"/>
          </w:tcPr>
          <w:p>
            <w:pPr>
              <w:rPr>
                <w:rFonts w:ascii="宋体"/>
                <w:sz w:val="24"/>
              </w:rPr>
            </w:pPr>
            <w:bookmarkStart w:id="9" w:name="cx_purpose"/>
            <w:bookmarkEnd w:id="9"/>
            <w:r>
              <w:rPr>
                <w:rFonts w:ascii="Wingdings 2" w:hAnsi="Wingdings 2" w:cs="Wingdings 2"/>
                <w:bCs/>
                <w:sz w:val="24"/>
                <w:szCs w:val="28"/>
              </w:rPr>
              <w:sym w:font="Wingdings 2" w:char="00A3"/>
            </w:r>
            <w:r>
              <w:rPr>
                <w:rFonts w:hint="eastAsia" w:ascii="宋体" w:hAnsi="宋体"/>
                <w:bCs/>
                <w:sz w:val="24"/>
                <w:szCs w:val="28"/>
              </w:rPr>
              <w:t>科研立项</w:t>
            </w:r>
            <w:r>
              <w:rPr>
                <w:rFonts w:ascii="宋体" w:hAnsi="宋体"/>
                <w:bCs/>
                <w:sz w:val="24"/>
                <w:szCs w:val="28"/>
              </w:rPr>
              <w:t xml:space="preserve">    </w:t>
            </w:r>
            <w:r>
              <w:rPr>
                <w:rFonts w:hint="eastAsia" w:ascii="宋体" w:hAnsi="宋体"/>
                <w:bCs/>
                <w:sz w:val="24"/>
                <w:szCs w:val="28"/>
              </w:rPr>
              <w:sym w:font="Wingdings 2" w:char="00A3"/>
            </w:r>
            <w:r>
              <w:rPr>
                <w:rFonts w:hint="eastAsia" w:ascii="宋体" w:hAnsi="宋体"/>
                <w:bCs/>
                <w:sz w:val="24"/>
                <w:szCs w:val="28"/>
              </w:rPr>
              <w:t>成果鉴定</w:t>
            </w:r>
            <w:r>
              <w:rPr>
                <w:rFonts w:ascii="宋体" w:hAnsi="宋体"/>
                <w:bCs/>
                <w:sz w:val="24"/>
                <w:szCs w:val="28"/>
              </w:rPr>
              <w:t xml:space="preserve">    </w:t>
            </w:r>
            <w:r>
              <w:rPr>
                <w:rFonts w:hint="eastAsia" w:ascii="宋体" w:hAnsi="宋体"/>
                <w:bCs/>
                <w:sz w:val="24"/>
                <w:szCs w:val="28"/>
              </w:rPr>
              <w:sym w:font="Wingdings 2" w:char="0052"/>
            </w:r>
            <w:r>
              <w:rPr>
                <w:rFonts w:hint="eastAsia" w:ascii="宋体" w:hAnsi="宋体"/>
                <w:bCs/>
                <w:sz w:val="24"/>
                <w:szCs w:val="28"/>
              </w:rPr>
              <w:t>成果报奖</w:t>
            </w:r>
            <w:r>
              <w:rPr>
                <w:rFonts w:ascii="宋体" w:hAnsi="宋体"/>
                <w:bCs/>
                <w:sz w:val="24"/>
                <w:szCs w:val="28"/>
              </w:rPr>
              <w:t xml:space="preserve">    </w:t>
            </w:r>
            <w:r>
              <w:rPr>
                <w:rFonts w:hint="eastAsia" w:ascii="宋体" w:hAnsi="宋体"/>
                <w:bCs/>
                <w:sz w:val="24"/>
                <w:szCs w:val="28"/>
              </w:rPr>
              <w:sym w:font="Wingdings 2" w:char="00A3"/>
            </w:r>
            <w:r>
              <w:rPr>
                <w:rFonts w:hint="eastAsia" w:ascii="宋体" w:hAnsi="宋体"/>
                <w:bCs/>
                <w:sz w:val="24"/>
                <w:szCs w:val="28"/>
              </w:rPr>
              <w:t>专利申请</w:t>
            </w:r>
            <w:r>
              <w:rPr>
                <w:rFonts w:ascii="宋体" w:hAnsi="宋体"/>
                <w:bCs/>
                <w:sz w:val="24"/>
                <w:szCs w:val="28"/>
              </w:rPr>
              <w:t xml:space="preserve">    </w:t>
            </w:r>
            <w:r>
              <w:rPr>
                <w:rFonts w:hint="eastAsia" w:ascii="宋体" w:hAnsi="宋体"/>
                <w:bCs/>
                <w:sz w:val="24"/>
                <w:szCs w:val="28"/>
              </w:rPr>
              <w:sym w:font="Wingdings 2" w:char="00A3"/>
            </w:r>
            <w:r>
              <w:rPr>
                <w:rFonts w:hint="eastAsia" w:ascii="宋体" w:hAnsi="宋体"/>
                <w:bCs/>
                <w:sz w:val="24"/>
                <w:szCs w:val="28"/>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424" w:type="dxa"/>
            <w:tcBorders>
              <w:bottom w:val="single" w:color="auto" w:sz="4" w:space="0"/>
            </w:tcBorders>
            <w:vAlign w:val="center"/>
          </w:tcPr>
          <w:p>
            <w:pPr>
              <w:jc w:val="center"/>
              <w:rPr>
                <w:rFonts w:ascii="宋体"/>
                <w:sz w:val="24"/>
              </w:rPr>
            </w:pPr>
            <w:r>
              <w:rPr>
                <w:rFonts w:hint="eastAsia" w:ascii="宋体"/>
                <w:sz w:val="24"/>
                <w:szCs w:val="22"/>
              </w:rPr>
              <w:t>查新范围</w:t>
            </w:r>
          </w:p>
        </w:tc>
        <w:tc>
          <w:tcPr>
            <w:tcW w:w="8734" w:type="dxa"/>
            <w:gridSpan w:val="5"/>
            <w:tcBorders>
              <w:bottom w:val="single" w:color="auto" w:sz="4" w:space="0"/>
            </w:tcBorders>
            <w:vAlign w:val="center"/>
          </w:tcPr>
          <w:p>
            <w:pPr>
              <w:jc w:val="left"/>
              <w:rPr>
                <w:rFonts w:hint="default" w:ascii="宋体" w:eastAsia="宋体"/>
                <w:sz w:val="24"/>
                <w:u w:val="none"/>
                <w:lang w:val="en-US" w:eastAsia="zh-CN"/>
              </w:rPr>
            </w:pPr>
            <w:r>
              <w:rPr>
                <w:rFonts w:ascii="Wingdings 2" w:hAnsi="Wingdings 2" w:cs="Wingdings 2"/>
                <w:bCs/>
                <w:sz w:val="24"/>
                <w:szCs w:val="28"/>
              </w:rPr>
              <w:sym w:font="Wingdings 2" w:char="00A3"/>
            </w:r>
            <w:r>
              <w:rPr>
                <w:rFonts w:hint="eastAsia" w:ascii="宋体" w:hAnsi="宋体"/>
                <w:bCs/>
                <w:sz w:val="24"/>
                <w:szCs w:val="28"/>
              </w:rPr>
              <w:t>国内</w:t>
            </w:r>
            <w:r>
              <w:rPr>
                <w:rFonts w:ascii="宋体" w:hAnsi="宋体"/>
                <w:bCs/>
                <w:sz w:val="24"/>
                <w:szCs w:val="28"/>
              </w:rPr>
              <w:t xml:space="preserve">       </w:t>
            </w:r>
            <w:r>
              <w:rPr>
                <w:rFonts w:hint="eastAsia" w:ascii="宋体" w:hAnsi="宋体"/>
                <w:bCs/>
                <w:sz w:val="24"/>
                <w:szCs w:val="28"/>
                <w:lang w:val="en-US" w:eastAsia="zh-CN"/>
              </w:rPr>
              <w:t xml:space="preserve"> </w:t>
            </w:r>
            <w:r>
              <w:rPr>
                <w:rFonts w:hint="eastAsia" w:ascii="宋体" w:hAnsi="宋体"/>
                <w:bCs/>
                <w:sz w:val="24"/>
                <w:szCs w:val="28"/>
              </w:rPr>
              <w:sym w:font="Wingdings 2" w:char="0052"/>
            </w:r>
            <w:r>
              <w:rPr>
                <w:rFonts w:hint="eastAsia" w:ascii="宋体" w:hAnsi="宋体"/>
                <w:bCs/>
                <w:sz w:val="24"/>
                <w:szCs w:val="28"/>
              </w:rPr>
              <w:t>国内外</w:t>
            </w:r>
            <w:r>
              <w:rPr>
                <w:rFonts w:ascii="宋体" w:hAnsi="宋体"/>
                <w:bCs/>
                <w:sz w:val="24"/>
                <w:szCs w:val="28"/>
              </w:rPr>
              <w:t xml:space="preserve"> </w:t>
            </w:r>
            <w:r>
              <w:rPr>
                <w:rFonts w:ascii="宋体"/>
                <w:sz w:val="24"/>
              </w:rPr>
              <w:t xml:space="preserve"> </w:t>
            </w:r>
            <w:r>
              <w:rPr>
                <w:rFonts w:hint="eastAsia" w:ascii="宋体"/>
                <w:sz w:val="24"/>
                <w:lang w:val="en-US" w:eastAsia="zh-CN"/>
              </w:rPr>
              <w:t xml:space="preserve">    </w:t>
            </w:r>
            <w:r>
              <w:rPr>
                <w:rFonts w:hint="eastAsia" w:ascii="宋体" w:hAnsi="宋体"/>
                <w:bCs/>
                <w:sz w:val="24"/>
                <w:szCs w:val="28"/>
              </w:rPr>
              <w:sym w:font="Wingdings 2" w:char="00A3"/>
            </w:r>
            <w:r>
              <w:rPr>
                <w:rFonts w:hint="eastAsia" w:ascii="宋体" w:hAnsi="宋体"/>
                <w:bCs/>
                <w:sz w:val="24"/>
                <w:szCs w:val="28"/>
                <w:lang w:eastAsia="zh-CN"/>
              </w:rPr>
              <w:t>其它</w:t>
            </w:r>
            <w:r>
              <w:rPr>
                <w:rFonts w:hint="eastAsia" w:ascii="宋体" w:hAnsi="宋体"/>
                <w:bCs/>
                <w:sz w:val="24"/>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50" w:hRule="atLeast"/>
        </w:trPr>
        <w:tc>
          <w:tcPr>
            <w:tcW w:w="10158" w:type="dxa"/>
            <w:gridSpan w:val="6"/>
            <w:tcBorders>
              <w:bottom w:val="single" w:color="auto" w:sz="4" w:space="0"/>
            </w:tcBorders>
          </w:tcPr>
          <w:p>
            <w:pPr>
              <w:spacing w:before="156" w:beforeLines="50" w:line="400" w:lineRule="exact"/>
              <w:rPr>
                <w:rFonts w:hint="eastAsia" w:ascii="宋体"/>
                <w:b w:val="0"/>
                <w:bCs/>
                <w:sz w:val="24"/>
                <w:szCs w:val="22"/>
                <w:lang w:val="en-US" w:eastAsia="zh-CN"/>
              </w:rPr>
            </w:pPr>
            <w:r>
              <w:rPr>
                <w:rFonts w:hint="eastAsia" w:ascii="宋体"/>
                <w:b/>
                <w:sz w:val="24"/>
                <w:szCs w:val="22"/>
              </w:rPr>
              <w:t>查新项目的科学技术</w:t>
            </w:r>
            <w:r>
              <w:rPr>
                <w:rFonts w:hint="eastAsia" w:ascii="宋体"/>
                <w:b/>
                <w:sz w:val="24"/>
                <w:szCs w:val="22"/>
                <w:lang w:eastAsia="zh-CN"/>
              </w:rPr>
              <w:t>摘要</w:t>
            </w:r>
            <w:r>
              <w:rPr>
                <w:rFonts w:hint="eastAsia" w:ascii="宋体"/>
                <w:b w:val="0"/>
                <w:bCs/>
                <w:sz w:val="24"/>
                <w:szCs w:val="22"/>
              </w:rPr>
              <w:t>（说明该项目所属技术领域、技术背景、项目目的、采用的技术方案、主要技术特征、达到的技术效果及成果应用情况等，限1000字内</w:t>
            </w:r>
            <w:r>
              <w:rPr>
                <w:rFonts w:hint="eastAsia" w:ascii="宋体"/>
                <w:b w:val="0"/>
                <w:bCs/>
                <w:sz w:val="24"/>
                <w:szCs w:val="22"/>
                <w:lang w:eastAsia="zh-CN"/>
              </w:rPr>
              <w:t>）</w:t>
            </w:r>
          </w:p>
          <w:p>
            <w:pPr>
              <w:spacing w:before="60" w:after="60"/>
              <w:ind w:firstLine="432"/>
              <w:rPr>
                <w:rFonts w:hint="eastAsia" w:ascii="宋体" w:hAnsi="宋体"/>
                <w:sz w:val="24"/>
              </w:rPr>
            </w:pPr>
            <w:r>
              <w:rPr>
                <w:rFonts w:hint="eastAsia" w:ascii="宋体" w:hAnsi="宋体"/>
                <w:b/>
                <w:sz w:val="24"/>
              </w:rPr>
              <w:t>技术领域</w:t>
            </w:r>
            <w:r>
              <w:rPr>
                <w:rFonts w:hint="eastAsia" w:ascii="宋体" w:hAnsi="宋体"/>
                <w:sz w:val="24"/>
              </w:rPr>
              <w:t>：文字处理领域。</w:t>
            </w:r>
          </w:p>
          <w:p>
            <w:pPr>
              <w:spacing w:before="60" w:after="60"/>
              <w:ind w:firstLine="432"/>
              <w:rPr>
                <w:rFonts w:hint="eastAsia" w:ascii="宋体" w:hAnsi="宋体"/>
                <w:sz w:val="24"/>
              </w:rPr>
            </w:pPr>
            <w:r>
              <w:rPr>
                <w:rFonts w:hint="eastAsia" w:ascii="宋体" w:hAnsi="宋体"/>
                <w:b/>
                <w:sz w:val="24"/>
              </w:rPr>
              <w:t>技术背景</w:t>
            </w:r>
            <w:r>
              <w:rPr>
                <w:rFonts w:hint="eastAsia" w:ascii="宋体" w:hAnsi="宋体"/>
                <w:sz w:val="24"/>
              </w:rPr>
              <w:t>：随着各种文本数据的不断积累，电力行业中正在越来越多地使用文本挖掘技术。由于非结构文本数据的复杂性，使传统文本挖掘方法已经越来越不能满足业务需求。</w:t>
            </w:r>
            <w:r>
              <w:rPr>
                <w:rFonts w:hint="eastAsia" w:ascii="宋体" w:hAnsi="宋体"/>
                <w:sz w:val="24"/>
              </w:rPr>
              <w:tab/>
            </w:r>
            <w:r>
              <w:rPr>
                <w:rFonts w:hint="eastAsia" w:ascii="宋体" w:hAnsi="宋体"/>
                <w:sz w:val="24"/>
              </w:rPr>
              <w:t>引入深度学习技术处理复杂文本的时，一种文本的分布式表示方法——词向量，已经成为文本挖掘任务中至关重要的一环。词向量表达能力的强弱，往往会直接影响后续文本挖掘任务。</w:t>
            </w:r>
            <w:r>
              <w:rPr>
                <w:rFonts w:hint="eastAsia" w:ascii="宋体" w:hAnsi="宋体"/>
                <w:sz w:val="24"/>
              </w:rPr>
              <w:tab/>
            </w:r>
            <w:r>
              <w:rPr>
                <w:rFonts w:hint="eastAsia" w:ascii="宋体" w:hAnsi="宋体"/>
                <w:sz w:val="24"/>
              </w:rPr>
              <w:t>由于电力行业语料库的匮乏，单个系统积累的文本往往难以达到这个级别，使得训练的词向量效果也相对较差。</w:t>
            </w:r>
          </w:p>
          <w:p>
            <w:pPr>
              <w:spacing w:before="60" w:after="60"/>
              <w:ind w:firstLine="432"/>
              <w:rPr>
                <w:rFonts w:hint="eastAsia" w:ascii="宋体" w:hAnsi="宋体"/>
                <w:sz w:val="24"/>
              </w:rPr>
            </w:pPr>
            <w:r>
              <w:rPr>
                <w:rFonts w:hint="eastAsia" w:ascii="宋体" w:hAnsi="宋体"/>
                <w:b/>
                <w:sz w:val="24"/>
              </w:rPr>
              <w:t>项目目的</w:t>
            </w:r>
            <w:r>
              <w:rPr>
                <w:rFonts w:hint="eastAsia" w:ascii="宋体" w:hAnsi="宋体"/>
                <w:sz w:val="24"/>
              </w:rPr>
              <w:t>：证明引入大规模外部通用预训练词向量可以有效地提升电网行业文本挖掘任务的效果。</w:t>
            </w:r>
          </w:p>
          <w:p>
            <w:pPr>
              <w:spacing w:before="60" w:after="60"/>
              <w:ind w:firstLine="432"/>
              <w:rPr>
                <w:rFonts w:hint="eastAsia" w:ascii="宋体" w:hAnsi="宋体"/>
                <w:sz w:val="24"/>
              </w:rPr>
            </w:pPr>
            <w:r>
              <w:rPr>
                <w:rFonts w:hint="eastAsia" w:ascii="宋体" w:hAnsi="宋体"/>
                <w:b/>
                <w:sz w:val="24"/>
              </w:rPr>
              <w:t>采用技术方案</w:t>
            </w:r>
            <w:r>
              <w:rPr>
                <w:rFonts w:hint="eastAsia" w:ascii="宋体" w:hAnsi="宋体"/>
                <w:sz w:val="24"/>
              </w:rPr>
              <w:t>：首先对95598文本数据进行数据清洗、中文分词等预处理操作。通过引入不同的外部预训练词向量以及使用电力文本训练的词向量，输入两种神经网络模型中分别进行训练和分类，对比不同词向量对算法的影响。具体流程参见附件，算法流程。</w:t>
            </w:r>
          </w:p>
          <w:p>
            <w:pPr>
              <w:spacing w:before="60" w:after="60"/>
              <w:ind w:firstLine="432"/>
              <w:rPr>
                <w:rFonts w:hint="eastAsia" w:ascii="宋体" w:hAnsi="宋体"/>
                <w:sz w:val="24"/>
              </w:rPr>
            </w:pPr>
            <w:r>
              <w:rPr>
                <w:rFonts w:hint="eastAsia" w:ascii="宋体" w:hAnsi="宋体"/>
                <w:b/>
                <w:sz w:val="24"/>
              </w:rPr>
              <w:t>主要技术特征</w:t>
            </w:r>
            <w:r>
              <w:rPr>
                <w:rFonts w:hint="eastAsia" w:ascii="宋体" w:hAnsi="宋体"/>
                <w:sz w:val="24"/>
              </w:rPr>
              <w:t>：word2vec分布式表示方法完成词向量的训练过程；Text-CNN和BiLSTM两种深度神经网络模型进行文本分类任务。</w:t>
            </w:r>
          </w:p>
          <w:p>
            <w:pPr>
              <w:spacing w:before="156" w:beforeLines="50" w:line="240" w:lineRule="auto"/>
            </w:pPr>
            <w:r>
              <w:rPr>
                <w:rFonts w:hint="eastAsia" w:ascii="宋体" w:hAnsi="宋体"/>
                <w:b/>
                <w:sz w:val="24"/>
              </w:rPr>
              <w:t>达到技术效果</w:t>
            </w:r>
            <w:r>
              <w:rPr>
                <w:rFonts w:hint="eastAsia" w:ascii="宋体" w:hAnsi="宋体"/>
                <w:sz w:val="24"/>
              </w:rPr>
              <w:t>：以95598系统的检修记录作为研究对象，引入外部大规模通用预训练词向量到电力行业文本挖掘中来。并通过基于深度神经网络的Text-CNN和BiLSTM分类模型来验证不同词向量对文本分类任务的影响。实验证明，大规模外部通用预训练词向量的引入可以大幅提升文本分类效果，说明引入外部知识可以有效地提升电网行业文本挖掘任务的效果。具体数据参看附件，模型分类准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3" w:hRule="atLeast"/>
        </w:trPr>
        <w:tc>
          <w:tcPr>
            <w:tcW w:w="10158" w:type="dxa"/>
            <w:gridSpan w:val="6"/>
            <w:shd w:val="clear" w:color="auto" w:fill="auto"/>
          </w:tcPr>
          <w:p>
            <w:pPr>
              <w:spacing w:before="156" w:beforeLines="50" w:line="400" w:lineRule="exact"/>
              <w:rPr>
                <w:rFonts w:hint="eastAsia"/>
                <w:sz w:val="24"/>
                <w:szCs w:val="24"/>
                <w:lang w:eastAsia="zh-CN"/>
              </w:rPr>
            </w:pPr>
            <w:r>
              <w:rPr>
                <w:rFonts w:hint="eastAsia" w:ascii="宋体"/>
                <w:b/>
                <w:sz w:val="24"/>
                <w:szCs w:val="22"/>
              </w:rPr>
              <w:t>查新点与查新要求</w:t>
            </w:r>
            <w:r>
              <w:rPr>
                <w:rFonts w:hint="eastAsia"/>
                <w:sz w:val="24"/>
                <w:szCs w:val="24"/>
              </w:rPr>
              <w:t>（即体现该项目新颖性的技术创新点，如涉及理论、方法、结构、工艺、配方、技术指标等方面的创新点。查新点不宜超过3点，建议分条目逐一列出</w:t>
            </w:r>
            <w:r>
              <w:rPr>
                <w:rFonts w:hint="eastAsia"/>
                <w:sz w:val="24"/>
                <w:szCs w:val="24"/>
                <w:lang w:eastAsia="zh-CN"/>
              </w:rPr>
              <w:t>）</w:t>
            </w:r>
          </w:p>
          <w:p>
            <w:pPr>
              <w:spacing w:before="60" w:after="60"/>
              <w:ind w:firstLine="432"/>
              <w:rPr>
                <w:rFonts w:hint="eastAsia" w:ascii="宋体" w:hAnsi="宋体"/>
                <w:b/>
                <w:sz w:val="24"/>
              </w:rPr>
            </w:pPr>
            <w:bookmarkStart w:id="10" w:name="cx_creativity"/>
            <w:bookmarkEnd w:id="10"/>
          </w:p>
          <w:p>
            <w:pPr>
              <w:numPr>
                <w:ilvl w:val="0"/>
                <w:numId w:val="1"/>
              </w:numPr>
              <w:tabs>
                <w:tab w:val="left" w:pos="792"/>
                <w:tab w:val="clear" w:pos="852"/>
              </w:tabs>
              <w:spacing w:before="60" w:after="60"/>
              <w:ind w:left="0" w:firstLine="432"/>
              <w:rPr>
                <w:rFonts w:hint="eastAsia" w:ascii="Arial" w:hAnsi="Arial"/>
                <w:sz w:val="24"/>
              </w:rPr>
            </w:pPr>
            <w:r>
              <w:rPr>
                <w:rFonts w:hint="eastAsia" w:ascii="Arial" w:hAnsi="Arial"/>
                <w:sz w:val="24"/>
              </w:rPr>
              <w:t>构建基于融合外部语料库和电力行业专业语料库的词向量模型，通过引入大规模外部语料库作为电力行业专业语料库的补充，增加电力专业词语的表达能力，用于电力文本挖掘的建模。</w:t>
            </w:r>
          </w:p>
          <w:p>
            <w:pPr>
              <w:numPr>
                <w:ilvl w:val="0"/>
                <w:numId w:val="1"/>
              </w:numPr>
              <w:tabs>
                <w:tab w:val="left" w:pos="792"/>
                <w:tab w:val="clear" w:pos="852"/>
              </w:tabs>
              <w:spacing w:before="60" w:after="60"/>
              <w:ind w:left="0" w:firstLine="432"/>
              <w:rPr>
                <w:rFonts w:hint="eastAsia" w:ascii="Arial" w:hAnsi="Arial"/>
                <w:sz w:val="24"/>
              </w:rPr>
            </w:pPr>
            <w:r>
              <w:rPr>
                <w:rFonts w:hint="eastAsia" w:ascii="Arial" w:hAnsi="Arial"/>
                <w:sz w:val="24"/>
              </w:rPr>
              <w:t>基于深度神经网络，提出适用于电网的电力故障文本自动分类模型，形成基于非结构化文本的电力故障精确分类应用。</w:t>
            </w:r>
          </w:p>
          <w:p>
            <w:pPr>
              <w:numPr>
                <w:ilvl w:val="0"/>
                <w:numId w:val="1"/>
              </w:numPr>
              <w:tabs>
                <w:tab w:val="left" w:pos="792"/>
                <w:tab w:val="clear" w:pos="852"/>
              </w:tabs>
              <w:spacing w:before="60" w:after="60"/>
              <w:ind w:left="0" w:firstLine="432"/>
              <w:rPr>
                <w:rFonts w:hint="eastAsia" w:ascii="Arial" w:hAnsi="Arial"/>
                <w:sz w:val="24"/>
              </w:rPr>
            </w:pPr>
            <w:r>
              <w:rPr>
                <w:rFonts w:hint="eastAsia" w:ascii="Arial" w:hAnsi="Arial"/>
                <w:sz w:val="24"/>
              </w:rPr>
              <w:t>以电力非结构化文本作为变量引入95598故障接报和抢修预测问题，构建基于文本挖掘的电力故障分析、预测模型，可用于电力抢修力量、电力薄弱环节的综合优化。</w:t>
            </w:r>
          </w:p>
          <w:p>
            <w:pPr>
              <w:pStyle w:val="2"/>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0" w:hRule="atLeast"/>
        </w:trPr>
        <w:tc>
          <w:tcPr>
            <w:tcW w:w="10158" w:type="dxa"/>
            <w:gridSpan w:val="6"/>
            <w:tcBorders>
              <w:bottom w:val="single" w:color="auto" w:sz="4" w:space="0"/>
            </w:tcBorders>
          </w:tcPr>
          <w:p>
            <w:pPr>
              <w:spacing w:before="156" w:beforeLines="50" w:line="400" w:lineRule="exact"/>
              <w:rPr>
                <w:rFonts w:hint="eastAsia" w:ascii="宋体"/>
                <w:b/>
                <w:sz w:val="24"/>
                <w:szCs w:val="22"/>
              </w:rPr>
            </w:pPr>
            <w:r>
              <w:rPr>
                <w:rFonts w:hint="eastAsia" w:ascii="宋体"/>
                <w:b/>
                <w:sz w:val="24"/>
                <w:szCs w:val="22"/>
              </w:rPr>
              <w:t>主题词或关键词：</w:t>
            </w:r>
          </w:p>
          <w:p>
            <w:pPr>
              <w:tabs>
                <w:tab w:val="left" w:pos="4632"/>
              </w:tabs>
              <w:spacing w:before="60" w:after="60" w:line="300" w:lineRule="auto"/>
              <w:ind w:firstLine="432"/>
              <w:rPr>
                <w:rFonts w:hint="eastAsia" w:ascii="宋体" w:hAnsi="宋体"/>
              </w:rPr>
            </w:pPr>
            <w:bookmarkStart w:id="11" w:name="supply_keyword_en"/>
            <w:bookmarkEnd w:id="11"/>
            <w:r>
              <w:rPr>
                <w:rFonts w:hint="eastAsia" w:ascii="宋体" w:hAnsi="宋体"/>
                <w:b/>
              </w:rPr>
              <w:t>关键词：</w:t>
            </w:r>
            <w:r>
              <w:rPr>
                <w:rFonts w:hint="eastAsia" w:ascii="宋体" w:hAnsi="宋体"/>
              </w:rPr>
              <w:t>电力；检修文本；深度神经网络；词向量；循环神经网络；Text-CNN；BiLSTM；</w:t>
            </w:r>
          </w:p>
          <w:p>
            <w:pPr>
              <w:tabs>
                <w:tab w:val="left" w:pos="4632"/>
              </w:tabs>
              <w:spacing w:before="60" w:after="60" w:line="300" w:lineRule="auto"/>
              <w:ind w:firstLine="432"/>
              <w:rPr>
                <w:rFonts w:hint="eastAsia" w:ascii="宋体" w:hAnsi="宋体"/>
              </w:rPr>
            </w:pPr>
            <w:r>
              <w:rPr>
                <w:rFonts w:hint="eastAsia" w:ascii="宋体" w:hAnsi="宋体"/>
              </w:rPr>
              <w:t>文本挖掘</w:t>
            </w:r>
          </w:p>
          <w:p>
            <w:pPr>
              <w:tabs>
                <w:tab w:val="left" w:pos="4632"/>
              </w:tabs>
              <w:spacing w:before="60" w:after="60" w:line="300" w:lineRule="auto"/>
              <w:ind w:firstLine="432"/>
              <w:rPr>
                <w:rFonts w:hint="eastAsia" w:ascii="宋体" w:hAnsi="宋体"/>
              </w:rPr>
            </w:pPr>
            <w:r>
              <w:rPr>
                <w:rFonts w:hint="eastAsia" w:ascii="宋体" w:hAnsi="宋体"/>
                <w:b/>
              </w:rPr>
              <w:t>Keywords：</w:t>
            </w:r>
            <w:r>
              <w:rPr>
                <w:rFonts w:hint="eastAsia" w:ascii="宋体" w:hAnsi="宋体"/>
              </w:rPr>
              <w:t>power; overhaul text; deep neural network; word vector; recurrent neural network；Text-CNN；BiLSTM；Text Minging</w:t>
            </w:r>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6" w:hRule="atLeast"/>
        </w:trPr>
        <w:tc>
          <w:tcPr>
            <w:tcW w:w="10158" w:type="dxa"/>
            <w:gridSpan w:val="6"/>
            <w:tcBorders>
              <w:bottom w:val="single" w:color="auto" w:sz="4" w:space="0"/>
            </w:tcBorders>
          </w:tcPr>
          <w:p>
            <w:pPr>
              <w:spacing w:before="156" w:beforeLines="50" w:line="400" w:lineRule="exact"/>
              <w:rPr>
                <w:rFonts w:hint="eastAsia" w:ascii="宋体"/>
                <w:b/>
                <w:sz w:val="24"/>
                <w:szCs w:val="22"/>
              </w:rPr>
            </w:pPr>
            <w:r>
              <w:rPr>
                <w:rFonts w:hint="eastAsia" w:ascii="宋体"/>
                <w:b/>
                <w:sz w:val="24"/>
                <w:szCs w:val="22"/>
              </w:rPr>
              <w:t>委托方提供的背景材料及主要技术文件目录</w:t>
            </w:r>
          </w:p>
          <w:p>
            <w:pPr>
              <w:spacing w:before="156" w:beforeLines="50" w:line="240" w:lineRule="auto"/>
            </w:pPr>
            <w:bookmarkStart w:id="12" w:name="contact_attach"/>
            <w:bookmarkEnd w:id="12"/>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2" w:hRule="atLeast"/>
        </w:trPr>
        <w:tc>
          <w:tcPr>
            <w:tcW w:w="1424" w:type="dxa"/>
            <w:tcBorders>
              <w:bottom w:val="single" w:color="auto" w:sz="4" w:space="0"/>
            </w:tcBorders>
            <w:vAlign w:val="center"/>
          </w:tcPr>
          <w:p>
            <w:pPr>
              <w:jc w:val="center"/>
              <w:rPr>
                <w:rFonts w:ascii="宋体"/>
                <w:b/>
                <w:bCs/>
                <w:sz w:val="24"/>
                <w:szCs w:val="22"/>
              </w:rPr>
            </w:pPr>
            <w:r>
              <w:rPr>
                <w:rFonts w:hint="eastAsia" w:ascii="宋体"/>
                <w:b/>
                <w:bCs/>
                <w:sz w:val="24"/>
                <w:szCs w:val="22"/>
              </w:rPr>
              <w:t>查新机构</w:t>
            </w:r>
          </w:p>
          <w:p>
            <w:pPr>
              <w:jc w:val="center"/>
              <w:rPr>
                <w:rFonts w:ascii="宋体"/>
                <w:sz w:val="24"/>
              </w:rPr>
            </w:pPr>
            <w:r>
              <w:rPr>
                <w:rFonts w:hint="eastAsia" w:ascii="宋体"/>
                <w:b/>
                <w:bCs/>
                <w:sz w:val="24"/>
                <w:szCs w:val="22"/>
              </w:rPr>
              <w:t>财务信息</w:t>
            </w:r>
          </w:p>
        </w:tc>
        <w:tc>
          <w:tcPr>
            <w:tcW w:w="8734" w:type="dxa"/>
            <w:gridSpan w:val="5"/>
            <w:tcBorders>
              <w:bottom w:val="single" w:color="auto" w:sz="4" w:space="0"/>
            </w:tcBorders>
          </w:tcPr>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default" w:ascii="宋体" w:eastAsia="宋体"/>
                <w:sz w:val="24"/>
                <w:lang w:val="en-US" w:eastAsia="zh-CN"/>
              </w:rPr>
            </w:pPr>
            <w:r>
              <w:rPr>
                <w:rFonts w:hint="eastAsia" w:ascii="宋体"/>
                <w:sz w:val="24"/>
              </w:rPr>
              <w:t>查新收费账户信息</w:t>
            </w:r>
            <w:r>
              <w:rPr>
                <w:rFonts w:hint="eastAsia" w:ascii="宋体"/>
                <w:sz w:val="24"/>
              </w:rPr>
              <w:br w:type="textWrapping"/>
            </w:r>
            <w:r>
              <w:rPr>
                <w:rFonts w:hint="eastAsia" w:ascii="宋体"/>
                <w:sz w:val="24"/>
              </w:rPr>
              <w:t>名称：国网浙江</w:t>
            </w:r>
            <w:r>
              <w:rPr>
                <w:rFonts w:hint="eastAsia" w:ascii="宋体"/>
                <w:sz w:val="24"/>
                <w:lang w:val="en-US" w:eastAsia="zh-CN"/>
              </w:rPr>
              <w:t>省</w:t>
            </w:r>
            <w:bookmarkStart w:id="16" w:name="_GoBack"/>
            <w:bookmarkEnd w:id="16"/>
            <w:r>
              <w:rPr>
                <w:rFonts w:hint="eastAsia" w:ascii="宋体"/>
                <w:sz w:val="24"/>
              </w:rPr>
              <w:t>电力有限公司电力科学研究院</w:t>
            </w:r>
            <w:r>
              <w:rPr>
                <w:rFonts w:hint="eastAsia" w:ascii="宋体"/>
                <w:sz w:val="24"/>
              </w:rPr>
              <w:br w:type="textWrapping"/>
            </w:r>
            <w:r>
              <w:rPr>
                <w:rFonts w:hint="eastAsia" w:ascii="宋体"/>
                <w:sz w:val="24"/>
              </w:rPr>
              <w:t>开户行：杭州市工行体育场路支行</w:t>
            </w:r>
            <w:r>
              <w:rPr>
                <w:rFonts w:hint="eastAsia" w:ascii="宋体"/>
                <w:sz w:val="24"/>
              </w:rPr>
              <w:br w:type="textWrapping"/>
            </w:r>
            <w:r>
              <w:rPr>
                <w:rFonts w:hint="eastAsia" w:ascii="宋体"/>
                <w:sz w:val="24"/>
              </w:rPr>
              <w:t>账号：120</w:t>
            </w:r>
            <w:r>
              <w:rPr>
                <w:rFonts w:hint="eastAsia" w:ascii="宋体"/>
                <w:sz w:val="24"/>
                <w:lang w:val="en-US" w:eastAsia="zh-CN"/>
              </w:rPr>
              <w:t>2021009003401272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1424" w:type="dxa"/>
            <w:vMerge w:val="restart"/>
            <w:vAlign w:val="center"/>
          </w:tcPr>
          <w:p>
            <w:pPr>
              <w:jc w:val="center"/>
              <w:rPr>
                <w:rFonts w:ascii="宋体"/>
                <w:b/>
                <w:bCs/>
                <w:sz w:val="24"/>
                <w:szCs w:val="22"/>
              </w:rPr>
            </w:pPr>
            <w:r>
              <w:rPr>
                <w:rFonts w:hint="eastAsia" w:ascii="宋体"/>
                <w:b/>
                <w:bCs/>
                <w:sz w:val="24"/>
                <w:szCs w:val="22"/>
              </w:rPr>
              <w:t>委托人</w:t>
            </w:r>
          </w:p>
          <w:p>
            <w:pPr>
              <w:jc w:val="center"/>
              <w:rPr>
                <w:rFonts w:ascii="宋体"/>
                <w:b/>
                <w:bCs/>
                <w:sz w:val="24"/>
              </w:rPr>
            </w:pPr>
            <w:r>
              <w:rPr>
                <w:rFonts w:hint="eastAsia" w:ascii="宋体"/>
                <w:b/>
                <w:bCs/>
                <w:sz w:val="24"/>
                <w:szCs w:val="22"/>
              </w:rPr>
              <w:t>财务信息</w:t>
            </w:r>
          </w:p>
        </w:tc>
        <w:tc>
          <w:tcPr>
            <w:tcW w:w="1805" w:type="dxa"/>
            <w:gridSpan w:val="2"/>
            <w:tcBorders>
              <w:bottom w:val="single" w:color="auto" w:sz="4" w:space="0"/>
            </w:tcBorders>
            <w:vAlign w:val="center"/>
          </w:tcPr>
          <w:p>
            <w:pPr>
              <w:jc w:val="center"/>
              <w:rPr>
                <w:rFonts w:ascii="宋体"/>
                <w:sz w:val="24"/>
              </w:rPr>
            </w:pPr>
            <w:r>
              <w:rPr>
                <w:rFonts w:hint="eastAsia" w:ascii="宋体"/>
                <w:sz w:val="24"/>
              </w:rPr>
              <w:t>纳税人识别号</w:t>
            </w:r>
          </w:p>
        </w:tc>
        <w:tc>
          <w:tcPr>
            <w:tcW w:w="6929" w:type="dxa"/>
            <w:gridSpan w:val="3"/>
            <w:tcBorders>
              <w:bottom w:val="single" w:color="auto" w:sz="4" w:space="0"/>
            </w:tcBorders>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424" w:type="dxa"/>
            <w:vMerge w:val="continue"/>
            <w:vAlign w:val="center"/>
          </w:tcPr>
          <w:p>
            <w:pPr>
              <w:jc w:val="center"/>
              <w:rPr>
                <w:rFonts w:ascii="宋体"/>
                <w:b/>
                <w:bCs/>
                <w:sz w:val="24"/>
                <w:szCs w:val="22"/>
              </w:rPr>
            </w:pPr>
          </w:p>
        </w:tc>
        <w:tc>
          <w:tcPr>
            <w:tcW w:w="1805" w:type="dxa"/>
            <w:gridSpan w:val="2"/>
            <w:tcBorders>
              <w:bottom w:val="single" w:color="auto" w:sz="4" w:space="0"/>
            </w:tcBorders>
            <w:vAlign w:val="center"/>
          </w:tcPr>
          <w:p>
            <w:pPr>
              <w:jc w:val="center"/>
              <w:rPr>
                <w:rFonts w:ascii="宋体"/>
                <w:sz w:val="24"/>
              </w:rPr>
            </w:pPr>
            <w:r>
              <w:rPr>
                <w:rFonts w:hint="eastAsia" w:ascii="宋体"/>
                <w:sz w:val="24"/>
              </w:rPr>
              <w:t>发票单位</w:t>
            </w:r>
          </w:p>
        </w:tc>
        <w:tc>
          <w:tcPr>
            <w:tcW w:w="6929" w:type="dxa"/>
            <w:gridSpan w:val="3"/>
            <w:tcBorders>
              <w:bottom w:val="single" w:color="auto" w:sz="4" w:space="0"/>
            </w:tcBorders>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424" w:type="dxa"/>
            <w:vMerge w:val="continue"/>
            <w:vAlign w:val="center"/>
          </w:tcPr>
          <w:p>
            <w:pPr>
              <w:jc w:val="center"/>
              <w:rPr>
                <w:rFonts w:ascii="宋体"/>
                <w:b/>
                <w:bCs/>
                <w:sz w:val="24"/>
                <w:szCs w:val="22"/>
              </w:rPr>
            </w:pPr>
          </w:p>
        </w:tc>
        <w:tc>
          <w:tcPr>
            <w:tcW w:w="1805" w:type="dxa"/>
            <w:gridSpan w:val="2"/>
            <w:tcBorders>
              <w:bottom w:val="single" w:color="auto" w:sz="4" w:space="0"/>
            </w:tcBorders>
            <w:vAlign w:val="center"/>
          </w:tcPr>
          <w:p>
            <w:pPr>
              <w:jc w:val="center"/>
              <w:rPr>
                <w:rFonts w:ascii="宋体"/>
                <w:sz w:val="24"/>
              </w:rPr>
            </w:pPr>
            <w:r>
              <w:rPr>
                <w:rFonts w:hint="eastAsia" w:ascii="宋体"/>
                <w:sz w:val="24"/>
              </w:rPr>
              <w:t>开户行及账号</w:t>
            </w:r>
          </w:p>
        </w:tc>
        <w:tc>
          <w:tcPr>
            <w:tcW w:w="6929" w:type="dxa"/>
            <w:gridSpan w:val="3"/>
            <w:tcBorders>
              <w:bottom w:val="single" w:color="auto" w:sz="4" w:space="0"/>
            </w:tcBorders>
          </w:tcPr>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424" w:type="dxa"/>
            <w:vMerge w:val="continue"/>
            <w:tcBorders>
              <w:bottom w:val="single" w:color="auto" w:sz="4" w:space="0"/>
            </w:tcBorders>
            <w:vAlign w:val="center"/>
          </w:tcPr>
          <w:p>
            <w:pPr>
              <w:jc w:val="center"/>
              <w:rPr>
                <w:rFonts w:ascii="宋体"/>
                <w:b/>
                <w:bCs/>
                <w:sz w:val="24"/>
                <w:szCs w:val="22"/>
              </w:rPr>
            </w:pPr>
          </w:p>
        </w:tc>
        <w:tc>
          <w:tcPr>
            <w:tcW w:w="1805" w:type="dxa"/>
            <w:gridSpan w:val="2"/>
            <w:tcBorders>
              <w:bottom w:val="single" w:color="auto" w:sz="4" w:space="0"/>
            </w:tcBorders>
            <w:vAlign w:val="center"/>
          </w:tcPr>
          <w:p>
            <w:pPr>
              <w:jc w:val="center"/>
              <w:rPr>
                <w:rFonts w:hint="eastAsia" w:ascii="宋体"/>
                <w:sz w:val="24"/>
              </w:rPr>
            </w:pPr>
            <w:r>
              <w:rPr>
                <w:rFonts w:hint="eastAsia" w:ascii="宋体"/>
                <w:sz w:val="24"/>
                <w:lang w:val="en-US" w:eastAsia="zh-CN"/>
              </w:rPr>
              <w:t>开票地址、电话</w:t>
            </w:r>
          </w:p>
        </w:tc>
        <w:tc>
          <w:tcPr>
            <w:tcW w:w="6929" w:type="dxa"/>
            <w:gridSpan w:val="3"/>
            <w:tcBorders>
              <w:bottom w:val="single" w:color="auto" w:sz="4" w:space="0"/>
            </w:tcBorders>
          </w:tcPr>
          <w:p>
            <w:pPr>
              <w:jc w:val="cente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4" w:hRule="atLeast"/>
        </w:trPr>
        <w:tc>
          <w:tcPr>
            <w:tcW w:w="10158" w:type="dxa"/>
            <w:gridSpan w:val="6"/>
            <w:tcBorders>
              <w:bottom w:val="single" w:color="auto" w:sz="4" w:space="0"/>
            </w:tcBorders>
          </w:tcPr>
          <w:p>
            <w:pPr>
              <w:spacing w:line="400" w:lineRule="exact"/>
              <w:ind w:firstLine="482" w:firstLineChars="200"/>
              <w:rPr>
                <w:rFonts w:ascii="宋体"/>
                <w:b/>
                <w:sz w:val="24"/>
              </w:rPr>
            </w:pPr>
          </w:p>
          <w:p>
            <w:pPr>
              <w:spacing w:before="156" w:beforeLines="50" w:line="400" w:lineRule="exact"/>
              <w:rPr>
                <w:rFonts w:ascii="宋体"/>
                <w:b/>
                <w:sz w:val="24"/>
              </w:rPr>
            </w:pPr>
            <w:r>
              <w:rPr>
                <w:rFonts w:hint="eastAsia" w:ascii="宋体"/>
                <w:b/>
                <w:sz w:val="24"/>
              </w:rPr>
              <w:t>委托人（签字）：                                     单位盖章：</w:t>
            </w:r>
          </w:p>
          <w:p>
            <w:pPr>
              <w:spacing w:line="400" w:lineRule="exact"/>
              <w:ind w:firstLine="482" w:firstLineChars="200"/>
              <w:rPr>
                <w:rFonts w:ascii="宋体"/>
                <w:b/>
                <w:sz w:val="24"/>
              </w:rPr>
            </w:pPr>
          </w:p>
          <w:p>
            <w:pPr>
              <w:spacing w:line="400" w:lineRule="exact"/>
              <w:ind w:firstLine="482" w:firstLineChars="200"/>
              <w:rPr>
                <w:rFonts w:ascii="宋体"/>
                <w:b/>
                <w:sz w:val="24"/>
              </w:rPr>
            </w:pPr>
          </w:p>
          <w:p>
            <w:pPr>
              <w:spacing w:after="156" w:afterLines="50" w:line="400" w:lineRule="exact"/>
              <w:rPr>
                <w:rFonts w:ascii="宋体"/>
                <w:b/>
                <w:sz w:val="24"/>
              </w:rPr>
            </w:pPr>
            <w:r>
              <w:rPr>
                <w:rFonts w:hint="eastAsia" w:ascii="宋体"/>
                <w:sz w:val="24"/>
              </w:rPr>
              <w:t xml:space="preserve">                                                            </w:t>
            </w:r>
            <w:bookmarkStart w:id="13" w:name="record_in_date_year"/>
            <w:bookmarkEnd w:id="13"/>
            <w:r>
              <w:rPr>
                <w:rFonts w:hint="eastAsia" w:ascii="宋体"/>
                <w:sz w:val="24"/>
              </w:rPr>
              <w:t xml:space="preserve">   年</w:t>
            </w:r>
            <w:bookmarkStart w:id="14" w:name="record_in_date_month"/>
            <w:bookmarkEnd w:id="14"/>
            <w:r>
              <w:rPr>
                <w:rFonts w:hint="eastAsia" w:ascii="宋体"/>
                <w:sz w:val="24"/>
                <w:lang w:val="en-US" w:eastAsia="zh-CN"/>
              </w:rPr>
              <w:t xml:space="preserve"> </w:t>
            </w:r>
            <w:r>
              <w:rPr>
                <w:rFonts w:hint="eastAsia" w:ascii="宋体"/>
                <w:sz w:val="24"/>
              </w:rPr>
              <w:t xml:space="preserve">  月</w:t>
            </w:r>
            <w:bookmarkStart w:id="15" w:name="record_in_date_day"/>
            <w:bookmarkEnd w:id="15"/>
            <w:r>
              <w:rPr>
                <w:rFonts w:hint="eastAsia" w:ascii="宋体"/>
                <w:sz w:val="24"/>
              </w:rPr>
              <w:t xml:space="preserve"> </w:t>
            </w:r>
            <w:r>
              <w:rPr>
                <w:rFonts w:hint="eastAsia" w:ascii="宋体"/>
                <w:sz w:val="24"/>
                <w:lang w:val="en-US" w:eastAsia="zh-CN"/>
              </w:rPr>
              <w:t xml:space="preserve"> </w:t>
            </w:r>
            <w:r>
              <w:rPr>
                <w:rFonts w:hint="eastAsia" w:ascii="宋体"/>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2" w:hRule="atLeast"/>
        </w:trPr>
        <w:tc>
          <w:tcPr>
            <w:tcW w:w="10158"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default" w:ascii="宋体" w:hAnsi="宋体" w:eastAsia="宋体"/>
                <w:sz w:val="24"/>
                <w:szCs w:val="24"/>
                <w:lang w:val="en-US" w:eastAsia="zh-CN"/>
              </w:rPr>
            </w:pPr>
            <w:r>
              <w:rPr>
                <w:rFonts w:hint="eastAsia" w:ascii="宋体" w:hAnsi="宋体"/>
                <w:sz w:val="24"/>
                <w:szCs w:val="24"/>
              </w:rPr>
              <w:t>查新单位：浙江省电力科技查新咨询中心</w:t>
            </w:r>
            <w:r>
              <w:rPr>
                <w:rFonts w:hint="eastAsia" w:ascii="宋体" w:hAnsi="宋体"/>
                <w:sz w:val="24"/>
                <w:szCs w:val="24"/>
              </w:rPr>
              <w:cr/>
            </w:r>
            <w:r>
              <w:rPr>
                <w:rFonts w:hint="eastAsia" w:ascii="宋体" w:hAnsi="宋体"/>
                <w:sz w:val="24"/>
                <w:szCs w:val="24"/>
              </w:rPr>
              <w:t>地址：杭州市朝晖八区华电弄1号  邮编：3100014</w:t>
            </w:r>
            <w:r>
              <w:rPr>
                <w:rFonts w:hint="eastAsia" w:ascii="宋体" w:hAnsi="宋体"/>
                <w:sz w:val="24"/>
                <w:szCs w:val="24"/>
              </w:rPr>
              <w:cr/>
            </w:r>
            <w:r>
              <w:rPr>
                <w:rFonts w:hint="eastAsia" w:ascii="宋体" w:hAnsi="宋体"/>
                <w:sz w:val="24"/>
                <w:szCs w:val="24"/>
                <w:lang w:eastAsia="zh-CN"/>
              </w:rPr>
              <w:t>邮箱</w:t>
            </w:r>
            <w:r>
              <w:rPr>
                <w:rFonts w:hint="eastAsia" w:ascii="宋体" w:hAnsi="宋体"/>
                <w:sz w:val="24"/>
                <w:szCs w:val="24"/>
                <w:lang w:val="en-US" w:eastAsia="zh-CN"/>
              </w:rPr>
              <w:t>:zhangcai@zj.sgcc.com.cn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sz w:val="24"/>
              </w:rPr>
            </w:pPr>
            <w:r>
              <w:rPr>
                <w:rFonts w:hint="eastAsia" w:ascii="宋体" w:hAnsi="宋体"/>
                <w:color w:val="auto"/>
                <w:sz w:val="24"/>
                <w:szCs w:val="24"/>
              </w:rPr>
              <w:t>电话：0571-51211</w:t>
            </w:r>
            <w:r>
              <w:rPr>
                <w:rFonts w:hint="eastAsia" w:ascii="宋体" w:hAnsi="宋体"/>
                <w:color w:val="auto"/>
                <w:sz w:val="24"/>
                <w:szCs w:val="24"/>
                <w:lang w:val="en-US" w:eastAsia="zh-CN"/>
              </w:rPr>
              <w:t>639</w:t>
            </w:r>
            <w:r>
              <w:rPr>
                <w:rFonts w:hint="eastAsia" w:ascii="宋体" w:hAnsi="宋体"/>
                <w:color w:val="auto"/>
                <w:sz w:val="24"/>
                <w:szCs w:val="24"/>
              </w:rPr>
              <w:cr/>
            </w:r>
            <w:r>
              <w:rPr>
                <w:rFonts w:hint="eastAsia" w:ascii="宋体" w:hAnsi="宋体"/>
                <w:color w:val="auto"/>
                <w:sz w:val="24"/>
                <w:szCs w:val="24"/>
              </w:rPr>
              <w:t>联系人：</w:t>
            </w:r>
            <w:r>
              <w:rPr>
                <w:rFonts w:hint="eastAsia" w:ascii="宋体" w:hAnsi="宋体"/>
                <w:color w:val="auto"/>
                <w:sz w:val="24"/>
                <w:szCs w:val="24"/>
                <w:lang w:eastAsia="zh-CN"/>
              </w:rPr>
              <w:t>张彩</w:t>
            </w:r>
            <w:r>
              <w:rPr>
                <w:rFonts w:hint="eastAsia" w:ascii="宋体" w:hAnsi="宋体"/>
                <w:color w:val="auto"/>
                <w:sz w:val="24"/>
                <w:szCs w:val="24"/>
              </w:rPr>
              <w:t xml:space="preserve"> </w:t>
            </w:r>
            <w:r>
              <w:rPr>
                <w:rFonts w:hint="eastAsia" w:ascii="宋体" w:hAnsi="宋体"/>
                <w:color w:val="0000FF"/>
                <w:sz w:val="24"/>
                <w:szCs w:val="24"/>
              </w:rPr>
              <w:t xml:space="preserve">  </w:t>
            </w:r>
            <w:r>
              <w:rPr>
                <w:rFonts w:hint="eastAsia" w:ascii="宋体"/>
                <w:b/>
                <w:sz w:val="24"/>
              </w:rPr>
              <w:t xml:space="preserve">                       </w:t>
            </w:r>
          </w:p>
          <w:p>
            <w:pPr>
              <w:wordWrap w:val="0"/>
              <w:jc w:val="right"/>
              <w:rPr>
                <w:rFonts w:ascii="宋体"/>
                <w:sz w:val="24"/>
              </w:rPr>
            </w:pPr>
            <w:r>
              <w:rPr>
                <w:rFonts w:hint="eastAsia" w:ascii="宋体"/>
                <w:sz w:val="24"/>
              </w:rPr>
              <w:t xml:space="preserve">      </w:t>
            </w:r>
          </w:p>
        </w:tc>
      </w:tr>
    </w:tbl>
    <w:p>
      <w:pPr>
        <w:rPr>
          <w:sz w:val="24"/>
          <w:szCs w:val="24"/>
        </w:rPr>
      </w:pPr>
    </w:p>
    <w:p>
      <w:pPr>
        <w:rPr>
          <w:rFonts w:ascii="宋体"/>
          <w:sz w:val="24"/>
        </w:rPr>
      </w:pPr>
    </w:p>
    <w:sectPr>
      <w:footerReference r:id="rId3" w:type="default"/>
      <w:footerReference r:id="rId4"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3</w:t>
    </w:r>
    <w:r>
      <w:rPr>
        <w:rStyle w:val="10"/>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decimal"/>
      <w:lvlText w:val="%1."/>
      <w:lvlJc w:val="left"/>
      <w:pPr>
        <w:tabs>
          <w:tab w:val="left" w:pos="852"/>
        </w:tabs>
        <w:ind w:left="852" w:hanging="420"/>
      </w:pPr>
    </w:lvl>
    <w:lvl w:ilvl="1" w:tentative="0">
      <w:start w:val="1"/>
      <w:numFmt w:val="lowerLetter"/>
      <w:lvlText w:val="%2)"/>
      <w:lvlJc w:val="left"/>
      <w:pPr>
        <w:tabs>
          <w:tab w:val="left" w:pos="1272"/>
        </w:tabs>
        <w:ind w:left="1272" w:hanging="420"/>
      </w:pPr>
    </w:lvl>
    <w:lvl w:ilvl="2" w:tentative="0">
      <w:start w:val="1"/>
      <w:numFmt w:val="lowerRoman"/>
      <w:lvlText w:val="%3."/>
      <w:lvlJc w:val="right"/>
      <w:pPr>
        <w:tabs>
          <w:tab w:val="left" w:pos="1692"/>
        </w:tabs>
        <w:ind w:left="1692" w:hanging="420"/>
      </w:pPr>
    </w:lvl>
    <w:lvl w:ilvl="3" w:tentative="0">
      <w:start w:val="1"/>
      <w:numFmt w:val="decimal"/>
      <w:lvlText w:val="%4."/>
      <w:lvlJc w:val="left"/>
      <w:pPr>
        <w:tabs>
          <w:tab w:val="left" w:pos="2112"/>
        </w:tabs>
        <w:ind w:left="2112" w:hanging="420"/>
      </w:pPr>
    </w:lvl>
    <w:lvl w:ilvl="4" w:tentative="0">
      <w:start w:val="1"/>
      <w:numFmt w:val="lowerLetter"/>
      <w:lvlText w:val="%5)"/>
      <w:lvlJc w:val="left"/>
      <w:pPr>
        <w:tabs>
          <w:tab w:val="left" w:pos="2532"/>
        </w:tabs>
        <w:ind w:left="2532" w:hanging="420"/>
      </w:pPr>
    </w:lvl>
    <w:lvl w:ilvl="5" w:tentative="0">
      <w:start w:val="1"/>
      <w:numFmt w:val="lowerRoman"/>
      <w:lvlText w:val="%6."/>
      <w:lvlJc w:val="right"/>
      <w:pPr>
        <w:tabs>
          <w:tab w:val="left" w:pos="2952"/>
        </w:tabs>
        <w:ind w:left="2952" w:hanging="420"/>
      </w:pPr>
    </w:lvl>
    <w:lvl w:ilvl="6" w:tentative="0">
      <w:start w:val="1"/>
      <w:numFmt w:val="decimal"/>
      <w:lvlText w:val="%7."/>
      <w:lvlJc w:val="left"/>
      <w:pPr>
        <w:tabs>
          <w:tab w:val="left" w:pos="3372"/>
        </w:tabs>
        <w:ind w:left="3372" w:hanging="420"/>
      </w:pPr>
    </w:lvl>
    <w:lvl w:ilvl="7" w:tentative="0">
      <w:start w:val="1"/>
      <w:numFmt w:val="lowerLetter"/>
      <w:lvlText w:val="%8)"/>
      <w:lvlJc w:val="left"/>
      <w:pPr>
        <w:tabs>
          <w:tab w:val="left" w:pos="3792"/>
        </w:tabs>
        <w:ind w:left="3792" w:hanging="420"/>
      </w:pPr>
    </w:lvl>
    <w:lvl w:ilvl="8" w:tentative="0">
      <w:start w:val="1"/>
      <w:numFmt w:val="lowerRoman"/>
      <w:lvlText w:val="%9."/>
      <w:lvlJc w:val="right"/>
      <w:pPr>
        <w:tabs>
          <w:tab w:val="left" w:pos="4212"/>
        </w:tabs>
        <w:ind w:left="421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drawingGridHorizontalSpacing w:val="2"/>
  <w:drawingGridVerticalSpacing w:val="3"/>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4YTZmM2FmYmJjMGQxZmZlNTkzMjZhYzhiZjcyZmUifQ=="/>
  </w:docVars>
  <w:rsids>
    <w:rsidRoot w:val="21DF2642"/>
    <w:rsid w:val="00023BB4"/>
    <w:rsid w:val="00030D3B"/>
    <w:rsid w:val="000664A7"/>
    <w:rsid w:val="00085CFA"/>
    <w:rsid w:val="000939DB"/>
    <w:rsid w:val="000F198F"/>
    <w:rsid w:val="000F4E48"/>
    <w:rsid w:val="00116D19"/>
    <w:rsid w:val="001327EE"/>
    <w:rsid w:val="001402C2"/>
    <w:rsid w:val="00170179"/>
    <w:rsid w:val="00193D9F"/>
    <w:rsid w:val="001D4DD3"/>
    <w:rsid w:val="001D7921"/>
    <w:rsid w:val="00202A1E"/>
    <w:rsid w:val="002068C1"/>
    <w:rsid w:val="0022225F"/>
    <w:rsid w:val="0022234F"/>
    <w:rsid w:val="00226E3D"/>
    <w:rsid w:val="00260403"/>
    <w:rsid w:val="00316CB5"/>
    <w:rsid w:val="00320C6B"/>
    <w:rsid w:val="003370AF"/>
    <w:rsid w:val="00344FCD"/>
    <w:rsid w:val="00351D01"/>
    <w:rsid w:val="00360F44"/>
    <w:rsid w:val="00362716"/>
    <w:rsid w:val="00366782"/>
    <w:rsid w:val="00396BBA"/>
    <w:rsid w:val="003E434F"/>
    <w:rsid w:val="003F7BCC"/>
    <w:rsid w:val="0041047A"/>
    <w:rsid w:val="0041739F"/>
    <w:rsid w:val="00442207"/>
    <w:rsid w:val="00474EDD"/>
    <w:rsid w:val="004A0368"/>
    <w:rsid w:val="00511A04"/>
    <w:rsid w:val="005359D0"/>
    <w:rsid w:val="0058634E"/>
    <w:rsid w:val="005B3BFA"/>
    <w:rsid w:val="005C7888"/>
    <w:rsid w:val="005D4B7E"/>
    <w:rsid w:val="005E041B"/>
    <w:rsid w:val="00602799"/>
    <w:rsid w:val="00610DD6"/>
    <w:rsid w:val="0062546C"/>
    <w:rsid w:val="00633BE2"/>
    <w:rsid w:val="00646B91"/>
    <w:rsid w:val="00685334"/>
    <w:rsid w:val="0068657B"/>
    <w:rsid w:val="0069015D"/>
    <w:rsid w:val="006E23B7"/>
    <w:rsid w:val="00742AB4"/>
    <w:rsid w:val="00742CA1"/>
    <w:rsid w:val="0075136E"/>
    <w:rsid w:val="00763C41"/>
    <w:rsid w:val="00770B18"/>
    <w:rsid w:val="007A2866"/>
    <w:rsid w:val="007E503B"/>
    <w:rsid w:val="007E6534"/>
    <w:rsid w:val="007F3713"/>
    <w:rsid w:val="00821B06"/>
    <w:rsid w:val="00862089"/>
    <w:rsid w:val="008724A5"/>
    <w:rsid w:val="008F7785"/>
    <w:rsid w:val="00904B8B"/>
    <w:rsid w:val="009079AB"/>
    <w:rsid w:val="00912E77"/>
    <w:rsid w:val="0093298B"/>
    <w:rsid w:val="00973E5D"/>
    <w:rsid w:val="00994CB2"/>
    <w:rsid w:val="009C181A"/>
    <w:rsid w:val="009C1F2E"/>
    <w:rsid w:val="009D06A4"/>
    <w:rsid w:val="009D63BE"/>
    <w:rsid w:val="009F576E"/>
    <w:rsid w:val="00A1000B"/>
    <w:rsid w:val="00A32675"/>
    <w:rsid w:val="00A84180"/>
    <w:rsid w:val="00AB4646"/>
    <w:rsid w:val="00AD34D6"/>
    <w:rsid w:val="00AF7407"/>
    <w:rsid w:val="00B16790"/>
    <w:rsid w:val="00BA43C5"/>
    <w:rsid w:val="00BC6BE2"/>
    <w:rsid w:val="00BD111E"/>
    <w:rsid w:val="00BD3A99"/>
    <w:rsid w:val="00C030BA"/>
    <w:rsid w:val="00C03313"/>
    <w:rsid w:val="00C333E4"/>
    <w:rsid w:val="00C5290B"/>
    <w:rsid w:val="00C97B68"/>
    <w:rsid w:val="00CD6123"/>
    <w:rsid w:val="00D14AE4"/>
    <w:rsid w:val="00D153BC"/>
    <w:rsid w:val="00D400F5"/>
    <w:rsid w:val="00D61702"/>
    <w:rsid w:val="00D758A6"/>
    <w:rsid w:val="00DD0A3C"/>
    <w:rsid w:val="00DD2CF6"/>
    <w:rsid w:val="00DD4703"/>
    <w:rsid w:val="00E02E00"/>
    <w:rsid w:val="00E26F3C"/>
    <w:rsid w:val="00E34EB3"/>
    <w:rsid w:val="00E41806"/>
    <w:rsid w:val="00E46004"/>
    <w:rsid w:val="00E5180A"/>
    <w:rsid w:val="00E72FE7"/>
    <w:rsid w:val="00E819D6"/>
    <w:rsid w:val="00E85718"/>
    <w:rsid w:val="00E956BE"/>
    <w:rsid w:val="00E969EE"/>
    <w:rsid w:val="00EB6B26"/>
    <w:rsid w:val="00EC3949"/>
    <w:rsid w:val="00EC4EA8"/>
    <w:rsid w:val="00F144CF"/>
    <w:rsid w:val="00F16CE2"/>
    <w:rsid w:val="00F252D3"/>
    <w:rsid w:val="00F32210"/>
    <w:rsid w:val="00F50F57"/>
    <w:rsid w:val="00F54C13"/>
    <w:rsid w:val="00F728BB"/>
    <w:rsid w:val="00F76A22"/>
    <w:rsid w:val="00F87842"/>
    <w:rsid w:val="00FA7186"/>
    <w:rsid w:val="034D6071"/>
    <w:rsid w:val="04D7554F"/>
    <w:rsid w:val="07676426"/>
    <w:rsid w:val="09B135F8"/>
    <w:rsid w:val="09BA199A"/>
    <w:rsid w:val="13FD660E"/>
    <w:rsid w:val="1547077C"/>
    <w:rsid w:val="17D4345B"/>
    <w:rsid w:val="185F53F3"/>
    <w:rsid w:val="21DF2642"/>
    <w:rsid w:val="271E761D"/>
    <w:rsid w:val="2E99601A"/>
    <w:rsid w:val="3C9C3628"/>
    <w:rsid w:val="3EEF3293"/>
    <w:rsid w:val="3F8B243C"/>
    <w:rsid w:val="415A3512"/>
    <w:rsid w:val="421D46E9"/>
    <w:rsid w:val="47C60301"/>
    <w:rsid w:val="54EA67E9"/>
    <w:rsid w:val="576C6986"/>
    <w:rsid w:val="57AA3EB8"/>
    <w:rsid w:val="59137C83"/>
    <w:rsid w:val="5C7B3874"/>
    <w:rsid w:val="647C410E"/>
    <w:rsid w:val="652D5712"/>
    <w:rsid w:val="658C1C15"/>
    <w:rsid w:val="690F3775"/>
    <w:rsid w:val="699A379A"/>
    <w:rsid w:val="6BBA528D"/>
    <w:rsid w:val="6C3F7C6A"/>
    <w:rsid w:val="71162913"/>
    <w:rsid w:val="75FD6929"/>
    <w:rsid w:val="7DAA1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firstLine="448"/>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ind w:firstLine="425" w:firstLineChars="200"/>
    </w:pPr>
    <w:rPr>
      <w:rFonts w:ascii="宋体" w:hAnsi="宋体"/>
    </w:rPr>
  </w:style>
  <w:style w:type="character" w:styleId="10">
    <w:name w:val="page number"/>
    <w:basedOn w:val="9"/>
    <w:qFormat/>
    <w:uiPriority w:val="0"/>
  </w:style>
  <w:style w:type="character" w:styleId="11">
    <w:name w:val="Hyperlink"/>
    <w:basedOn w:val="9"/>
    <w:qFormat/>
    <w:uiPriority w:val="0"/>
    <w:rPr>
      <w:color w:val="0000FF" w:themeColor="hyperlink"/>
      <w:u w:val="single"/>
      <w14:textFill>
        <w14:solidFill>
          <w14:schemeClr w14:val="hlink"/>
        </w14:solidFill>
      </w14:textFill>
    </w:rPr>
  </w:style>
  <w:style w:type="character" w:styleId="12">
    <w:name w:val="annotation reference"/>
    <w:basedOn w:val="9"/>
    <w:qFormat/>
    <w:uiPriority w:val="0"/>
    <w:rPr>
      <w:sz w:val="21"/>
      <w:szCs w:val="21"/>
    </w:rPr>
  </w:style>
  <w:style w:type="character" w:customStyle="1" w:styleId="13">
    <w:name w:val="页眉 字符"/>
    <w:link w:val="6"/>
    <w:qFormat/>
    <w:uiPriority w:val="0"/>
    <w:rPr>
      <w:kern w:val="2"/>
      <w:sz w:val="18"/>
      <w:szCs w:val="18"/>
    </w:rPr>
  </w:style>
  <w:style w:type="paragraph" w:customStyle="1" w:styleId="14">
    <w:name w:val="列出段落1"/>
    <w:basedOn w:val="1"/>
    <w:qFormat/>
    <w:uiPriority w:val="34"/>
    <w:pPr>
      <w:ind w:firstLine="420" w:firstLineChars="200"/>
    </w:pPr>
  </w:style>
  <w:style w:type="character" w:customStyle="1" w:styleId="15">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6597;&#26032;&#32508;&#21512;&#31649;&#29702;&#31995;&#32479;\contact.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contact.doc</Template>
  <Pages>2</Pages>
  <Words>234</Words>
  <Characters>1336</Characters>
  <Lines>11</Lines>
  <Paragraphs>3</Paragraphs>
  <TotalTime>1</TotalTime>
  <ScaleCrop>false</ScaleCrop>
  <LinksUpToDate>false</LinksUpToDate>
  <CharactersWithSpaces>1567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2022-06-13T06:10:00Z</dcterms:created>
  <dc:creator>ThinkCentre</dc:creator>
  <cp:lastModifiedBy>ThinkCentre</cp:lastModifiedBy>
  <dcterms:modified xsi:type="dcterms:W3CDTF">2024-05-28T07:37:45Z</dcterms:modified>
  <dc:title>科技情报检索委托单</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A8BCA3764CD746FAA027831C6F872410</vt:lpwstr>
  </property>
</Properties>
</file>